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Table3-Accent1"/>
        <w:tblpPr w:leftFromText="180" w:rightFromText="180" w:horzAnchor="margin" w:tblpY="915"/>
        <w:tblW w:w="9262" w:type="dxa"/>
        <w:tblLook w:val="04A0" w:firstRow="1" w:lastRow="0" w:firstColumn="1" w:lastColumn="0" w:noHBand="0" w:noVBand="1"/>
      </w:tblPr>
      <w:tblGrid>
        <w:gridCol w:w="1520"/>
        <w:gridCol w:w="1890"/>
        <w:gridCol w:w="2430"/>
        <w:gridCol w:w="1980"/>
        <w:gridCol w:w="1442"/>
      </w:tblGrid>
      <w:tr w:rsidR="00B77287" w:rsidRPr="00415B6F" w14:paraId="6ADF4E7D" w14:textId="77777777" w:rsidTr="00E71C4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20" w:type="dxa"/>
            <w:hideMark/>
          </w:tcPr>
          <w:p w14:paraId="229231B1"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Cell Line</w:t>
            </w:r>
          </w:p>
        </w:tc>
        <w:tc>
          <w:tcPr>
            <w:tcW w:w="1890" w:type="dxa"/>
            <w:hideMark/>
          </w:tcPr>
          <w:p w14:paraId="5D89050D" w14:textId="77777777" w:rsidR="00415B6F" w:rsidRPr="00415B6F" w:rsidRDefault="00415B6F" w:rsidP="00E71C4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Source</w:t>
            </w:r>
          </w:p>
        </w:tc>
        <w:tc>
          <w:tcPr>
            <w:tcW w:w="2430" w:type="dxa"/>
            <w:hideMark/>
          </w:tcPr>
          <w:p w14:paraId="6C93B4F0" w14:textId="77777777" w:rsidR="00415B6F" w:rsidRPr="00415B6F" w:rsidRDefault="00415B6F" w:rsidP="00E71C4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Culture Medium</w:t>
            </w:r>
          </w:p>
        </w:tc>
        <w:tc>
          <w:tcPr>
            <w:tcW w:w="1980" w:type="dxa"/>
            <w:hideMark/>
          </w:tcPr>
          <w:p w14:paraId="799146A2" w14:textId="77777777" w:rsidR="00415B6F" w:rsidRPr="00415B6F" w:rsidRDefault="00415B6F" w:rsidP="00E71C4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Tissue Classification</w:t>
            </w:r>
          </w:p>
        </w:tc>
        <w:tc>
          <w:tcPr>
            <w:tcW w:w="1442" w:type="dxa"/>
            <w:hideMark/>
          </w:tcPr>
          <w:p w14:paraId="554FA0F9" w14:textId="77777777" w:rsidR="00415B6F" w:rsidRPr="00415B6F" w:rsidRDefault="00415B6F" w:rsidP="00E71C4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GRN-</w:t>
            </w:r>
            <w:proofErr w:type="gramStart"/>
            <w:r w:rsidRPr="00415B6F">
              <w:rPr>
                <w:rFonts w:ascii="Aptos" w:eastAsia="Times New Roman" w:hAnsi="Aptos" w:cs="Arial"/>
                <w:color w:val="FFFFFF"/>
                <w14:ligatures w14:val="none"/>
              </w:rPr>
              <w:t>300:CQ</w:t>
            </w:r>
            <w:proofErr w:type="gramEnd"/>
          </w:p>
        </w:tc>
      </w:tr>
      <w:tr w:rsidR="00E731F3" w:rsidRPr="00415B6F" w14:paraId="2B46C10E" w14:textId="77777777" w:rsidTr="00E71C4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20" w:type="dxa"/>
            <w:shd w:val="clear" w:color="auto" w:fill="156082" w:themeFill="accent1"/>
            <w:vAlign w:val="center"/>
            <w:hideMark/>
          </w:tcPr>
          <w:p w14:paraId="13D3100B"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OVCAR4</w:t>
            </w:r>
          </w:p>
        </w:tc>
        <w:tc>
          <w:tcPr>
            <w:tcW w:w="1890" w:type="dxa"/>
            <w:vAlign w:val="center"/>
            <w:hideMark/>
          </w:tcPr>
          <w:p w14:paraId="231B2893"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Gordon Mills</w:t>
            </w:r>
          </w:p>
        </w:tc>
        <w:tc>
          <w:tcPr>
            <w:tcW w:w="2430" w:type="dxa"/>
            <w:vAlign w:val="center"/>
            <w:hideMark/>
          </w:tcPr>
          <w:p w14:paraId="63F05A2E"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RPMI1640 10%FBS</w:t>
            </w:r>
          </w:p>
        </w:tc>
        <w:tc>
          <w:tcPr>
            <w:tcW w:w="1980" w:type="dxa"/>
            <w:vAlign w:val="center"/>
            <w:hideMark/>
          </w:tcPr>
          <w:p w14:paraId="16C07B31"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Ovarian Cancer</w:t>
            </w:r>
          </w:p>
        </w:tc>
        <w:tc>
          <w:tcPr>
            <w:tcW w:w="1442" w:type="dxa"/>
            <w:vAlign w:val="center"/>
            <w:hideMark/>
          </w:tcPr>
          <w:p w14:paraId="7142D087"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1:6</w:t>
            </w:r>
          </w:p>
        </w:tc>
      </w:tr>
      <w:tr w:rsidR="00E731F3" w:rsidRPr="00415B6F" w14:paraId="1BFB3F4D" w14:textId="77777777" w:rsidTr="00E71C40">
        <w:trPr>
          <w:trHeight w:val="144"/>
        </w:trPr>
        <w:tc>
          <w:tcPr>
            <w:cnfStyle w:val="001000000000" w:firstRow="0" w:lastRow="0" w:firstColumn="1" w:lastColumn="0" w:oddVBand="0" w:evenVBand="0" w:oddHBand="0" w:evenHBand="0" w:firstRowFirstColumn="0" w:firstRowLastColumn="0" w:lastRowFirstColumn="0" w:lastRowLastColumn="0"/>
            <w:tcW w:w="1520" w:type="dxa"/>
            <w:shd w:val="clear" w:color="auto" w:fill="156082" w:themeFill="accent1"/>
            <w:vAlign w:val="center"/>
            <w:hideMark/>
          </w:tcPr>
          <w:p w14:paraId="54691339"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OVCAR8</w:t>
            </w:r>
          </w:p>
        </w:tc>
        <w:tc>
          <w:tcPr>
            <w:tcW w:w="1890" w:type="dxa"/>
            <w:vAlign w:val="center"/>
            <w:hideMark/>
          </w:tcPr>
          <w:p w14:paraId="5E134314"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Gordon Mills</w:t>
            </w:r>
          </w:p>
        </w:tc>
        <w:tc>
          <w:tcPr>
            <w:tcW w:w="2430" w:type="dxa"/>
            <w:vAlign w:val="center"/>
            <w:hideMark/>
          </w:tcPr>
          <w:p w14:paraId="24013A26"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RPMI1640 10%FBS</w:t>
            </w:r>
          </w:p>
        </w:tc>
        <w:tc>
          <w:tcPr>
            <w:tcW w:w="1980" w:type="dxa"/>
            <w:vAlign w:val="center"/>
            <w:hideMark/>
          </w:tcPr>
          <w:p w14:paraId="5E207C26"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Ovarian Cancer</w:t>
            </w:r>
          </w:p>
        </w:tc>
        <w:tc>
          <w:tcPr>
            <w:tcW w:w="1442" w:type="dxa"/>
            <w:vAlign w:val="center"/>
            <w:hideMark/>
          </w:tcPr>
          <w:p w14:paraId="1F47AE6D"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1:3</w:t>
            </w:r>
          </w:p>
        </w:tc>
      </w:tr>
      <w:tr w:rsidR="00E731F3" w:rsidRPr="00415B6F" w14:paraId="64B8E190" w14:textId="77777777" w:rsidTr="00E71C4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20" w:type="dxa"/>
            <w:shd w:val="clear" w:color="auto" w:fill="156082" w:themeFill="accent1"/>
            <w:vAlign w:val="center"/>
            <w:hideMark/>
          </w:tcPr>
          <w:p w14:paraId="10B82D30"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OC316</w:t>
            </w:r>
          </w:p>
        </w:tc>
        <w:tc>
          <w:tcPr>
            <w:tcW w:w="1890" w:type="dxa"/>
            <w:vAlign w:val="center"/>
            <w:hideMark/>
          </w:tcPr>
          <w:p w14:paraId="04AA5778"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Gordon Mills</w:t>
            </w:r>
          </w:p>
        </w:tc>
        <w:tc>
          <w:tcPr>
            <w:tcW w:w="2430" w:type="dxa"/>
            <w:vAlign w:val="center"/>
            <w:hideMark/>
          </w:tcPr>
          <w:p w14:paraId="15EA3F95"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RPMI1640 10%FBS</w:t>
            </w:r>
          </w:p>
        </w:tc>
        <w:tc>
          <w:tcPr>
            <w:tcW w:w="1980" w:type="dxa"/>
            <w:vAlign w:val="center"/>
            <w:hideMark/>
          </w:tcPr>
          <w:p w14:paraId="5695F851"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Ovarian Cancer</w:t>
            </w:r>
          </w:p>
        </w:tc>
        <w:tc>
          <w:tcPr>
            <w:tcW w:w="1442" w:type="dxa"/>
            <w:vAlign w:val="center"/>
            <w:hideMark/>
          </w:tcPr>
          <w:p w14:paraId="52641650"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1:3</w:t>
            </w:r>
          </w:p>
        </w:tc>
      </w:tr>
      <w:tr w:rsidR="00E731F3" w:rsidRPr="00415B6F" w14:paraId="1F915CE9" w14:textId="77777777" w:rsidTr="00E71C40">
        <w:trPr>
          <w:trHeight w:val="144"/>
        </w:trPr>
        <w:tc>
          <w:tcPr>
            <w:cnfStyle w:val="001000000000" w:firstRow="0" w:lastRow="0" w:firstColumn="1" w:lastColumn="0" w:oddVBand="0" w:evenVBand="0" w:oddHBand="0" w:evenHBand="0" w:firstRowFirstColumn="0" w:firstRowLastColumn="0" w:lastRowFirstColumn="0" w:lastRowLastColumn="0"/>
            <w:tcW w:w="1520" w:type="dxa"/>
            <w:shd w:val="clear" w:color="auto" w:fill="156082" w:themeFill="accent1"/>
            <w:vAlign w:val="center"/>
            <w:hideMark/>
          </w:tcPr>
          <w:p w14:paraId="23B23DBC"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SKOv3</w:t>
            </w:r>
          </w:p>
        </w:tc>
        <w:tc>
          <w:tcPr>
            <w:tcW w:w="1890" w:type="dxa"/>
            <w:vAlign w:val="center"/>
            <w:hideMark/>
          </w:tcPr>
          <w:p w14:paraId="07F728C5"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ATCC</w:t>
            </w:r>
          </w:p>
        </w:tc>
        <w:tc>
          <w:tcPr>
            <w:tcW w:w="2430" w:type="dxa"/>
            <w:vAlign w:val="center"/>
            <w:hideMark/>
          </w:tcPr>
          <w:p w14:paraId="2FE3CE61"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RPMI1640 10%FBS</w:t>
            </w:r>
          </w:p>
        </w:tc>
        <w:tc>
          <w:tcPr>
            <w:tcW w:w="1980" w:type="dxa"/>
            <w:vAlign w:val="center"/>
            <w:hideMark/>
          </w:tcPr>
          <w:p w14:paraId="51713DA6"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Ovarian Cancer</w:t>
            </w:r>
          </w:p>
        </w:tc>
        <w:tc>
          <w:tcPr>
            <w:tcW w:w="1442" w:type="dxa"/>
            <w:vAlign w:val="center"/>
            <w:hideMark/>
          </w:tcPr>
          <w:p w14:paraId="0056DE0E"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1:4</w:t>
            </w:r>
          </w:p>
        </w:tc>
      </w:tr>
      <w:tr w:rsidR="00E731F3" w:rsidRPr="00415B6F" w14:paraId="3920D285" w14:textId="77777777" w:rsidTr="00E71C4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20" w:type="dxa"/>
            <w:shd w:val="clear" w:color="auto" w:fill="156082" w:themeFill="accent1"/>
            <w:vAlign w:val="center"/>
            <w:hideMark/>
          </w:tcPr>
          <w:p w14:paraId="26A6155D"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IGROV1</w:t>
            </w:r>
          </w:p>
        </w:tc>
        <w:tc>
          <w:tcPr>
            <w:tcW w:w="1890" w:type="dxa"/>
            <w:vAlign w:val="center"/>
            <w:hideMark/>
          </w:tcPr>
          <w:p w14:paraId="4C8E53EC"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ATCC</w:t>
            </w:r>
          </w:p>
        </w:tc>
        <w:tc>
          <w:tcPr>
            <w:tcW w:w="2430" w:type="dxa"/>
            <w:vAlign w:val="center"/>
            <w:hideMark/>
          </w:tcPr>
          <w:p w14:paraId="0B3654FC"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RPMI1640 10%FBS</w:t>
            </w:r>
          </w:p>
        </w:tc>
        <w:tc>
          <w:tcPr>
            <w:tcW w:w="1980" w:type="dxa"/>
            <w:vAlign w:val="center"/>
            <w:hideMark/>
          </w:tcPr>
          <w:p w14:paraId="3E670FA1"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Ovarian Cancer</w:t>
            </w:r>
          </w:p>
        </w:tc>
        <w:tc>
          <w:tcPr>
            <w:tcW w:w="1442" w:type="dxa"/>
            <w:vAlign w:val="center"/>
            <w:hideMark/>
          </w:tcPr>
          <w:p w14:paraId="12CF634A"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1:7</w:t>
            </w:r>
          </w:p>
        </w:tc>
      </w:tr>
      <w:tr w:rsidR="00E731F3" w:rsidRPr="00415B6F" w14:paraId="3B7C8D9A" w14:textId="77777777" w:rsidTr="00E71C40">
        <w:trPr>
          <w:trHeight w:val="144"/>
        </w:trPr>
        <w:tc>
          <w:tcPr>
            <w:cnfStyle w:val="001000000000" w:firstRow="0" w:lastRow="0" w:firstColumn="1" w:lastColumn="0" w:oddVBand="0" w:evenVBand="0" w:oddHBand="0" w:evenHBand="0" w:firstRowFirstColumn="0" w:firstRowLastColumn="0" w:lastRowFirstColumn="0" w:lastRowLastColumn="0"/>
            <w:tcW w:w="1520" w:type="dxa"/>
            <w:shd w:val="clear" w:color="auto" w:fill="156082" w:themeFill="accent1"/>
            <w:vAlign w:val="center"/>
            <w:hideMark/>
          </w:tcPr>
          <w:p w14:paraId="3B38FA7B"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EFO21</w:t>
            </w:r>
          </w:p>
        </w:tc>
        <w:tc>
          <w:tcPr>
            <w:tcW w:w="1890" w:type="dxa"/>
            <w:vAlign w:val="center"/>
            <w:hideMark/>
          </w:tcPr>
          <w:p w14:paraId="13EE0313"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ATCC</w:t>
            </w:r>
          </w:p>
        </w:tc>
        <w:tc>
          <w:tcPr>
            <w:tcW w:w="2430" w:type="dxa"/>
            <w:vAlign w:val="center"/>
            <w:hideMark/>
          </w:tcPr>
          <w:p w14:paraId="2CF8A0D5"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RPMI1640 10%FBS</w:t>
            </w:r>
          </w:p>
        </w:tc>
        <w:tc>
          <w:tcPr>
            <w:tcW w:w="1980" w:type="dxa"/>
            <w:vAlign w:val="center"/>
            <w:hideMark/>
          </w:tcPr>
          <w:p w14:paraId="593ED64E"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Ovarian Cancer</w:t>
            </w:r>
          </w:p>
        </w:tc>
        <w:tc>
          <w:tcPr>
            <w:tcW w:w="1442" w:type="dxa"/>
            <w:vAlign w:val="center"/>
            <w:hideMark/>
          </w:tcPr>
          <w:p w14:paraId="5AB060C0"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1:7</w:t>
            </w:r>
          </w:p>
        </w:tc>
      </w:tr>
      <w:tr w:rsidR="00E731F3" w:rsidRPr="00415B6F" w14:paraId="28418AE0" w14:textId="77777777" w:rsidTr="00E71C4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20" w:type="dxa"/>
            <w:shd w:val="clear" w:color="auto" w:fill="156082" w:themeFill="accent1"/>
            <w:vAlign w:val="center"/>
            <w:hideMark/>
          </w:tcPr>
          <w:p w14:paraId="34511D58"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OVCAR5</w:t>
            </w:r>
          </w:p>
        </w:tc>
        <w:tc>
          <w:tcPr>
            <w:tcW w:w="1890" w:type="dxa"/>
            <w:vAlign w:val="center"/>
            <w:hideMark/>
          </w:tcPr>
          <w:p w14:paraId="26DF8EFD"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Gordon Mills</w:t>
            </w:r>
          </w:p>
        </w:tc>
        <w:tc>
          <w:tcPr>
            <w:tcW w:w="2430" w:type="dxa"/>
            <w:vAlign w:val="center"/>
            <w:hideMark/>
          </w:tcPr>
          <w:p w14:paraId="697D4777"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RPMI1640 10%FBS</w:t>
            </w:r>
          </w:p>
        </w:tc>
        <w:tc>
          <w:tcPr>
            <w:tcW w:w="1980" w:type="dxa"/>
            <w:vAlign w:val="center"/>
            <w:hideMark/>
          </w:tcPr>
          <w:p w14:paraId="062B8BFB"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Ovarian Cancer</w:t>
            </w:r>
          </w:p>
        </w:tc>
        <w:tc>
          <w:tcPr>
            <w:tcW w:w="1442" w:type="dxa"/>
            <w:vAlign w:val="center"/>
            <w:hideMark/>
          </w:tcPr>
          <w:p w14:paraId="4FA5D74D" w14:textId="77777777" w:rsidR="00415B6F" w:rsidRPr="00415B6F" w:rsidRDefault="00415B6F" w:rsidP="00E71C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1:4</w:t>
            </w:r>
          </w:p>
        </w:tc>
      </w:tr>
      <w:tr w:rsidR="00E731F3" w:rsidRPr="00415B6F" w14:paraId="61F6E3D4" w14:textId="77777777" w:rsidTr="00E71C40">
        <w:trPr>
          <w:trHeight w:val="144"/>
        </w:trPr>
        <w:tc>
          <w:tcPr>
            <w:cnfStyle w:val="001000000000" w:firstRow="0" w:lastRow="0" w:firstColumn="1" w:lastColumn="0" w:oddVBand="0" w:evenVBand="0" w:oddHBand="0" w:evenHBand="0" w:firstRowFirstColumn="0" w:firstRowLastColumn="0" w:lastRowFirstColumn="0" w:lastRowLastColumn="0"/>
            <w:tcW w:w="1520" w:type="dxa"/>
            <w:shd w:val="clear" w:color="auto" w:fill="156082" w:themeFill="accent1"/>
            <w:vAlign w:val="center"/>
            <w:hideMark/>
          </w:tcPr>
          <w:p w14:paraId="75798E69" w14:textId="77777777" w:rsidR="00415B6F" w:rsidRPr="00415B6F" w:rsidRDefault="00415B6F" w:rsidP="00E71C40">
            <w:pPr>
              <w:spacing w:line="360" w:lineRule="auto"/>
              <w:jc w:val="center"/>
              <w:rPr>
                <w:rFonts w:ascii="Arial" w:eastAsia="Times New Roman" w:hAnsi="Arial" w:cs="Arial"/>
                <w:kern w:val="0"/>
                <w:sz w:val="36"/>
                <w:szCs w:val="36"/>
                <w14:ligatures w14:val="none"/>
              </w:rPr>
            </w:pPr>
            <w:r w:rsidRPr="00415B6F">
              <w:rPr>
                <w:rFonts w:ascii="Aptos" w:eastAsia="Times New Roman" w:hAnsi="Aptos" w:cs="Arial"/>
                <w:color w:val="FFFFFF"/>
                <w14:ligatures w14:val="none"/>
              </w:rPr>
              <w:t>OVCAR3</w:t>
            </w:r>
          </w:p>
        </w:tc>
        <w:tc>
          <w:tcPr>
            <w:tcW w:w="1890" w:type="dxa"/>
            <w:vAlign w:val="center"/>
            <w:hideMark/>
          </w:tcPr>
          <w:p w14:paraId="53594695"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ATCC</w:t>
            </w:r>
          </w:p>
        </w:tc>
        <w:tc>
          <w:tcPr>
            <w:tcW w:w="2430" w:type="dxa"/>
            <w:vAlign w:val="center"/>
            <w:hideMark/>
          </w:tcPr>
          <w:p w14:paraId="22F5A676"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RPMI1640 10%FBS</w:t>
            </w:r>
          </w:p>
        </w:tc>
        <w:tc>
          <w:tcPr>
            <w:tcW w:w="1980" w:type="dxa"/>
            <w:vAlign w:val="center"/>
            <w:hideMark/>
          </w:tcPr>
          <w:p w14:paraId="44FFB8A9"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Ovarian Cancer</w:t>
            </w:r>
          </w:p>
        </w:tc>
        <w:tc>
          <w:tcPr>
            <w:tcW w:w="1442" w:type="dxa"/>
            <w:vAlign w:val="center"/>
            <w:hideMark/>
          </w:tcPr>
          <w:p w14:paraId="215C034A" w14:textId="77777777" w:rsidR="00415B6F" w:rsidRPr="00415B6F" w:rsidRDefault="00415B6F" w:rsidP="00E71C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14:ligatures w14:val="none"/>
              </w:rPr>
            </w:pPr>
            <w:r w:rsidRPr="00415B6F">
              <w:rPr>
                <w:rFonts w:ascii="Aptos" w:eastAsia="Times New Roman" w:hAnsi="Aptos" w:cs="Arial"/>
                <w:color w:val="000000"/>
                <w14:ligatures w14:val="none"/>
              </w:rPr>
              <w:t>1:3</w:t>
            </w:r>
          </w:p>
        </w:tc>
      </w:tr>
    </w:tbl>
    <w:p w14:paraId="15CE707B" w14:textId="5FC3CF6B" w:rsidR="00415B6F" w:rsidRPr="00E539BD" w:rsidRDefault="00415B6F" w:rsidP="0005035A">
      <w:pPr>
        <w:spacing w:line="360" w:lineRule="auto"/>
        <w:jc w:val="both"/>
        <w:rPr>
          <w:rFonts w:ascii="Arial" w:hAnsi="Arial" w:cs="Arial"/>
          <w:b/>
          <w:bCs/>
        </w:rPr>
      </w:pPr>
      <w:r w:rsidRPr="00E539BD">
        <w:rPr>
          <w:rFonts w:ascii="Arial" w:hAnsi="Arial" w:cs="Arial"/>
          <w:b/>
          <w:bCs/>
        </w:rPr>
        <w:t>Supplementary</w:t>
      </w:r>
      <w:r w:rsidR="00E539BD" w:rsidRPr="00E539BD">
        <w:rPr>
          <w:rFonts w:ascii="Arial" w:hAnsi="Arial" w:cs="Arial"/>
          <w:b/>
          <w:bCs/>
        </w:rPr>
        <w:t xml:space="preserve"> Table</w:t>
      </w:r>
      <w:r w:rsidR="00430424">
        <w:rPr>
          <w:rFonts w:ascii="Arial" w:hAnsi="Arial" w:cs="Arial"/>
          <w:b/>
          <w:bCs/>
        </w:rPr>
        <w:t>s</w:t>
      </w:r>
    </w:p>
    <w:p w14:paraId="3376AF1A" w14:textId="77777777" w:rsidR="00E539BD" w:rsidRDefault="00E539BD" w:rsidP="0005035A">
      <w:pPr>
        <w:spacing w:line="360" w:lineRule="auto"/>
        <w:jc w:val="both"/>
        <w:rPr>
          <w:rFonts w:ascii="Arial" w:hAnsi="Arial" w:cs="Arial"/>
          <w:b/>
          <w:bCs/>
          <w:sz w:val="22"/>
          <w:szCs w:val="22"/>
        </w:rPr>
      </w:pPr>
    </w:p>
    <w:p w14:paraId="05AD0367" w14:textId="77777777" w:rsidR="00E539BD" w:rsidRDefault="00E539BD" w:rsidP="0005035A">
      <w:pPr>
        <w:spacing w:line="360" w:lineRule="auto"/>
        <w:jc w:val="both"/>
        <w:rPr>
          <w:rFonts w:ascii="Arial" w:hAnsi="Arial" w:cs="Arial"/>
          <w:b/>
          <w:bCs/>
          <w:sz w:val="22"/>
          <w:szCs w:val="22"/>
        </w:rPr>
      </w:pPr>
    </w:p>
    <w:p w14:paraId="557BB6D3" w14:textId="310EE4DE" w:rsidR="00430424" w:rsidRPr="00942E51" w:rsidRDefault="00430424" w:rsidP="00430424">
      <w:pPr>
        <w:spacing w:line="360" w:lineRule="auto"/>
        <w:jc w:val="both"/>
        <w:rPr>
          <w:rFonts w:ascii="Arial" w:hAnsi="Arial" w:cs="Arial"/>
        </w:rPr>
      </w:pPr>
      <w:r w:rsidRPr="00E539BD">
        <w:rPr>
          <w:rFonts w:ascii="Arial" w:hAnsi="Arial" w:cs="Arial"/>
          <w:b/>
          <w:bCs/>
        </w:rPr>
        <w:t>Supplementary Table 1</w:t>
      </w:r>
      <w:r>
        <w:rPr>
          <w:rFonts w:ascii="Arial" w:hAnsi="Arial" w:cs="Arial"/>
          <w:b/>
          <w:bCs/>
        </w:rPr>
        <w:t xml:space="preserve">: </w:t>
      </w:r>
      <w:r w:rsidR="00B65954" w:rsidRPr="00B65954">
        <w:rPr>
          <w:rFonts w:ascii="Arial" w:hAnsi="Arial" w:cs="Arial"/>
        </w:rPr>
        <w:t xml:space="preserve">Characteristics and </w:t>
      </w:r>
      <w:r w:rsidR="00B65954">
        <w:rPr>
          <w:rFonts w:ascii="Arial" w:hAnsi="Arial" w:cs="Arial"/>
        </w:rPr>
        <w:t>c</w:t>
      </w:r>
      <w:r w:rsidR="00B65954" w:rsidRPr="00B65954">
        <w:rPr>
          <w:rFonts w:ascii="Arial" w:hAnsi="Arial" w:cs="Arial"/>
        </w:rPr>
        <w:t xml:space="preserve">ulture </w:t>
      </w:r>
      <w:r w:rsidR="00B65954">
        <w:rPr>
          <w:rFonts w:ascii="Arial" w:hAnsi="Arial" w:cs="Arial"/>
        </w:rPr>
        <w:t>c</w:t>
      </w:r>
      <w:r w:rsidR="00B65954" w:rsidRPr="00B65954">
        <w:rPr>
          <w:rFonts w:ascii="Arial" w:hAnsi="Arial" w:cs="Arial"/>
        </w:rPr>
        <w:t xml:space="preserve">onditions of </w:t>
      </w:r>
      <w:r w:rsidR="00B65954">
        <w:rPr>
          <w:rFonts w:ascii="Arial" w:hAnsi="Arial" w:cs="Arial"/>
        </w:rPr>
        <w:t>o</w:t>
      </w:r>
      <w:r w:rsidR="00B65954" w:rsidRPr="00B65954">
        <w:rPr>
          <w:rFonts w:ascii="Arial" w:hAnsi="Arial" w:cs="Arial"/>
        </w:rPr>
        <w:t xml:space="preserve">varian </w:t>
      </w:r>
      <w:r w:rsidR="00B65954">
        <w:rPr>
          <w:rFonts w:ascii="Arial" w:hAnsi="Arial" w:cs="Arial"/>
        </w:rPr>
        <w:t>c</w:t>
      </w:r>
      <w:r w:rsidR="00B65954" w:rsidRPr="00B65954">
        <w:rPr>
          <w:rFonts w:ascii="Arial" w:hAnsi="Arial" w:cs="Arial"/>
        </w:rPr>
        <w:t xml:space="preserve">ancer </w:t>
      </w:r>
      <w:r w:rsidR="00B65954">
        <w:rPr>
          <w:rFonts w:ascii="Arial" w:hAnsi="Arial" w:cs="Arial"/>
        </w:rPr>
        <w:t>c</w:t>
      </w:r>
      <w:r w:rsidR="00B65954" w:rsidRPr="00B65954">
        <w:rPr>
          <w:rFonts w:ascii="Arial" w:hAnsi="Arial" w:cs="Arial"/>
        </w:rPr>
        <w:t xml:space="preserve">ell </w:t>
      </w:r>
      <w:r w:rsidR="00B65954">
        <w:rPr>
          <w:rFonts w:ascii="Arial" w:hAnsi="Arial" w:cs="Arial"/>
        </w:rPr>
        <w:t>li</w:t>
      </w:r>
      <w:r w:rsidR="00B65954" w:rsidRPr="00B65954">
        <w:rPr>
          <w:rFonts w:ascii="Arial" w:hAnsi="Arial" w:cs="Arial"/>
        </w:rPr>
        <w:t>nes</w:t>
      </w:r>
    </w:p>
    <w:p w14:paraId="7A778023" w14:textId="77777777" w:rsidR="00430424" w:rsidRDefault="00430424" w:rsidP="0005035A">
      <w:pPr>
        <w:spacing w:line="360" w:lineRule="auto"/>
        <w:jc w:val="both"/>
        <w:rPr>
          <w:rFonts w:ascii="Arial" w:hAnsi="Arial" w:cs="Arial"/>
          <w:b/>
          <w:bCs/>
          <w:sz w:val="22"/>
          <w:szCs w:val="22"/>
        </w:rPr>
      </w:pPr>
    </w:p>
    <w:p w14:paraId="6FF0FE5D" w14:textId="4566D142" w:rsidR="00430424" w:rsidRDefault="00430424" w:rsidP="0005035A">
      <w:pPr>
        <w:spacing w:line="360" w:lineRule="auto"/>
        <w:jc w:val="both"/>
        <w:rPr>
          <w:rFonts w:ascii="Arial" w:hAnsi="Arial" w:cs="Arial"/>
          <w:b/>
          <w:bCs/>
          <w:sz w:val="22"/>
          <w:szCs w:val="22"/>
        </w:rPr>
      </w:pPr>
    </w:p>
    <w:p w14:paraId="5CB2C22E" w14:textId="77777777" w:rsidR="00E539BD" w:rsidRDefault="00E539BD" w:rsidP="0005035A">
      <w:pPr>
        <w:spacing w:line="360" w:lineRule="auto"/>
        <w:jc w:val="both"/>
        <w:rPr>
          <w:rFonts w:ascii="Arial" w:hAnsi="Arial" w:cs="Arial"/>
          <w:b/>
          <w:bCs/>
          <w:sz w:val="22"/>
          <w:szCs w:val="22"/>
        </w:rPr>
      </w:pPr>
    </w:p>
    <w:p w14:paraId="60555C8A" w14:textId="77777777" w:rsidR="00E539BD" w:rsidRDefault="00E539BD" w:rsidP="0005035A">
      <w:pPr>
        <w:spacing w:line="360" w:lineRule="auto"/>
        <w:jc w:val="both"/>
        <w:rPr>
          <w:rFonts w:ascii="Arial" w:hAnsi="Arial" w:cs="Arial"/>
          <w:b/>
          <w:bCs/>
          <w:sz w:val="22"/>
          <w:szCs w:val="22"/>
        </w:rPr>
      </w:pPr>
    </w:p>
    <w:p w14:paraId="3CBA44DD" w14:textId="77777777" w:rsidR="00E539BD" w:rsidRDefault="00E539BD" w:rsidP="0005035A">
      <w:pPr>
        <w:spacing w:line="360" w:lineRule="auto"/>
        <w:jc w:val="both"/>
        <w:rPr>
          <w:rFonts w:ascii="Arial" w:hAnsi="Arial" w:cs="Arial"/>
          <w:b/>
          <w:bCs/>
          <w:sz w:val="22"/>
          <w:szCs w:val="22"/>
        </w:rPr>
      </w:pPr>
    </w:p>
    <w:p w14:paraId="38D4DE28" w14:textId="77777777" w:rsidR="00E539BD" w:rsidRDefault="00E539BD" w:rsidP="0005035A">
      <w:pPr>
        <w:spacing w:line="360" w:lineRule="auto"/>
        <w:jc w:val="both"/>
        <w:rPr>
          <w:rFonts w:ascii="Arial" w:hAnsi="Arial" w:cs="Arial"/>
          <w:b/>
          <w:bCs/>
          <w:sz w:val="22"/>
          <w:szCs w:val="22"/>
        </w:rPr>
      </w:pPr>
    </w:p>
    <w:p w14:paraId="23C44E70" w14:textId="77777777" w:rsidR="00E539BD" w:rsidRDefault="00E539BD" w:rsidP="0005035A">
      <w:pPr>
        <w:spacing w:line="360" w:lineRule="auto"/>
        <w:jc w:val="both"/>
        <w:rPr>
          <w:rFonts w:ascii="Arial" w:hAnsi="Arial" w:cs="Arial"/>
          <w:b/>
          <w:bCs/>
          <w:sz w:val="22"/>
          <w:szCs w:val="22"/>
        </w:rPr>
      </w:pPr>
    </w:p>
    <w:p w14:paraId="0E7A524C" w14:textId="77777777" w:rsidR="00E539BD" w:rsidRDefault="00E539BD" w:rsidP="0005035A">
      <w:pPr>
        <w:spacing w:line="360" w:lineRule="auto"/>
        <w:jc w:val="both"/>
        <w:rPr>
          <w:rFonts w:ascii="Arial" w:hAnsi="Arial" w:cs="Arial"/>
          <w:b/>
          <w:bCs/>
          <w:sz w:val="22"/>
          <w:szCs w:val="22"/>
        </w:rPr>
      </w:pPr>
    </w:p>
    <w:p w14:paraId="6258A8F2" w14:textId="77777777" w:rsidR="00E539BD" w:rsidRDefault="00E539BD" w:rsidP="0005035A">
      <w:pPr>
        <w:spacing w:line="360" w:lineRule="auto"/>
        <w:jc w:val="both"/>
        <w:rPr>
          <w:rFonts w:ascii="Arial" w:hAnsi="Arial" w:cs="Arial"/>
          <w:b/>
          <w:bCs/>
          <w:sz w:val="22"/>
          <w:szCs w:val="22"/>
        </w:rPr>
      </w:pPr>
    </w:p>
    <w:p w14:paraId="4B82BCCF" w14:textId="77777777" w:rsidR="00E539BD" w:rsidRDefault="00E539BD" w:rsidP="0005035A">
      <w:pPr>
        <w:spacing w:line="360" w:lineRule="auto"/>
        <w:jc w:val="both"/>
        <w:rPr>
          <w:rFonts w:ascii="Arial" w:hAnsi="Arial" w:cs="Arial"/>
          <w:b/>
          <w:bCs/>
          <w:sz w:val="22"/>
          <w:szCs w:val="22"/>
        </w:rPr>
      </w:pPr>
    </w:p>
    <w:p w14:paraId="0FE02C6E" w14:textId="77777777" w:rsidR="00E539BD" w:rsidRDefault="00E539BD" w:rsidP="0005035A">
      <w:pPr>
        <w:spacing w:line="360" w:lineRule="auto"/>
        <w:jc w:val="both"/>
        <w:rPr>
          <w:rFonts w:ascii="Arial" w:hAnsi="Arial" w:cs="Arial"/>
          <w:b/>
          <w:bCs/>
          <w:sz w:val="22"/>
          <w:szCs w:val="22"/>
        </w:rPr>
      </w:pPr>
    </w:p>
    <w:p w14:paraId="0CB5EC8F" w14:textId="26152272" w:rsidR="00E539BD" w:rsidRPr="000D7EA5" w:rsidRDefault="00E539BD" w:rsidP="0005035A">
      <w:pPr>
        <w:spacing w:line="360" w:lineRule="auto"/>
        <w:jc w:val="both"/>
        <w:rPr>
          <w:rFonts w:ascii="Arial" w:hAnsi="Arial" w:cs="Arial"/>
          <w:b/>
          <w:bCs/>
        </w:rPr>
      </w:pPr>
      <w:r w:rsidRPr="000D7EA5">
        <w:rPr>
          <w:rFonts w:ascii="Arial" w:hAnsi="Arial" w:cs="Arial"/>
          <w:b/>
          <w:bCs/>
        </w:rPr>
        <w:lastRenderedPageBreak/>
        <w:t>Supplementary Figures</w:t>
      </w:r>
    </w:p>
    <w:p w14:paraId="739BDCFC" w14:textId="0D44806F" w:rsidR="0071035C" w:rsidRDefault="0071035C" w:rsidP="0005035A">
      <w:pPr>
        <w:spacing w:line="360" w:lineRule="auto"/>
        <w:jc w:val="both"/>
        <w:rPr>
          <w:rFonts w:ascii="Arial" w:hAnsi="Arial" w:cs="Arial"/>
          <w:b/>
          <w:bCs/>
          <w:sz w:val="22"/>
          <w:szCs w:val="22"/>
        </w:rPr>
      </w:pPr>
      <w:r>
        <w:rPr>
          <w:rFonts w:ascii="Arial" w:hAnsi="Arial" w:cs="Arial"/>
          <w:b/>
          <w:bCs/>
          <w:noProof/>
          <w:sz w:val="22"/>
          <w:szCs w:val="22"/>
        </w:rPr>
        <w:drawing>
          <wp:inline distT="0" distB="0" distL="0" distR="0" wp14:anchorId="7F94B34A" wp14:editId="7FB7513D">
            <wp:extent cx="6076748" cy="7195309"/>
            <wp:effectExtent l="0" t="0" r="0" b="5715"/>
            <wp:docPr id="65700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4023" cy="7203923"/>
                    </a:xfrm>
                    <a:prstGeom prst="rect">
                      <a:avLst/>
                    </a:prstGeom>
                    <a:noFill/>
                  </pic:spPr>
                </pic:pic>
              </a:graphicData>
            </a:graphic>
          </wp:inline>
        </w:drawing>
      </w:r>
    </w:p>
    <w:p w14:paraId="7D645907" w14:textId="6EB367A3" w:rsidR="00CA3291" w:rsidRDefault="00CA3291" w:rsidP="0005035A">
      <w:pPr>
        <w:spacing w:line="360" w:lineRule="auto"/>
        <w:jc w:val="both"/>
        <w:rPr>
          <w:rFonts w:ascii="Arial" w:hAnsi="Arial" w:cs="Arial"/>
          <w:sz w:val="22"/>
          <w:szCs w:val="22"/>
        </w:rPr>
      </w:pPr>
      <w:r w:rsidRPr="00CA3291">
        <w:rPr>
          <w:rFonts w:ascii="Arial" w:hAnsi="Arial" w:cs="Arial"/>
          <w:b/>
          <w:bCs/>
          <w:sz w:val="22"/>
          <w:szCs w:val="22"/>
        </w:rPr>
        <w:t xml:space="preserve">Figure S1. Quantification of the unfolded protein response components upon SIK2/SIK3 inhibition. </w:t>
      </w:r>
      <w:r w:rsidRPr="00CA3291">
        <w:rPr>
          <w:rFonts w:ascii="Arial" w:hAnsi="Arial" w:cs="Arial"/>
          <w:sz w:val="22"/>
          <w:szCs w:val="22"/>
        </w:rPr>
        <w:t xml:space="preserve">Cells treated with GRN-300 or subjected to combined SIK2/SIK3 knockdown were </w:t>
      </w:r>
      <w:r w:rsidRPr="00CA3291">
        <w:rPr>
          <w:rFonts w:ascii="Arial" w:hAnsi="Arial" w:cs="Arial"/>
          <w:sz w:val="22"/>
          <w:szCs w:val="22"/>
        </w:rPr>
        <w:lastRenderedPageBreak/>
        <w:t>analyzed by immunoblotting for UPR signaling components, including BIP (A-C), phosphorylated eIF2α (D-F), PERK (G-I), ATF4 (J-L), IRE1α (M-O), ATF6 (P-S) and CHOP (T-V). Protein levels were quantified using ImageJ, normalized to loading controls, and expressed relative to control conditions. All experiments were performed three times. Data are presented as mean ± SD. Statistical significance was determined by unpaired two-sided Student’s t-test; ns, p &gt; 0.05; *p &lt; 0.05; **p &lt; 0.01; ***p &lt; 0.001. Related to Figure 1H.</w:t>
      </w:r>
    </w:p>
    <w:p w14:paraId="213E51A8" w14:textId="77777777" w:rsidR="00061676" w:rsidRDefault="00061676" w:rsidP="0005035A">
      <w:pPr>
        <w:spacing w:line="360" w:lineRule="auto"/>
        <w:jc w:val="both"/>
        <w:rPr>
          <w:rFonts w:ascii="Arial" w:hAnsi="Arial" w:cs="Arial"/>
          <w:sz w:val="22"/>
          <w:szCs w:val="22"/>
        </w:rPr>
      </w:pPr>
    </w:p>
    <w:p w14:paraId="3EB9CA04" w14:textId="77777777" w:rsidR="00D768B9" w:rsidRDefault="00D768B9" w:rsidP="0005035A">
      <w:pPr>
        <w:spacing w:line="360" w:lineRule="auto"/>
        <w:jc w:val="both"/>
        <w:rPr>
          <w:rFonts w:ascii="Arial" w:hAnsi="Arial" w:cs="Arial"/>
          <w:sz w:val="22"/>
          <w:szCs w:val="22"/>
        </w:rPr>
      </w:pPr>
    </w:p>
    <w:p w14:paraId="0F927E76" w14:textId="77777777" w:rsidR="00D768B9" w:rsidRDefault="00D768B9" w:rsidP="0005035A">
      <w:pPr>
        <w:spacing w:line="360" w:lineRule="auto"/>
        <w:jc w:val="both"/>
        <w:rPr>
          <w:rFonts w:ascii="Arial" w:hAnsi="Arial" w:cs="Arial"/>
          <w:sz w:val="22"/>
          <w:szCs w:val="22"/>
        </w:rPr>
      </w:pPr>
    </w:p>
    <w:p w14:paraId="5D89294F" w14:textId="77777777" w:rsidR="00D768B9" w:rsidRDefault="00D768B9" w:rsidP="0005035A">
      <w:pPr>
        <w:spacing w:line="360" w:lineRule="auto"/>
        <w:jc w:val="both"/>
        <w:rPr>
          <w:rFonts w:ascii="Arial" w:hAnsi="Arial" w:cs="Arial"/>
          <w:sz w:val="22"/>
          <w:szCs w:val="22"/>
        </w:rPr>
      </w:pPr>
    </w:p>
    <w:p w14:paraId="68F32F03" w14:textId="77777777" w:rsidR="00D768B9" w:rsidRDefault="00D768B9" w:rsidP="0005035A">
      <w:pPr>
        <w:spacing w:line="360" w:lineRule="auto"/>
        <w:jc w:val="both"/>
        <w:rPr>
          <w:rFonts w:ascii="Arial" w:hAnsi="Arial" w:cs="Arial"/>
          <w:sz w:val="22"/>
          <w:szCs w:val="22"/>
        </w:rPr>
      </w:pPr>
    </w:p>
    <w:p w14:paraId="6C852163" w14:textId="77777777" w:rsidR="00D768B9" w:rsidRDefault="00D768B9" w:rsidP="0005035A">
      <w:pPr>
        <w:spacing w:line="360" w:lineRule="auto"/>
        <w:jc w:val="both"/>
        <w:rPr>
          <w:rFonts w:ascii="Arial" w:hAnsi="Arial" w:cs="Arial"/>
          <w:sz w:val="22"/>
          <w:szCs w:val="22"/>
        </w:rPr>
      </w:pPr>
    </w:p>
    <w:p w14:paraId="2EB619F6" w14:textId="77777777" w:rsidR="00D768B9" w:rsidRDefault="00D768B9" w:rsidP="0005035A">
      <w:pPr>
        <w:spacing w:line="360" w:lineRule="auto"/>
        <w:jc w:val="both"/>
        <w:rPr>
          <w:rFonts w:ascii="Arial" w:hAnsi="Arial" w:cs="Arial"/>
          <w:sz w:val="22"/>
          <w:szCs w:val="22"/>
        </w:rPr>
      </w:pPr>
    </w:p>
    <w:p w14:paraId="200512B7" w14:textId="77777777" w:rsidR="00D768B9" w:rsidRDefault="00D768B9" w:rsidP="0005035A">
      <w:pPr>
        <w:spacing w:line="360" w:lineRule="auto"/>
        <w:jc w:val="both"/>
        <w:rPr>
          <w:rFonts w:ascii="Arial" w:hAnsi="Arial" w:cs="Arial"/>
          <w:sz w:val="22"/>
          <w:szCs w:val="22"/>
        </w:rPr>
      </w:pPr>
    </w:p>
    <w:p w14:paraId="4013B19D" w14:textId="77777777" w:rsidR="00D768B9" w:rsidRDefault="00D768B9" w:rsidP="0005035A">
      <w:pPr>
        <w:spacing w:line="360" w:lineRule="auto"/>
        <w:jc w:val="both"/>
        <w:rPr>
          <w:rFonts w:ascii="Arial" w:hAnsi="Arial" w:cs="Arial"/>
          <w:sz w:val="22"/>
          <w:szCs w:val="22"/>
        </w:rPr>
      </w:pPr>
    </w:p>
    <w:p w14:paraId="240DCCAF" w14:textId="77777777" w:rsidR="00061676" w:rsidRPr="00CA3291" w:rsidRDefault="00061676" w:rsidP="0005035A">
      <w:pPr>
        <w:spacing w:line="360" w:lineRule="auto"/>
        <w:jc w:val="both"/>
        <w:rPr>
          <w:rFonts w:ascii="Arial" w:hAnsi="Arial" w:cs="Arial"/>
          <w:sz w:val="22"/>
          <w:szCs w:val="22"/>
        </w:rPr>
      </w:pPr>
    </w:p>
    <w:p w14:paraId="3586BF5D" w14:textId="39F1907E" w:rsidR="00061676" w:rsidRDefault="00061676" w:rsidP="0005035A">
      <w:pPr>
        <w:spacing w:line="360" w:lineRule="auto"/>
        <w:jc w:val="both"/>
        <w:rPr>
          <w:rFonts w:ascii="Arial" w:hAnsi="Arial" w:cs="Arial"/>
          <w:b/>
          <w:bCs/>
          <w:sz w:val="22"/>
          <w:szCs w:val="22"/>
        </w:rPr>
      </w:pPr>
      <w:r>
        <w:rPr>
          <w:rFonts w:ascii="Arial" w:hAnsi="Arial" w:cs="Arial"/>
          <w:b/>
          <w:bCs/>
          <w:noProof/>
          <w:sz w:val="22"/>
          <w:szCs w:val="22"/>
        </w:rPr>
        <w:lastRenderedPageBreak/>
        <w:drawing>
          <wp:inline distT="0" distB="0" distL="0" distR="0" wp14:anchorId="0CAD37ED" wp14:editId="2BB6DDB6">
            <wp:extent cx="5925787" cy="3935696"/>
            <wp:effectExtent l="0" t="0" r="0" b="8255"/>
            <wp:docPr id="175024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8915" cy="3944415"/>
                    </a:xfrm>
                    <a:prstGeom prst="rect">
                      <a:avLst/>
                    </a:prstGeom>
                    <a:noFill/>
                  </pic:spPr>
                </pic:pic>
              </a:graphicData>
            </a:graphic>
          </wp:inline>
        </w:drawing>
      </w:r>
    </w:p>
    <w:p w14:paraId="6E965E0A" w14:textId="77777777" w:rsidR="00061676" w:rsidRDefault="00061676" w:rsidP="0005035A">
      <w:pPr>
        <w:spacing w:line="360" w:lineRule="auto"/>
        <w:jc w:val="both"/>
        <w:rPr>
          <w:rFonts w:ascii="Arial" w:hAnsi="Arial" w:cs="Arial"/>
          <w:b/>
          <w:bCs/>
          <w:sz w:val="22"/>
          <w:szCs w:val="22"/>
        </w:rPr>
      </w:pPr>
    </w:p>
    <w:p w14:paraId="44C70196" w14:textId="0D681FBD" w:rsidR="00CA3291" w:rsidRDefault="00CA3291" w:rsidP="0005035A">
      <w:pPr>
        <w:spacing w:line="360" w:lineRule="auto"/>
        <w:jc w:val="both"/>
        <w:rPr>
          <w:rFonts w:ascii="Arial" w:hAnsi="Arial" w:cs="Arial"/>
          <w:sz w:val="22"/>
          <w:szCs w:val="22"/>
        </w:rPr>
      </w:pPr>
      <w:r w:rsidRPr="00CA3291">
        <w:rPr>
          <w:rFonts w:ascii="Arial" w:hAnsi="Arial" w:cs="Arial"/>
          <w:b/>
          <w:bCs/>
          <w:sz w:val="22"/>
          <w:szCs w:val="22"/>
        </w:rPr>
        <w:t xml:space="preserve">Figure S2. </w:t>
      </w:r>
      <w:r w:rsidR="00326E4A">
        <w:rPr>
          <w:rFonts w:ascii="Arial" w:hAnsi="Arial" w:cs="Arial"/>
          <w:b/>
          <w:bCs/>
          <w:sz w:val="22"/>
          <w:szCs w:val="22"/>
        </w:rPr>
        <w:t>A</w:t>
      </w:r>
      <w:r w:rsidRPr="00CA3291">
        <w:rPr>
          <w:rFonts w:ascii="Arial" w:hAnsi="Arial" w:cs="Arial"/>
          <w:b/>
          <w:bCs/>
          <w:sz w:val="22"/>
          <w:szCs w:val="22"/>
        </w:rPr>
        <w:t xml:space="preserve">utophagosome ultrastructure upon SIK2/SIK3 inhibition. </w:t>
      </w:r>
      <w:r w:rsidRPr="00CA3291">
        <w:rPr>
          <w:rFonts w:ascii="Arial" w:hAnsi="Arial" w:cs="Arial"/>
          <w:sz w:val="22"/>
          <w:szCs w:val="22"/>
        </w:rPr>
        <w:t>Row data of transmission electron microscopy (TEM). OVCAR8 cells were treated with GRN-300 (2 µM) for 72 h or transfected with siRNAs targeting SIK2 and SIK3 for 72 h. Representative TEM images are shown. Scale bar: 1 µm. Related to Figure 2G-J.</w:t>
      </w:r>
    </w:p>
    <w:p w14:paraId="43F0D142" w14:textId="77777777" w:rsidR="00D768B9" w:rsidRDefault="00D768B9" w:rsidP="0005035A">
      <w:pPr>
        <w:spacing w:line="360" w:lineRule="auto"/>
        <w:jc w:val="both"/>
        <w:rPr>
          <w:rFonts w:ascii="Arial" w:hAnsi="Arial" w:cs="Arial"/>
          <w:b/>
          <w:bCs/>
          <w:sz w:val="22"/>
          <w:szCs w:val="22"/>
        </w:rPr>
      </w:pPr>
    </w:p>
    <w:p w14:paraId="61993FB8" w14:textId="77777777" w:rsidR="00D768B9" w:rsidRDefault="00D768B9" w:rsidP="0005035A">
      <w:pPr>
        <w:spacing w:line="360" w:lineRule="auto"/>
        <w:jc w:val="both"/>
        <w:rPr>
          <w:rFonts w:ascii="Arial" w:hAnsi="Arial" w:cs="Arial"/>
          <w:b/>
          <w:bCs/>
          <w:sz w:val="22"/>
          <w:szCs w:val="22"/>
        </w:rPr>
      </w:pPr>
    </w:p>
    <w:p w14:paraId="42A790B9" w14:textId="77777777" w:rsidR="00D768B9" w:rsidRDefault="00D768B9" w:rsidP="0005035A">
      <w:pPr>
        <w:spacing w:line="360" w:lineRule="auto"/>
        <w:jc w:val="both"/>
        <w:rPr>
          <w:rFonts w:ascii="Arial" w:hAnsi="Arial" w:cs="Arial"/>
          <w:b/>
          <w:bCs/>
          <w:sz w:val="22"/>
          <w:szCs w:val="22"/>
        </w:rPr>
      </w:pPr>
    </w:p>
    <w:p w14:paraId="7A80C963" w14:textId="77777777" w:rsidR="00D768B9" w:rsidRDefault="00D768B9" w:rsidP="0005035A">
      <w:pPr>
        <w:spacing w:line="360" w:lineRule="auto"/>
        <w:jc w:val="both"/>
        <w:rPr>
          <w:rFonts w:ascii="Arial" w:hAnsi="Arial" w:cs="Arial"/>
          <w:b/>
          <w:bCs/>
          <w:sz w:val="22"/>
          <w:szCs w:val="22"/>
        </w:rPr>
      </w:pPr>
    </w:p>
    <w:p w14:paraId="524E3D28" w14:textId="77777777" w:rsidR="00D768B9" w:rsidRDefault="00D768B9" w:rsidP="0005035A">
      <w:pPr>
        <w:spacing w:line="360" w:lineRule="auto"/>
        <w:jc w:val="both"/>
        <w:rPr>
          <w:rFonts w:ascii="Arial" w:hAnsi="Arial" w:cs="Arial"/>
          <w:b/>
          <w:bCs/>
          <w:sz w:val="22"/>
          <w:szCs w:val="22"/>
        </w:rPr>
      </w:pPr>
    </w:p>
    <w:p w14:paraId="25A7E696" w14:textId="77777777" w:rsidR="00D768B9" w:rsidRDefault="00D768B9" w:rsidP="0005035A">
      <w:pPr>
        <w:spacing w:line="360" w:lineRule="auto"/>
        <w:jc w:val="both"/>
        <w:rPr>
          <w:rFonts w:ascii="Arial" w:hAnsi="Arial" w:cs="Arial"/>
          <w:b/>
          <w:bCs/>
          <w:sz w:val="22"/>
          <w:szCs w:val="22"/>
        </w:rPr>
      </w:pPr>
    </w:p>
    <w:p w14:paraId="52AA23D6" w14:textId="77777777" w:rsidR="00D768B9" w:rsidRDefault="00D768B9" w:rsidP="0005035A">
      <w:pPr>
        <w:spacing w:line="360" w:lineRule="auto"/>
        <w:jc w:val="both"/>
        <w:rPr>
          <w:rFonts w:ascii="Arial" w:hAnsi="Arial" w:cs="Arial"/>
          <w:b/>
          <w:bCs/>
          <w:sz w:val="22"/>
          <w:szCs w:val="22"/>
        </w:rPr>
      </w:pPr>
    </w:p>
    <w:p w14:paraId="4985F47A" w14:textId="77777777" w:rsidR="00D768B9" w:rsidRDefault="00D768B9" w:rsidP="0005035A">
      <w:pPr>
        <w:spacing w:line="360" w:lineRule="auto"/>
        <w:jc w:val="both"/>
        <w:rPr>
          <w:rFonts w:ascii="Arial" w:hAnsi="Arial" w:cs="Arial"/>
          <w:b/>
          <w:bCs/>
          <w:sz w:val="22"/>
          <w:szCs w:val="22"/>
        </w:rPr>
      </w:pPr>
    </w:p>
    <w:p w14:paraId="3FC1C470" w14:textId="5EF030E3" w:rsidR="00D768B9" w:rsidRDefault="00D768B9" w:rsidP="0005035A">
      <w:pPr>
        <w:spacing w:line="360" w:lineRule="auto"/>
        <w:jc w:val="both"/>
        <w:rPr>
          <w:rFonts w:ascii="Arial" w:hAnsi="Arial" w:cs="Arial"/>
          <w:b/>
          <w:bCs/>
          <w:sz w:val="22"/>
          <w:szCs w:val="22"/>
        </w:rPr>
      </w:pPr>
      <w:r>
        <w:rPr>
          <w:rFonts w:ascii="Arial" w:hAnsi="Arial" w:cs="Arial"/>
          <w:b/>
          <w:bCs/>
          <w:noProof/>
          <w:sz w:val="22"/>
          <w:szCs w:val="22"/>
        </w:rPr>
        <w:lastRenderedPageBreak/>
        <w:drawing>
          <wp:inline distT="0" distB="0" distL="0" distR="0" wp14:anchorId="3318729B" wp14:editId="15BC5C41">
            <wp:extent cx="5854535" cy="4472348"/>
            <wp:effectExtent l="0" t="0" r="0" b="4445"/>
            <wp:docPr id="1452577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0138" cy="4476629"/>
                    </a:xfrm>
                    <a:prstGeom prst="rect">
                      <a:avLst/>
                    </a:prstGeom>
                    <a:noFill/>
                  </pic:spPr>
                </pic:pic>
              </a:graphicData>
            </a:graphic>
          </wp:inline>
        </w:drawing>
      </w:r>
    </w:p>
    <w:p w14:paraId="56F5C311" w14:textId="3300C63C" w:rsidR="005A063F" w:rsidRDefault="00D572DA" w:rsidP="0005035A">
      <w:pPr>
        <w:spacing w:line="360" w:lineRule="auto"/>
        <w:jc w:val="both"/>
        <w:rPr>
          <w:rFonts w:ascii="Arial" w:hAnsi="Arial" w:cs="Arial"/>
          <w:sz w:val="22"/>
          <w:szCs w:val="22"/>
        </w:rPr>
      </w:pPr>
      <w:r w:rsidRPr="00D572DA">
        <w:rPr>
          <w:rFonts w:ascii="Arial" w:hAnsi="Arial" w:cs="Arial"/>
          <w:b/>
          <w:bCs/>
          <w:sz w:val="22"/>
          <w:szCs w:val="22"/>
        </w:rPr>
        <w:t>Figure S</w:t>
      </w:r>
      <w:r w:rsidR="00AC5F50">
        <w:rPr>
          <w:rFonts w:ascii="Arial" w:hAnsi="Arial" w:cs="Arial"/>
          <w:b/>
          <w:bCs/>
          <w:sz w:val="22"/>
          <w:szCs w:val="22"/>
        </w:rPr>
        <w:t>3</w:t>
      </w:r>
      <w:r w:rsidRPr="00D572DA">
        <w:rPr>
          <w:rFonts w:ascii="Arial" w:hAnsi="Arial" w:cs="Arial"/>
          <w:b/>
          <w:bCs/>
          <w:sz w:val="22"/>
          <w:szCs w:val="22"/>
        </w:rPr>
        <w:t>. CCPG1 is required for GRN-300–induced autophagic flux</w:t>
      </w:r>
      <w:r w:rsidRPr="00D572DA">
        <w:rPr>
          <w:rFonts w:ascii="Arial" w:hAnsi="Arial" w:cs="Arial"/>
          <w:sz w:val="22"/>
          <w:szCs w:val="22"/>
        </w:rPr>
        <w:t xml:space="preserve">. </w:t>
      </w:r>
      <w:r w:rsidR="00AC5F50">
        <w:rPr>
          <w:rFonts w:ascii="Arial" w:hAnsi="Arial" w:cs="Arial"/>
          <w:b/>
          <w:bCs/>
          <w:sz w:val="22"/>
          <w:szCs w:val="22"/>
        </w:rPr>
        <w:t>(</w:t>
      </w:r>
      <w:r w:rsidR="00AC5F50" w:rsidRPr="00D572DA">
        <w:rPr>
          <w:rFonts w:ascii="Arial" w:hAnsi="Arial" w:cs="Arial"/>
          <w:b/>
          <w:bCs/>
          <w:sz w:val="22"/>
          <w:szCs w:val="22"/>
        </w:rPr>
        <w:t xml:space="preserve">A) </w:t>
      </w:r>
      <w:r w:rsidR="00AC5F50" w:rsidRPr="00D572DA">
        <w:rPr>
          <w:rFonts w:ascii="Arial" w:hAnsi="Arial" w:cs="Arial"/>
          <w:sz w:val="22"/>
          <w:szCs w:val="22"/>
        </w:rPr>
        <w:t xml:space="preserve">RT-qPCR analysis of CCPG1 mRNA. OVCAR8 and OC316 cells were treated with the SIK2/3 inhibitor GRN-300 (2 µM,) for 72 h or transfected with siRNAs targeting SIK2 and SIK3 (35 nM) for 72 h. </w:t>
      </w:r>
      <w:r w:rsidR="00AC5F50">
        <w:rPr>
          <w:rFonts w:ascii="Arial" w:hAnsi="Arial" w:cs="Arial"/>
          <w:sz w:val="22"/>
          <w:szCs w:val="22"/>
        </w:rPr>
        <w:t>Samples</w:t>
      </w:r>
      <w:r w:rsidR="00AC5F50" w:rsidRPr="00D572DA">
        <w:rPr>
          <w:rFonts w:ascii="Arial" w:hAnsi="Arial" w:cs="Arial"/>
          <w:sz w:val="22"/>
          <w:szCs w:val="22"/>
        </w:rPr>
        <w:t xml:space="preserve"> were analyzed by RT-qPCR. The columns indicate the mean of relative fold-changes (</w:t>
      </w:r>
      <w:r w:rsidR="005949D4" w:rsidRPr="005949D4">
        <w:rPr>
          <w:rFonts w:ascii="Arial" w:hAnsi="Arial" w:cs="Arial"/>
          <w:sz w:val="22"/>
          <w:szCs w:val="22"/>
        </w:rPr>
        <w:t>calculated using the 2^–</w:t>
      </w:r>
      <w:proofErr w:type="spellStart"/>
      <w:r w:rsidR="005949D4" w:rsidRPr="005949D4">
        <w:rPr>
          <w:rFonts w:ascii="Arial" w:hAnsi="Arial" w:cs="Arial"/>
          <w:sz w:val="22"/>
          <w:szCs w:val="22"/>
        </w:rPr>
        <w:t>ΔΔCt</w:t>
      </w:r>
      <w:proofErr w:type="spellEnd"/>
      <w:r w:rsidR="005949D4" w:rsidRPr="005949D4">
        <w:rPr>
          <w:rFonts w:ascii="Arial" w:hAnsi="Arial" w:cs="Arial"/>
          <w:sz w:val="22"/>
          <w:szCs w:val="22"/>
        </w:rPr>
        <w:t xml:space="preserve"> method, with GAPDH serving as the internal reference gene</w:t>
      </w:r>
      <w:r w:rsidR="00AC5F50" w:rsidRPr="00D572DA">
        <w:rPr>
          <w:rFonts w:ascii="Arial" w:hAnsi="Arial" w:cs="Arial"/>
          <w:sz w:val="22"/>
          <w:szCs w:val="22"/>
        </w:rPr>
        <w:t>) and the bars indicate the SD. Statistical significance was determined by unpaired two-sided Student’s t-test (**p &lt; 0.001; ***p &lt; 0.0001). Error bars represent SD. Experiments were repeated twice with similar results.</w:t>
      </w:r>
      <w:r w:rsidR="004C7CC5">
        <w:rPr>
          <w:rFonts w:ascii="Arial" w:hAnsi="Arial" w:cs="Arial"/>
          <w:sz w:val="22"/>
          <w:szCs w:val="22"/>
        </w:rPr>
        <w:t xml:space="preserve"> </w:t>
      </w:r>
      <w:r w:rsidRPr="00D572DA">
        <w:rPr>
          <w:rFonts w:ascii="Arial" w:hAnsi="Arial" w:cs="Arial"/>
          <w:sz w:val="22"/>
          <w:szCs w:val="22"/>
        </w:rPr>
        <w:t>(</w:t>
      </w:r>
      <w:r w:rsidR="00AC5F50">
        <w:rPr>
          <w:rFonts w:ascii="Arial" w:hAnsi="Arial" w:cs="Arial"/>
          <w:b/>
          <w:bCs/>
          <w:sz w:val="22"/>
          <w:szCs w:val="22"/>
        </w:rPr>
        <w:t>B</w:t>
      </w:r>
      <w:r w:rsidRPr="00D572DA">
        <w:rPr>
          <w:rFonts w:ascii="Arial" w:hAnsi="Arial" w:cs="Arial"/>
          <w:sz w:val="22"/>
          <w:szCs w:val="22"/>
        </w:rPr>
        <w:t>) OVCAR8 ovarian cancer cells expressing the tandem mCherry–eGFP–LC3B reporter were transfected with control or CCPG1 siRNAs and treated with GRN-300 (2 µM). Statistical testing was performed from three independent high-power fields per condition using one-way ANOVA comparing the autolysosome (mCherry-LC3) signal between control and experimental groups; **p &lt; 0.01, ****p &lt; 0.0001 (scale bar, 50 µm). Error bars represent SD. Data represents 3 independent experiments. Related to Figure 3</w:t>
      </w:r>
      <w:r w:rsidR="00AC0BF3">
        <w:rPr>
          <w:rFonts w:ascii="Arial" w:hAnsi="Arial" w:cs="Arial"/>
          <w:sz w:val="22"/>
          <w:szCs w:val="22"/>
        </w:rPr>
        <w:t>C</w:t>
      </w:r>
      <w:r w:rsidR="00F61E83">
        <w:rPr>
          <w:rFonts w:ascii="Arial" w:hAnsi="Arial" w:cs="Arial"/>
          <w:sz w:val="22"/>
          <w:szCs w:val="22"/>
        </w:rPr>
        <w:t>-F</w:t>
      </w:r>
      <w:r w:rsidRPr="00D572DA">
        <w:rPr>
          <w:rFonts w:ascii="Arial" w:hAnsi="Arial" w:cs="Arial"/>
          <w:sz w:val="22"/>
          <w:szCs w:val="22"/>
        </w:rPr>
        <w:t xml:space="preserve">. </w:t>
      </w:r>
    </w:p>
    <w:p w14:paraId="4FF0B7FA" w14:textId="77777777" w:rsidR="00AC5F50" w:rsidRDefault="00AC5F50" w:rsidP="0005035A">
      <w:pPr>
        <w:spacing w:line="360" w:lineRule="auto"/>
        <w:jc w:val="both"/>
        <w:rPr>
          <w:rFonts w:ascii="Arial" w:hAnsi="Arial" w:cs="Arial"/>
          <w:sz w:val="22"/>
          <w:szCs w:val="22"/>
        </w:rPr>
      </w:pPr>
    </w:p>
    <w:p w14:paraId="5F54B4F5" w14:textId="4F373F11" w:rsidR="00AC5F50" w:rsidRDefault="00933E0A" w:rsidP="0005035A">
      <w:pPr>
        <w:spacing w:line="360" w:lineRule="auto"/>
        <w:jc w:val="both"/>
        <w:rPr>
          <w:rFonts w:ascii="Arial" w:hAnsi="Arial" w:cs="Arial"/>
          <w:sz w:val="22"/>
          <w:szCs w:val="22"/>
        </w:rPr>
      </w:pPr>
      <w:r>
        <w:rPr>
          <w:rFonts w:ascii="Arial" w:hAnsi="Arial" w:cs="Arial"/>
          <w:noProof/>
          <w:sz w:val="22"/>
          <w:szCs w:val="22"/>
        </w:rPr>
        <w:lastRenderedPageBreak/>
        <w:drawing>
          <wp:inline distT="0" distB="0" distL="0" distR="0" wp14:anchorId="1F067434" wp14:editId="38A3A1C1">
            <wp:extent cx="5460064" cy="7077694"/>
            <wp:effectExtent l="0" t="0" r="0" b="9525"/>
            <wp:docPr id="560199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684" cy="7095350"/>
                    </a:xfrm>
                    <a:prstGeom prst="rect">
                      <a:avLst/>
                    </a:prstGeom>
                    <a:noFill/>
                  </pic:spPr>
                </pic:pic>
              </a:graphicData>
            </a:graphic>
          </wp:inline>
        </w:drawing>
      </w:r>
    </w:p>
    <w:p w14:paraId="2ED1E2AB" w14:textId="7E2D192B" w:rsidR="00AC5F50" w:rsidRDefault="00AC5F50" w:rsidP="0005035A">
      <w:pPr>
        <w:spacing w:line="360" w:lineRule="auto"/>
        <w:jc w:val="both"/>
        <w:rPr>
          <w:rFonts w:ascii="Arial" w:hAnsi="Arial" w:cs="Arial"/>
          <w:b/>
          <w:bCs/>
          <w:sz w:val="22"/>
          <w:szCs w:val="22"/>
        </w:rPr>
      </w:pPr>
      <w:r w:rsidRPr="00D572DA">
        <w:rPr>
          <w:rFonts w:ascii="Arial" w:hAnsi="Arial" w:cs="Arial"/>
          <w:b/>
          <w:bCs/>
          <w:sz w:val="22"/>
          <w:szCs w:val="22"/>
        </w:rPr>
        <w:t>Figure S</w:t>
      </w:r>
      <w:r>
        <w:rPr>
          <w:rFonts w:ascii="Arial" w:hAnsi="Arial" w:cs="Arial"/>
          <w:b/>
          <w:bCs/>
          <w:sz w:val="22"/>
          <w:szCs w:val="22"/>
        </w:rPr>
        <w:t>4</w:t>
      </w:r>
      <w:r w:rsidRPr="00D572DA">
        <w:rPr>
          <w:rFonts w:ascii="Arial" w:hAnsi="Arial" w:cs="Arial"/>
          <w:b/>
          <w:bCs/>
          <w:sz w:val="22"/>
          <w:szCs w:val="22"/>
        </w:rPr>
        <w:t>.</w:t>
      </w:r>
      <w:r w:rsidR="00FC77FB" w:rsidRPr="00FC77FB">
        <w:rPr>
          <w:rFonts w:ascii="Arial" w:hAnsi="Arial" w:cs="Arial"/>
          <w:b/>
          <w:bCs/>
          <w:sz w:val="22"/>
          <w:szCs w:val="22"/>
        </w:rPr>
        <w:t xml:space="preserve"> SIK2/3</w:t>
      </w:r>
      <w:r w:rsidR="00FC77FB">
        <w:rPr>
          <w:rFonts w:ascii="Arial" w:hAnsi="Arial" w:cs="Arial"/>
          <w:b/>
          <w:bCs/>
          <w:sz w:val="22"/>
          <w:szCs w:val="22"/>
        </w:rPr>
        <w:t>-mediated autophagic flux is</w:t>
      </w:r>
      <w:r w:rsidR="00FC77FB" w:rsidRPr="00FC77FB">
        <w:rPr>
          <w:rFonts w:ascii="Arial" w:hAnsi="Arial" w:cs="Arial"/>
          <w:b/>
          <w:bCs/>
          <w:sz w:val="22"/>
          <w:szCs w:val="22"/>
        </w:rPr>
        <w:t xml:space="preserve"> not mediated by p62-driven bulk autophagy.</w:t>
      </w:r>
      <w:r w:rsidR="000B1D90">
        <w:rPr>
          <w:rFonts w:ascii="Arial" w:hAnsi="Arial" w:cs="Arial"/>
          <w:b/>
          <w:bCs/>
          <w:sz w:val="22"/>
          <w:szCs w:val="22"/>
        </w:rPr>
        <w:t xml:space="preserve"> </w:t>
      </w:r>
      <w:r w:rsidR="005A063F" w:rsidRPr="00CA3291">
        <w:rPr>
          <w:rFonts w:ascii="Arial" w:hAnsi="Arial" w:cs="Arial"/>
          <w:sz w:val="22"/>
          <w:szCs w:val="22"/>
        </w:rPr>
        <w:t>(</w:t>
      </w:r>
      <w:r w:rsidR="005A063F" w:rsidRPr="00CA3291">
        <w:rPr>
          <w:rFonts w:ascii="Arial" w:hAnsi="Arial" w:cs="Arial"/>
          <w:b/>
          <w:bCs/>
          <w:sz w:val="22"/>
          <w:szCs w:val="22"/>
        </w:rPr>
        <w:t>A</w:t>
      </w:r>
      <w:r w:rsidR="005A063F" w:rsidRPr="00CA3291">
        <w:rPr>
          <w:rFonts w:ascii="Arial" w:hAnsi="Arial" w:cs="Arial"/>
          <w:sz w:val="22"/>
          <w:szCs w:val="22"/>
        </w:rPr>
        <w:t>)</w:t>
      </w:r>
      <w:r w:rsidR="000B2F7B" w:rsidRPr="00D572DA">
        <w:rPr>
          <w:rFonts w:ascii="Arial" w:hAnsi="Arial" w:cs="Arial"/>
          <w:b/>
          <w:bCs/>
          <w:sz w:val="22"/>
          <w:szCs w:val="22"/>
        </w:rPr>
        <w:t xml:space="preserve"> </w:t>
      </w:r>
      <w:r w:rsidR="000B2F7B" w:rsidRPr="00D572DA">
        <w:rPr>
          <w:rFonts w:ascii="Arial" w:hAnsi="Arial" w:cs="Arial"/>
          <w:sz w:val="22"/>
          <w:szCs w:val="22"/>
        </w:rPr>
        <w:t xml:space="preserve">RT-qPCR analysis of </w:t>
      </w:r>
      <w:r w:rsidR="000B2F7B">
        <w:rPr>
          <w:rFonts w:ascii="Arial" w:hAnsi="Arial" w:cs="Arial"/>
          <w:sz w:val="22"/>
          <w:szCs w:val="22"/>
        </w:rPr>
        <w:t>p62</w:t>
      </w:r>
      <w:r w:rsidR="000B2F7B" w:rsidRPr="00D572DA">
        <w:rPr>
          <w:rFonts w:ascii="Arial" w:hAnsi="Arial" w:cs="Arial"/>
          <w:sz w:val="22"/>
          <w:szCs w:val="22"/>
        </w:rPr>
        <w:t xml:space="preserve"> mRNA. OVCAR8 and OC316 cells were treated with the SIK2/3 inhibitor GRN-300 (2 µM) for 72 h or transfected with siRNAs targeting SIK2 and SIK3 (35 nM) for 72 h. </w:t>
      </w:r>
      <w:r w:rsidR="000B2F7B">
        <w:rPr>
          <w:rFonts w:ascii="Arial" w:hAnsi="Arial" w:cs="Arial"/>
          <w:sz w:val="22"/>
          <w:szCs w:val="22"/>
        </w:rPr>
        <w:t>Samples</w:t>
      </w:r>
      <w:r w:rsidR="000B2F7B" w:rsidRPr="00D572DA">
        <w:rPr>
          <w:rFonts w:ascii="Arial" w:hAnsi="Arial" w:cs="Arial"/>
          <w:sz w:val="22"/>
          <w:szCs w:val="22"/>
        </w:rPr>
        <w:t xml:space="preserve"> were analyzed by RT-qPCR. The columns indicate the mean of relative fold-</w:t>
      </w:r>
      <w:r w:rsidR="000B2F7B" w:rsidRPr="00D572DA">
        <w:rPr>
          <w:rFonts w:ascii="Arial" w:hAnsi="Arial" w:cs="Arial"/>
          <w:sz w:val="22"/>
          <w:szCs w:val="22"/>
        </w:rPr>
        <w:lastRenderedPageBreak/>
        <w:t xml:space="preserve">changes </w:t>
      </w:r>
      <w:r w:rsidR="000A31D5" w:rsidRPr="000A31D5">
        <w:rPr>
          <w:rFonts w:ascii="Arial" w:hAnsi="Arial" w:cs="Arial"/>
          <w:sz w:val="22"/>
          <w:szCs w:val="22"/>
        </w:rPr>
        <w:t>(calculated using the 2^–</w:t>
      </w:r>
      <w:proofErr w:type="spellStart"/>
      <w:r w:rsidR="000A31D5" w:rsidRPr="000A31D5">
        <w:rPr>
          <w:rFonts w:ascii="Arial" w:hAnsi="Arial" w:cs="Arial"/>
          <w:sz w:val="22"/>
          <w:szCs w:val="22"/>
        </w:rPr>
        <w:t>ΔΔCt</w:t>
      </w:r>
      <w:proofErr w:type="spellEnd"/>
      <w:r w:rsidR="000A31D5" w:rsidRPr="000A31D5">
        <w:rPr>
          <w:rFonts w:ascii="Arial" w:hAnsi="Arial" w:cs="Arial"/>
          <w:sz w:val="22"/>
          <w:szCs w:val="22"/>
        </w:rPr>
        <w:t xml:space="preserve"> method, with GAPDH serving as the internal reference gene</w:t>
      </w:r>
      <w:r w:rsidR="000B2F7B" w:rsidRPr="00D572DA">
        <w:rPr>
          <w:rFonts w:ascii="Arial" w:hAnsi="Arial" w:cs="Arial"/>
          <w:sz w:val="22"/>
          <w:szCs w:val="22"/>
        </w:rPr>
        <w:t>) and the bars indicate the SD. Statistical significance was determined by unpaired two-sided Student’s t-test (**p &lt; 0.001; ***p &lt; 0.0001). Error bars represent SD. Experiments were repeated twice with similar results</w:t>
      </w:r>
      <w:r w:rsidR="004C7CC5">
        <w:rPr>
          <w:rFonts w:ascii="Arial" w:hAnsi="Arial" w:cs="Arial"/>
          <w:sz w:val="22"/>
          <w:szCs w:val="22"/>
        </w:rPr>
        <w:t xml:space="preserve">. </w:t>
      </w:r>
      <w:r w:rsidR="004C7CC5" w:rsidRPr="00CA3291">
        <w:rPr>
          <w:rFonts w:ascii="Arial" w:hAnsi="Arial" w:cs="Arial"/>
          <w:sz w:val="22"/>
          <w:szCs w:val="22"/>
        </w:rPr>
        <w:t>(</w:t>
      </w:r>
      <w:r w:rsidR="004C7CC5" w:rsidRPr="00CA3291">
        <w:rPr>
          <w:rFonts w:ascii="Arial" w:hAnsi="Arial" w:cs="Arial"/>
          <w:b/>
          <w:bCs/>
          <w:sz w:val="22"/>
          <w:szCs w:val="22"/>
        </w:rPr>
        <w:t>B</w:t>
      </w:r>
      <w:r w:rsidR="004C7CC5" w:rsidRPr="00CA3291">
        <w:rPr>
          <w:rFonts w:ascii="Arial" w:hAnsi="Arial" w:cs="Arial"/>
          <w:sz w:val="22"/>
          <w:szCs w:val="22"/>
        </w:rPr>
        <w:t xml:space="preserve">) </w:t>
      </w:r>
      <w:r w:rsidR="005A063F" w:rsidRPr="00CA3291">
        <w:rPr>
          <w:rFonts w:ascii="Arial" w:hAnsi="Arial" w:cs="Arial"/>
          <w:sz w:val="22"/>
          <w:szCs w:val="22"/>
        </w:rPr>
        <w:t>Induction of the p62 following SIK2/SIK3 inhibition. OVCAR8 and OC316 cells were treated with GRN-300 (2 µM, 72 h) or transfected with siRNAs targeting SIK2 and SIK3 (35 nM, 72 h)</w:t>
      </w:r>
      <w:r w:rsidR="004C7CC5">
        <w:rPr>
          <w:rFonts w:ascii="Arial" w:hAnsi="Arial" w:cs="Arial"/>
          <w:sz w:val="22"/>
          <w:szCs w:val="22"/>
        </w:rPr>
        <w:t>,</w:t>
      </w:r>
      <w:r w:rsidR="005A063F" w:rsidRPr="00CA3291">
        <w:rPr>
          <w:rFonts w:ascii="Arial" w:hAnsi="Arial" w:cs="Arial"/>
          <w:sz w:val="22"/>
          <w:szCs w:val="22"/>
        </w:rPr>
        <w:t xml:space="preserve"> and p62 protein levels were analyzed by immunoblotting </w:t>
      </w:r>
      <w:r w:rsidR="00F11005">
        <w:rPr>
          <w:rFonts w:ascii="Arial" w:hAnsi="Arial" w:cs="Arial"/>
          <w:b/>
          <w:bCs/>
          <w:sz w:val="22"/>
          <w:szCs w:val="22"/>
        </w:rPr>
        <w:t xml:space="preserve"> </w:t>
      </w:r>
      <w:r w:rsidR="004C7CC5" w:rsidRPr="00D572DA">
        <w:rPr>
          <w:rFonts w:ascii="Arial" w:hAnsi="Arial" w:cs="Arial"/>
          <w:sz w:val="22"/>
          <w:szCs w:val="22"/>
        </w:rPr>
        <w:t>(</w:t>
      </w:r>
      <w:r w:rsidR="004C7CC5">
        <w:rPr>
          <w:rFonts w:ascii="Arial" w:hAnsi="Arial" w:cs="Arial"/>
          <w:b/>
          <w:bCs/>
          <w:sz w:val="22"/>
          <w:szCs w:val="22"/>
        </w:rPr>
        <w:t>C</w:t>
      </w:r>
      <w:r w:rsidR="004C7CC5" w:rsidRPr="00D572DA">
        <w:rPr>
          <w:rFonts w:ascii="Arial" w:hAnsi="Arial" w:cs="Arial"/>
          <w:sz w:val="22"/>
          <w:szCs w:val="22"/>
        </w:rPr>
        <w:t xml:space="preserve">) OVCAR8 ovarian cancer cells expressing the tandem mCherry–eGFP–LC3B reporter were transfected with control or </w:t>
      </w:r>
      <w:r w:rsidR="004C7CC5">
        <w:rPr>
          <w:rFonts w:ascii="Arial" w:hAnsi="Arial" w:cs="Arial"/>
          <w:sz w:val="22"/>
          <w:szCs w:val="22"/>
        </w:rPr>
        <w:t>p62</w:t>
      </w:r>
      <w:r w:rsidR="004C7CC5" w:rsidRPr="00D572DA">
        <w:rPr>
          <w:rFonts w:ascii="Arial" w:hAnsi="Arial" w:cs="Arial"/>
          <w:sz w:val="22"/>
          <w:szCs w:val="22"/>
        </w:rPr>
        <w:t xml:space="preserve"> siRNAs and treated with GRN-300 (2 µM). Statistical testing was performed from three independent high-power fields per condition using one-way ANOVA comparing the autolysosome (mCherry-LC3) signal between control and experimental groups; </w:t>
      </w:r>
      <w:r w:rsidR="004C7CC5">
        <w:rPr>
          <w:rFonts w:ascii="Arial" w:hAnsi="Arial" w:cs="Arial"/>
          <w:sz w:val="22"/>
          <w:szCs w:val="22"/>
        </w:rPr>
        <w:t>ns p</w:t>
      </w:r>
      <w:r w:rsidR="004C7CC5" w:rsidRPr="00D572DA">
        <w:rPr>
          <w:rFonts w:ascii="Arial" w:hAnsi="Arial" w:cs="Arial"/>
          <w:sz w:val="22"/>
          <w:szCs w:val="22"/>
        </w:rPr>
        <w:t> </w:t>
      </w:r>
      <w:r w:rsidR="004C7CC5">
        <w:rPr>
          <w:rFonts w:ascii="Arial" w:hAnsi="Arial" w:cs="Arial"/>
          <w:sz w:val="22"/>
          <w:szCs w:val="22"/>
        </w:rPr>
        <w:t>&gt;</w:t>
      </w:r>
      <w:r w:rsidR="004C7CC5" w:rsidRPr="00D572DA">
        <w:rPr>
          <w:rFonts w:ascii="Arial" w:hAnsi="Arial" w:cs="Arial"/>
          <w:sz w:val="22"/>
          <w:szCs w:val="22"/>
        </w:rPr>
        <w:t> 0.0</w:t>
      </w:r>
      <w:r w:rsidR="004C7CC5">
        <w:rPr>
          <w:rFonts w:ascii="Arial" w:hAnsi="Arial" w:cs="Arial"/>
          <w:sz w:val="22"/>
          <w:szCs w:val="22"/>
        </w:rPr>
        <w:t>5</w:t>
      </w:r>
      <w:r w:rsidR="004C7CC5" w:rsidRPr="00D572DA">
        <w:rPr>
          <w:rFonts w:ascii="Arial" w:hAnsi="Arial" w:cs="Arial"/>
          <w:sz w:val="22"/>
          <w:szCs w:val="22"/>
        </w:rPr>
        <w:t xml:space="preserve">, ***p &lt; 0.001 (scale bar, 50 µm). Error bars represent SD. Data represents 3 independent experiments. Related to Figure 3E, 3F. </w:t>
      </w:r>
      <w:r w:rsidR="00D572DA" w:rsidRPr="00D572DA">
        <w:rPr>
          <w:rFonts w:ascii="Arial" w:hAnsi="Arial" w:cs="Arial"/>
          <w:sz w:val="22"/>
          <w:szCs w:val="22"/>
        </w:rPr>
        <w:t>(</w:t>
      </w:r>
      <w:r w:rsidR="004C7CC5">
        <w:rPr>
          <w:rFonts w:ascii="Arial" w:hAnsi="Arial" w:cs="Arial"/>
          <w:b/>
          <w:bCs/>
          <w:sz w:val="22"/>
          <w:szCs w:val="22"/>
        </w:rPr>
        <w:t>D</w:t>
      </w:r>
      <w:r w:rsidR="00D572DA" w:rsidRPr="00D572DA">
        <w:rPr>
          <w:rFonts w:ascii="Arial" w:hAnsi="Arial" w:cs="Arial"/>
          <w:sz w:val="22"/>
          <w:szCs w:val="22"/>
        </w:rPr>
        <w:t>) Regulation of CCPG1 expression by the PERK-ATF4 signaling axis. OVCAR8 ovarian cancer cells were transfected with control or ATF4 siRNAs and treated with GRN-300 as indicated. CCPG1 and ATF4 protein levels were analyzed by immunoblotting. Band intensities were quantified using ImageJ, normalized to loading controls, and expressed relative to control conditions. Experiments were repeated three times with similar results. Statistical significance was determined by unpaired two-sided Student’s t-test; ns: p &gt; 0.05, *p &lt; 0.05, **p &lt; 0.01. Error bars represent SD. Related to Figure 3G-J.</w:t>
      </w:r>
    </w:p>
    <w:p w14:paraId="3902A9B7" w14:textId="77777777" w:rsidR="00933E0A" w:rsidRDefault="00933E0A" w:rsidP="0005035A">
      <w:pPr>
        <w:spacing w:line="360" w:lineRule="auto"/>
        <w:jc w:val="both"/>
        <w:rPr>
          <w:rFonts w:ascii="Arial" w:hAnsi="Arial" w:cs="Arial"/>
          <w:b/>
          <w:bCs/>
          <w:sz w:val="22"/>
          <w:szCs w:val="22"/>
        </w:rPr>
      </w:pPr>
    </w:p>
    <w:p w14:paraId="4475D4E6" w14:textId="77777777" w:rsidR="00933E0A" w:rsidRDefault="00933E0A" w:rsidP="0005035A">
      <w:pPr>
        <w:spacing w:line="360" w:lineRule="auto"/>
        <w:jc w:val="both"/>
        <w:rPr>
          <w:rFonts w:ascii="Arial" w:hAnsi="Arial" w:cs="Arial"/>
          <w:b/>
          <w:bCs/>
          <w:sz w:val="22"/>
          <w:szCs w:val="22"/>
        </w:rPr>
      </w:pPr>
    </w:p>
    <w:p w14:paraId="6D791CEB" w14:textId="77777777" w:rsidR="00933E0A" w:rsidRDefault="00933E0A" w:rsidP="0005035A">
      <w:pPr>
        <w:spacing w:line="360" w:lineRule="auto"/>
        <w:jc w:val="both"/>
        <w:rPr>
          <w:rFonts w:ascii="Arial" w:hAnsi="Arial" w:cs="Arial"/>
          <w:b/>
          <w:bCs/>
          <w:sz w:val="22"/>
          <w:szCs w:val="22"/>
        </w:rPr>
      </w:pPr>
    </w:p>
    <w:p w14:paraId="63C7E4D7" w14:textId="77777777" w:rsidR="00933E0A" w:rsidRDefault="00933E0A" w:rsidP="0005035A">
      <w:pPr>
        <w:spacing w:line="360" w:lineRule="auto"/>
        <w:jc w:val="both"/>
        <w:rPr>
          <w:rFonts w:ascii="Arial" w:hAnsi="Arial" w:cs="Arial"/>
          <w:b/>
          <w:bCs/>
          <w:sz w:val="22"/>
          <w:szCs w:val="22"/>
        </w:rPr>
      </w:pPr>
    </w:p>
    <w:p w14:paraId="346A4EEC" w14:textId="77777777" w:rsidR="00933E0A" w:rsidRDefault="00933E0A" w:rsidP="0005035A">
      <w:pPr>
        <w:spacing w:line="360" w:lineRule="auto"/>
        <w:jc w:val="both"/>
        <w:rPr>
          <w:rFonts w:ascii="Arial" w:hAnsi="Arial" w:cs="Arial"/>
          <w:b/>
          <w:bCs/>
          <w:sz w:val="22"/>
          <w:szCs w:val="22"/>
        </w:rPr>
      </w:pPr>
    </w:p>
    <w:p w14:paraId="75041E6E" w14:textId="77777777" w:rsidR="00933E0A" w:rsidRDefault="00933E0A" w:rsidP="0005035A">
      <w:pPr>
        <w:spacing w:line="360" w:lineRule="auto"/>
        <w:jc w:val="both"/>
        <w:rPr>
          <w:rFonts w:ascii="Arial" w:hAnsi="Arial" w:cs="Arial"/>
          <w:b/>
          <w:bCs/>
          <w:sz w:val="22"/>
          <w:szCs w:val="22"/>
        </w:rPr>
      </w:pPr>
    </w:p>
    <w:p w14:paraId="20A141DF" w14:textId="77777777" w:rsidR="00933E0A" w:rsidRDefault="00933E0A" w:rsidP="0005035A">
      <w:pPr>
        <w:spacing w:line="360" w:lineRule="auto"/>
        <w:jc w:val="both"/>
        <w:rPr>
          <w:rFonts w:ascii="Arial" w:hAnsi="Arial" w:cs="Arial"/>
          <w:b/>
          <w:bCs/>
          <w:sz w:val="22"/>
          <w:szCs w:val="22"/>
        </w:rPr>
      </w:pPr>
    </w:p>
    <w:p w14:paraId="7F0A0F46" w14:textId="77777777" w:rsidR="00933E0A" w:rsidRDefault="00933E0A" w:rsidP="0005035A">
      <w:pPr>
        <w:spacing w:line="360" w:lineRule="auto"/>
        <w:jc w:val="both"/>
        <w:rPr>
          <w:rFonts w:ascii="Arial" w:hAnsi="Arial" w:cs="Arial"/>
          <w:b/>
          <w:bCs/>
          <w:sz w:val="22"/>
          <w:szCs w:val="22"/>
        </w:rPr>
      </w:pPr>
    </w:p>
    <w:p w14:paraId="4E3C911D" w14:textId="77777777" w:rsidR="00933E0A" w:rsidRDefault="00933E0A" w:rsidP="0005035A">
      <w:pPr>
        <w:spacing w:line="360" w:lineRule="auto"/>
        <w:jc w:val="both"/>
        <w:rPr>
          <w:rFonts w:ascii="Arial" w:hAnsi="Arial" w:cs="Arial"/>
          <w:b/>
          <w:bCs/>
          <w:sz w:val="22"/>
          <w:szCs w:val="22"/>
        </w:rPr>
      </w:pPr>
    </w:p>
    <w:p w14:paraId="54833377" w14:textId="77777777" w:rsidR="00933E0A" w:rsidRDefault="00933E0A" w:rsidP="0005035A">
      <w:pPr>
        <w:spacing w:line="360" w:lineRule="auto"/>
        <w:jc w:val="both"/>
        <w:rPr>
          <w:rFonts w:ascii="Arial" w:hAnsi="Arial" w:cs="Arial"/>
          <w:b/>
          <w:bCs/>
          <w:sz w:val="22"/>
          <w:szCs w:val="22"/>
        </w:rPr>
      </w:pPr>
    </w:p>
    <w:p w14:paraId="47F3010C" w14:textId="77777777" w:rsidR="00933E0A" w:rsidRDefault="00933E0A" w:rsidP="0005035A">
      <w:pPr>
        <w:spacing w:line="360" w:lineRule="auto"/>
        <w:jc w:val="both"/>
        <w:rPr>
          <w:rFonts w:ascii="Arial" w:hAnsi="Arial" w:cs="Arial"/>
          <w:b/>
          <w:bCs/>
          <w:sz w:val="22"/>
          <w:szCs w:val="22"/>
        </w:rPr>
      </w:pPr>
    </w:p>
    <w:p w14:paraId="766995D3" w14:textId="095DA1AA" w:rsidR="00933E0A" w:rsidRDefault="009F11AD" w:rsidP="0005035A">
      <w:pPr>
        <w:spacing w:line="360" w:lineRule="auto"/>
        <w:jc w:val="both"/>
        <w:rPr>
          <w:rFonts w:ascii="Arial" w:hAnsi="Arial" w:cs="Arial"/>
          <w:b/>
          <w:bCs/>
          <w:sz w:val="22"/>
          <w:szCs w:val="22"/>
        </w:rPr>
      </w:pPr>
      <w:r>
        <w:rPr>
          <w:rFonts w:ascii="Arial" w:hAnsi="Arial" w:cs="Arial"/>
          <w:b/>
          <w:bCs/>
          <w:noProof/>
          <w:sz w:val="22"/>
          <w:szCs w:val="22"/>
        </w:rPr>
        <w:lastRenderedPageBreak/>
        <w:drawing>
          <wp:inline distT="0" distB="0" distL="0" distR="0" wp14:anchorId="661ED712" wp14:editId="1B2943BF">
            <wp:extent cx="5948737" cy="3621718"/>
            <wp:effectExtent l="0" t="0" r="0" b="0"/>
            <wp:docPr id="117131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8997" cy="3627965"/>
                    </a:xfrm>
                    <a:prstGeom prst="rect">
                      <a:avLst/>
                    </a:prstGeom>
                    <a:noFill/>
                  </pic:spPr>
                </pic:pic>
              </a:graphicData>
            </a:graphic>
          </wp:inline>
        </w:drawing>
      </w:r>
    </w:p>
    <w:p w14:paraId="0E7934CB" w14:textId="3090517E" w:rsidR="00D572DA" w:rsidRPr="00BB0CB0" w:rsidRDefault="00D572DA" w:rsidP="0005035A">
      <w:pPr>
        <w:spacing w:line="360" w:lineRule="auto"/>
        <w:jc w:val="both"/>
        <w:rPr>
          <w:rFonts w:ascii="Arial" w:hAnsi="Arial" w:cs="Arial"/>
          <w:b/>
          <w:bCs/>
          <w:sz w:val="22"/>
          <w:szCs w:val="22"/>
        </w:rPr>
      </w:pPr>
      <w:r w:rsidRPr="00D572DA">
        <w:rPr>
          <w:rFonts w:ascii="Arial" w:hAnsi="Arial" w:cs="Arial"/>
          <w:b/>
          <w:bCs/>
          <w:sz w:val="22"/>
          <w:szCs w:val="22"/>
        </w:rPr>
        <w:t>Figure S5.</w:t>
      </w:r>
      <w:r w:rsidR="009F11AD">
        <w:rPr>
          <w:rFonts w:ascii="Arial" w:hAnsi="Arial" w:cs="Arial"/>
          <w:b/>
          <w:bCs/>
          <w:sz w:val="22"/>
          <w:szCs w:val="22"/>
        </w:rPr>
        <w:t xml:space="preserve"> </w:t>
      </w:r>
      <w:r w:rsidR="00BB0CB0" w:rsidRPr="00BB0CB0">
        <w:rPr>
          <w:rFonts w:ascii="Arial" w:hAnsi="Arial" w:cs="Arial"/>
          <w:b/>
          <w:bCs/>
          <w:sz w:val="22"/>
          <w:szCs w:val="22"/>
        </w:rPr>
        <w:t xml:space="preserve">Combined GRN-300 and chloroquine treatment suppresses clonogenic growth and </w:t>
      </w:r>
      <w:r w:rsidR="00BC429D" w:rsidRPr="00BC429D">
        <w:rPr>
          <w:rFonts w:ascii="Arial" w:hAnsi="Arial" w:cs="Arial"/>
          <w:b/>
          <w:bCs/>
          <w:sz w:val="22"/>
          <w:szCs w:val="22"/>
        </w:rPr>
        <w:t>potentiates autophagy inhibitio</w:t>
      </w:r>
      <w:r w:rsidR="00BC429D">
        <w:rPr>
          <w:rFonts w:ascii="Arial" w:hAnsi="Arial" w:cs="Arial"/>
          <w:b/>
          <w:bCs/>
          <w:sz w:val="22"/>
          <w:szCs w:val="22"/>
        </w:rPr>
        <w:t>n</w:t>
      </w:r>
      <w:r w:rsidR="00BB0CB0">
        <w:rPr>
          <w:rFonts w:ascii="Arial" w:hAnsi="Arial" w:cs="Arial"/>
          <w:b/>
          <w:bCs/>
          <w:sz w:val="22"/>
          <w:szCs w:val="22"/>
        </w:rPr>
        <w:t xml:space="preserve">. </w:t>
      </w:r>
      <w:proofErr w:type="gramStart"/>
      <w:r w:rsidR="009F11AD" w:rsidRPr="009F11AD">
        <w:rPr>
          <w:rFonts w:ascii="Arial" w:hAnsi="Arial" w:cs="Arial"/>
          <w:sz w:val="22"/>
          <w:szCs w:val="22"/>
        </w:rPr>
        <w:t>(</w:t>
      </w:r>
      <w:proofErr w:type="gramEnd"/>
      <w:r w:rsidR="009F11AD" w:rsidRPr="009F11AD">
        <w:rPr>
          <w:rFonts w:ascii="Arial" w:hAnsi="Arial" w:cs="Arial"/>
          <w:b/>
          <w:bCs/>
          <w:sz w:val="22"/>
          <w:szCs w:val="22"/>
        </w:rPr>
        <w:t>A</w:t>
      </w:r>
      <w:r w:rsidR="009F11AD" w:rsidRPr="009F11AD">
        <w:rPr>
          <w:rFonts w:ascii="Arial" w:hAnsi="Arial" w:cs="Arial"/>
          <w:sz w:val="22"/>
          <w:szCs w:val="22"/>
        </w:rPr>
        <w:t>)</w:t>
      </w:r>
      <w:r w:rsidRPr="00D572DA">
        <w:rPr>
          <w:rFonts w:ascii="Arial" w:hAnsi="Arial" w:cs="Arial"/>
          <w:b/>
          <w:bCs/>
          <w:sz w:val="22"/>
          <w:szCs w:val="22"/>
        </w:rPr>
        <w:t xml:space="preserve"> </w:t>
      </w:r>
      <w:r w:rsidR="001F3829" w:rsidRPr="009F11AD">
        <w:rPr>
          <w:rFonts w:ascii="Arial" w:hAnsi="Arial" w:cs="Arial"/>
          <w:sz w:val="22"/>
          <w:szCs w:val="22"/>
        </w:rPr>
        <w:t>Triplicate</w:t>
      </w:r>
      <w:r w:rsidRPr="009F11AD">
        <w:rPr>
          <w:rFonts w:ascii="Arial" w:hAnsi="Arial" w:cs="Arial"/>
          <w:sz w:val="22"/>
          <w:szCs w:val="22"/>
        </w:rPr>
        <w:t xml:space="preserve"> images of clonogenic survival after treatment with GRN-300 and CQ. </w:t>
      </w:r>
      <w:r w:rsidRPr="00D572DA">
        <w:rPr>
          <w:rFonts w:ascii="Arial" w:hAnsi="Arial" w:cs="Arial"/>
          <w:sz w:val="22"/>
          <w:szCs w:val="22"/>
        </w:rPr>
        <w:t xml:space="preserve">Ovarian cancer cells were treated with GRN-300 (2 µM), CQ (5 µM), or the combination as indicated, then replated at low density and cultured for 10–14 days. Colonies were fixed, stained, and quantified. Representative images are shown, and </w:t>
      </w:r>
      <w:r w:rsidR="005A2CCF">
        <w:rPr>
          <w:rFonts w:ascii="Arial" w:hAnsi="Arial" w:cs="Arial"/>
          <w:sz w:val="22"/>
          <w:szCs w:val="22"/>
        </w:rPr>
        <w:t xml:space="preserve">the </w:t>
      </w:r>
      <w:r w:rsidRPr="00D572DA">
        <w:rPr>
          <w:rFonts w:ascii="Arial" w:hAnsi="Arial" w:cs="Arial"/>
          <w:sz w:val="22"/>
          <w:szCs w:val="22"/>
        </w:rPr>
        <w:t>colony area was normalized to control. Experiments were repeated three times with similar results. Statistical analysis was performed using one-way ANOVA; ns, p &gt; 0.05; p &lt; 0.05; *p &lt; 0.01; **p &lt; 0.001; ***p &lt; 0.0001. Error bars represent SD. Related to Figure 4B-C.</w:t>
      </w:r>
      <w:r w:rsidR="009F11AD">
        <w:rPr>
          <w:rFonts w:ascii="Arial" w:hAnsi="Arial" w:cs="Arial"/>
          <w:sz w:val="22"/>
          <w:szCs w:val="22"/>
        </w:rPr>
        <w:t xml:space="preserve"> </w:t>
      </w:r>
      <w:r w:rsidR="009F11AD" w:rsidRPr="009F11AD">
        <w:rPr>
          <w:rFonts w:ascii="Arial" w:hAnsi="Arial" w:cs="Arial"/>
          <w:sz w:val="22"/>
          <w:szCs w:val="22"/>
        </w:rPr>
        <w:t>(</w:t>
      </w:r>
      <w:r w:rsidR="009F11AD" w:rsidRPr="009F11AD">
        <w:rPr>
          <w:rFonts w:ascii="Arial" w:hAnsi="Arial" w:cs="Arial"/>
          <w:b/>
          <w:bCs/>
          <w:sz w:val="22"/>
          <w:szCs w:val="22"/>
        </w:rPr>
        <w:t>B</w:t>
      </w:r>
      <w:r w:rsidR="009F11AD" w:rsidRPr="009F11AD">
        <w:rPr>
          <w:rFonts w:ascii="Arial" w:hAnsi="Arial" w:cs="Arial"/>
          <w:sz w:val="22"/>
          <w:szCs w:val="22"/>
        </w:rPr>
        <w:t>)</w:t>
      </w:r>
      <w:r w:rsidR="009F11AD">
        <w:rPr>
          <w:rFonts w:ascii="Arial" w:hAnsi="Arial" w:cs="Arial"/>
          <w:sz w:val="22"/>
          <w:szCs w:val="22"/>
        </w:rPr>
        <w:t xml:space="preserve"> </w:t>
      </w:r>
      <w:r w:rsidRPr="009F11AD">
        <w:rPr>
          <w:rFonts w:ascii="Arial" w:hAnsi="Arial" w:cs="Arial"/>
          <w:sz w:val="22"/>
          <w:szCs w:val="22"/>
        </w:rPr>
        <w:t xml:space="preserve">Western blot analysis of OVCAR8 xenograft tumors. </w:t>
      </w:r>
      <w:r w:rsidRPr="00D572DA">
        <w:rPr>
          <w:rFonts w:ascii="Arial" w:hAnsi="Arial" w:cs="Arial"/>
          <w:sz w:val="22"/>
          <w:szCs w:val="22"/>
        </w:rPr>
        <w:t>Tumors from six mice (n = 6) were collected after 40 days of treatment. Thirty micrograms of protein per sample were loaded, and blots were probed with the indicated antibodies.</w:t>
      </w:r>
    </w:p>
    <w:p w14:paraId="0965385B" w14:textId="77777777" w:rsidR="00954B61" w:rsidRDefault="00954B61" w:rsidP="0005035A">
      <w:pPr>
        <w:spacing w:line="360" w:lineRule="auto"/>
        <w:jc w:val="both"/>
        <w:rPr>
          <w:rFonts w:ascii="Arial" w:hAnsi="Arial" w:cs="Arial"/>
          <w:b/>
          <w:bCs/>
          <w:sz w:val="22"/>
          <w:szCs w:val="22"/>
        </w:rPr>
      </w:pPr>
    </w:p>
    <w:p w14:paraId="421FAA1B" w14:textId="2988A57C" w:rsidR="00574AFE" w:rsidRDefault="00796E3C" w:rsidP="0005035A">
      <w:pPr>
        <w:spacing w:line="360" w:lineRule="auto"/>
        <w:jc w:val="both"/>
        <w:rPr>
          <w:rFonts w:ascii="Arial" w:hAnsi="Arial" w:cs="Arial"/>
          <w:b/>
          <w:bCs/>
          <w:sz w:val="22"/>
          <w:szCs w:val="22"/>
        </w:rPr>
      </w:pPr>
      <w:r>
        <w:rPr>
          <w:rFonts w:ascii="Arial" w:hAnsi="Arial" w:cs="Arial"/>
          <w:b/>
          <w:bCs/>
          <w:noProof/>
          <w:sz w:val="22"/>
          <w:szCs w:val="22"/>
        </w:rPr>
        <w:lastRenderedPageBreak/>
        <w:drawing>
          <wp:inline distT="0" distB="0" distL="0" distR="0" wp14:anchorId="3A1BE872" wp14:editId="1486C76A">
            <wp:extent cx="6251893" cy="5113976"/>
            <wp:effectExtent l="0" t="0" r="0" b="0"/>
            <wp:docPr id="1474365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6854" cy="5118034"/>
                    </a:xfrm>
                    <a:prstGeom prst="rect">
                      <a:avLst/>
                    </a:prstGeom>
                    <a:noFill/>
                  </pic:spPr>
                </pic:pic>
              </a:graphicData>
            </a:graphic>
          </wp:inline>
        </w:drawing>
      </w:r>
    </w:p>
    <w:p w14:paraId="44F3724A" w14:textId="2B6A05EC" w:rsidR="0005035A" w:rsidRPr="0005035A" w:rsidRDefault="0005035A" w:rsidP="0005035A">
      <w:pPr>
        <w:spacing w:line="360" w:lineRule="auto"/>
        <w:jc w:val="both"/>
        <w:rPr>
          <w:rFonts w:ascii="Arial" w:hAnsi="Arial" w:cs="Arial"/>
          <w:sz w:val="22"/>
          <w:szCs w:val="22"/>
        </w:rPr>
      </w:pPr>
      <w:r w:rsidRPr="0005035A">
        <w:rPr>
          <w:rFonts w:ascii="Arial" w:hAnsi="Arial" w:cs="Arial"/>
          <w:b/>
          <w:bCs/>
          <w:sz w:val="22"/>
          <w:szCs w:val="22"/>
        </w:rPr>
        <w:t>Figure S</w:t>
      </w:r>
      <w:r w:rsidR="00796E3C">
        <w:rPr>
          <w:rFonts w:ascii="Arial" w:hAnsi="Arial" w:cs="Arial"/>
          <w:b/>
          <w:bCs/>
          <w:sz w:val="22"/>
          <w:szCs w:val="22"/>
        </w:rPr>
        <w:t>6</w:t>
      </w:r>
      <w:r w:rsidRPr="0005035A">
        <w:rPr>
          <w:rFonts w:ascii="Arial" w:hAnsi="Arial" w:cs="Arial"/>
          <w:b/>
          <w:bCs/>
          <w:sz w:val="22"/>
          <w:szCs w:val="22"/>
        </w:rPr>
        <w:t>. Representative flow cytometric analysis of apoptosis by Annexin V/PI staining</w:t>
      </w:r>
      <w:r w:rsidRPr="0005035A">
        <w:rPr>
          <w:rFonts w:ascii="Arial" w:hAnsi="Arial" w:cs="Arial"/>
          <w:sz w:val="22"/>
          <w:szCs w:val="22"/>
        </w:rPr>
        <w:t>. OVCAR4 (</w:t>
      </w:r>
      <w:r w:rsidRPr="00796E3C">
        <w:rPr>
          <w:rFonts w:ascii="Arial" w:hAnsi="Arial" w:cs="Arial"/>
          <w:b/>
          <w:bCs/>
          <w:sz w:val="22"/>
          <w:szCs w:val="22"/>
        </w:rPr>
        <w:t>A</w:t>
      </w:r>
      <w:r w:rsidRPr="0005035A">
        <w:rPr>
          <w:rFonts w:ascii="Arial" w:hAnsi="Arial" w:cs="Arial"/>
          <w:sz w:val="22"/>
          <w:szCs w:val="22"/>
        </w:rPr>
        <w:t>) and OVCAR8 (</w:t>
      </w:r>
      <w:r w:rsidRPr="00796E3C">
        <w:rPr>
          <w:rFonts w:ascii="Arial" w:hAnsi="Arial" w:cs="Arial"/>
          <w:b/>
          <w:bCs/>
          <w:sz w:val="22"/>
          <w:szCs w:val="22"/>
        </w:rPr>
        <w:t>B</w:t>
      </w:r>
      <w:r w:rsidRPr="0005035A">
        <w:rPr>
          <w:rFonts w:ascii="Arial" w:hAnsi="Arial" w:cs="Arial"/>
          <w:sz w:val="22"/>
          <w:szCs w:val="22"/>
        </w:rPr>
        <w:t xml:space="preserve">) cells were treated as described in Figure 6B and stained with Annexin V and propidium iodide (PI) to assess apoptotic cell death. Representative plots were generated using </w:t>
      </w:r>
      <w:proofErr w:type="spellStart"/>
      <w:r w:rsidRPr="0005035A">
        <w:rPr>
          <w:rFonts w:ascii="Arial" w:hAnsi="Arial" w:cs="Arial"/>
          <w:sz w:val="22"/>
          <w:szCs w:val="22"/>
        </w:rPr>
        <w:t>FlowJo</w:t>
      </w:r>
      <w:proofErr w:type="spellEnd"/>
      <w:r w:rsidRPr="0005035A">
        <w:rPr>
          <w:rFonts w:ascii="Arial" w:hAnsi="Arial" w:cs="Arial"/>
          <w:sz w:val="22"/>
          <w:szCs w:val="22"/>
        </w:rPr>
        <w:t xml:space="preserve"> software. Related to Figures 6</w:t>
      </w:r>
      <w:r w:rsidR="005A2CCF">
        <w:rPr>
          <w:rFonts w:ascii="Arial" w:hAnsi="Arial" w:cs="Arial"/>
          <w:sz w:val="22"/>
          <w:szCs w:val="22"/>
        </w:rPr>
        <w:t>E-</w:t>
      </w:r>
      <w:r w:rsidRPr="0005035A">
        <w:rPr>
          <w:rFonts w:ascii="Arial" w:hAnsi="Arial" w:cs="Arial"/>
          <w:sz w:val="22"/>
          <w:szCs w:val="22"/>
        </w:rPr>
        <w:t>G.</w:t>
      </w:r>
    </w:p>
    <w:p w14:paraId="1C1C9872" w14:textId="77777777" w:rsidR="002359AB" w:rsidRPr="0005035A" w:rsidRDefault="002359AB" w:rsidP="0005035A">
      <w:pPr>
        <w:spacing w:line="360" w:lineRule="auto"/>
        <w:jc w:val="both"/>
        <w:rPr>
          <w:rFonts w:ascii="Arial" w:hAnsi="Arial" w:cs="Arial"/>
          <w:sz w:val="22"/>
          <w:szCs w:val="22"/>
        </w:rPr>
      </w:pPr>
    </w:p>
    <w:sectPr w:rsidR="002359AB" w:rsidRPr="000503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yNLIwNDU1Mza2MDRS0lEKTi0uzszPAykwqQUAvUE7SSwAAAA="/>
  </w:docVars>
  <w:rsids>
    <w:rsidRoot w:val="00107866"/>
    <w:rsid w:val="00007732"/>
    <w:rsid w:val="0005035A"/>
    <w:rsid w:val="00061676"/>
    <w:rsid w:val="00065905"/>
    <w:rsid w:val="000A31D5"/>
    <w:rsid w:val="000B1D90"/>
    <w:rsid w:val="000B2F7B"/>
    <w:rsid w:val="000D7EA5"/>
    <w:rsid w:val="00107866"/>
    <w:rsid w:val="00175100"/>
    <w:rsid w:val="001F3829"/>
    <w:rsid w:val="002359AB"/>
    <w:rsid w:val="00326E4A"/>
    <w:rsid w:val="00382681"/>
    <w:rsid w:val="00415B6F"/>
    <w:rsid w:val="00430424"/>
    <w:rsid w:val="00457C3E"/>
    <w:rsid w:val="004C7CC5"/>
    <w:rsid w:val="00534F7E"/>
    <w:rsid w:val="00574AFE"/>
    <w:rsid w:val="005949D4"/>
    <w:rsid w:val="005A063F"/>
    <w:rsid w:val="005A2CCF"/>
    <w:rsid w:val="0071035C"/>
    <w:rsid w:val="00796E3C"/>
    <w:rsid w:val="00850EB7"/>
    <w:rsid w:val="008D7BA0"/>
    <w:rsid w:val="00933E0A"/>
    <w:rsid w:val="00942E51"/>
    <w:rsid w:val="00954B61"/>
    <w:rsid w:val="00984E21"/>
    <w:rsid w:val="009F11AD"/>
    <w:rsid w:val="00AC0BF3"/>
    <w:rsid w:val="00AC5F50"/>
    <w:rsid w:val="00B37CE6"/>
    <w:rsid w:val="00B65954"/>
    <w:rsid w:val="00B77287"/>
    <w:rsid w:val="00BA740D"/>
    <w:rsid w:val="00BB0CB0"/>
    <w:rsid w:val="00BC429D"/>
    <w:rsid w:val="00C12018"/>
    <w:rsid w:val="00C43D66"/>
    <w:rsid w:val="00C84F63"/>
    <w:rsid w:val="00CA3291"/>
    <w:rsid w:val="00D572DA"/>
    <w:rsid w:val="00D616E4"/>
    <w:rsid w:val="00D768B9"/>
    <w:rsid w:val="00E22C92"/>
    <w:rsid w:val="00E539BD"/>
    <w:rsid w:val="00E71C40"/>
    <w:rsid w:val="00E731F3"/>
    <w:rsid w:val="00F11005"/>
    <w:rsid w:val="00F61E83"/>
    <w:rsid w:val="00F62E84"/>
    <w:rsid w:val="00FC77FB"/>
    <w:rsid w:val="00FF0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931EB8"/>
  <w15:chartTrackingRefBased/>
  <w15:docId w15:val="{99136678-D164-4CA4-9D1A-0DD65D26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8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78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78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78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78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78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78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78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78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8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78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78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78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78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78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78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78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7866"/>
    <w:rPr>
      <w:rFonts w:eastAsiaTheme="majorEastAsia" w:cstheme="majorBidi"/>
      <w:color w:val="272727" w:themeColor="text1" w:themeTint="D8"/>
    </w:rPr>
  </w:style>
  <w:style w:type="paragraph" w:styleId="Title">
    <w:name w:val="Title"/>
    <w:basedOn w:val="Normal"/>
    <w:next w:val="Normal"/>
    <w:link w:val="TitleChar"/>
    <w:uiPriority w:val="10"/>
    <w:qFormat/>
    <w:rsid w:val="001078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78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78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78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7866"/>
    <w:pPr>
      <w:spacing w:before="160"/>
      <w:jc w:val="center"/>
    </w:pPr>
    <w:rPr>
      <w:i/>
      <w:iCs/>
      <w:color w:val="404040" w:themeColor="text1" w:themeTint="BF"/>
    </w:rPr>
  </w:style>
  <w:style w:type="character" w:customStyle="1" w:styleId="QuoteChar">
    <w:name w:val="Quote Char"/>
    <w:basedOn w:val="DefaultParagraphFont"/>
    <w:link w:val="Quote"/>
    <w:uiPriority w:val="29"/>
    <w:rsid w:val="00107866"/>
    <w:rPr>
      <w:i/>
      <w:iCs/>
      <w:color w:val="404040" w:themeColor="text1" w:themeTint="BF"/>
    </w:rPr>
  </w:style>
  <w:style w:type="paragraph" w:styleId="ListParagraph">
    <w:name w:val="List Paragraph"/>
    <w:basedOn w:val="Normal"/>
    <w:uiPriority w:val="34"/>
    <w:qFormat/>
    <w:rsid w:val="00107866"/>
    <w:pPr>
      <w:ind w:left="720"/>
      <w:contextualSpacing/>
    </w:pPr>
  </w:style>
  <w:style w:type="character" w:styleId="IntenseEmphasis">
    <w:name w:val="Intense Emphasis"/>
    <w:basedOn w:val="DefaultParagraphFont"/>
    <w:uiPriority w:val="21"/>
    <w:qFormat/>
    <w:rsid w:val="00107866"/>
    <w:rPr>
      <w:i/>
      <w:iCs/>
      <w:color w:val="0F4761" w:themeColor="accent1" w:themeShade="BF"/>
    </w:rPr>
  </w:style>
  <w:style w:type="paragraph" w:styleId="IntenseQuote">
    <w:name w:val="Intense Quote"/>
    <w:basedOn w:val="Normal"/>
    <w:next w:val="Normal"/>
    <w:link w:val="IntenseQuoteChar"/>
    <w:uiPriority w:val="30"/>
    <w:qFormat/>
    <w:rsid w:val="001078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7866"/>
    <w:rPr>
      <w:i/>
      <w:iCs/>
      <w:color w:val="0F4761" w:themeColor="accent1" w:themeShade="BF"/>
    </w:rPr>
  </w:style>
  <w:style w:type="character" w:styleId="IntenseReference">
    <w:name w:val="Intense Reference"/>
    <w:basedOn w:val="DefaultParagraphFont"/>
    <w:uiPriority w:val="32"/>
    <w:qFormat/>
    <w:rsid w:val="00107866"/>
    <w:rPr>
      <w:b/>
      <w:bCs/>
      <w:smallCaps/>
      <w:color w:val="0F4761" w:themeColor="accent1" w:themeShade="BF"/>
      <w:spacing w:val="5"/>
    </w:rPr>
  </w:style>
  <w:style w:type="table" w:styleId="ListTable5Dark-Accent1">
    <w:name w:val="List Table 5 Dark Accent 1"/>
    <w:basedOn w:val="TableNormal"/>
    <w:uiPriority w:val="50"/>
    <w:rsid w:val="00B77287"/>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B77287"/>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912</Words>
  <Characters>5202</Characters>
  <Application>Microsoft Office Word</Application>
  <DocSecurity>0</DocSecurity>
  <Lines>43</Lines>
  <Paragraphs>12</Paragraphs>
  <ScaleCrop>false</ScaleCrop>
  <Company>M.D. Anderson Cancer Center</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Bildik Elcik,Gamze</dc:creator>
  <cp:keywords/>
  <dc:description/>
  <cp:lastModifiedBy>Bildik Elcik,Gamze</cp:lastModifiedBy>
  <cp:revision>10</cp:revision>
  <dcterms:created xsi:type="dcterms:W3CDTF">2026-04-06T20:26:00Z</dcterms:created>
  <dcterms:modified xsi:type="dcterms:W3CDTF">2026-04-06T21:11:00Z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5fdb70ce-810d-440d-aeb4-a7f2281718e7</vt:lpwstr>
  </property>
</Properties>
</file>