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D271E1">
      <w:pPr>
        <w:ind w:firstLine="0" w:firstLineChars="0"/>
        <w:jc w:val="center"/>
        <w:rPr>
          <w:sz w:val="36"/>
          <w:szCs w:val="36"/>
        </w:rPr>
      </w:pPr>
      <w:bookmarkStart w:id="18" w:name="_GoBack"/>
      <w:bookmarkEnd w:id="18"/>
      <w:r>
        <w:rPr>
          <w:rFonts w:hint="eastAsia"/>
          <w:b/>
          <w:bCs/>
          <w:sz w:val="28"/>
          <w:szCs w:val="28"/>
        </w:rPr>
        <w:t>Supplementary Information</w:t>
      </w:r>
    </w:p>
    <w:p w14:paraId="1190387F">
      <w:pPr>
        <w:ind w:firstLine="0" w:firstLineChars="0"/>
        <w:jc w:val="center"/>
        <w:rPr>
          <w:sz w:val="36"/>
          <w:szCs w:val="36"/>
        </w:rPr>
      </w:pPr>
    </w:p>
    <w:p w14:paraId="01E4DDC6">
      <w:pPr>
        <w:ind w:firstLine="0" w:firstLineChars="0"/>
        <w:jc w:val="center"/>
        <w:rPr>
          <w:sz w:val="36"/>
          <w:szCs w:val="36"/>
        </w:rPr>
      </w:pPr>
    </w:p>
    <w:p w14:paraId="453FEBA6">
      <w:pPr>
        <w:ind w:firstLine="0" w:firstLineChars="0"/>
        <w:jc w:val="center"/>
        <w:rPr>
          <w:sz w:val="36"/>
          <w:szCs w:val="36"/>
        </w:rPr>
      </w:pPr>
    </w:p>
    <w:p w14:paraId="058170F9">
      <w:pPr>
        <w:ind w:firstLine="0" w:firstLineChars="0"/>
        <w:jc w:val="center"/>
        <w:rPr>
          <w:sz w:val="36"/>
          <w:szCs w:val="36"/>
        </w:rPr>
      </w:pPr>
    </w:p>
    <w:p w14:paraId="5F22A457">
      <w:pPr>
        <w:spacing w:line="360" w:lineRule="auto"/>
        <w:ind w:firstLine="0" w:firstLineChars="0"/>
        <w:jc w:val="center"/>
        <w:rPr>
          <w:rFonts w:hint="eastAsia" w:eastAsia="宋体"/>
          <w:sz w:val="44"/>
          <w:szCs w:val="44"/>
          <w:lang w:val="en-US" w:eastAsia="zh-CN"/>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sz w:val="44"/>
          <w:szCs w:val="44"/>
        </w:rPr>
        <w:t>Airport pavement roughness as an overlooked driver of aviation carbon emissions: global implications from Chinese airport</w:t>
      </w:r>
      <w:r>
        <w:rPr>
          <w:rFonts w:hint="eastAsia"/>
          <w:sz w:val="44"/>
          <w:szCs w:val="44"/>
          <w:lang w:val="en-US" w:eastAsia="zh-CN"/>
        </w:rPr>
        <w:t>s</w:t>
      </w:r>
    </w:p>
    <w:p w14:paraId="496340C4">
      <w:pPr>
        <w:spacing w:line="360" w:lineRule="auto"/>
        <w:ind w:firstLine="0" w:firstLineChars="0"/>
        <w:rPr>
          <w:sz w:val="44"/>
          <w:szCs w:val="44"/>
        </w:rPr>
      </w:pPr>
    </w:p>
    <w:p w14:paraId="5479C7F2">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1. Airport dataset</w:t>
      </w:r>
    </w:p>
    <w:p w14:paraId="68E84EE6">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2. Aircraft dataset</w:t>
      </w:r>
    </w:p>
    <w:p w14:paraId="34F6AABD">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Note3. Model validation</w:t>
      </w:r>
    </w:p>
    <w:p w14:paraId="530D0B5C">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4. National-scale carbon emissions induced by pavement roughness</w:t>
      </w:r>
    </w:p>
    <w:p w14:paraId="7A7A09B0">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Note5. Projection of carbon emissions across Chinese airports</w:t>
      </w:r>
    </w:p>
    <w:p w14:paraId="3AE4ACCF">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6. Evolution of runway parameters at Shanghai Hongqiao International Airport</w:t>
      </w:r>
    </w:p>
    <w:p w14:paraId="3BD8D246">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Note7. Variation of aircraft fuel consumption coefficients with service age</w:t>
      </w:r>
    </w:p>
    <w:p w14:paraId="50B71AED">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8. CCI calculation framework and control standard</w:t>
      </w:r>
    </w:p>
    <w:p w14:paraId="114C6292">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9. Economic assessment of runway maintenance strategies</w:t>
      </w:r>
    </w:p>
    <w:p w14:paraId="1FEC7F24">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10. Correlation analysis methodology</w:t>
      </w:r>
    </w:p>
    <w:p w14:paraId="11C0553C">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11. Carbon mitigation assessment for Shanghai Pudong International Airport</w:t>
      </w:r>
    </w:p>
    <w:p w14:paraId="0315101A">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12. Emissions comparison between CCI- and IRI-based management</w:t>
      </w:r>
    </w:p>
    <w:p w14:paraId="74D07AE9">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13. Comparison of runway roughness between US and Chinese airports</w:t>
      </w:r>
    </w:p>
    <w:p w14:paraId="5CC66E7E">
      <w:pPr>
        <w:spacing w:line="360" w:lineRule="auto"/>
        <w:ind w:firstLine="0" w:firstLineChars="0"/>
        <w:jc w:val="both"/>
        <w:rPr>
          <w:rFonts w:ascii="Calibri" w:hAnsi="Calibri" w:cs="Calibri"/>
          <w:b/>
          <w:bCs/>
          <w:sz w:val="24"/>
          <w:szCs w:val="24"/>
        </w:rPr>
      </w:pPr>
      <w:r>
        <w:rPr>
          <w:rFonts w:ascii="Calibri" w:hAnsi="Calibri" w:cs="Calibri"/>
          <w:b/>
          <w:bCs/>
          <w:sz w:val="24"/>
          <w:szCs w:val="24"/>
        </w:rPr>
        <w:t>Supplementary Note 14. Coupled aircraft–runway dynamic model for energy consumption estimation</w:t>
      </w:r>
    </w:p>
    <w:p w14:paraId="48E61F5E">
      <w:pPr>
        <w:ind w:firstLine="0" w:firstLineChars="0"/>
        <w:rPr>
          <w:rFonts w:eastAsiaTheme="minorEastAsia"/>
          <w:color w:val="0000FF"/>
          <w:kern w:val="2"/>
          <w:szCs w:val="24"/>
        </w:rPr>
      </w:pPr>
    </w:p>
    <w:p w14:paraId="521B6651">
      <w:pPr>
        <w:ind w:firstLine="0" w:firstLineChars="0"/>
        <w:rPr>
          <w:rFonts w:eastAsiaTheme="minorEastAsia"/>
          <w:color w:val="0000FF"/>
          <w:kern w:val="2"/>
          <w:szCs w:val="24"/>
        </w:rPr>
      </w:pPr>
    </w:p>
    <w:p w14:paraId="26E86FB8">
      <w:pPr>
        <w:ind w:firstLine="420"/>
        <w:rPr>
          <w:rFonts w:eastAsiaTheme="minorEastAsia"/>
          <w:color w:val="0000FF"/>
          <w:kern w:val="2"/>
          <w:szCs w:val="24"/>
        </w:rPr>
      </w:pPr>
    </w:p>
    <w:p w14:paraId="5A374058">
      <w:pPr>
        <w:ind w:firstLine="420"/>
        <w:rPr>
          <w:rFonts w:eastAsiaTheme="minorEastAsia"/>
          <w:color w:val="0000FF"/>
          <w:kern w:val="2"/>
          <w:szCs w:val="24"/>
        </w:rPr>
      </w:pPr>
    </w:p>
    <w:p w14:paraId="1AB616C8">
      <w:pPr>
        <w:ind w:firstLine="420"/>
        <w:rPr>
          <w:rFonts w:eastAsiaTheme="minorEastAsia"/>
          <w:color w:val="C00000"/>
          <w:kern w:val="2"/>
          <w:szCs w:val="24"/>
        </w:rPr>
      </w:pPr>
    </w:p>
    <w:p w14:paraId="225A30F3">
      <w:pPr>
        <w:ind w:firstLine="420"/>
        <w:rPr>
          <w:rFonts w:eastAsiaTheme="minorEastAsia"/>
          <w:color w:val="C00000"/>
          <w:kern w:val="2"/>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163EEE6">
      <w:pPr>
        <w:pStyle w:val="2"/>
        <w:ind w:firstLine="0" w:firstLineChars="0"/>
      </w:pPr>
      <w:r>
        <w:t>Supplementary Note 1</w:t>
      </w:r>
      <w:r>
        <w:rPr>
          <w:rFonts w:hint="eastAsia"/>
        </w:rPr>
        <w:t>.</w:t>
      </w:r>
      <w:r>
        <w:t xml:space="preserve"> Airport dataset</w:t>
      </w:r>
    </w:p>
    <w:p w14:paraId="0EF221D4">
      <w:pPr>
        <w:pStyle w:val="3"/>
        <w:ind w:firstLine="482"/>
      </w:pPr>
      <w:r>
        <w:t>1.1 Number of civil airports in China</w:t>
      </w:r>
    </w:p>
    <w:p w14:paraId="187DCE66">
      <w:pPr>
        <w:ind w:firstLine="420"/>
      </w:pPr>
      <w:r>
        <w:t xml:space="preserve">A total of 237 civil airports were included as valid samples for the year 2019. The complete list of airports is provided in Table </w:t>
      </w:r>
      <w:r>
        <w:rPr>
          <w:rFonts w:hint="eastAsia"/>
        </w:rPr>
        <w:t>S</w:t>
      </w:r>
      <w:r>
        <w:t>1.1.</w:t>
      </w:r>
    </w:p>
    <w:p w14:paraId="525248AD">
      <w:pPr>
        <w:pStyle w:val="49"/>
        <w:rPr>
          <w:sz w:val="21"/>
          <w:szCs w:val="21"/>
        </w:rPr>
      </w:pPr>
      <w:r>
        <w:rPr>
          <w:rFonts w:hint="eastAsia"/>
          <w:sz w:val="21"/>
          <w:szCs w:val="21"/>
        </w:rPr>
        <w:t xml:space="preserve">Table </w:t>
      </w:r>
      <w:r>
        <w:rPr>
          <w:sz w:val="21"/>
          <w:szCs w:val="21"/>
        </w:rPr>
        <w:t>S1.1</w:t>
      </w:r>
      <w:r>
        <w:rPr>
          <w:rFonts w:hint="eastAsia"/>
          <w:sz w:val="21"/>
          <w:szCs w:val="21"/>
        </w:rPr>
        <w:t xml:space="preserve">. </w:t>
      </w:r>
      <w:r>
        <w:rPr>
          <w:sz w:val="21"/>
          <w:szCs w:val="21"/>
        </w:rPr>
        <w:t>Civil airports in China included in the 2019 analysis</w:t>
      </w:r>
    </w:p>
    <w:tbl>
      <w:tblPr>
        <w:tblStyle w:val="15"/>
        <w:tblW w:w="8270" w:type="dxa"/>
        <w:tblInd w:w="98"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26"/>
        <w:gridCol w:w="3058"/>
        <w:gridCol w:w="1025"/>
        <w:gridCol w:w="3161"/>
      </w:tblGrid>
      <w:tr w14:paraId="280843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bottom w:val="single" w:color="000000" w:sz="12" w:space="0"/>
            </w:tcBorders>
            <w:shd w:val="clear" w:color="auto" w:fill="auto"/>
            <w:vAlign w:val="center"/>
          </w:tcPr>
          <w:p w14:paraId="2D750699">
            <w:pPr>
              <w:pStyle w:val="49"/>
              <w:rPr>
                <w:sz w:val="16"/>
                <w:szCs w:val="18"/>
              </w:rPr>
            </w:pPr>
            <w:r>
              <w:rPr>
                <w:rFonts w:hint="eastAsia"/>
                <w:sz w:val="16"/>
                <w:szCs w:val="18"/>
              </w:rPr>
              <w:t>Three-Letter Code</w:t>
            </w:r>
          </w:p>
        </w:tc>
        <w:tc>
          <w:tcPr>
            <w:tcW w:w="3126" w:type="dxa"/>
            <w:tcBorders>
              <w:bottom w:val="single" w:color="000000" w:sz="12" w:space="0"/>
            </w:tcBorders>
            <w:shd w:val="clear" w:color="auto" w:fill="auto"/>
            <w:vAlign w:val="center"/>
          </w:tcPr>
          <w:p w14:paraId="6607ACA8">
            <w:pPr>
              <w:pStyle w:val="49"/>
              <w:rPr>
                <w:sz w:val="16"/>
                <w:szCs w:val="18"/>
              </w:rPr>
            </w:pPr>
            <w:r>
              <w:rPr>
                <w:rFonts w:hint="eastAsia"/>
                <w:sz w:val="16"/>
                <w:szCs w:val="18"/>
              </w:rPr>
              <w:t>Airport Name</w:t>
            </w:r>
          </w:p>
        </w:tc>
        <w:tc>
          <w:tcPr>
            <w:tcW w:w="887" w:type="dxa"/>
            <w:tcBorders>
              <w:bottom w:val="single" w:color="000000" w:sz="12" w:space="0"/>
            </w:tcBorders>
            <w:shd w:val="clear" w:color="auto" w:fill="auto"/>
            <w:vAlign w:val="center"/>
          </w:tcPr>
          <w:p w14:paraId="0B93FDC4">
            <w:pPr>
              <w:pStyle w:val="49"/>
              <w:rPr>
                <w:sz w:val="16"/>
                <w:szCs w:val="18"/>
              </w:rPr>
            </w:pPr>
            <w:r>
              <w:rPr>
                <w:rFonts w:hint="eastAsia"/>
                <w:sz w:val="16"/>
                <w:szCs w:val="18"/>
              </w:rPr>
              <w:t>Three-Letter Code</w:t>
            </w:r>
          </w:p>
        </w:tc>
        <w:tc>
          <w:tcPr>
            <w:tcW w:w="3231" w:type="dxa"/>
            <w:tcBorders>
              <w:bottom w:val="single" w:color="000000" w:sz="12" w:space="0"/>
            </w:tcBorders>
            <w:shd w:val="clear" w:color="auto" w:fill="auto"/>
            <w:vAlign w:val="center"/>
          </w:tcPr>
          <w:p w14:paraId="2D675AF7">
            <w:pPr>
              <w:pStyle w:val="49"/>
              <w:rPr>
                <w:sz w:val="16"/>
                <w:szCs w:val="18"/>
              </w:rPr>
            </w:pPr>
            <w:r>
              <w:rPr>
                <w:rFonts w:hint="eastAsia"/>
                <w:sz w:val="16"/>
                <w:szCs w:val="18"/>
              </w:rPr>
              <w:t>Airport Name</w:t>
            </w:r>
          </w:p>
        </w:tc>
      </w:tr>
      <w:tr w14:paraId="0100BD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op w:val="single" w:color="000000" w:sz="12" w:space="0"/>
              <w:tl2br w:val="nil"/>
              <w:tr2bl w:val="nil"/>
            </w:tcBorders>
            <w:shd w:val="clear" w:color="auto" w:fill="auto"/>
            <w:vAlign w:val="center"/>
          </w:tcPr>
          <w:p w14:paraId="51F7E9FD">
            <w:pPr>
              <w:pStyle w:val="49"/>
              <w:rPr>
                <w:sz w:val="16"/>
                <w:szCs w:val="18"/>
              </w:rPr>
            </w:pPr>
            <w:r>
              <w:rPr>
                <w:sz w:val="16"/>
                <w:szCs w:val="18"/>
              </w:rPr>
              <w:t>AAT</w:t>
            </w:r>
          </w:p>
        </w:tc>
        <w:tc>
          <w:tcPr>
            <w:tcW w:w="3126" w:type="dxa"/>
            <w:tcBorders>
              <w:top w:val="single" w:color="000000" w:sz="12" w:space="0"/>
              <w:tl2br w:val="nil"/>
              <w:tr2bl w:val="nil"/>
            </w:tcBorders>
            <w:shd w:val="clear" w:color="auto" w:fill="auto"/>
            <w:vAlign w:val="center"/>
          </w:tcPr>
          <w:p w14:paraId="30BBA359">
            <w:pPr>
              <w:pStyle w:val="49"/>
              <w:rPr>
                <w:sz w:val="16"/>
                <w:szCs w:val="18"/>
              </w:rPr>
            </w:pPr>
            <w:r>
              <w:rPr>
                <w:sz w:val="16"/>
                <w:szCs w:val="18"/>
              </w:rPr>
              <w:t>Altay Xuedu Airport</w:t>
            </w:r>
          </w:p>
        </w:tc>
        <w:tc>
          <w:tcPr>
            <w:tcW w:w="887" w:type="dxa"/>
            <w:tcBorders>
              <w:top w:val="single" w:color="000000" w:sz="12" w:space="0"/>
              <w:tl2br w:val="nil"/>
              <w:tr2bl w:val="nil"/>
            </w:tcBorders>
            <w:shd w:val="clear" w:color="auto" w:fill="auto"/>
            <w:vAlign w:val="center"/>
          </w:tcPr>
          <w:p w14:paraId="1C7C00DF">
            <w:pPr>
              <w:pStyle w:val="49"/>
              <w:rPr>
                <w:sz w:val="16"/>
                <w:szCs w:val="18"/>
              </w:rPr>
            </w:pPr>
            <w:r>
              <w:rPr>
                <w:sz w:val="16"/>
                <w:szCs w:val="18"/>
              </w:rPr>
              <w:t>LDS</w:t>
            </w:r>
          </w:p>
        </w:tc>
        <w:tc>
          <w:tcPr>
            <w:tcW w:w="3231" w:type="dxa"/>
            <w:tcBorders>
              <w:top w:val="single" w:color="000000" w:sz="12" w:space="0"/>
              <w:tl2br w:val="nil"/>
              <w:tr2bl w:val="nil"/>
            </w:tcBorders>
            <w:shd w:val="clear" w:color="auto" w:fill="auto"/>
            <w:vAlign w:val="center"/>
          </w:tcPr>
          <w:p w14:paraId="56580C22">
            <w:pPr>
              <w:pStyle w:val="49"/>
              <w:rPr>
                <w:sz w:val="16"/>
                <w:szCs w:val="18"/>
              </w:rPr>
            </w:pPr>
            <w:r>
              <w:rPr>
                <w:sz w:val="16"/>
                <w:szCs w:val="18"/>
              </w:rPr>
              <w:t>Yichun Lindu Airport</w:t>
            </w:r>
          </w:p>
        </w:tc>
      </w:tr>
      <w:tr w14:paraId="03143C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95C1A54">
            <w:pPr>
              <w:pStyle w:val="49"/>
              <w:rPr>
                <w:sz w:val="16"/>
                <w:szCs w:val="18"/>
              </w:rPr>
            </w:pPr>
            <w:r>
              <w:rPr>
                <w:sz w:val="16"/>
                <w:szCs w:val="18"/>
              </w:rPr>
              <w:t>ACX</w:t>
            </w:r>
          </w:p>
        </w:tc>
        <w:tc>
          <w:tcPr>
            <w:tcW w:w="3126" w:type="dxa"/>
            <w:tcBorders>
              <w:tl2br w:val="nil"/>
              <w:tr2bl w:val="nil"/>
            </w:tcBorders>
            <w:shd w:val="clear" w:color="auto" w:fill="auto"/>
            <w:vAlign w:val="center"/>
          </w:tcPr>
          <w:p w14:paraId="2131E8EC">
            <w:pPr>
              <w:pStyle w:val="49"/>
              <w:rPr>
                <w:sz w:val="16"/>
                <w:szCs w:val="18"/>
              </w:rPr>
            </w:pPr>
            <w:r>
              <w:rPr>
                <w:sz w:val="16"/>
                <w:szCs w:val="18"/>
              </w:rPr>
              <w:t>Xingyi Wanfenglin Airport</w:t>
            </w:r>
          </w:p>
        </w:tc>
        <w:tc>
          <w:tcPr>
            <w:tcW w:w="887" w:type="dxa"/>
            <w:tcBorders>
              <w:tl2br w:val="nil"/>
              <w:tr2bl w:val="nil"/>
            </w:tcBorders>
            <w:shd w:val="clear" w:color="auto" w:fill="auto"/>
            <w:vAlign w:val="center"/>
          </w:tcPr>
          <w:p w14:paraId="0D2786FC">
            <w:pPr>
              <w:pStyle w:val="49"/>
              <w:rPr>
                <w:sz w:val="16"/>
                <w:szCs w:val="18"/>
              </w:rPr>
            </w:pPr>
            <w:r>
              <w:rPr>
                <w:sz w:val="16"/>
                <w:szCs w:val="18"/>
              </w:rPr>
              <w:t>LFQ</w:t>
            </w:r>
          </w:p>
        </w:tc>
        <w:tc>
          <w:tcPr>
            <w:tcW w:w="3231" w:type="dxa"/>
            <w:tcBorders>
              <w:tl2br w:val="nil"/>
              <w:tr2bl w:val="nil"/>
            </w:tcBorders>
            <w:shd w:val="clear" w:color="auto" w:fill="auto"/>
            <w:vAlign w:val="center"/>
          </w:tcPr>
          <w:p w14:paraId="4D21D13F">
            <w:pPr>
              <w:pStyle w:val="49"/>
              <w:rPr>
                <w:sz w:val="16"/>
                <w:szCs w:val="18"/>
              </w:rPr>
            </w:pPr>
            <w:r>
              <w:rPr>
                <w:sz w:val="16"/>
                <w:szCs w:val="18"/>
              </w:rPr>
              <w:t>Linfen Yaodu Airport</w:t>
            </w:r>
          </w:p>
        </w:tc>
      </w:tr>
      <w:tr w14:paraId="044E82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7CC8D0A">
            <w:pPr>
              <w:pStyle w:val="49"/>
              <w:rPr>
                <w:sz w:val="16"/>
                <w:szCs w:val="18"/>
              </w:rPr>
            </w:pPr>
            <w:r>
              <w:rPr>
                <w:sz w:val="16"/>
                <w:szCs w:val="18"/>
              </w:rPr>
              <w:t>AEB</w:t>
            </w:r>
          </w:p>
        </w:tc>
        <w:tc>
          <w:tcPr>
            <w:tcW w:w="3126" w:type="dxa"/>
            <w:tcBorders>
              <w:tl2br w:val="nil"/>
              <w:tr2bl w:val="nil"/>
            </w:tcBorders>
            <w:shd w:val="clear" w:color="auto" w:fill="auto"/>
            <w:vAlign w:val="center"/>
          </w:tcPr>
          <w:p w14:paraId="71A59916">
            <w:pPr>
              <w:pStyle w:val="49"/>
              <w:rPr>
                <w:sz w:val="16"/>
                <w:szCs w:val="18"/>
              </w:rPr>
            </w:pPr>
            <w:r>
              <w:rPr>
                <w:sz w:val="16"/>
                <w:szCs w:val="18"/>
              </w:rPr>
              <w:t>Baise Bama Airport</w:t>
            </w:r>
          </w:p>
        </w:tc>
        <w:tc>
          <w:tcPr>
            <w:tcW w:w="887" w:type="dxa"/>
            <w:tcBorders>
              <w:tl2br w:val="nil"/>
              <w:tr2bl w:val="nil"/>
            </w:tcBorders>
            <w:shd w:val="clear" w:color="auto" w:fill="auto"/>
            <w:vAlign w:val="center"/>
          </w:tcPr>
          <w:p w14:paraId="2996C498">
            <w:pPr>
              <w:pStyle w:val="49"/>
              <w:rPr>
                <w:sz w:val="16"/>
                <w:szCs w:val="18"/>
              </w:rPr>
            </w:pPr>
            <w:r>
              <w:rPr>
                <w:sz w:val="16"/>
                <w:szCs w:val="18"/>
              </w:rPr>
              <w:t>LHW</w:t>
            </w:r>
          </w:p>
        </w:tc>
        <w:tc>
          <w:tcPr>
            <w:tcW w:w="3231" w:type="dxa"/>
            <w:tcBorders>
              <w:tl2br w:val="nil"/>
              <w:tr2bl w:val="nil"/>
            </w:tcBorders>
            <w:shd w:val="clear" w:color="auto" w:fill="auto"/>
            <w:vAlign w:val="center"/>
          </w:tcPr>
          <w:p w14:paraId="01961D1A">
            <w:pPr>
              <w:pStyle w:val="49"/>
              <w:rPr>
                <w:sz w:val="16"/>
                <w:szCs w:val="18"/>
              </w:rPr>
            </w:pPr>
            <w:r>
              <w:rPr>
                <w:sz w:val="16"/>
                <w:szCs w:val="18"/>
              </w:rPr>
              <w:t>Lanzhou Zhongchuan International Airport</w:t>
            </w:r>
          </w:p>
        </w:tc>
      </w:tr>
      <w:tr w14:paraId="2EAE2A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3D46344">
            <w:pPr>
              <w:pStyle w:val="49"/>
              <w:rPr>
                <w:sz w:val="16"/>
                <w:szCs w:val="18"/>
              </w:rPr>
            </w:pPr>
            <w:r>
              <w:rPr>
                <w:sz w:val="16"/>
                <w:szCs w:val="18"/>
              </w:rPr>
              <w:t>AHJ</w:t>
            </w:r>
          </w:p>
        </w:tc>
        <w:tc>
          <w:tcPr>
            <w:tcW w:w="3126" w:type="dxa"/>
            <w:tcBorders>
              <w:tl2br w:val="nil"/>
              <w:tr2bl w:val="nil"/>
            </w:tcBorders>
            <w:shd w:val="clear" w:color="auto" w:fill="auto"/>
            <w:vAlign w:val="center"/>
          </w:tcPr>
          <w:p w14:paraId="3C0BD9E4">
            <w:pPr>
              <w:pStyle w:val="49"/>
              <w:rPr>
                <w:sz w:val="16"/>
                <w:szCs w:val="18"/>
              </w:rPr>
            </w:pPr>
            <w:r>
              <w:rPr>
                <w:sz w:val="16"/>
                <w:szCs w:val="18"/>
              </w:rPr>
              <w:t>Aba Hongyuan Airport</w:t>
            </w:r>
          </w:p>
        </w:tc>
        <w:tc>
          <w:tcPr>
            <w:tcW w:w="887" w:type="dxa"/>
            <w:tcBorders>
              <w:tl2br w:val="nil"/>
              <w:tr2bl w:val="nil"/>
            </w:tcBorders>
            <w:shd w:val="clear" w:color="auto" w:fill="auto"/>
            <w:vAlign w:val="center"/>
          </w:tcPr>
          <w:p w14:paraId="0779008B">
            <w:pPr>
              <w:pStyle w:val="49"/>
              <w:rPr>
                <w:sz w:val="16"/>
                <w:szCs w:val="18"/>
              </w:rPr>
            </w:pPr>
            <w:r>
              <w:rPr>
                <w:sz w:val="16"/>
                <w:szCs w:val="18"/>
              </w:rPr>
              <w:t>LJG</w:t>
            </w:r>
          </w:p>
        </w:tc>
        <w:tc>
          <w:tcPr>
            <w:tcW w:w="3231" w:type="dxa"/>
            <w:tcBorders>
              <w:tl2br w:val="nil"/>
              <w:tr2bl w:val="nil"/>
            </w:tcBorders>
            <w:shd w:val="clear" w:color="auto" w:fill="auto"/>
            <w:vAlign w:val="center"/>
          </w:tcPr>
          <w:p w14:paraId="521CE573">
            <w:pPr>
              <w:pStyle w:val="49"/>
              <w:rPr>
                <w:sz w:val="16"/>
                <w:szCs w:val="18"/>
              </w:rPr>
            </w:pPr>
            <w:r>
              <w:rPr>
                <w:sz w:val="16"/>
                <w:szCs w:val="18"/>
              </w:rPr>
              <w:t>Lijiang Sanyi International Airport</w:t>
            </w:r>
          </w:p>
        </w:tc>
      </w:tr>
      <w:tr w14:paraId="7D99E4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6C268E9">
            <w:pPr>
              <w:pStyle w:val="49"/>
              <w:rPr>
                <w:sz w:val="16"/>
                <w:szCs w:val="18"/>
              </w:rPr>
            </w:pPr>
            <w:r>
              <w:rPr>
                <w:sz w:val="16"/>
                <w:szCs w:val="18"/>
              </w:rPr>
              <w:t>AKU</w:t>
            </w:r>
          </w:p>
        </w:tc>
        <w:tc>
          <w:tcPr>
            <w:tcW w:w="3126" w:type="dxa"/>
            <w:tcBorders>
              <w:tl2br w:val="nil"/>
              <w:tr2bl w:val="nil"/>
            </w:tcBorders>
            <w:shd w:val="clear" w:color="auto" w:fill="auto"/>
            <w:vAlign w:val="center"/>
          </w:tcPr>
          <w:p w14:paraId="7346DFED">
            <w:pPr>
              <w:pStyle w:val="49"/>
              <w:rPr>
                <w:sz w:val="16"/>
                <w:szCs w:val="18"/>
              </w:rPr>
            </w:pPr>
            <w:r>
              <w:rPr>
                <w:sz w:val="16"/>
                <w:szCs w:val="18"/>
              </w:rPr>
              <w:t>Aksu Hongqipao Airport</w:t>
            </w:r>
          </w:p>
        </w:tc>
        <w:tc>
          <w:tcPr>
            <w:tcW w:w="887" w:type="dxa"/>
            <w:tcBorders>
              <w:tl2br w:val="nil"/>
              <w:tr2bl w:val="nil"/>
            </w:tcBorders>
            <w:shd w:val="clear" w:color="auto" w:fill="auto"/>
            <w:vAlign w:val="center"/>
          </w:tcPr>
          <w:p w14:paraId="35AF91F0">
            <w:pPr>
              <w:pStyle w:val="49"/>
              <w:rPr>
                <w:sz w:val="16"/>
                <w:szCs w:val="18"/>
              </w:rPr>
            </w:pPr>
            <w:r>
              <w:rPr>
                <w:sz w:val="16"/>
                <w:szCs w:val="18"/>
              </w:rPr>
              <w:t>LLB</w:t>
            </w:r>
          </w:p>
        </w:tc>
        <w:tc>
          <w:tcPr>
            <w:tcW w:w="3231" w:type="dxa"/>
            <w:tcBorders>
              <w:tl2br w:val="nil"/>
              <w:tr2bl w:val="nil"/>
            </w:tcBorders>
            <w:shd w:val="clear" w:color="auto" w:fill="auto"/>
            <w:vAlign w:val="center"/>
          </w:tcPr>
          <w:p w14:paraId="1F7E266F">
            <w:pPr>
              <w:pStyle w:val="49"/>
              <w:rPr>
                <w:sz w:val="16"/>
                <w:szCs w:val="18"/>
              </w:rPr>
            </w:pPr>
            <w:r>
              <w:rPr>
                <w:sz w:val="16"/>
                <w:szCs w:val="18"/>
              </w:rPr>
              <w:t>Qiannan Libo Airport</w:t>
            </w:r>
          </w:p>
        </w:tc>
      </w:tr>
      <w:tr w14:paraId="2EEBD2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864B16B">
            <w:pPr>
              <w:pStyle w:val="49"/>
              <w:rPr>
                <w:sz w:val="16"/>
                <w:szCs w:val="18"/>
              </w:rPr>
            </w:pPr>
            <w:r>
              <w:rPr>
                <w:sz w:val="16"/>
                <w:szCs w:val="18"/>
              </w:rPr>
              <w:t>AOG</w:t>
            </w:r>
          </w:p>
        </w:tc>
        <w:tc>
          <w:tcPr>
            <w:tcW w:w="3126" w:type="dxa"/>
            <w:tcBorders>
              <w:tl2br w:val="nil"/>
              <w:tr2bl w:val="nil"/>
            </w:tcBorders>
            <w:shd w:val="clear" w:color="auto" w:fill="auto"/>
            <w:vAlign w:val="center"/>
          </w:tcPr>
          <w:p w14:paraId="7C184ADD">
            <w:pPr>
              <w:pStyle w:val="49"/>
              <w:rPr>
                <w:sz w:val="16"/>
                <w:szCs w:val="18"/>
              </w:rPr>
            </w:pPr>
            <w:r>
              <w:rPr>
                <w:sz w:val="16"/>
                <w:szCs w:val="18"/>
              </w:rPr>
              <w:t>Anshan Teng'ao Airport</w:t>
            </w:r>
          </w:p>
        </w:tc>
        <w:tc>
          <w:tcPr>
            <w:tcW w:w="887" w:type="dxa"/>
            <w:tcBorders>
              <w:tl2br w:val="nil"/>
              <w:tr2bl w:val="nil"/>
            </w:tcBorders>
            <w:shd w:val="clear" w:color="auto" w:fill="auto"/>
            <w:vAlign w:val="center"/>
          </w:tcPr>
          <w:p w14:paraId="005AE962">
            <w:pPr>
              <w:pStyle w:val="49"/>
              <w:rPr>
                <w:sz w:val="16"/>
                <w:szCs w:val="18"/>
              </w:rPr>
            </w:pPr>
            <w:r>
              <w:rPr>
                <w:sz w:val="16"/>
                <w:szCs w:val="18"/>
              </w:rPr>
              <w:t>LLF</w:t>
            </w:r>
          </w:p>
        </w:tc>
        <w:tc>
          <w:tcPr>
            <w:tcW w:w="3231" w:type="dxa"/>
            <w:tcBorders>
              <w:tl2br w:val="nil"/>
              <w:tr2bl w:val="nil"/>
            </w:tcBorders>
            <w:shd w:val="clear" w:color="auto" w:fill="auto"/>
            <w:vAlign w:val="center"/>
          </w:tcPr>
          <w:p w14:paraId="33CD3213">
            <w:pPr>
              <w:pStyle w:val="49"/>
              <w:rPr>
                <w:sz w:val="16"/>
                <w:szCs w:val="18"/>
              </w:rPr>
            </w:pPr>
            <w:r>
              <w:rPr>
                <w:sz w:val="16"/>
                <w:szCs w:val="18"/>
              </w:rPr>
              <w:t>Yongzhou Lingling Airport</w:t>
            </w:r>
          </w:p>
        </w:tc>
      </w:tr>
      <w:tr w14:paraId="51EFE9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2BDD9CC">
            <w:pPr>
              <w:pStyle w:val="49"/>
              <w:rPr>
                <w:sz w:val="16"/>
                <w:szCs w:val="18"/>
              </w:rPr>
            </w:pPr>
            <w:r>
              <w:rPr>
                <w:sz w:val="16"/>
                <w:szCs w:val="18"/>
              </w:rPr>
              <w:t>AQG</w:t>
            </w:r>
          </w:p>
        </w:tc>
        <w:tc>
          <w:tcPr>
            <w:tcW w:w="3126" w:type="dxa"/>
            <w:tcBorders>
              <w:tl2br w:val="nil"/>
              <w:tr2bl w:val="nil"/>
            </w:tcBorders>
            <w:shd w:val="clear" w:color="auto" w:fill="auto"/>
            <w:vAlign w:val="center"/>
          </w:tcPr>
          <w:p w14:paraId="57981E44">
            <w:pPr>
              <w:pStyle w:val="49"/>
              <w:rPr>
                <w:sz w:val="16"/>
                <w:szCs w:val="18"/>
              </w:rPr>
            </w:pPr>
            <w:r>
              <w:rPr>
                <w:sz w:val="16"/>
                <w:szCs w:val="18"/>
              </w:rPr>
              <w:t>Anqing Tianzhushan Airport</w:t>
            </w:r>
          </w:p>
        </w:tc>
        <w:tc>
          <w:tcPr>
            <w:tcW w:w="887" w:type="dxa"/>
            <w:tcBorders>
              <w:tl2br w:val="nil"/>
              <w:tr2bl w:val="nil"/>
            </w:tcBorders>
            <w:shd w:val="clear" w:color="auto" w:fill="auto"/>
            <w:vAlign w:val="center"/>
          </w:tcPr>
          <w:p w14:paraId="34CAA86E">
            <w:pPr>
              <w:pStyle w:val="49"/>
              <w:rPr>
                <w:sz w:val="16"/>
                <w:szCs w:val="18"/>
              </w:rPr>
            </w:pPr>
            <w:r>
              <w:rPr>
                <w:sz w:val="16"/>
                <w:szCs w:val="18"/>
              </w:rPr>
              <w:t>LLV</w:t>
            </w:r>
          </w:p>
        </w:tc>
        <w:tc>
          <w:tcPr>
            <w:tcW w:w="3231" w:type="dxa"/>
            <w:tcBorders>
              <w:tl2br w:val="nil"/>
              <w:tr2bl w:val="nil"/>
            </w:tcBorders>
            <w:shd w:val="clear" w:color="auto" w:fill="auto"/>
            <w:vAlign w:val="center"/>
          </w:tcPr>
          <w:p w14:paraId="11358CB0">
            <w:pPr>
              <w:pStyle w:val="49"/>
              <w:rPr>
                <w:sz w:val="16"/>
                <w:szCs w:val="18"/>
              </w:rPr>
            </w:pPr>
            <w:r>
              <w:rPr>
                <w:sz w:val="16"/>
                <w:szCs w:val="18"/>
              </w:rPr>
              <w:t>Lüliang Dawu Airport</w:t>
            </w:r>
          </w:p>
        </w:tc>
      </w:tr>
      <w:tr w14:paraId="72618C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75542DB">
            <w:pPr>
              <w:pStyle w:val="49"/>
              <w:rPr>
                <w:sz w:val="16"/>
                <w:szCs w:val="18"/>
              </w:rPr>
            </w:pPr>
            <w:r>
              <w:rPr>
                <w:sz w:val="16"/>
                <w:szCs w:val="18"/>
              </w:rPr>
              <w:t>AVA</w:t>
            </w:r>
          </w:p>
        </w:tc>
        <w:tc>
          <w:tcPr>
            <w:tcW w:w="3126" w:type="dxa"/>
            <w:tcBorders>
              <w:tl2br w:val="nil"/>
              <w:tr2bl w:val="nil"/>
            </w:tcBorders>
            <w:shd w:val="clear" w:color="auto" w:fill="auto"/>
            <w:vAlign w:val="center"/>
          </w:tcPr>
          <w:p w14:paraId="4ABC7A72">
            <w:pPr>
              <w:pStyle w:val="49"/>
              <w:rPr>
                <w:sz w:val="16"/>
                <w:szCs w:val="18"/>
              </w:rPr>
            </w:pPr>
            <w:r>
              <w:rPr>
                <w:sz w:val="16"/>
                <w:szCs w:val="18"/>
              </w:rPr>
              <w:t>Anshun Huangguoshu Airport</w:t>
            </w:r>
          </w:p>
        </w:tc>
        <w:tc>
          <w:tcPr>
            <w:tcW w:w="887" w:type="dxa"/>
            <w:tcBorders>
              <w:tl2br w:val="nil"/>
              <w:tr2bl w:val="nil"/>
            </w:tcBorders>
            <w:shd w:val="clear" w:color="auto" w:fill="auto"/>
            <w:vAlign w:val="center"/>
          </w:tcPr>
          <w:p w14:paraId="77BC0B4B">
            <w:pPr>
              <w:pStyle w:val="49"/>
              <w:rPr>
                <w:sz w:val="16"/>
                <w:szCs w:val="18"/>
              </w:rPr>
            </w:pPr>
            <w:r>
              <w:rPr>
                <w:sz w:val="16"/>
                <w:szCs w:val="18"/>
              </w:rPr>
              <w:t>LNJ</w:t>
            </w:r>
          </w:p>
        </w:tc>
        <w:tc>
          <w:tcPr>
            <w:tcW w:w="3231" w:type="dxa"/>
            <w:tcBorders>
              <w:tl2br w:val="nil"/>
              <w:tr2bl w:val="nil"/>
            </w:tcBorders>
            <w:shd w:val="clear" w:color="auto" w:fill="auto"/>
            <w:vAlign w:val="center"/>
          </w:tcPr>
          <w:p w14:paraId="07D4B5A2">
            <w:pPr>
              <w:pStyle w:val="49"/>
              <w:rPr>
                <w:sz w:val="16"/>
                <w:szCs w:val="18"/>
              </w:rPr>
            </w:pPr>
            <w:r>
              <w:rPr>
                <w:sz w:val="16"/>
                <w:szCs w:val="18"/>
              </w:rPr>
              <w:t>Lincang Bashang Airport</w:t>
            </w:r>
          </w:p>
        </w:tc>
      </w:tr>
      <w:tr w14:paraId="19DD1D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0CAB4400">
            <w:pPr>
              <w:pStyle w:val="49"/>
              <w:rPr>
                <w:sz w:val="16"/>
                <w:szCs w:val="18"/>
              </w:rPr>
            </w:pPr>
            <w:r>
              <w:rPr>
                <w:sz w:val="16"/>
                <w:szCs w:val="18"/>
              </w:rPr>
              <w:t>AXF</w:t>
            </w:r>
          </w:p>
        </w:tc>
        <w:tc>
          <w:tcPr>
            <w:tcW w:w="3126" w:type="dxa"/>
            <w:tcBorders>
              <w:tl2br w:val="nil"/>
              <w:tr2bl w:val="nil"/>
            </w:tcBorders>
            <w:shd w:val="clear" w:color="auto" w:fill="auto"/>
            <w:vAlign w:val="center"/>
          </w:tcPr>
          <w:p w14:paraId="00557CD0">
            <w:pPr>
              <w:pStyle w:val="49"/>
              <w:rPr>
                <w:sz w:val="16"/>
                <w:szCs w:val="18"/>
              </w:rPr>
            </w:pPr>
            <w:r>
              <w:rPr>
                <w:sz w:val="16"/>
                <w:szCs w:val="18"/>
              </w:rPr>
              <w:t>Alxa Left Banner Bayanhot Airport</w:t>
            </w:r>
          </w:p>
        </w:tc>
        <w:tc>
          <w:tcPr>
            <w:tcW w:w="887" w:type="dxa"/>
            <w:tcBorders>
              <w:tl2br w:val="nil"/>
              <w:tr2bl w:val="nil"/>
            </w:tcBorders>
            <w:shd w:val="clear" w:color="auto" w:fill="auto"/>
            <w:vAlign w:val="center"/>
          </w:tcPr>
          <w:p w14:paraId="1C8917C4">
            <w:pPr>
              <w:pStyle w:val="49"/>
              <w:rPr>
                <w:sz w:val="16"/>
                <w:szCs w:val="18"/>
              </w:rPr>
            </w:pPr>
            <w:r>
              <w:rPr>
                <w:sz w:val="16"/>
                <w:szCs w:val="18"/>
              </w:rPr>
              <w:t>LNL</w:t>
            </w:r>
          </w:p>
        </w:tc>
        <w:tc>
          <w:tcPr>
            <w:tcW w:w="3231" w:type="dxa"/>
            <w:tcBorders>
              <w:tl2br w:val="nil"/>
              <w:tr2bl w:val="nil"/>
            </w:tcBorders>
            <w:shd w:val="clear" w:color="auto" w:fill="auto"/>
            <w:vAlign w:val="center"/>
          </w:tcPr>
          <w:p w14:paraId="6626F638">
            <w:pPr>
              <w:pStyle w:val="49"/>
              <w:rPr>
                <w:sz w:val="16"/>
                <w:szCs w:val="18"/>
              </w:rPr>
            </w:pPr>
            <w:r>
              <w:rPr>
                <w:sz w:val="16"/>
                <w:szCs w:val="18"/>
              </w:rPr>
              <w:t>Longnan Chengxian Airport</w:t>
            </w:r>
          </w:p>
        </w:tc>
      </w:tr>
      <w:tr w14:paraId="05CA11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1D256EAB">
            <w:pPr>
              <w:pStyle w:val="49"/>
              <w:rPr>
                <w:sz w:val="16"/>
                <w:szCs w:val="18"/>
              </w:rPr>
            </w:pPr>
            <w:r>
              <w:rPr>
                <w:sz w:val="16"/>
                <w:szCs w:val="18"/>
              </w:rPr>
              <w:t>BAR</w:t>
            </w:r>
          </w:p>
        </w:tc>
        <w:tc>
          <w:tcPr>
            <w:tcW w:w="3126" w:type="dxa"/>
            <w:tcBorders>
              <w:tl2br w:val="nil"/>
              <w:tr2bl w:val="nil"/>
            </w:tcBorders>
            <w:shd w:val="clear" w:color="auto" w:fill="auto"/>
            <w:vAlign w:val="center"/>
          </w:tcPr>
          <w:p w14:paraId="1CD5B7F7">
            <w:pPr>
              <w:pStyle w:val="49"/>
              <w:rPr>
                <w:sz w:val="16"/>
                <w:szCs w:val="18"/>
              </w:rPr>
            </w:pPr>
            <w:r>
              <w:rPr>
                <w:sz w:val="16"/>
                <w:szCs w:val="18"/>
              </w:rPr>
              <w:t>Qionghai Boao International Airport</w:t>
            </w:r>
          </w:p>
        </w:tc>
        <w:tc>
          <w:tcPr>
            <w:tcW w:w="887" w:type="dxa"/>
            <w:tcBorders>
              <w:tl2br w:val="nil"/>
              <w:tr2bl w:val="nil"/>
            </w:tcBorders>
            <w:shd w:val="clear" w:color="auto" w:fill="auto"/>
            <w:vAlign w:val="center"/>
          </w:tcPr>
          <w:p w14:paraId="6B9AD92F">
            <w:pPr>
              <w:pStyle w:val="49"/>
              <w:rPr>
                <w:sz w:val="16"/>
                <w:szCs w:val="18"/>
              </w:rPr>
            </w:pPr>
            <w:r>
              <w:rPr>
                <w:sz w:val="16"/>
                <w:szCs w:val="18"/>
              </w:rPr>
              <w:t>LPF</w:t>
            </w:r>
          </w:p>
        </w:tc>
        <w:tc>
          <w:tcPr>
            <w:tcW w:w="3231" w:type="dxa"/>
            <w:tcBorders>
              <w:tl2br w:val="nil"/>
              <w:tr2bl w:val="nil"/>
            </w:tcBorders>
            <w:shd w:val="clear" w:color="auto" w:fill="auto"/>
            <w:vAlign w:val="center"/>
          </w:tcPr>
          <w:p w14:paraId="11F4855C">
            <w:pPr>
              <w:pStyle w:val="49"/>
              <w:rPr>
                <w:sz w:val="16"/>
                <w:szCs w:val="18"/>
              </w:rPr>
            </w:pPr>
            <w:r>
              <w:rPr>
                <w:sz w:val="16"/>
                <w:szCs w:val="18"/>
              </w:rPr>
              <w:t>Liupanshui Yuezhao Airport</w:t>
            </w:r>
          </w:p>
        </w:tc>
      </w:tr>
      <w:tr w14:paraId="0CF2F8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66F2954">
            <w:pPr>
              <w:pStyle w:val="49"/>
              <w:rPr>
                <w:sz w:val="16"/>
                <w:szCs w:val="18"/>
              </w:rPr>
            </w:pPr>
            <w:r>
              <w:rPr>
                <w:sz w:val="16"/>
                <w:szCs w:val="18"/>
              </w:rPr>
              <w:t>BAV</w:t>
            </w:r>
          </w:p>
        </w:tc>
        <w:tc>
          <w:tcPr>
            <w:tcW w:w="3126" w:type="dxa"/>
            <w:tcBorders>
              <w:tl2br w:val="nil"/>
              <w:tr2bl w:val="nil"/>
            </w:tcBorders>
            <w:shd w:val="clear" w:color="auto" w:fill="auto"/>
            <w:vAlign w:val="center"/>
          </w:tcPr>
          <w:p w14:paraId="03638145">
            <w:pPr>
              <w:pStyle w:val="49"/>
              <w:rPr>
                <w:sz w:val="16"/>
                <w:szCs w:val="18"/>
              </w:rPr>
            </w:pPr>
            <w:r>
              <w:rPr>
                <w:sz w:val="16"/>
                <w:szCs w:val="18"/>
              </w:rPr>
              <w:t>Baotou Airport</w:t>
            </w:r>
          </w:p>
        </w:tc>
        <w:tc>
          <w:tcPr>
            <w:tcW w:w="887" w:type="dxa"/>
            <w:tcBorders>
              <w:tl2br w:val="nil"/>
              <w:tr2bl w:val="nil"/>
            </w:tcBorders>
            <w:shd w:val="clear" w:color="auto" w:fill="auto"/>
            <w:vAlign w:val="center"/>
          </w:tcPr>
          <w:p w14:paraId="0E38C752">
            <w:pPr>
              <w:pStyle w:val="49"/>
              <w:rPr>
                <w:sz w:val="16"/>
                <w:szCs w:val="18"/>
              </w:rPr>
            </w:pPr>
            <w:r>
              <w:rPr>
                <w:sz w:val="16"/>
                <w:szCs w:val="18"/>
              </w:rPr>
              <w:t>LUM</w:t>
            </w:r>
          </w:p>
        </w:tc>
        <w:tc>
          <w:tcPr>
            <w:tcW w:w="3231" w:type="dxa"/>
            <w:tcBorders>
              <w:tl2br w:val="nil"/>
              <w:tr2bl w:val="nil"/>
            </w:tcBorders>
            <w:shd w:val="clear" w:color="auto" w:fill="auto"/>
            <w:vAlign w:val="center"/>
          </w:tcPr>
          <w:p w14:paraId="6230EF66">
            <w:pPr>
              <w:pStyle w:val="49"/>
              <w:rPr>
                <w:sz w:val="16"/>
                <w:szCs w:val="18"/>
              </w:rPr>
            </w:pPr>
            <w:r>
              <w:rPr>
                <w:sz w:val="16"/>
                <w:szCs w:val="18"/>
              </w:rPr>
              <w:t>Dehong Mangshi International Airport</w:t>
            </w:r>
          </w:p>
        </w:tc>
      </w:tr>
      <w:tr w14:paraId="1D5878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DAF2123">
            <w:pPr>
              <w:pStyle w:val="49"/>
              <w:rPr>
                <w:sz w:val="16"/>
                <w:szCs w:val="18"/>
              </w:rPr>
            </w:pPr>
            <w:r>
              <w:rPr>
                <w:sz w:val="16"/>
                <w:szCs w:val="18"/>
              </w:rPr>
              <w:t>BFG</w:t>
            </w:r>
          </w:p>
        </w:tc>
        <w:tc>
          <w:tcPr>
            <w:tcW w:w="3126" w:type="dxa"/>
            <w:tcBorders>
              <w:tl2br w:val="nil"/>
              <w:tr2bl w:val="nil"/>
            </w:tcBorders>
            <w:shd w:val="clear" w:color="auto" w:fill="auto"/>
            <w:vAlign w:val="center"/>
          </w:tcPr>
          <w:p w14:paraId="70049BEF">
            <w:pPr>
              <w:pStyle w:val="49"/>
              <w:rPr>
                <w:sz w:val="16"/>
                <w:szCs w:val="18"/>
              </w:rPr>
            </w:pPr>
            <w:r>
              <w:rPr>
                <w:sz w:val="16"/>
                <w:szCs w:val="18"/>
              </w:rPr>
              <w:t>Xilinhot Airport</w:t>
            </w:r>
          </w:p>
        </w:tc>
        <w:tc>
          <w:tcPr>
            <w:tcW w:w="887" w:type="dxa"/>
            <w:tcBorders>
              <w:tl2br w:val="nil"/>
              <w:tr2bl w:val="nil"/>
            </w:tcBorders>
            <w:shd w:val="clear" w:color="auto" w:fill="auto"/>
            <w:vAlign w:val="center"/>
          </w:tcPr>
          <w:p w14:paraId="50E5D5D9">
            <w:pPr>
              <w:pStyle w:val="49"/>
              <w:rPr>
                <w:sz w:val="16"/>
                <w:szCs w:val="18"/>
              </w:rPr>
            </w:pPr>
            <w:r>
              <w:rPr>
                <w:sz w:val="16"/>
                <w:szCs w:val="18"/>
              </w:rPr>
              <w:t>LXA</w:t>
            </w:r>
          </w:p>
        </w:tc>
        <w:tc>
          <w:tcPr>
            <w:tcW w:w="3231" w:type="dxa"/>
            <w:tcBorders>
              <w:tl2br w:val="nil"/>
              <w:tr2bl w:val="nil"/>
            </w:tcBorders>
            <w:shd w:val="clear" w:color="auto" w:fill="auto"/>
            <w:vAlign w:val="center"/>
          </w:tcPr>
          <w:p w14:paraId="27C0A59D">
            <w:pPr>
              <w:pStyle w:val="49"/>
              <w:rPr>
                <w:sz w:val="16"/>
                <w:szCs w:val="18"/>
              </w:rPr>
            </w:pPr>
            <w:r>
              <w:rPr>
                <w:sz w:val="16"/>
                <w:szCs w:val="18"/>
              </w:rPr>
              <w:t>Lhasa Gonggar International Airport</w:t>
            </w:r>
          </w:p>
        </w:tc>
      </w:tr>
      <w:tr w14:paraId="318A79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86E003C">
            <w:pPr>
              <w:pStyle w:val="49"/>
              <w:rPr>
                <w:sz w:val="16"/>
                <w:szCs w:val="18"/>
              </w:rPr>
            </w:pPr>
            <w:r>
              <w:rPr>
                <w:sz w:val="16"/>
                <w:szCs w:val="18"/>
              </w:rPr>
              <w:t>BFJ</w:t>
            </w:r>
          </w:p>
        </w:tc>
        <w:tc>
          <w:tcPr>
            <w:tcW w:w="3126" w:type="dxa"/>
            <w:tcBorders>
              <w:tl2br w:val="nil"/>
              <w:tr2bl w:val="nil"/>
            </w:tcBorders>
            <w:shd w:val="clear" w:color="auto" w:fill="auto"/>
            <w:vAlign w:val="center"/>
          </w:tcPr>
          <w:p w14:paraId="011CD2BC">
            <w:pPr>
              <w:pStyle w:val="49"/>
              <w:rPr>
                <w:sz w:val="16"/>
                <w:szCs w:val="18"/>
              </w:rPr>
            </w:pPr>
            <w:r>
              <w:rPr>
                <w:sz w:val="16"/>
                <w:szCs w:val="18"/>
              </w:rPr>
              <w:t>Bijie Feixiong Airport</w:t>
            </w:r>
          </w:p>
        </w:tc>
        <w:tc>
          <w:tcPr>
            <w:tcW w:w="887" w:type="dxa"/>
            <w:tcBorders>
              <w:tl2br w:val="nil"/>
              <w:tr2bl w:val="nil"/>
            </w:tcBorders>
            <w:shd w:val="clear" w:color="auto" w:fill="auto"/>
            <w:vAlign w:val="center"/>
          </w:tcPr>
          <w:p w14:paraId="04261809">
            <w:pPr>
              <w:pStyle w:val="49"/>
              <w:rPr>
                <w:sz w:val="16"/>
                <w:szCs w:val="18"/>
              </w:rPr>
            </w:pPr>
            <w:r>
              <w:rPr>
                <w:sz w:val="16"/>
                <w:szCs w:val="18"/>
              </w:rPr>
              <w:t>LYA</w:t>
            </w:r>
          </w:p>
        </w:tc>
        <w:tc>
          <w:tcPr>
            <w:tcW w:w="3231" w:type="dxa"/>
            <w:tcBorders>
              <w:tl2br w:val="nil"/>
              <w:tr2bl w:val="nil"/>
            </w:tcBorders>
            <w:shd w:val="clear" w:color="auto" w:fill="auto"/>
            <w:vAlign w:val="center"/>
          </w:tcPr>
          <w:p w14:paraId="2A506ED8">
            <w:pPr>
              <w:pStyle w:val="49"/>
              <w:rPr>
                <w:sz w:val="16"/>
                <w:szCs w:val="18"/>
              </w:rPr>
            </w:pPr>
            <w:r>
              <w:rPr>
                <w:sz w:val="16"/>
                <w:szCs w:val="18"/>
              </w:rPr>
              <w:t>Luoyang Beijiao Airport</w:t>
            </w:r>
          </w:p>
        </w:tc>
      </w:tr>
      <w:tr w14:paraId="211E21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2148412">
            <w:pPr>
              <w:pStyle w:val="49"/>
              <w:rPr>
                <w:sz w:val="16"/>
                <w:szCs w:val="18"/>
              </w:rPr>
            </w:pPr>
            <w:r>
              <w:rPr>
                <w:sz w:val="16"/>
                <w:szCs w:val="18"/>
              </w:rPr>
              <w:t>BHY</w:t>
            </w:r>
          </w:p>
        </w:tc>
        <w:tc>
          <w:tcPr>
            <w:tcW w:w="3126" w:type="dxa"/>
            <w:tcBorders>
              <w:tl2br w:val="nil"/>
              <w:tr2bl w:val="nil"/>
            </w:tcBorders>
            <w:shd w:val="clear" w:color="auto" w:fill="auto"/>
            <w:vAlign w:val="center"/>
          </w:tcPr>
          <w:p w14:paraId="17C8A961">
            <w:pPr>
              <w:pStyle w:val="49"/>
              <w:rPr>
                <w:sz w:val="16"/>
                <w:szCs w:val="18"/>
              </w:rPr>
            </w:pPr>
            <w:r>
              <w:rPr>
                <w:sz w:val="16"/>
                <w:szCs w:val="18"/>
              </w:rPr>
              <w:t>Beihai Fucheng Airport</w:t>
            </w:r>
          </w:p>
        </w:tc>
        <w:tc>
          <w:tcPr>
            <w:tcW w:w="887" w:type="dxa"/>
            <w:tcBorders>
              <w:tl2br w:val="nil"/>
              <w:tr2bl w:val="nil"/>
            </w:tcBorders>
            <w:shd w:val="clear" w:color="auto" w:fill="auto"/>
            <w:vAlign w:val="center"/>
          </w:tcPr>
          <w:p w14:paraId="41E20164">
            <w:pPr>
              <w:pStyle w:val="49"/>
              <w:rPr>
                <w:sz w:val="16"/>
                <w:szCs w:val="18"/>
              </w:rPr>
            </w:pPr>
            <w:r>
              <w:rPr>
                <w:sz w:val="16"/>
                <w:szCs w:val="18"/>
              </w:rPr>
              <w:t>LYG</w:t>
            </w:r>
          </w:p>
        </w:tc>
        <w:tc>
          <w:tcPr>
            <w:tcW w:w="3231" w:type="dxa"/>
            <w:tcBorders>
              <w:tl2br w:val="nil"/>
              <w:tr2bl w:val="nil"/>
            </w:tcBorders>
            <w:shd w:val="clear" w:color="auto" w:fill="auto"/>
            <w:vAlign w:val="center"/>
          </w:tcPr>
          <w:p w14:paraId="31D8C346">
            <w:pPr>
              <w:pStyle w:val="49"/>
              <w:rPr>
                <w:sz w:val="16"/>
                <w:szCs w:val="18"/>
              </w:rPr>
            </w:pPr>
            <w:r>
              <w:rPr>
                <w:sz w:val="16"/>
                <w:szCs w:val="18"/>
              </w:rPr>
              <w:t>Lianyungang Baitabu Airport</w:t>
            </w:r>
          </w:p>
        </w:tc>
      </w:tr>
      <w:tr w14:paraId="678EA0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D1721AF">
            <w:pPr>
              <w:pStyle w:val="49"/>
              <w:rPr>
                <w:sz w:val="16"/>
                <w:szCs w:val="18"/>
              </w:rPr>
            </w:pPr>
            <w:r>
              <w:rPr>
                <w:sz w:val="16"/>
                <w:szCs w:val="18"/>
              </w:rPr>
              <w:t>BPE</w:t>
            </w:r>
          </w:p>
        </w:tc>
        <w:tc>
          <w:tcPr>
            <w:tcW w:w="3126" w:type="dxa"/>
            <w:tcBorders>
              <w:tl2br w:val="nil"/>
              <w:tr2bl w:val="nil"/>
            </w:tcBorders>
            <w:shd w:val="clear" w:color="auto" w:fill="auto"/>
            <w:vAlign w:val="center"/>
          </w:tcPr>
          <w:p w14:paraId="794BDA5E">
            <w:pPr>
              <w:pStyle w:val="49"/>
              <w:rPr>
                <w:sz w:val="16"/>
                <w:szCs w:val="18"/>
              </w:rPr>
            </w:pPr>
            <w:r>
              <w:rPr>
                <w:sz w:val="16"/>
                <w:szCs w:val="18"/>
              </w:rPr>
              <w:t>Beidaihe Airport</w:t>
            </w:r>
          </w:p>
        </w:tc>
        <w:tc>
          <w:tcPr>
            <w:tcW w:w="887" w:type="dxa"/>
            <w:tcBorders>
              <w:tl2br w:val="nil"/>
              <w:tr2bl w:val="nil"/>
            </w:tcBorders>
            <w:shd w:val="clear" w:color="auto" w:fill="auto"/>
            <w:vAlign w:val="center"/>
          </w:tcPr>
          <w:p w14:paraId="68B0CA76">
            <w:pPr>
              <w:pStyle w:val="49"/>
              <w:rPr>
                <w:sz w:val="16"/>
                <w:szCs w:val="18"/>
              </w:rPr>
            </w:pPr>
            <w:r>
              <w:rPr>
                <w:sz w:val="16"/>
                <w:szCs w:val="18"/>
              </w:rPr>
              <w:t>LYI</w:t>
            </w:r>
          </w:p>
        </w:tc>
        <w:tc>
          <w:tcPr>
            <w:tcW w:w="3231" w:type="dxa"/>
            <w:tcBorders>
              <w:tl2br w:val="nil"/>
              <w:tr2bl w:val="nil"/>
            </w:tcBorders>
            <w:shd w:val="clear" w:color="auto" w:fill="auto"/>
            <w:vAlign w:val="center"/>
          </w:tcPr>
          <w:p w14:paraId="1740998E">
            <w:pPr>
              <w:pStyle w:val="49"/>
              <w:rPr>
                <w:sz w:val="16"/>
                <w:szCs w:val="18"/>
              </w:rPr>
            </w:pPr>
            <w:r>
              <w:rPr>
                <w:sz w:val="16"/>
                <w:szCs w:val="18"/>
              </w:rPr>
              <w:t>Linyi Qiyang Airport</w:t>
            </w:r>
          </w:p>
        </w:tc>
      </w:tr>
      <w:tr w14:paraId="40D080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4A758CE">
            <w:pPr>
              <w:pStyle w:val="49"/>
              <w:rPr>
                <w:sz w:val="16"/>
                <w:szCs w:val="18"/>
              </w:rPr>
            </w:pPr>
            <w:r>
              <w:rPr>
                <w:sz w:val="16"/>
                <w:szCs w:val="18"/>
              </w:rPr>
              <w:t>BPL</w:t>
            </w:r>
          </w:p>
        </w:tc>
        <w:tc>
          <w:tcPr>
            <w:tcW w:w="3126" w:type="dxa"/>
            <w:tcBorders>
              <w:tl2br w:val="nil"/>
              <w:tr2bl w:val="nil"/>
            </w:tcBorders>
            <w:shd w:val="clear" w:color="auto" w:fill="auto"/>
            <w:vAlign w:val="center"/>
          </w:tcPr>
          <w:p w14:paraId="3719A28A">
            <w:pPr>
              <w:pStyle w:val="49"/>
              <w:rPr>
                <w:sz w:val="16"/>
                <w:szCs w:val="18"/>
              </w:rPr>
            </w:pPr>
            <w:r>
              <w:rPr>
                <w:sz w:val="16"/>
                <w:szCs w:val="18"/>
              </w:rPr>
              <w:t>Bole Alashankou Airport</w:t>
            </w:r>
          </w:p>
        </w:tc>
        <w:tc>
          <w:tcPr>
            <w:tcW w:w="887" w:type="dxa"/>
            <w:tcBorders>
              <w:tl2br w:val="nil"/>
              <w:tr2bl w:val="nil"/>
            </w:tcBorders>
            <w:shd w:val="clear" w:color="auto" w:fill="auto"/>
            <w:vAlign w:val="center"/>
          </w:tcPr>
          <w:p w14:paraId="48327425">
            <w:pPr>
              <w:pStyle w:val="49"/>
              <w:rPr>
                <w:sz w:val="16"/>
                <w:szCs w:val="18"/>
              </w:rPr>
            </w:pPr>
            <w:r>
              <w:rPr>
                <w:sz w:val="16"/>
                <w:szCs w:val="18"/>
              </w:rPr>
              <w:t>LZH</w:t>
            </w:r>
          </w:p>
        </w:tc>
        <w:tc>
          <w:tcPr>
            <w:tcW w:w="3231" w:type="dxa"/>
            <w:tcBorders>
              <w:tl2br w:val="nil"/>
              <w:tr2bl w:val="nil"/>
            </w:tcBorders>
            <w:shd w:val="clear" w:color="auto" w:fill="auto"/>
            <w:vAlign w:val="center"/>
          </w:tcPr>
          <w:p w14:paraId="3FFF130D">
            <w:pPr>
              <w:pStyle w:val="49"/>
              <w:rPr>
                <w:sz w:val="16"/>
                <w:szCs w:val="18"/>
              </w:rPr>
            </w:pPr>
            <w:r>
              <w:rPr>
                <w:sz w:val="16"/>
                <w:szCs w:val="18"/>
              </w:rPr>
              <w:t>Liuzhou Bailian Airport</w:t>
            </w:r>
          </w:p>
        </w:tc>
      </w:tr>
      <w:tr w14:paraId="50DF2D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35958BD">
            <w:pPr>
              <w:pStyle w:val="49"/>
              <w:rPr>
                <w:sz w:val="16"/>
                <w:szCs w:val="18"/>
              </w:rPr>
            </w:pPr>
            <w:r>
              <w:rPr>
                <w:sz w:val="16"/>
                <w:szCs w:val="18"/>
              </w:rPr>
              <w:t>BPX</w:t>
            </w:r>
          </w:p>
        </w:tc>
        <w:tc>
          <w:tcPr>
            <w:tcW w:w="3126" w:type="dxa"/>
            <w:tcBorders>
              <w:tl2br w:val="nil"/>
              <w:tr2bl w:val="nil"/>
            </w:tcBorders>
            <w:shd w:val="clear" w:color="auto" w:fill="auto"/>
            <w:vAlign w:val="center"/>
          </w:tcPr>
          <w:p w14:paraId="684C7DC2">
            <w:pPr>
              <w:pStyle w:val="49"/>
              <w:rPr>
                <w:sz w:val="16"/>
                <w:szCs w:val="18"/>
              </w:rPr>
            </w:pPr>
            <w:r>
              <w:rPr>
                <w:sz w:val="16"/>
                <w:szCs w:val="18"/>
              </w:rPr>
              <w:t>Qamdo Bangda Airport</w:t>
            </w:r>
          </w:p>
        </w:tc>
        <w:tc>
          <w:tcPr>
            <w:tcW w:w="887" w:type="dxa"/>
            <w:tcBorders>
              <w:tl2br w:val="nil"/>
              <w:tr2bl w:val="nil"/>
            </w:tcBorders>
            <w:shd w:val="clear" w:color="auto" w:fill="auto"/>
            <w:vAlign w:val="center"/>
          </w:tcPr>
          <w:p w14:paraId="6D6FA134">
            <w:pPr>
              <w:pStyle w:val="49"/>
              <w:rPr>
                <w:sz w:val="16"/>
                <w:szCs w:val="18"/>
              </w:rPr>
            </w:pPr>
            <w:r>
              <w:rPr>
                <w:sz w:val="16"/>
                <w:szCs w:val="18"/>
              </w:rPr>
              <w:t>LZO</w:t>
            </w:r>
          </w:p>
        </w:tc>
        <w:tc>
          <w:tcPr>
            <w:tcW w:w="3231" w:type="dxa"/>
            <w:tcBorders>
              <w:tl2br w:val="nil"/>
              <w:tr2bl w:val="nil"/>
            </w:tcBorders>
            <w:shd w:val="clear" w:color="auto" w:fill="auto"/>
            <w:vAlign w:val="center"/>
          </w:tcPr>
          <w:p w14:paraId="4FB6E3B2">
            <w:pPr>
              <w:pStyle w:val="49"/>
              <w:rPr>
                <w:sz w:val="16"/>
                <w:szCs w:val="18"/>
              </w:rPr>
            </w:pPr>
            <w:r>
              <w:rPr>
                <w:sz w:val="16"/>
                <w:szCs w:val="18"/>
              </w:rPr>
              <w:t>Luzhou Lantian Airport</w:t>
            </w:r>
          </w:p>
        </w:tc>
      </w:tr>
      <w:tr w14:paraId="3706A1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BEF1339">
            <w:pPr>
              <w:pStyle w:val="49"/>
              <w:rPr>
                <w:sz w:val="16"/>
                <w:szCs w:val="18"/>
              </w:rPr>
            </w:pPr>
            <w:r>
              <w:rPr>
                <w:sz w:val="16"/>
                <w:szCs w:val="18"/>
              </w:rPr>
              <w:t>BSD</w:t>
            </w:r>
          </w:p>
        </w:tc>
        <w:tc>
          <w:tcPr>
            <w:tcW w:w="3126" w:type="dxa"/>
            <w:tcBorders>
              <w:tl2br w:val="nil"/>
              <w:tr2bl w:val="nil"/>
            </w:tcBorders>
            <w:shd w:val="clear" w:color="auto" w:fill="auto"/>
            <w:vAlign w:val="center"/>
          </w:tcPr>
          <w:p w14:paraId="1AD1443D">
            <w:pPr>
              <w:pStyle w:val="49"/>
              <w:rPr>
                <w:sz w:val="16"/>
                <w:szCs w:val="18"/>
              </w:rPr>
            </w:pPr>
            <w:r>
              <w:rPr>
                <w:sz w:val="16"/>
                <w:szCs w:val="18"/>
              </w:rPr>
              <w:t>Baoshan Yunrui Airport</w:t>
            </w:r>
          </w:p>
        </w:tc>
        <w:tc>
          <w:tcPr>
            <w:tcW w:w="887" w:type="dxa"/>
            <w:tcBorders>
              <w:tl2br w:val="nil"/>
              <w:tr2bl w:val="nil"/>
            </w:tcBorders>
            <w:shd w:val="clear" w:color="auto" w:fill="auto"/>
            <w:vAlign w:val="center"/>
          </w:tcPr>
          <w:p w14:paraId="7071A13C">
            <w:pPr>
              <w:pStyle w:val="49"/>
              <w:rPr>
                <w:sz w:val="16"/>
                <w:szCs w:val="18"/>
              </w:rPr>
            </w:pPr>
            <w:r>
              <w:rPr>
                <w:sz w:val="16"/>
                <w:szCs w:val="18"/>
              </w:rPr>
              <w:t>LZY</w:t>
            </w:r>
          </w:p>
        </w:tc>
        <w:tc>
          <w:tcPr>
            <w:tcW w:w="3231" w:type="dxa"/>
            <w:tcBorders>
              <w:tl2br w:val="nil"/>
              <w:tr2bl w:val="nil"/>
            </w:tcBorders>
            <w:shd w:val="clear" w:color="auto" w:fill="auto"/>
            <w:vAlign w:val="center"/>
          </w:tcPr>
          <w:p w14:paraId="2AEBBD8F">
            <w:pPr>
              <w:pStyle w:val="49"/>
              <w:rPr>
                <w:sz w:val="16"/>
                <w:szCs w:val="18"/>
              </w:rPr>
            </w:pPr>
            <w:r>
              <w:rPr>
                <w:sz w:val="16"/>
                <w:szCs w:val="18"/>
              </w:rPr>
              <w:t>Nyingchi Mainling Airport</w:t>
            </w:r>
          </w:p>
        </w:tc>
      </w:tr>
      <w:tr w14:paraId="525E3F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7216820B">
            <w:pPr>
              <w:pStyle w:val="49"/>
              <w:rPr>
                <w:sz w:val="16"/>
                <w:szCs w:val="18"/>
              </w:rPr>
            </w:pPr>
            <w:r>
              <w:rPr>
                <w:sz w:val="16"/>
                <w:szCs w:val="18"/>
              </w:rPr>
              <w:t>BZX</w:t>
            </w:r>
          </w:p>
        </w:tc>
        <w:tc>
          <w:tcPr>
            <w:tcW w:w="3126" w:type="dxa"/>
            <w:tcBorders>
              <w:tl2br w:val="nil"/>
              <w:tr2bl w:val="nil"/>
            </w:tcBorders>
            <w:shd w:val="clear" w:color="auto" w:fill="auto"/>
            <w:vAlign w:val="center"/>
          </w:tcPr>
          <w:p w14:paraId="3D19C335">
            <w:pPr>
              <w:pStyle w:val="49"/>
              <w:rPr>
                <w:sz w:val="16"/>
                <w:szCs w:val="18"/>
              </w:rPr>
            </w:pPr>
            <w:r>
              <w:rPr>
                <w:sz w:val="16"/>
                <w:szCs w:val="18"/>
              </w:rPr>
              <w:t>Bazhong Enyang Airport</w:t>
            </w:r>
          </w:p>
        </w:tc>
        <w:tc>
          <w:tcPr>
            <w:tcW w:w="887" w:type="dxa"/>
            <w:tcBorders>
              <w:tl2br w:val="nil"/>
              <w:tr2bl w:val="nil"/>
            </w:tcBorders>
            <w:shd w:val="clear" w:color="auto" w:fill="auto"/>
            <w:vAlign w:val="center"/>
          </w:tcPr>
          <w:p w14:paraId="33727513">
            <w:pPr>
              <w:pStyle w:val="49"/>
              <w:rPr>
                <w:sz w:val="16"/>
                <w:szCs w:val="18"/>
              </w:rPr>
            </w:pPr>
            <w:r>
              <w:rPr>
                <w:sz w:val="16"/>
                <w:szCs w:val="18"/>
              </w:rPr>
              <w:t>MDG</w:t>
            </w:r>
          </w:p>
        </w:tc>
        <w:tc>
          <w:tcPr>
            <w:tcW w:w="3231" w:type="dxa"/>
            <w:tcBorders>
              <w:tl2br w:val="nil"/>
              <w:tr2bl w:val="nil"/>
            </w:tcBorders>
            <w:shd w:val="clear" w:color="auto" w:fill="auto"/>
            <w:vAlign w:val="center"/>
          </w:tcPr>
          <w:p w14:paraId="71E97771">
            <w:pPr>
              <w:pStyle w:val="49"/>
              <w:rPr>
                <w:sz w:val="16"/>
                <w:szCs w:val="18"/>
              </w:rPr>
            </w:pPr>
            <w:r>
              <w:rPr>
                <w:sz w:val="16"/>
                <w:szCs w:val="18"/>
              </w:rPr>
              <w:t>Mudanjiang Hailang International Airport</w:t>
            </w:r>
          </w:p>
        </w:tc>
      </w:tr>
      <w:tr w14:paraId="782EB7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6EED3428">
            <w:pPr>
              <w:pStyle w:val="49"/>
              <w:rPr>
                <w:sz w:val="16"/>
                <w:szCs w:val="18"/>
              </w:rPr>
            </w:pPr>
            <w:r>
              <w:rPr>
                <w:sz w:val="16"/>
                <w:szCs w:val="18"/>
              </w:rPr>
              <w:t>CAN</w:t>
            </w:r>
          </w:p>
        </w:tc>
        <w:tc>
          <w:tcPr>
            <w:tcW w:w="3126" w:type="dxa"/>
            <w:tcBorders>
              <w:tl2br w:val="nil"/>
              <w:tr2bl w:val="nil"/>
            </w:tcBorders>
            <w:shd w:val="clear" w:color="auto" w:fill="auto"/>
            <w:vAlign w:val="center"/>
          </w:tcPr>
          <w:p w14:paraId="5A926A1D">
            <w:pPr>
              <w:pStyle w:val="49"/>
              <w:rPr>
                <w:sz w:val="16"/>
                <w:szCs w:val="18"/>
              </w:rPr>
            </w:pPr>
            <w:r>
              <w:rPr>
                <w:sz w:val="16"/>
                <w:szCs w:val="18"/>
              </w:rPr>
              <w:t>Guangzhou Baiyun International Airport</w:t>
            </w:r>
          </w:p>
        </w:tc>
        <w:tc>
          <w:tcPr>
            <w:tcW w:w="887" w:type="dxa"/>
            <w:tcBorders>
              <w:tl2br w:val="nil"/>
              <w:tr2bl w:val="nil"/>
            </w:tcBorders>
            <w:shd w:val="clear" w:color="auto" w:fill="auto"/>
            <w:vAlign w:val="center"/>
          </w:tcPr>
          <w:p w14:paraId="5907E9F1">
            <w:pPr>
              <w:pStyle w:val="49"/>
              <w:rPr>
                <w:sz w:val="16"/>
                <w:szCs w:val="18"/>
              </w:rPr>
            </w:pPr>
            <w:r>
              <w:rPr>
                <w:sz w:val="16"/>
                <w:szCs w:val="18"/>
              </w:rPr>
              <w:t>MIG</w:t>
            </w:r>
          </w:p>
        </w:tc>
        <w:tc>
          <w:tcPr>
            <w:tcW w:w="3231" w:type="dxa"/>
            <w:tcBorders>
              <w:tl2br w:val="nil"/>
              <w:tr2bl w:val="nil"/>
            </w:tcBorders>
            <w:shd w:val="clear" w:color="auto" w:fill="auto"/>
            <w:vAlign w:val="center"/>
          </w:tcPr>
          <w:p w14:paraId="75F5AD3D">
            <w:pPr>
              <w:pStyle w:val="49"/>
              <w:rPr>
                <w:sz w:val="16"/>
                <w:szCs w:val="18"/>
              </w:rPr>
            </w:pPr>
            <w:r>
              <w:rPr>
                <w:sz w:val="16"/>
                <w:szCs w:val="18"/>
              </w:rPr>
              <w:t>Mianyang Nanjiao Airport</w:t>
            </w:r>
          </w:p>
        </w:tc>
      </w:tr>
      <w:tr w14:paraId="401C80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9B577BE">
            <w:pPr>
              <w:pStyle w:val="49"/>
              <w:rPr>
                <w:sz w:val="16"/>
                <w:szCs w:val="18"/>
              </w:rPr>
            </w:pPr>
            <w:r>
              <w:rPr>
                <w:sz w:val="16"/>
                <w:szCs w:val="18"/>
              </w:rPr>
              <w:t>CDE</w:t>
            </w:r>
          </w:p>
        </w:tc>
        <w:tc>
          <w:tcPr>
            <w:tcW w:w="3126" w:type="dxa"/>
            <w:tcBorders>
              <w:tl2br w:val="nil"/>
              <w:tr2bl w:val="nil"/>
            </w:tcBorders>
            <w:shd w:val="clear" w:color="auto" w:fill="auto"/>
            <w:vAlign w:val="center"/>
          </w:tcPr>
          <w:p w14:paraId="6216E3CE">
            <w:pPr>
              <w:pStyle w:val="49"/>
              <w:rPr>
                <w:sz w:val="16"/>
                <w:szCs w:val="18"/>
              </w:rPr>
            </w:pPr>
            <w:r>
              <w:rPr>
                <w:sz w:val="16"/>
                <w:szCs w:val="18"/>
              </w:rPr>
              <w:t>Chengde Puning Airport</w:t>
            </w:r>
          </w:p>
        </w:tc>
        <w:tc>
          <w:tcPr>
            <w:tcW w:w="887" w:type="dxa"/>
            <w:tcBorders>
              <w:tl2br w:val="nil"/>
              <w:tr2bl w:val="nil"/>
            </w:tcBorders>
            <w:shd w:val="clear" w:color="auto" w:fill="auto"/>
            <w:vAlign w:val="center"/>
          </w:tcPr>
          <w:p w14:paraId="44F6A4CF">
            <w:pPr>
              <w:pStyle w:val="49"/>
              <w:rPr>
                <w:sz w:val="16"/>
                <w:szCs w:val="18"/>
              </w:rPr>
            </w:pPr>
            <w:r>
              <w:rPr>
                <w:sz w:val="16"/>
                <w:szCs w:val="18"/>
              </w:rPr>
              <w:t>MXZ</w:t>
            </w:r>
          </w:p>
        </w:tc>
        <w:tc>
          <w:tcPr>
            <w:tcW w:w="3231" w:type="dxa"/>
            <w:tcBorders>
              <w:tl2br w:val="nil"/>
              <w:tr2bl w:val="nil"/>
            </w:tcBorders>
            <w:shd w:val="clear" w:color="auto" w:fill="auto"/>
            <w:vAlign w:val="center"/>
          </w:tcPr>
          <w:p w14:paraId="5A0F3600">
            <w:pPr>
              <w:pStyle w:val="49"/>
              <w:rPr>
                <w:sz w:val="16"/>
                <w:szCs w:val="18"/>
              </w:rPr>
            </w:pPr>
            <w:r>
              <w:rPr>
                <w:sz w:val="16"/>
                <w:szCs w:val="18"/>
              </w:rPr>
              <w:t>Meizhou Meixian Airport</w:t>
            </w:r>
          </w:p>
        </w:tc>
      </w:tr>
      <w:tr w14:paraId="4E1396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42E5183">
            <w:pPr>
              <w:pStyle w:val="49"/>
              <w:rPr>
                <w:sz w:val="16"/>
                <w:szCs w:val="18"/>
              </w:rPr>
            </w:pPr>
            <w:r>
              <w:rPr>
                <w:sz w:val="16"/>
                <w:szCs w:val="18"/>
              </w:rPr>
              <w:t>CGD</w:t>
            </w:r>
          </w:p>
        </w:tc>
        <w:tc>
          <w:tcPr>
            <w:tcW w:w="3126" w:type="dxa"/>
            <w:tcBorders>
              <w:tl2br w:val="nil"/>
              <w:tr2bl w:val="nil"/>
            </w:tcBorders>
            <w:shd w:val="clear" w:color="auto" w:fill="auto"/>
            <w:vAlign w:val="center"/>
          </w:tcPr>
          <w:p w14:paraId="097E2E79">
            <w:pPr>
              <w:pStyle w:val="49"/>
              <w:rPr>
                <w:sz w:val="16"/>
                <w:szCs w:val="18"/>
              </w:rPr>
            </w:pPr>
            <w:r>
              <w:rPr>
                <w:sz w:val="16"/>
                <w:szCs w:val="18"/>
              </w:rPr>
              <w:t>Changde Taohuayuan Airport</w:t>
            </w:r>
          </w:p>
        </w:tc>
        <w:tc>
          <w:tcPr>
            <w:tcW w:w="887" w:type="dxa"/>
            <w:tcBorders>
              <w:tl2br w:val="nil"/>
              <w:tr2bl w:val="nil"/>
            </w:tcBorders>
            <w:shd w:val="clear" w:color="auto" w:fill="auto"/>
            <w:vAlign w:val="center"/>
          </w:tcPr>
          <w:p w14:paraId="713906CE">
            <w:pPr>
              <w:pStyle w:val="49"/>
              <w:rPr>
                <w:sz w:val="16"/>
                <w:szCs w:val="18"/>
              </w:rPr>
            </w:pPr>
            <w:r>
              <w:rPr>
                <w:sz w:val="16"/>
                <w:szCs w:val="18"/>
              </w:rPr>
              <w:t>NAO</w:t>
            </w:r>
          </w:p>
        </w:tc>
        <w:tc>
          <w:tcPr>
            <w:tcW w:w="3231" w:type="dxa"/>
            <w:tcBorders>
              <w:tl2br w:val="nil"/>
              <w:tr2bl w:val="nil"/>
            </w:tcBorders>
            <w:shd w:val="clear" w:color="auto" w:fill="auto"/>
            <w:vAlign w:val="center"/>
          </w:tcPr>
          <w:p w14:paraId="30ED78EB">
            <w:pPr>
              <w:pStyle w:val="49"/>
              <w:rPr>
                <w:sz w:val="16"/>
                <w:szCs w:val="18"/>
              </w:rPr>
            </w:pPr>
            <w:r>
              <w:rPr>
                <w:sz w:val="16"/>
                <w:szCs w:val="18"/>
              </w:rPr>
              <w:t>Nanchong Gaoping Airport</w:t>
            </w:r>
          </w:p>
        </w:tc>
      </w:tr>
      <w:tr w14:paraId="690DF8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6FF10E72">
            <w:pPr>
              <w:pStyle w:val="49"/>
              <w:rPr>
                <w:sz w:val="16"/>
                <w:szCs w:val="18"/>
              </w:rPr>
            </w:pPr>
            <w:r>
              <w:rPr>
                <w:sz w:val="16"/>
                <w:szCs w:val="18"/>
              </w:rPr>
              <w:t>CGO</w:t>
            </w:r>
          </w:p>
        </w:tc>
        <w:tc>
          <w:tcPr>
            <w:tcW w:w="3126" w:type="dxa"/>
            <w:tcBorders>
              <w:tl2br w:val="nil"/>
              <w:tr2bl w:val="nil"/>
            </w:tcBorders>
            <w:shd w:val="clear" w:color="auto" w:fill="auto"/>
            <w:vAlign w:val="center"/>
          </w:tcPr>
          <w:p w14:paraId="16ADFCCE">
            <w:pPr>
              <w:pStyle w:val="49"/>
              <w:rPr>
                <w:sz w:val="16"/>
                <w:szCs w:val="18"/>
              </w:rPr>
            </w:pPr>
            <w:r>
              <w:rPr>
                <w:sz w:val="16"/>
                <w:szCs w:val="18"/>
              </w:rPr>
              <w:t>Zhengzhou Xinzheng International Airport</w:t>
            </w:r>
          </w:p>
        </w:tc>
        <w:tc>
          <w:tcPr>
            <w:tcW w:w="887" w:type="dxa"/>
            <w:tcBorders>
              <w:tl2br w:val="nil"/>
              <w:tr2bl w:val="nil"/>
            </w:tcBorders>
            <w:shd w:val="clear" w:color="auto" w:fill="auto"/>
            <w:vAlign w:val="center"/>
          </w:tcPr>
          <w:p w14:paraId="04B49AA5">
            <w:pPr>
              <w:pStyle w:val="49"/>
              <w:rPr>
                <w:sz w:val="16"/>
                <w:szCs w:val="18"/>
              </w:rPr>
            </w:pPr>
            <w:r>
              <w:rPr>
                <w:sz w:val="16"/>
                <w:szCs w:val="18"/>
              </w:rPr>
              <w:t>NAY</w:t>
            </w:r>
          </w:p>
        </w:tc>
        <w:tc>
          <w:tcPr>
            <w:tcW w:w="3231" w:type="dxa"/>
            <w:tcBorders>
              <w:tl2br w:val="nil"/>
              <w:tr2bl w:val="nil"/>
            </w:tcBorders>
            <w:shd w:val="clear" w:color="auto" w:fill="auto"/>
            <w:vAlign w:val="center"/>
          </w:tcPr>
          <w:p w14:paraId="1206F44E">
            <w:pPr>
              <w:pStyle w:val="49"/>
              <w:rPr>
                <w:sz w:val="16"/>
                <w:szCs w:val="18"/>
              </w:rPr>
            </w:pPr>
            <w:r>
              <w:rPr>
                <w:sz w:val="16"/>
                <w:szCs w:val="18"/>
              </w:rPr>
              <w:t>Beijing Nanyuan Airport</w:t>
            </w:r>
          </w:p>
        </w:tc>
      </w:tr>
      <w:tr w14:paraId="23B40E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11F41749">
            <w:pPr>
              <w:pStyle w:val="49"/>
              <w:rPr>
                <w:sz w:val="16"/>
                <w:szCs w:val="18"/>
              </w:rPr>
            </w:pPr>
            <w:r>
              <w:rPr>
                <w:sz w:val="16"/>
                <w:szCs w:val="18"/>
              </w:rPr>
              <w:t>CGQ</w:t>
            </w:r>
          </w:p>
        </w:tc>
        <w:tc>
          <w:tcPr>
            <w:tcW w:w="3126" w:type="dxa"/>
            <w:tcBorders>
              <w:tl2br w:val="nil"/>
              <w:tr2bl w:val="nil"/>
            </w:tcBorders>
            <w:shd w:val="clear" w:color="auto" w:fill="auto"/>
            <w:vAlign w:val="center"/>
          </w:tcPr>
          <w:p w14:paraId="724C4BB2">
            <w:pPr>
              <w:pStyle w:val="49"/>
              <w:rPr>
                <w:sz w:val="16"/>
                <w:szCs w:val="18"/>
              </w:rPr>
            </w:pPr>
            <w:r>
              <w:rPr>
                <w:sz w:val="16"/>
                <w:szCs w:val="18"/>
              </w:rPr>
              <w:t>Changchun Longjia International Airport</w:t>
            </w:r>
          </w:p>
        </w:tc>
        <w:tc>
          <w:tcPr>
            <w:tcW w:w="887" w:type="dxa"/>
            <w:tcBorders>
              <w:tl2br w:val="nil"/>
              <w:tr2bl w:val="nil"/>
            </w:tcBorders>
            <w:shd w:val="clear" w:color="auto" w:fill="auto"/>
            <w:vAlign w:val="center"/>
          </w:tcPr>
          <w:p w14:paraId="342B68B0">
            <w:pPr>
              <w:pStyle w:val="49"/>
              <w:rPr>
                <w:sz w:val="16"/>
                <w:szCs w:val="18"/>
              </w:rPr>
            </w:pPr>
            <w:r>
              <w:rPr>
                <w:sz w:val="16"/>
                <w:szCs w:val="18"/>
              </w:rPr>
              <w:t>NBS</w:t>
            </w:r>
          </w:p>
        </w:tc>
        <w:tc>
          <w:tcPr>
            <w:tcW w:w="3231" w:type="dxa"/>
            <w:tcBorders>
              <w:tl2br w:val="nil"/>
              <w:tr2bl w:val="nil"/>
            </w:tcBorders>
            <w:shd w:val="clear" w:color="auto" w:fill="auto"/>
            <w:vAlign w:val="center"/>
          </w:tcPr>
          <w:p w14:paraId="24BE056D">
            <w:pPr>
              <w:pStyle w:val="49"/>
              <w:rPr>
                <w:sz w:val="16"/>
                <w:szCs w:val="18"/>
              </w:rPr>
            </w:pPr>
            <w:r>
              <w:rPr>
                <w:sz w:val="16"/>
                <w:szCs w:val="18"/>
              </w:rPr>
              <w:t>Baishan Changbaishan Airport</w:t>
            </w:r>
          </w:p>
        </w:tc>
      </w:tr>
      <w:tr w14:paraId="6B32B4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1901623">
            <w:pPr>
              <w:pStyle w:val="49"/>
              <w:rPr>
                <w:sz w:val="16"/>
                <w:szCs w:val="18"/>
              </w:rPr>
            </w:pPr>
            <w:r>
              <w:rPr>
                <w:sz w:val="16"/>
                <w:szCs w:val="18"/>
              </w:rPr>
              <w:t>CHG</w:t>
            </w:r>
          </w:p>
        </w:tc>
        <w:tc>
          <w:tcPr>
            <w:tcW w:w="3126" w:type="dxa"/>
            <w:tcBorders>
              <w:tl2br w:val="nil"/>
              <w:tr2bl w:val="nil"/>
            </w:tcBorders>
            <w:shd w:val="clear" w:color="auto" w:fill="auto"/>
            <w:vAlign w:val="center"/>
          </w:tcPr>
          <w:p w14:paraId="17307DDE">
            <w:pPr>
              <w:pStyle w:val="49"/>
              <w:rPr>
                <w:sz w:val="16"/>
                <w:szCs w:val="18"/>
              </w:rPr>
            </w:pPr>
            <w:r>
              <w:rPr>
                <w:sz w:val="16"/>
                <w:szCs w:val="18"/>
              </w:rPr>
              <w:t>Chaoyang Airport</w:t>
            </w:r>
          </w:p>
        </w:tc>
        <w:tc>
          <w:tcPr>
            <w:tcW w:w="887" w:type="dxa"/>
            <w:tcBorders>
              <w:tl2br w:val="nil"/>
              <w:tr2bl w:val="nil"/>
            </w:tcBorders>
            <w:shd w:val="clear" w:color="auto" w:fill="auto"/>
            <w:vAlign w:val="center"/>
          </w:tcPr>
          <w:p w14:paraId="269DD0CD">
            <w:pPr>
              <w:pStyle w:val="49"/>
              <w:rPr>
                <w:sz w:val="16"/>
                <w:szCs w:val="18"/>
              </w:rPr>
            </w:pPr>
            <w:r>
              <w:rPr>
                <w:sz w:val="16"/>
                <w:szCs w:val="18"/>
              </w:rPr>
              <w:t>NDG</w:t>
            </w:r>
          </w:p>
        </w:tc>
        <w:tc>
          <w:tcPr>
            <w:tcW w:w="3231" w:type="dxa"/>
            <w:tcBorders>
              <w:tl2br w:val="nil"/>
              <w:tr2bl w:val="nil"/>
            </w:tcBorders>
            <w:shd w:val="clear" w:color="auto" w:fill="auto"/>
            <w:vAlign w:val="center"/>
          </w:tcPr>
          <w:p w14:paraId="29DDF61D">
            <w:pPr>
              <w:pStyle w:val="49"/>
              <w:rPr>
                <w:sz w:val="16"/>
                <w:szCs w:val="18"/>
              </w:rPr>
            </w:pPr>
            <w:r>
              <w:rPr>
                <w:sz w:val="16"/>
                <w:szCs w:val="18"/>
              </w:rPr>
              <w:t>Qiqihar Sanjiazi Airport</w:t>
            </w:r>
          </w:p>
        </w:tc>
      </w:tr>
      <w:tr w14:paraId="49DB28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1D36A22">
            <w:pPr>
              <w:pStyle w:val="49"/>
              <w:rPr>
                <w:sz w:val="16"/>
                <w:szCs w:val="18"/>
              </w:rPr>
            </w:pPr>
            <w:r>
              <w:rPr>
                <w:sz w:val="16"/>
                <w:szCs w:val="18"/>
              </w:rPr>
              <w:t>CIF</w:t>
            </w:r>
          </w:p>
        </w:tc>
        <w:tc>
          <w:tcPr>
            <w:tcW w:w="3126" w:type="dxa"/>
            <w:tcBorders>
              <w:tl2br w:val="nil"/>
              <w:tr2bl w:val="nil"/>
            </w:tcBorders>
            <w:shd w:val="clear" w:color="auto" w:fill="auto"/>
            <w:vAlign w:val="center"/>
          </w:tcPr>
          <w:p w14:paraId="507BFDB8">
            <w:pPr>
              <w:pStyle w:val="49"/>
              <w:rPr>
                <w:sz w:val="16"/>
                <w:szCs w:val="18"/>
              </w:rPr>
            </w:pPr>
            <w:r>
              <w:rPr>
                <w:sz w:val="16"/>
                <w:szCs w:val="18"/>
              </w:rPr>
              <w:t>Chifeng Yulong Airport</w:t>
            </w:r>
          </w:p>
        </w:tc>
        <w:tc>
          <w:tcPr>
            <w:tcW w:w="887" w:type="dxa"/>
            <w:tcBorders>
              <w:tl2br w:val="nil"/>
              <w:tr2bl w:val="nil"/>
            </w:tcBorders>
            <w:shd w:val="clear" w:color="auto" w:fill="auto"/>
            <w:vAlign w:val="center"/>
          </w:tcPr>
          <w:p w14:paraId="09977AF7">
            <w:pPr>
              <w:pStyle w:val="49"/>
              <w:rPr>
                <w:sz w:val="16"/>
                <w:szCs w:val="18"/>
              </w:rPr>
            </w:pPr>
            <w:r>
              <w:rPr>
                <w:sz w:val="16"/>
                <w:szCs w:val="18"/>
              </w:rPr>
              <w:t>NGB</w:t>
            </w:r>
          </w:p>
        </w:tc>
        <w:tc>
          <w:tcPr>
            <w:tcW w:w="3231" w:type="dxa"/>
            <w:tcBorders>
              <w:tl2br w:val="nil"/>
              <w:tr2bl w:val="nil"/>
            </w:tcBorders>
            <w:shd w:val="clear" w:color="auto" w:fill="auto"/>
            <w:vAlign w:val="center"/>
          </w:tcPr>
          <w:p w14:paraId="102C359C">
            <w:pPr>
              <w:pStyle w:val="49"/>
              <w:rPr>
                <w:sz w:val="16"/>
                <w:szCs w:val="18"/>
              </w:rPr>
            </w:pPr>
            <w:r>
              <w:rPr>
                <w:sz w:val="16"/>
                <w:szCs w:val="18"/>
              </w:rPr>
              <w:t>Ningbo Lishe International Airport</w:t>
            </w:r>
          </w:p>
        </w:tc>
      </w:tr>
      <w:tr w14:paraId="72059D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549D4E5">
            <w:pPr>
              <w:pStyle w:val="49"/>
              <w:rPr>
                <w:sz w:val="16"/>
                <w:szCs w:val="18"/>
              </w:rPr>
            </w:pPr>
            <w:r>
              <w:rPr>
                <w:sz w:val="16"/>
                <w:szCs w:val="18"/>
              </w:rPr>
              <w:t>CIH</w:t>
            </w:r>
          </w:p>
        </w:tc>
        <w:tc>
          <w:tcPr>
            <w:tcW w:w="3126" w:type="dxa"/>
            <w:tcBorders>
              <w:tl2br w:val="nil"/>
              <w:tr2bl w:val="nil"/>
            </w:tcBorders>
            <w:shd w:val="clear" w:color="auto" w:fill="auto"/>
            <w:vAlign w:val="center"/>
          </w:tcPr>
          <w:p w14:paraId="2A534687">
            <w:pPr>
              <w:pStyle w:val="49"/>
              <w:rPr>
                <w:sz w:val="16"/>
                <w:szCs w:val="18"/>
              </w:rPr>
            </w:pPr>
            <w:r>
              <w:rPr>
                <w:sz w:val="16"/>
                <w:szCs w:val="18"/>
              </w:rPr>
              <w:t>Changzhi Wangcun Airport</w:t>
            </w:r>
          </w:p>
        </w:tc>
        <w:tc>
          <w:tcPr>
            <w:tcW w:w="887" w:type="dxa"/>
            <w:tcBorders>
              <w:tl2br w:val="nil"/>
              <w:tr2bl w:val="nil"/>
            </w:tcBorders>
            <w:shd w:val="clear" w:color="auto" w:fill="auto"/>
            <w:vAlign w:val="center"/>
          </w:tcPr>
          <w:p w14:paraId="79C94E60">
            <w:pPr>
              <w:pStyle w:val="49"/>
              <w:rPr>
                <w:sz w:val="16"/>
                <w:szCs w:val="18"/>
              </w:rPr>
            </w:pPr>
            <w:r>
              <w:rPr>
                <w:sz w:val="16"/>
                <w:szCs w:val="18"/>
              </w:rPr>
              <w:t>NGQ</w:t>
            </w:r>
          </w:p>
        </w:tc>
        <w:tc>
          <w:tcPr>
            <w:tcW w:w="3231" w:type="dxa"/>
            <w:tcBorders>
              <w:tl2br w:val="nil"/>
              <w:tr2bl w:val="nil"/>
            </w:tcBorders>
            <w:shd w:val="clear" w:color="auto" w:fill="auto"/>
            <w:vAlign w:val="center"/>
          </w:tcPr>
          <w:p w14:paraId="2D25BE4E">
            <w:pPr>
              <w:pStyle w:val="49"/>
              <w:rPr>
                <w:sz w:val="16"/>
                <w:szCs w:val="18"/>
              </w:rPr>
            </w:pPr>
            <w:r>
              <w:rPr>
                <w:sz w:val="16"/>
                <w:szCs w:val="18"/>
              </w:rPr>
              <w:t>Ngari Gunsa Airport</w:t>
            </w:r>
          </w:p>
        </w:tc>
      </w:tr>
      <w:tr w14:paraId="1BF091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763D4F2">
            <w:pPr>
              <w:pStyle w:val="49"/>
              <w:rPr>
                <w:sz w:val="16"/>
                <w:szCs w:val="18"/>
              </w:rPr>
            </w:pPr>
            <w:r>
              <w:rPr>
                <w:sz w:val="16"/>
                <w:szCs w:val="18"/>
              </w:rPr>
              <w:t>CKG</w:t>
            </w:r>
          </w:p>
        </w:tc>
        <w:tc>
          <w:tcPr>
            <w:tcW w:w="3126" w:type="dxa"/>
            <w:tcBorders>
              <w:tl2br w:val="nil"/>
              <w:tr2bl w:val="nil"/>
            </w:tcBorders>
            <w:shd w:val="clear" w:color="auto" w:fill="auto"/>
            <w:vAlign w:val="center"/>
          </w:tcPr>
          <w:p w14:paraId="54D75B3F">
            <w:pPr>
              <w:pStyle w:val="49"/>
              <w:rPr>
                <w:sz w:val="16"/>
                <w:szCs w:val="18"/>
              </w:rPr>
            </w:pPr>
            <w:r>
              <w:rPr>
                <w:sz w:val="16"/>
                <w:szCs w:val="18"/>
              </w:rPr>
              <w:t>Chongqing Jiangbei International Airport</w:t>
            </w:r>
          </w:p>
        </w:tc>
        <w:tc>
          <w:tcPr>
            <w:tcW w:w="887" w:type="dxa"/>
            <w:tcBorders>
              <w:tl2br w:val="nil"/>
              <w:tr2bl w:val="nil"/>
            </w:tcBorders>
            <w:shd w:val="clear" w:color="auto" w:fill="auto"/>
            <w:vAlign w:val="center"/>
          </w:tcPr>
          <w:p w14:paraId="6E125CCF">
            <w:pPr>
              <w:pStyle w:val="49"/>
              <w:rPr>
                <w:sz w:val="16"/>
                <w:szCs w:val="18"/>
              </w:rPr>
            </w:pPr>
            <w:r>
              <w:rPr>
                <w:sz w:val="16"/>
                <w:szCs w:val="18"/>
              </w:rPr>
              <w:t>NKG</w:t>
            </w:r>
          </w:p>
        </w:tc>
        <w:tc>
          <w:tcPr>
            <w:tcW w:w="3231" w:type="dxa"/>
            <w:tcBorders>
              <w:tl2br w:val="nil"/>
              <w:tr2bl w:val="nil"/>
            </w:tcBorders>
            <w:shd w:val="clear" w:color="auto" w:fill="auto"/>
            <w:vAlign w:val="center"/>
          </w:tcPr>
          <w:p w14:paraId="43C83070">
            <w:pPr>
              <w:pStyle w:val="49"/>
              <w:rPr>
                <w:sz w:val="16"/>
                <w:szCs w:val="18"/>
              </w:rPr>
            </w:pPr>
            <w:r>
              <w:rPr>
                <w:sz w:val="16"/>
                <w:szCs w:val="18"/>
              </w:rPr>
              <w:t>Nanjing Lukou International Airport</w:t>
            </w:r>
          </w:p>
        </w:tc>
      </w:tr>
      <w:tr w14:paraId="3038D0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0B003228">
            <w:pPr>
              <w:pStyle w:val="49"/>
              <w:rPr>
                <w:sz w:val="16"/>
                <w:szCs w:val="18"/>
              </w:rPr>
            </w:pPr>
            <w:r>
              <w:rPr>
                <w:sz w:val="16"/>
                <w:szCs w:val="18"/>
              </w:rPr>
              <w:t>CSX</w:t>
            </w:r>
          </w:p>
        </w:tc>
        <w:tc>
          <w:tcPr>
            <w:tcW w:w="3126" w:type="dxa"/>
            <w:tcBorders>
              <w:tl2br w:val="nil"/>
              <w:tr2bl w:val="nil"/>
            </w:tcBorders>
            <w:shd w:val="clear" w:color="auto" w:fill="auto"/>
            <w:vAlign w:val="center"/>
          </w:tcPr>
          <w:p w14:paraId="2C33EB99">
            <w:pPr>
              <w:pStyle w:val="49"/>
              <w:rPr>
                <w:sz w:val="16"/>
                <w:szCs w:val="18"/>
              </w:rPr>
            </w:pPr>
            <w:r>
              <w:rPr>
                <w:sz w:val="16"/>
                <w:szCs w:val="18"/>
              </w:rPr>
              <w:t>Changsha Huanghua International Airport</w:t>
            </w:r>
          </w:p>
        </w:tc>
        <w:tc>
          <w:tcPr>
            <w:tcW w:w="887" w:type="dxa"/>
            <w:tcBorders>
              <w:tl2br w:val="nil"/>
              <w:tr2bl w:val="nil"/>
            </w:tcBorders>
            <w:shd w:val="clear" w:color="auto" w:fill="auto"/>
            <w:vAlign w:val="center"/>
          </w:tcPr>
          <w:p w14:paraId="624D5632">
            <w:pPr>
              <w:pStyle w:val="49"/>
              <w:rPr>
                <w:sz w:val="16"/>
                <w:szCs w:val="18"/>
              </w:rPr>
            </w:pPr>
            <w:r>
              <w:rPr>
                <w:sz w:val="16"/>
                <w:szCs w:val="18"/>
              </w:rPr>
              <w:t>NLH</w:t>
            </w:r>
          </w:p>
        </w:tc>
        <w:tc>
          <w:tcPr>
            <w:tcW w:w="3231" w:type="dxa"/>
            <w:tcBorders>
              <w:tl2br w:val="nil"/>
              <w:tr2bl w:val="nil"/>
            </w:tcBorders>
            <w:shd w:val="clear" w:color="auto" w:fill="auto"/>
            <w:vAlign w:val="center"/>
          </w:tcPr>
          <w:p w14:paraId="7178F2BA">
            <w:pPr>
              <w:pStyle w:val="49"/>
              <w:rPr>
                <w:sz w:val="16"/>
                <w:szCs w:val="18"/>
              </w:rPr>
            </w:pPr>
            <w:r>
              <w:rPr>
                <w:sz w:val="16"/>
                <w:szCs w:val="18"/>
              </w:rPr>
              <w:t>Ninglang Luguhu Airport</w:t>
            </w:r>
          </w:p>
        </w:tc>
      </w:tr>
      <w:tr w14:paraId="5EAFC4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4D203D6F">
            <w:pPr>
              <w:pStyle w:val="49"/>
              <w:rPr>
                <w:sz w:val="16"/>
                <w:szCs w:val="18"/>
              </w:rPr>
            </w:pPr>
            <w:r>
              <w:rPr>
                <w:sz w:val="16"/>
                <w:szCs w:val="18"/>
              </w:rPr>
              <w:t>CTU</w:t>
            </w:r>
          </w:p>
        </w:tc>
        <w:tc>
          <w:tcPr>
            <w:tcW w:w="3126" w:type="dxa"/>
            <w:tcBorders>
              <w:tl2br w:val="nil"/>
              <w:tr2bl w:val="nil"/>
            </w:tcBorders>
            <w:shd w:val="clear" w:color="auto" w:fill="auto"/>
            <w:vAlign w:val="center"/>
          </w:tcPr>
          <w:p w14:paraId="1F93E297">
            <w:pPr>
              <w:pStyle w:val="49"/>
              <w:rPr>
                <w:sz w:val="16"/>
                <w:szCs w:val="18"/>
              </w:rPr>
            </w:pPr>
            <w:r>
              <w:rPr>
                <w:sz w:val="16"/>
                <w:szCs w:val="18"/>
              </w:rPr>
              <w:t>Chengdu Shuangliu International Airport</w:t>
            </w:r>
          </w:p>
        </w:tc>
        <w:tc>
          <w:tcPr>
            <w:tcW w:w="887" w:type="dxa"/>
            <w:tcBorders>
              <w:tl2br w:val="nil"/>
              <w:tr2bl w:val="nil"/>
            </w:tcBorders>
            <w:shd w:val="clear" w:color="auto" w:fill="auto"/>
            <w:vAlign w:val="center"/>
          </w:tcPr>
          <w:p w14:paraId="3CA27EAC">
            <w:pPr>
              <w:pStyle w:val="49"/>
              <w:rPr>
                <w:sz w:val="16"/>
                <w:szCs w:val="18"/>
              </w:rPr>
            </w:pPr>
            <w:r>
              <w:rPr>
                <w:sz w:val="16"/>
                <w:szCs w:val="18"/>
              </w:rPr>
              <w:t>NLT</w:t>
            </w:r>
          </w:p>
        </w:tc>
        <w:tc>
          <w:tcPr>
            <w:tcW w:w="3231" w:type="dxa"/>
            <w:tcBorders>
              <w:tl2br w:val="nil"/>
              <w:tr2bl w:val="nil"/>
            </w:tcBorders>
            <w:shd w:val="clear" w:color="auto" w:fill="auto"/>
            <w:vAlign w:val="center"/>
          </w:tcPr>
          <w:p w14:paraId="00A3B1C2">
            <w:pPr>
              <w:pStyle w:val="49"/>
              <w:rPr>
                <w:sz w:val="16"/>
                <w:szCs w:val="18"/>
              </w:rPr>
            </w:pPr>
            <w:r>
              <w:rPr>
                <w:sz w:val="16"/>
                <w:szCs w:val="18"/>
              </w:rPr>
              <w:t>Xinyuan Nalati Airport</w:t>
            </w:r>
          </w:p>
        </w:tc>
      </w:tr>
      <w:tr w14:paraId="53F939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B9D8AB2">
            <w:pPr>
              <w:pStyle w:val="49"/>
              <w:rPr>
                <w:sz w:val="16"/>
                <w:szCs w:val="18"/>
              </w:rPr>
            </w:pPr>
            <w:r>
              <w:rPr>
                <w:sz w:val="16"/>
                <w:szCs w:val="18"/>
              </w:rPr>
              <w:t>CWJ</w:t>
            </w:r>
          </w:p>
        </w:tc>
        <w:tc>
          <w:tcPr>
            <w:tcW w:w="3126" w:type="dxa"/>
            <w:tcBorders>
              <w:tl2br w:val="nil"/>
              <w:tr2bl w:val="nil"/>
            </w:tcBorders>
            <w:shd w:val="clear" w:color="auto" w:fill="auto"/>
            <w:vAlign w:val="center"/>
          </w:tcPr>
          <w:p w14:paraId="606D6C42">
            <w:pPr>
              <w:pStyle w:val="49"/>
              <w:rPr>
                <w:sz w:val="16"/>
                <w:szCs w:val="18"/>
              </w:rPr>
            </w:pPr>
            <w:r>
              <w:rPr>
                <w:sz w:val="16"/>
                <w:szCs w:val="18"/>
              </w:rPr>
              <w:t>Cangyuan Washan Airport</w:t>
            </w:r>
          </w:p>
        </w:tc>
        <w:tc>
          <w:tcPr>
            <w:tcW w:w="887" w:type="dxa"/>
            <w:tcBorders>
              <w:tl2br w:val="nil"/>
              <w:tr2bl w:val="nil"/>
            </w:tcBorders>
            <w:shd w:val="clear" w:color="auto" w:fill="auto"/>
            <w:vAlign w:val="center"/>
          </w:tcPr>
          <w:p w14:paraId="4A4E3D19">
            <w:pPr>
              <w:pStyle w:val="49"/>
              <w:rPr>
                <w:sz w:val="16"/>
                <w:szCs w:val="18"/>
              </w:rPr>
            </w:pPr>
            <w:r>
              <w:rPr>
                <w:sz w:val="16"/>
                <w:szCs w:val="18"/>
              </w:rPr>
              <w:t>NNG</w:t>
            </w:r>
          </w:p>
        </w:tc>
        <w:tc>
          <w:tcPr>
            <w:tcW w:w="3231" w:type="dxa"/>
            <w:tcBorders>
              <w:tl2br w:val="nil"/>
              <w:tr2bl w:val="nil"/>
            </w:tcBorders>
            <w:shd w:val="clear" w:color="auto" w:fill="auto"/>
            <w:vAlign w:val="center"/>
          </w:tcPr>
          <w:p w14:paraId="57D906BF">
            <w:pPr>
              <w:pStyle w:val="49"/>
              <w:rPr>
                <w:sz w:val="16"/>
                <w:szCs w:val="18"/>
              </w:rPr>
            </w:pPr>
            <w:r>
              <w:rPr>
                <w:sz w:val="16"/>
                <w:szCs w:val="18"/>
              </w:rPr>
              <w:t>Nanning Wuxu International Airport</w:t>
            </w:r>
          </w:p>
        </w:tc>
      </w:tr>
      <w:tr w14:paraId="58ED62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547A85F">
            <w:pPr>
              <w:pStyle w:val="49"/>
              <w:rPr>
                <w:sz w:val="16"/>
                <w:szCs w:val="18"/>
              </w:rPr>
            </w:pPr>
            <w:r>
              <w:rPr>
                <w:sz w:val="16"/>
                <w:szCs w:val="18"/>
              </w:rPr>
              <w:t>CZX</w:t>
            </w:r>
          </w:p>
        </w:tc>
        <w:tc>
          <w:tcPr>
            <w:tcW w:w="3126" w:type="dxa"/>
            <w:tcBorders>
              <w:tl2br w:val="nil"/>
              <w:tr2bl w:val="nil"/>
            </w:tcBorders>
            <w:shd w:val="clear" w:color="auto" w:fill="auto"/>
            <w:vAlign w:val="center"/>
          </w:tcPr>
          <w:p w14:paraId="25967873">
            <w:pPr>
              <w:pStyle w:val="49"/>
              <w:rPr>
                <w:sz w:val="16"/>
                <w:szCs w:val="18"/>
              </w:rPr>
            </w:pPr>
            <w:r>
              <w:rPr>
                <w:sz w:val="16"/>
                <w:szCs w:val="18"/>
              </w:rPr>
              <w:t>Changzhou Benniu International Airport</w:t>
            </w:r>
          </w:p>
        </w:tc>
        <w:tc>
          <w:tcPr>
            <w:tcW w:w="887" w:type="dxa"/>
            <w:tcBorders>
              <w:tl2br w:val="nil"/>
              <w:tr2bl w:val="nil"/>
            </w:tcBorders>
            <w:shd w:val="clear" w:color="auto" w:fill="auto"/>
            <w:vAlign w:val="center"/>
          </w:tcPr>
          <w:p w14:paraId="02E6F0C5">
            <w:pPr>
              <w:pStyle w:val="49"/>
              <w:rPr>
                <w:sz w:val="16"/>
                <w:szCs w:val="18"/>
              </w:rPr>
            </w:pPr>
            <w:r>
              <w:rPr>
                <w:sz w:val="16"/>
                <w:szCs w:val="18"/>
              </w:rPr>
              <w:t>NNY</w:t>
            </w:r>
          </w:p>
        </w:tc>
        <w:tc>
          <w:tcPr>
            <w:tcW w:w="3231" w:type="dxa"/>
            <w:tcBorders>
              <w:tl2br w:val="nil"/>
              <w:tr2bl w:val="nil"/>
            </w:tcBorders>
            <w:shd w:val="clear" w:color="auto" w:fill="auto"/>
            <w:vAlign w:val="center"/>
          </w:tcPr>
          <w:p w14:paraId="67FF9C6C">
            <w:pPr>
              <w:pStyle w:val="49"/>
              <w:rPr>
                <w:sz w:val="16"/>
                <w:szCs w:val="18"/>
              </w:rPr>
            </w:pPr>
            <w:r>
              <w:rPr>
                <w:sz w:val="16"/>
                <w:szCs w:val="18"/>
              </w:rPr>
              <w:t>Nanyang Jiangying Airport</w:t>
            </w:r>
          </w:p>
        </w:tc>
      </w:tr>
      <w:tr w14:paraId="0B03CC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4130D60D">
            <w:pPr>
              <w:pStyle w:val="49"/>
              <w:rPr>
                <w:sz w:val="16"/>
                <w:szCs w:val="18"/>
              </w:rPr>
            </w:pPr>
            <w:r>
              <w:rPr>
                <w:sz w:val="16"/>
                <w:szCs w:val="18"/>
              </w:rPr>
              <w:t>DAT</w:t>
            </w:r>
          </w:p>
        </w:tc>
        <w:tc>
          <w:tcPr>
            <w:tcW w:w="3126" w:type="dxa"/>
            <w:tcBorders>
              <w:tl2br w:val="nil"/>
              <w:tr2bl w:val="nil"/>
            </w:tcBorders>
            <w:shd w:val="clear" w:color="auto" w:fill="auto"/>
            <w:vAlign w:val="center"/>
          </w:tcPr>
          <w:p w14:paraId="681E2B9E">
            <w:pPr>
              <w:pStyle w:val="49"/>
              <w:rPr>
                <w:sz w:val="16"/>
                <w:szCs w:val="18"/>
              </w:rPr>
            </w:pPr>
            <w:r>
              <w:rPr>
                <w:sz w:val="16"/>
                <w:szCs w:val="18"/>
              </w:rPr>
              <w:t>Datong Yungang International Airport</w:t>
            </w:r>
          </w:p>
        </w:tc>
        <w:tc>
          <w:tcPr>
            <w:tcW w:w="887" w:type="dxa"/>
            <w:tcBorders>
              <w:tl2br w:val="nil"/>
              <w:tr2bl w:val="nil"/>
            </w:tcBorders>
            <w:shd w:val="clear" w:color="auto" w:fill="auto"/>
            <w:vAlign w:val="center"/>
          </w:tcPr>
          <w:p w14:paraId="57ED38B6">
            <w:pPr>
              <w:pStyle w:val="49"/>
              <w:rPr>
                <w:sz w:val="16"/>
                <w:szCs w:val="18"/>
              </w:rPr>
            </w:pPr>
            <w:r>
              <w:rPr>
                <w:sz w:val="16"/>
                <w:szCs w:val="18"/>
              </w:rPr>
              <w:t>NTG</w:t>
            </w:r>
          </w:p>
        </w:tc>
        <w:tc>
          <w:tcPr>
            <w:tcW w:w="3231" w:type="dxa"/>
            <w:tcBorders>
              <w:tl2br w:val="nil"/>
              <w:tr2bl w:val="nil"/>
            </w:tcBorders>
            <w:shd w:val="clear" w:color="auto" w:fill="auto"/>
            <w:vAlign w:val="center"/>
          </w:tcPr>
          <w:p w14:paraId="05F184E2">
            <w:pPr>
              <w:pStyle w:val="49"/>
              <w:rPr>
                <w:sz w:val="16"/>
                <w:szCs w:val="18"/>
              </w:rPr>
            </w:pPr>
            <w:r>
              <w:rPr>
                <w:sz w:val="16"/>
                <w:szCs w:val="18"/>
              </w:rPr>
              <w:t>Nantong Xingdong International Airport</w:t>
            </w:r>
          </w:p>
        </w:tc>
      </w:tr>
      <w:tr w14:paraId="72C500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837C4D3">
            <w:pPr>
              <w:pStyle w:val="49"/>
              <w:rPr>
                <w:sz w:val="16"/>
                <w:szCs w:val="18"/>
              </w:rPr>
            </w:pPr>
            <w:r>
              <w:rPr>
                <w:sz w:val="16"/>
                <w:szCs w:val="18"/>
              </w:rPr>
              <w:t>DAX</w:t>
            </w:r>
          </w:p>
        </w:tc>
        <w:tc>
          <w:tcPr>
            <w:tcW w:w="3126" w:type="dxa"/>
            <w:tcBorders>
              <w:tl2br w:val="nil"/>
              <w:tr2bl w:val="nil"/>
            </w:tcBorders>
            <w:shd w:val="clear" w:color="auto" w:fill="auto"/>
            <w:vAlign w:val="center"/>
          </w:tcPr>
          <w:p w14:paraId="219C1A6A">
            <w:pPr>
              <w:pStyle w:val="49"/>
              <w:rPr>
                <w:sz w:val="16"/>
                <w:szCs w:val="18"/>
              </w:rPr>
            </w:pPr>
            <w:r>
              <w:rPr>
                <w:sz w:val="16"/>
                <w:szCs w:val="18"/>
              </w:rPr>
              <w:t>Dazhou Heshi Airport</w:t>
            </w:r>
          </w:p>
        </w:tc>
        <w:tc>
          <w:tcPr>
            <w:tcW w:w="887" w:type="dxa"/>
            <w:tcBorders>
              <w:tl2br w:val="nil"/>
              <w:tr2bl w:val="nil"/>
            </w:tcBorders>
            <w:shd w:val="clear" w:color="auto" w:fill="auto"/>
            <w:vAlign w:val="center"/>
          </w:tcPr>
          <w:p w14:paraId="3EB1ABCA">
            <w:pPr>
              <w:pStyle w:val="49"/>
              <w:rPr>
                <w:sz w:val="16"/>
                <w:szCs w:val="18"/>
              </w:rPr>
            </w:pPr>
            <w:r>
              <w:rPr>
                <w:sz w:val="16"/>
                <w:szCs w:val="18"/>
              </w:rPr>
              <w:t>NZH</w:t>
            </w:r>
          </w:p>
        </w:tc>
        <w:tc>
          <w:tcPr>
            <w:tcW w:w="3231" w:type="dxa"/>
            <w:tcBorders>
              <w:tl2br w:val="nil"/>
              <w:tr2bl w:val="nil"/>
            </w:tcBorders>
            <w:shd w:val="clear" w:color="auto" w:fill="auto"/>
            <w:vAlign w:val="center"/>
          </w:tcPr>
          <w:p w14:paraId="4D707AD8">
            <w:pPr>
              <w:pStyle w:val="49"/>
              <w:rPr>
                <w:sz w:val="16"/>
                <w:szCs w:val="18"/>
              </w:rPr>
            </w:pPr>
            <w:r>
              <w:rPr>
                <w:sz w:val="16"/>
                <w:szCs w:val="18"/>
              </w:rPr>
              <w:t>Manzhouli Xijiao Airport</w:t>
            </w:r>
          </w:p>
        </w:tc>
      </w:tr>
      <w:tr w14:paraId="0930CD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FDBE602">
            <w:pPr>
              <w:pStyle w:val="49"/>
              <w:rPr>
                <w:sz w:val="16"/>
                <w:szCs w:val="18"/>
              </w:rPr>
            </w:pPr>
            <w:r>
              <w:rPr>
                <w:sz w:val="16"/>
                <w:szCs w:val="18"/>
              </w:rPr>
              <w:t>DBC</w:t>
            </w:r>
          </w:p>
        </w:tc>
        <w:tc>
          <w:tcPr>
            <w:tcW w:w="3126" w:type="dxa"/>
            <w:tcBorders>
              <w:tl2br w:val="nil"/>
              <w:tr2bl w:val="nil"/>
            </w:tcBorders>
            <w:shd w:val="clear" w:color="auto" w:fill="auto"/>
            <w:vAlign w:val="center"/>
          </w:tcPr>
          <w:p w14:paraId="26C27A15">
            <w:pPr>
              <w:pStyle w:val="49"/>
              <w:rPr>
                <w:sz w:val="16"/>
                <w:szCs w:val="18"/>
              </w:rPr>
            </w:pPr>
            <w:r>
              <w:rPr>
                <w:sz w:val="16"/>
                <w:szCs w:val="18"/>
              </w:rPr>
              <w:t>Baicheng Changan Airport</w:t>
            </w:r>
          </w:p>
        </w:tc>
        <w:tc>
          <w:tcPr>
            <w:tcW w:w="887" w:type="dxa"/>
            <w:tcBorders>
              <w:tl2br w:val="nil"/>
              <w:tr2bl w:val="nil"/>
            </w:tcBorders>
            <w:shd w:val="clear" w:color="auto" w:fill="auto"/>
            <w:vAlign w:val="center"/>
          </w:tcPr>
          <w:p w14:paraId="01027F70">
            <w:pPr>
              <w:pStyle w:val="49"/>
              <w:rPr>
                <w:sz w:val="16"/>
                <w:szCs w:val="18"/>
              </w:rPr>
            </w:pPr>
            <w:r>
              <w:rPr>
                <w:sz w:val="16"/>
                <w:szCs w:val="18"/>
              </w:rPr>
              <w:t>NZL</w:t>
            </w:r>
          </w:p>
        </w:tc>
        <w:tc>
          <w:tcPr>
            <w:tcW w:w="3231" w:type="dxa"/>
            <w:tcBorders>
              <w:tl2br w:val="nil"/>
              <w:tr2bl w:val="nil"/>
            </w:tcBorders>
            <w:shd w:val="clear" w:color="auto" w:fill="auto"/>
            <w:vAlign w:val="center"/>
          </w:tcPr>
          <w:p w14:paraId="62666053">
            <w:pPr>
              <w:pStyle w:val="49"/>
              <w:rPr>
                <w:sz w:val="16"/>
                <w:szCs w:val="18"/>
              </w:rPr>
            </w:pPr>
            <w:r>
              <w:rPr>
                <w:sz w:val="16"/>
                <w:szCs w:val="18"/>
              </w:rPr>
              <w:t>Zhalantun Genghis Khan Airport</w:t>
            </w:r>
          </w:p>
        </w:tc>
      </w:tr>
      <w:tr w14:paraId="706EA1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DBD99A3">
            <w:pPr>
              <w:pStyle w:val="49"/>
              <w:rPr>
                <w:sz w:val="16"/>
                <w:szCs w:val="18"/>
              </w:rPr>
            </w:pPr>
            <w:r>
              <w:rPr>
                <w:sz w:val="16"/>
                <w:szCs w:val="18"/>
              </w:rPr>
              <w:t>DCY</w:t>
            </w:r>
          </w:p>
        </w:tc>
        <w:tc>
          <w:tcPr>
            <w:tcW w:w="3126" w:type="dxa"/>
            <w:tcBorders>
              <w:tl2br w:val="nil"/>
              <w:tr2bl w:val="nil"/>
            </w:tcBorders>
            <w:shd w:val="clear" w:color="auto" w:fill="auto"/>
            <w:vAlign w:val="center"/>
          </w:tcPr>
          <w:p w14:paraId="789024FE">
            <w:pPr>
              <w:pStyle w:val="49"/>
              <w:rPr>
                <w:sz w:val="16"/>
                <w:szCs w:val="18"/>
              </w:rPr>
            </w:pPr>
            <w:r>
              <w:rPr>
                <w:sz w:val="16"/>
                <w:szCs w:val="18"/>
              </w:rPr>
              <w:t>Daocheng Yading Airport</w:t>
            </w:r>
          </w:p>
        </w:tc>
        <w:tc>
          <w:tcPr>
            <w:tcW w:w="887" w:type="dxa"/>
            <w:tcBorders>
              <w:tl2br w:val="nil"/>
              <w:tr2bl w:val="nil"/>
            </w:tcBorders>
            <w:shd w:val="clear" w:color="auto" w:fill="auto"/>
            <w:vAlign w:val="center"/>
          </w:tcPr>
          <w:p w14:paraId="44C548F7">
            <w:pPr>
              <w:pStyle w:val="49"/>
              <w:rPr>
                <w:sz w:val="16"/>
                <w:szCs w:val="18"/>
              </w:rPr>
            </w:pPr>
            <w:r>
              <w:rPr>
                <w:sz w:val="16"/>
                <w:szCs w:val="18"/>
              </w:rPr>
              <w:t>OHE</w:t>
            </w:r>
          </w:p>
        </w:tc>
        <w:tc>
          <w:tcPr>
            <w:tcW w:w="3231" w:type="dxa"/>
            <w:tcBorders>
              <w:tl2br w:val="nil"/>
              <w:tr2bl w:val="nil"/>
            </w:tcBorders>
            <w:shd w:val="clear" w:color="auto" w:fill="auto"/>
            <w:vAlign w:val="center"/>
          </w:tcPr>
          <w:p w14:paraId="4D6B02C9">
            <w:pPr>
              <w:pStyle w:val="49"/>
              <w:rPr>
                <w:sz w:val="16"/>
                <w:szCs w:val="18"/>
              </w:rPr>
            </w:pPr>
            <w:r>
              <w:rPr>
                <w:sz w:val="16"/>
                <w:szCs w:val="18"/>
              </w:rPr>
              <w:t>Mohe Gulian Airport</w:t>
            </w:r>
          </w:p>
        </w:tc>
      </w:tr>
      <w:tr w14:paraId="445190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EDCDFEA">
            <w:pPr>
              <w:pStyle w:val="49"/>
              <w:rPr>
                <w:sz w:val="16"/>
                <w:szCs w:val="18"/>
              </w:rPr>
            </w:pPr>
            <w:r>
              <w:rPr>
                <w:sz w:val="16"/>
                <w:szCs w:val="18"/>
              </w:rPr>
              <w:t>DDG</w:t>
            </w:r>
          </w:p>
        </w:tc>
        <w:tc>
          <w:tcPr>
            <w:tcW w:w="3126" w:type="dxa"/>
            <w:tcBorders>
              <w:tl2br w:val="nil"/>
              <w:tr2bl w:val="nil"/>
            </w:tcBorders>
            <w:shd w:val="clear" w:color="auto" w:fill="auto"/>
            <w:vAlign w:val="center"/>
          </w:tcPr>
          <w:p w14:paraId="1782486C">
            <w:pPr>
              <w:pStyle w:val="49"/>
              <w:rPr>
                <w:sz w:val="16"/>
                <w:szCs w:val="18"/>
              </w:rPr>
            </w:pPr>
            <w:r>
              <w:rPr>
                <w:sz w:val="16"/>
                <w:szCs w:val="18"/>
              </w:rPr>
              <w:t>Dandong Langtou Airport</w:t>
            </w:r>
          </w:p>
        </w:tc>
        <w:tc>
          <w:tcPr>
            <w:tcW w:w="887" w:type="dxa"/>
            <w:tcBorders>
              <w:tl2br w:val="nil"/>
              <w:tr2bl w:val="nil"/>
            </w:tcBorders>
            <w:shd w:val="clear" w:color="auto" w:fill="auto"/>
            <w:vAlign w:val="center"/>
          </w:tcPr>
          <w:p w14:paraId="41BFED06">
            <w:pPr>
              <w:pStyle w:val="49"/>
              <w:rPr>
                <w:sz w:val="16"/>
                <w:szCs w:val="18"/>
              </w:rPr>
            </w:pPr>
            <w:r>
              <w:rPr>
                <w:sz w:val="16"/>
                <w:szCs w:val="18"/>
              </w:rPr>
              <w:t>PEK</w:t>
            </w:r>
          </w:p>
        </w:tc>
        <w:tc>
          <w:tcPr>
            <w:tcW w:w="3231" w:type="dxa"/>
            <w:tcBorders>
              <w:tl2br w:val="nil"/>
              <w:tr2bl w:val="nil"/>
            </w:tcBorders>
            <w:shd w:val="clear" w:color="auto" w:fill="auto"/>
            <w:vAlign w:val="center"/>
          </w:tcPr>
          <w:p w14:paraId="7C58BEC4">
            <w:pPr>
              <w:pStyle w:val="49"/>
              <w:rPr>
                <w:sz w:val="16"/>
                <w:szCs w:val="18"/>
              </w:rPr>
            </w:pPr>
            <w:r>
              <w:rPr>
                <w:sz w:val="16"/>
                <w:szCs w:val="18"/>
              </w:rPr>
              <w:t>Beijing Capital International Airport</w:t>
            </w:r>
          </w:p>
        </w:tc>
      </w:tr>
      <w:tr w14:paraId="0EBA48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6A7C3DD">
            <w:pPr>
              <w:pStyle w:val="49"/>
              <w:rPr>
                <w:sz w:val="16"/>
                <w:szCs w:val="18"/>
              </w:rPr>
            </w:pPr>
            <w:r>
              <w:rPr>
                <w:sz w:val="16"/>
                <w:szCs w:val="18"/>
              </w:rPr>
              <w:t>DIG</w:t>
            </w:r>
          </w:p>
        </w:tc>
        <w:tc>
          <w:tcPr>
            <w:tcW w:w="3126" w:type="dxa"/>
            <w:tcBorders>
              <w:tl2br w:val="nil"/>
              <w:tr2bl w:val="nil"/>
            </w:tcBorders>
            <w:shd w:val="clear" w:color="auto" w:fill="auto"/>
            <w:vAlign w:val="center"/>
          </w:tcPr>
          <w:p w14:paraId="0B11B268">
            <w:pPr>
              <w:pStyle w:val="49"/>
              <w:rPr>
                <w:sz w:val="16"/>
                <w:szCs w:val="18"/>
              </w:rPr>
            </w:pPr>
            <w:r>
              <w:rPr>
                <w:sz w:val="16"/>
                <w:szCs w:val="18"/>
              </w:rPr>
              <w:t>Diqing Shangri-La Airport</w:t>
            </w:r>
          </w:p>
        </w:tc>
        <w:tc>
          <w:tcPr>
            <w:tcW w:w="887" w:type="dxa"/>
            <w:tcBorders>
              <w:tl2br w:val="nil"/>
              <w:tr2bl w:val="nil"/>
            </w:tcBorders>
            <w:shd w:val="clear" w:color="auto" w:fill="auto"/>
            <w:vAlign w:val="center"/>
          </w:tcPr>
          <w:p w14:paraId="5B1191A6">
            <w:pPr>
              <w:pStyle w:val="49"/>
              <w:rPr>
                <w:sz w:val="16"/>
                <w:szCs w:val="18"/>
              </w:rPr>
            </w:pPr>
            <w:r>
              <w:rPr>
                <w:sz w:val="16"/>
                <w:szCs w:val="18"/>
              </w:rPr>
              <w:t>PKX</w:t>
            </w:r>
          </w:p>
        </w:tc>
        <w:tc>
          <w:tcPr>
            <w:tcW w:w="3231" w:type="dxa"/>
            <w:tcBorders>
              <w:tl2br w:val="nil"/>
              <w:tr2bl w:val="nil"/>
            </w:tcBorders>
            <w:shd w:val="clear" w:color="auto" w:fill="auto"/>
            <w:vAlign w:val="center"/>
          </w:tcPr>
          <w:p w14:paraId="2A0E4102">
            <w:pPr>
              <w:pStyle w:val="49"/>
              <w:rPr>
                <w:sz w:val="16"/>
                <w:szCs w:val="18"/>
              </w:rPr>
            </w:pPr>
            <w:r>
              <w:rPr>
                <w:sz w:val="16"/>
                <w:szCs w:val="18"/>
              </w:rPr>
              <w:t>Beijing Daxing International Airport</w:t>
            </w:r>
          </w:p>
        </w:tc>
      </w:tr>
      <w:tr w14:paraId="13828B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1C366506">
            <w:pPr>
              <w:pStyle w:val="49"/>
              <w:rPr>
                <w:sz w:val="16"/>
                <w:szCs w:val="18"/>
              </w:rPr>
            </w:pPr>
            <w:r>
              <w:rPr>
                <w:sz w:val="16"/>
                <w:szCs w:val="18"/>
              </w:rPr>
              <w:t>DLC</w:t>
            </w:r>
          </w:p>
        </w:tc>
        <w:tc>
          <w:tcPr>
            <w:tcW w:w="3126" w:type="dxa"/>
            <w:tcBorders>
              <w:tl2br w:val="nil"/>
              <w:tr2bl w:val="nil"/>
            </w:tcBorders>
            <w:shd w:val="clear" w:color="auto" w:fill="auto"/>
            <w:vAlign w:val="center"/>
          </w:tcPr>
          <w:p w14:paraId="1CB4F464">
            <w:pPr>
              <w:pStyle w:val="49"/>
              <w:rPr>
                <w:sz w:val="16"/>
                <w:szCs w:val="18"/>
              </w:rPr>
            </w:pPr>
            <w:r>
              <w:rPr>
                <w:sz w:val="16"/>
                <w:szCs w:val="18"/>
              </w:rPr>
              <w:t>Dalian Zhoushuizi International Airport</w:t>
            </w:r>
          </w:p>
        </w:tc>
        <w:tc>
          <w:tcPr>
            <w:tcW w:w="887" w:type="dxa"/>
            <w:tcBorders>
              <w:tl2br w:val="nil"/>
              <w:tr2bl w:val="nil"/>
            </w:tcBorders>
            <w:shd w:val="clear" w:color="auto" w:fill="auto"/>
            <w:vAlign w:val="center"/>
          </w:tcPr>
          <w:p w14:paraId="12A5B87D">
            <w:pPr>
              <w:pStyle w:val="49"/>
              <w:rPr>
                <w:sz w:val="16"/>
                <w:szCs w:val="18"/>
              </w:rPr>
            </w:pPr>
            <w:r>
              <w:rPr>
                <w:sz w:val="16"/>
                <w:szCs w:val="18"/>
              </w:rPr>
              <w:t>PVG</w:t>
            </w:r>
          </w:p>
        </w:tc>
        <w:tc>
          <w:tcPr>
            <w:tcW w:w="3231" w:type="dxa"/>
            <w:tcBorders>
              <w:tl2br w:val="nil"/>
              <w:tr2bl w:val="nil"/>
            </w:tcBorders>
            <w:shd w:val="clear" w:color="auto" w:fill="auto"/>
            <w:vAlign w:val="center"/>
          </w:tcPr>
          <w:p w14:paraId="6661D99B">
            <w:pPr>
              <w:pStyle w:val="49"/>
              <w:rPr>
                <w:sz w:val="16"/>
                <w:szCs w:val="18"/>
              </w:rPr>
            </w:pPr>
            <w:r>
              <w:rPr>
                <w:sz w:val="16"/>
                <w:szCs w:val="18"/>
              </w:rPr>
              <w:t>Shanghai Pudong International Airport</w:t>
            </w:r>
          </w:p>
        </w:tc>
      </w:tr>
      <w:tr w14:paraId="5D4979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6B541E6">
            <w:pPr>
              <w:pStyle w:val="49"/>
              <w:rPr>
                <w:sz w:val="16"/>
                <w:szCs w:val="18"/>
              </w:rPr>
            </w:pPr>
            <w:r>
              <w:rPr>
                <w:sz w:val="16"/>
                <w:szCs w:val="18"/>
              </w:rPr>
              <w:t>DLU</w:t>
            </w:r>
          </w:p>
        </w:tc>
        <w:tc>
          <w:tcPr>
            <w:tcW w:w="3126" w:type="dxa"/>
            <w:tcBorders>
              <w:tl2br w:val="nil"/>
              <w:tr2bl w:val="nil"/>
            </w:tcBorders>
            <w:shd w:val="clear" w:color="auto" w:fill="auto"/>
            <w:vAlign w:val="center"/>
          </w:tcPr>
          <w:p w14:paraId="7237F73F">
            <w:pPr>
              <w:pStyle w:val="49"/>
              <w:rPr>
                <w:sz w:val="16"/>
                <w:szCs w:val="18"/>
              </w:rPr>
            </w:pPr>
            <w:r>
              <w:rPr>
                <w:sz w:val="16"/>
                <w:szCs w:val="18"/>
              </w:rPr>
              <w:t>Dali Fengyi Airport</w:t>
            </w:r>
          </w:p>
        </w:tc>
        <w:tc>
          <w:tcPr>
            <w:tcW w:w="887" w:type="dxa"/>
            <w:tcBorders>
              <w:tl2br w:val="nil"/>
              <w:tr2bl w:val="nil"/>
            </w:tcBorders>
            <w:shd w:val="clear" w:color="auto" w:fill="auto"/>
            <w:vAlign w:val="center"/>
          </w:tcPr>
          <w:p w14:paraId="130CF1CA">
            <w:pPr>
              <w:pStyle w:val="49"/>
              <w:rPr>
                <w:sz w:val="16"/>
                <w:szCs w:val="18"/>
              </w:rPr>
            </w:pPr>
            <w:r>
              <w:rPr>
                <w:sz w:val="16"/>
                <w:szCs w:val="18"/>
              </w:rPr>
              <w:t>PZI</w:t>
            </w:r>
          </w:p>
        </w:tc>
        <w:tc>
          <w:tcPr>
            <w:tcW w:w="3231" w:type="dxa"/>
            <w:tcBorders>
              <w:tl2br w:val="nil"/>
              <w:tr2bl w:val="nil"/>
            </w:tcBorders>
            <w:shd w:val="clear" w:color="auto" w:fill="auto"/>
            <w:vAlign w:val="center"/>
          </w:tcPr>
          <w:p w14:paraId="15F96AA3">
            <w:pPr>
              <w:pStyle w:val="49"/>
              <w:rPr>
                <w:sz w:val="16"/>
                <w:szCs w:val="18"/>
              </w:rPr>
            </w:pPr>
            <w:r>
              <w:rPr>
                <w:sz w:val="16"/>
                <w:szCs w:val="18"/>
              </w:rPr>
              <w:t>Panzhihua Bao'anying Airport</w:t>
            </w:r>
          </w:p>
        </w:tc>
      </w:tr>
      <w:tr w14:paraId="1B22D3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75DBEB1D">
            <w:pPr>
              <w:pStyle w:val="49"/>
              <w:rPr>
                <w:sz w:val="16"/>
                <w:szCs w:val="18"/>
              </w:rPr>
            </w:pPr>
            <w:r>
              <w:rPr>
                <w:sz w:val="16"/>
                <w:szCs w:val="18"/>
              </w:rPr>
              <w:t>DNH</w:t>
            </w:r>
          </w:p>
        </w:tc>
        <w:tc>
          <w:tcPr>
            <w:tcW w:w="3126" w:type="dxa"/>
            <w:tcBorders>
              <w:tl2br w:val="nil"/>
              <w:tr2bl w:val="nil"/>
            </w:tcBorders>
            <w:shd w:val="clear" w:color="auto" w:fill="auto"/>
            <w:vAlign w:val="center"/>
          </w:tcPr>
          <w:p w14:paraId="34A6E801">
            <w:pPr>
              <w:pStyle w:val="49"/>
              <w:rPr>
                <w:sz w:val="16"/>
                <w:szCs w:val="18"/>
              </w:rPr>
            </w:pPr>
            <w:r>
              <w:rPr>
                <w:sz w:val="16"/>
                <w:szCs w:val="18"/>
              </w:rPr>
              <w:t>Dunhuang Mogao International Airport</w:t>
            </w:r>
          </w:p>
        </w:tc>
        <w:tc>
          <w:tcPr>
            <w:tcW w:w="887" w:type="dxa"/>
            <w:tcBorders>
              <w:tl2br w:val="nil"/>
              <w:tr2bl w:val="nil"/>
            </w:tcBorders>
            <w:shd w:val="clear" w:color="auto" w:fill="auto"/>
            <w:vAlign w:val="center"/>
          </w:tcPr>
          <w:p w14:paraId="01FE48AA">
            <w:pPr>
              <w:pStyle w:val="49"/>
              <w:rPr>
                <w:sz w:val="16"/>
                <w:szCs w:val="18"/>
              </w:rPr>
            </w:pPr>
            <w:r>
              <w:rPr>
                <w:sz w:val="16"/>
                <w:szCs w:val="18"/>
              </w:rPr>
              <w:t>QSZ</w:t>
            </w:r>
          </w:p>
        </w:tc>
        <w:tc>
          <w:tcPr>
            <w:tcW w:w="3231" w:type="dxa"/>
            <w:tcBorders>
              <w:tl2br w:val="nil"/>
              <w:tr2bl w:val="nil"/>
            </w:tcBorders>
            <w:shd w:val="clear" w:color="auto" w:fill="auto"/>
            <w:vAlign w:val="center"/>
          </w:tcPr>
          <w:p w14:paraId="1345D75A">
            <w:pPr>
              <w:pStyle w:val="49"/>
              <w:rPr>
                <w:sz w:val="16"/>
                <w:szCs w:val="18"/>
              </w:rPr>
            </w:pPr>
            <w:r>
              <w:rPr>
                <w:sz w:val="16"/>
                <w:szCs w:val="18"/>
              </w:rPr>
              <w:t>Shache Yarkand Airport</w:t>
            </w:r>
          </w:p>
        </w:tc>
      </w:tr>
      <w:tr w14:paraId="24F4A7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719EF59">
            <w:pPr>
              <w:pStyle w:val="49"/>
              <w:rPr>
                <w:sz w:val="16"/>
                <w:szCs w:val="18"/>
              </w:rPr>
            </w:pPr>
            <w:r>
              <w:rPr>
                <w:sz w:val="16"/>
                <w:szCs w:val="18"/>
              </w:rPr>
              <w:t>DOY</w:t>
            </w:r>
          </w:p>
        </w:tc>
        <w:tc>
          <w:tcPr>
            <w:tcW w:w="3126" w:type="dxa"/>
            <w:tcBorders>
              <w:tl2br w:val="nil"/>
              <w:tr2bl w:val="nil"/>
            </w:tcBorders>
            <w:shd w:val="clear" w:color="auto" w:fill="auto"/>
            <w:vAlign w:val="center"/>
          </w:tcPr>
          <w:p w14:paraId="6B984508">
            <w:pPr>
              <w:pStyle w:val="49"/>
              <w:rPr>
                <w:sz w:val="16"/>
                <w:szCs w:val="18"/>
              </w:rPr>
            </w:pPr>
            <w:r>
              <w:rPr>
                <w:sz w:val="16"/>
                <w:szCs w:val="18"/>
              </w:rPr>
              <w:t>Dongying Shengli Airport</w:t>
            </w:r>
          </w:p>
        </w:tc>
        <w:tc>
          <w:tcPr>
            <w:tcW w:w="887" w:type="dxa"/>
            <w:tcBorders>
              <w:tl2br w:val="nil"/>
              <w:tr2bl w:val="nil"/>
            </w:tcBorders>
            <w:shd w:val="clear" w:color="auto" w:fill="auto"/>
            <w:vAlign w:val="center"/>
          </w:tcPr>
          <w:p w14:paraId="2518EC6A">
            <w:pPr>
              <w:pStyle w:val="49"/>
              <w:rPr>
                <w:sz w:val="16"/>
                <w:szCs w:val="18"/>
              </w:rPr>
            </w:pPr>
            <w:r>
              <w:rPr>
                <w:sz w:val="16"/>
                <w:szCs w:val="18"/>
              </w:rPr>
              <w:t>RHT</w:t>
            </w:r>
          </w:p>
        </w:tc>
        <w:tc>
          <w:tcPr>
            <w:tcW w:w="3231" w:type="dxa"/>
            <w:tcBorders>
              <w:tl2br w:val="nil"/>
              <w:tr2bl w:val="nil"/>
            </w:tcBorders>
            <w:shd w:val="clear" w:color="auto" w:fill="auto"/>
            <w:vAlign w:val="center"/>
          </w:tcPr>
          <w:p w14:paraId="2CBBC6D7">
            <w:pPr>
              <w:pStyle w:val="49"/>
              <w:rPr>
                <w:sz w:val="16"/>
                <w:szCs w:val="18"/>
              </w:rPr>
            </w:pPr>
            <w:r>
              <w:rPr>
                <w:sz w:val="16"/>
                <w:szCs w:val="18"/>
              </w:rPr>
              <w:t>Alxa Right Banner Badain Jaran Airport</w:t>
            </w:r>
          </w:p>
        </w:tc>
      </w:tr>
      <w:tr w14:paraId="49443C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89F4639">
            <w:pPr>
              <w:pStyle w:val="49"/>
              <w:rPr>
                <w:sz w:val="16"/>
                <w:szCs w:val="18"/>
              </w:rPr>
            </w:pPr>
            <w:r>
              <w:rPr>
                <w:sz w:val="16"/>
                <w:szCs w:val="18"/>
              </w:rPr>
              <w:t>DQA</w:t>
            </w:r>
          </w:p>
        </w:tc>
        <w:tc>
          <w:tcPr>
            <w:tcW w:w="3126" w:type="dxa"/>
            <w:tcBorders>
              <w:tl2br w:val="nil"/>
              <w:tr2bl w:val="nil"/>
            </w:tcBorders>
            <w:shd w:val="clear" w:color="auto" w:fill="auto"/>
            <w:vAlign w:val="center"/>
          </w:tcPr>
          <w:p w14:paraId="08556F0F">
            <w:pPr>
              <w:pStyle w:val="49"/>
              <w:rPr>
                <w:sz w:val="16"/>
                <w:szCs w:val="18"/>
              </w:rPr>
            </w:pPr>
            <w:r>
              <w:rPr>
                <w:sz w:val="16"/>
                <w:szCs w:val="18"/>
              </w:rPr>
              <w:t>Daqing Sartu Airport</w:t>
            </w:r>
          </w:p>
        </w:tc>
        <w:tc>
          <w:tcPr>
            <w:tcW w:w="887" w:type="dxa"/>
            <w:tcBorders>
              <w:tl2br w:val="nil"/>
              <w:tr2bl w:val="nil"/>
            </w:tcBorders>
            <w:shd w:val="clear" w:color="auto" w:fill="auto"/>
            <w:vAlign w:val="center"/>
          </w:tcPr>
          <w:p w14:paraId="18FD2C40">
            <w:pPr>
              <w:pStyle w:val="49"/>
              <w:rPr>
                <w:sz w:val="16"/>
                <w:szCs w:val="18"/>
              </w:rPr>
            </w:pPr>
            <w:r>
              <w:rPr>
                <w:sz w:val="16"/>
                <w:szCs w:val="18"/>
              </w:rPr>
              <w:t>RIZ</w:t>
            </w:r>
          </w:p>
        </w:tc>
        <w:tc>
          <w:tcPr>
            <w:tcW w:w="3231" w:type="dxa"/>
            <w:tcBorders>
              <w:tl2br w:val="nil"/>
              <w:tr2bl w:val="nil"/>
            </w:tcBorders>
            <w:shd w:val="clear" w:color="auto" w:fill="auto"/>
            <w:vAlign w:val="center"/>
          </w:tcPr>
          <w:p w14:paraId="1C1469EF">
            <w:pPr>
              <w:pStyle w:val="49"/>
              <w:rPr>
                <w:sz w:val="16"/>
                <w:szCs w:val="18"/>
              </w:rPr>
            </w:pPr>
            <w:r>
              <w:rPr>
                <w:sz w:val="16"/>
                <w:szCs w:val="18"/>
              </w:rPr>
              <w:t>Rizhao Shanzihe Airport</w:t>
            </w:r>
          </w:p>
        </w:tc>
      </w:tr>
      <w:tr w14:paraId="731B29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577868BC">
            <w:pPr>
              <w:pStyle w:val="49"/>
              <w:rPr>
                <w:sz w:val="16"/>
                <w:szCs w:val="18"/>
              </w:rPr>
            </w:pPr>
            <w:r>
              <w:rPr>
                <w:sz w:val="16"/>
                <w:szCs w:val="18"/>
              </w:rPr>
              <w:t>DSN</w:t>
            </w:r>
          </w:p>
        </w:tc>
        <w:tc>
          <w:tcPr>
            <w:tcW w:w="3126" w:type="dxa"/>
            <w:tcBorders>
              <w:tl2br w:val="nil"/>
              <w:tr2bl w:val="nil"/>
            </w:tcBorders>
            <w:shd w:val="clear" w:color="auto" w:fill="auto"/>
            <w:vAlign w:val="center"/>
          </w:tcPr>
          <w:p w14:paraId="6B3530A4">
            <w:pPr>
              <w:pStyle w:val="49"/>
              <w:rPr>
                <w:sz w:val="16"/>
                <w:szCs w:val="18"/>
              </w:rPr>
            </w:pPr>
            <w:r>
              <w:rPr>
                <w:sz w:val="16"/>
                <w:szCs w:val="18"/>
              </w:rPr>
              <w:t>Ordos Ejin Horo International Airport</w:t>
            </w:r>
          </w:p>
        </w:tc>
        <w:tc>
          <w:tcPr>
            <w:tcW w:w="887" w:type="dxa"/>
            <w:tcBorders>
              <w:tl2br w:val="nil"/>
              <w:tr2bl w:val="nil"/>
            </w:tcBorders>
            <w:shd w:val="clear" w:color="auto" w:fill="auto"/>
            <w:vAlign w:val="center"/>
          </w:tcPr>
          <w:p w14:paraId="7E429AB6">
            <w:pPr>
              <w:pStyle w:val="49"/>
              <w:rPr>
                <w:sz w:val="16"/>
                <w:szCs w:val="18"/>
              </w:rPr>
            </w:pPr>
            <w:r>
              <w:rPr>
                <w:sz w:val="16"/>
                <w:szCs w:val="18"/>
              </w:rPr>
              <w:t>RKZ</w:t>
            </w:r>
          </w:p>
        </w:tc>
        <w:tc>
          <w:tcPr>
            <w:tcW w:w="3231" w:type="dxa"/>
            <w:tcBorders>
              <w:tl2br w:val="nil"/>
              <w:tr2bl w:val="nil"/>
            </w:tcBorders>
            <w:shd w:val="clear" w:color="auto" w:fill="auto"/>
            <w:vAlign w:val="center"/>
          </w:tcPr>
          <w:p w14:paraId="75A5D240">
            <w:pPr>
              <w:pStyle w:val="49"/>
              <w:rPr>
                <w:sz w:val="16"/>
                <w:szCs w:val="18"/>
              </w:rPr>
            </w:pPr>
            <w:r>
              <w:rPr>
                <w:sz w:val="16"/>
                <w:szCs w:val="18"/>
              </w:rPr>
              <w:t>Xigazê Peace Airport</w:t>
            </w:r>
          </w:p>
        </w:tc>
      </w:tr>
      <w:tr w14:paraId="06250A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2885B44">
            <w:pPr>
              <w:pStyle w:val="49"/>
              <w:rPr>
                <w:sz w:val="16"/>
                <w:szCs w:val="18"/>
              </w:rPr>
            </w:pPr>
            <w:r>
              <w:rPr>
                <w:sz w:val="16"/>
                <w:szCs w:val="18"/>
              </w:rPr>
              <w:t>DTU</w:t>
            </w:r>
          </w:p>
        </w:tc>
        <w:tc>
          <w:tcPr>
            <w:tcW w:w="3126" w:type="dxa"/>
            <w:tcBorders>
              <w:tl2br w:val="nil"/>
              <w:tr2bl w:val="nil"/>
            </w:tcBorders>
            <w:shd w:val="clear" w:color="auto" w:fill="auto"/>
            <w:vAlign w:val="center"/>
          </w:tcPr>
          <w:p w14:paraId="015BC5D3">
            <w:pPr>
              <w:pStyle w:val="49"/>
              <w:rPr>
                <w:sz w:val="16"/>
                <w:szCs w:val="18"/>
              </w:rPr>
            </w:pPr>
            <w:r>
              <w:rPr>
                <w:sz w:val="16"/>
                <w:szCs w:val="18"/>
              </w:rPr>
              <w:t>Wudalianchi Dedu Airport</w:t>
            </w:r>
          </w:p>
        </w:tc>
        <w:tc>
          <w:tcPr>
            <w:tcW w:w="887" w:type="dxa"/>
            <w:tcBorders>
              <w:tl2br w:val="nil"/>
              <w:tr2bl w:val="nil"/>
            </w:tcBorders>
            <w:shd w:val="clear" w:color="auto" w:fill="auto"/>
            <w:vAlign w:val="center"/>
          </w:tcPr>
          <w:p w14:paraId="457716E6">
            <w:pPr>
              <w:pStyle w:val="49"/>
              <w:rPr>
                <w:sz w:val="16"/>
                <w:szCs w:val="18"/>
              </w:rPr>
            </w:pPr>
            <w:r>
              <w:rPr>
                <w:sz w:val="16"/>
                <w:szCs w:val="18"/>
              </w:rPr>
              <w:t>RLK</w:t>
            </w:r>
          </w:p>
        </w:tc>
        <w:tc>
          <w:tcPr>
            <w:tcW w:w="3231" w:type="dxa"/>
            <w:tcBorders>
              <w:tl2br w:val="nil"/>
              <w:tr2bl w:val="nil"/>
            </w:tcBorders>
            <w:shd w:val="clear" w:color="auto" w:fill="auto"/>
            <w:vAlign w:val="center"/>
          </w:tcPr>
          <w:p w14:paraId="0A6DA745">
            <w:pPr>
              <w:pStyle w:val="49"/>
              <w:rPr>
                <w:sz w:val="16"/>
                <w:szCs w:val="18"/>
              </w:rPr>
            </w:pPr>
            <w:r>
              <w:rPr>
                <w:sz w:val="16"/>
                <w:szCs w:val="18"/>
              </w:rPr>
              <w:t>Bayannur Tianjitai Airport</w:t>
            </w:r>
          </w:p>
        </w:tc>
      </w:tr>
      <w:tr w14:paraId="54B2F7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1ED2329A">
            <w:pPr>
              <w:pStyle w:val="49"/>
              <w:rPr>
                <w:sz w:val="16"/>
                <w:szCs w:val="18"/>
              </w:rPr>
            </w:pPr>
            <w:r>
              <w:rPr>
                <w:sz w:val="16"/>
                <w:szCs w:val="18"/>
              </w:rPr>
              <w:t>DYG</w:t>
            </w:r>
          </w:p>
        </w:tc>
        <w:tc>
          <w:tcPr>
            <w:tcW w:w="3126" w:type="dxa"/>
            <w:tcBorders>
              <w:tl2br w:val="nil"/>
              <w:tr2bl w:val="nil"/>
            </w:tcBorders>
            <w:shd w:val="clear" w:color="auto" w:fill="auto"/>
            <w:vAlign w:val="center"/>
          </w:tcPr>
          <w:p w14:paraId="6D71B5A4">
            <w:pPr>
              <w:pStyle w:val="49"/>
              <w:rPr>
                <w:sz w:val="16"/>
                <w:szCs w:val="18"/>
              </w:rPr>
            </w:pPr>
            <w:r>
              <w:rPr>
                <w:sz w:val="16"/>
                <w:szCs w:val="18"/>
              </w:rPr>
              <w:t>Zhangjiajie Hehua International Airport</w:t>
            </w:r>
          </w:p>
        </w:tc>
        <w:tc>
          <w:tcPr>
            <w:tcW w:w="887" w:type="dxa"/>
            <w:tcBorders>
              <w:tl2br w:val="nil"/>
              <w:tr2bl w:val="nil"/>
            </w:tcBorders>
            <w:shd w:val="clear" w:color="auto" w:fill="auto"/>
            <w:vAlign w:val="center"/>
          </w:tcPr>
          <w:p w14:paraId="7997451F">
            <w:pPr>
              <w:pStyle w:val="49"/>
              <w:rPr>
                <w:sz w:val="16"/>
                <w:szCs w:val="18"/>
              </w:rPr>
            </w:pPr>
            <w:r>
              <w:rPr>
                <w:sz w:val="16"/>
                <w:szCs w:val="18"/>
              </w:rPr>
              <w:t>RQA</w:t>
            </w:r>
          </w:p>
        </w:tc>
        <w:tc>
          <w:tcPr>
            <w:tcW w:w="3231" w:type="dxa"/>
            <w:tcBorders>
              <w:tl2br w:val="nil"/>
              <w:tr2bl w:val="nil"/>
            </w:tcBorders>
            <w:shd w:val="clear" w:color="auto" w:fill="auto"/>
            <w:vAlign w:val="center"/>
          </w:tcPr>
          <w:p w14:paraId="73D7EF3E">
            <w:pPr>
              <w:pStyle w:val="49"/>
              <w:rPr>
                <w:sz w:val="16"/>
                <w:szCs w:val="18"/>
              </w:rPr>
            </w:pPr>
            <w:r>
              <w:rPr>
                <w:sz w:val="16"/>
                <w:szCs w:val="18"/>
              </w:rPr>
              <w:t>Ruoqiang Loulan Airport</w:t>
            </w:r>
          </w:p>
        </w:tc>
      </w:tr>
      <w:tr w14:paraId="3742BE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39EB1DB0">
            <w:pPr>
              <w:pStyle w:val="49"/>
              <w:rPr>
                <w:sz w:val="16"/>
                <w:szCs w:val="18"/>
              </w:rPr>
            </w:pPr>
            <w:r>
              <w:rPr>
                <w:sz w:val="16"/>
                <w:szCs w:val="18"/>
              </w:rPr>
              <w:t>EJN</w:t>
            </w:r>
          </w:p>
        </w:tc>
        <w:tc>
          <w:tcPr>
            <w:tcW w:w="3126" w:type="dxa"/>
            <w:tcBorders>
              <w:tl2br w:val="nil"/>
              <w:tr2bl w:val="nil"/>
            </w:tcBorders>
            <w:shd w:val="clear" w:color="auto" w:fill="auto"/>
            <w:vAlign w:val="center"/>
          </w:tcPr>
          <w:p w14:paraId="21997080">
            <w:pPr>
              <w:pStyle w:val="49"/>
              <w:rPr>
                <w:sz w:val="16"/>
                <w:szCs w:val="18"/>
              </w:rPr>
            </w:pPr>
            <w:r>
              <w:rPr>
                <w:sz w:val="16"/>
                <w:szCs w:val="18"/>
              </w:rPr>
              <w:t>Ejina Banner Taolai Airport</w:t>
            </w:r>
          </w:p>
        </w:tc>
        <w:tc>
          <w:tcPr>
            <w:tcW w:w="887" w:type="dxa"/>
            <w:tcBorders>
              <w:tl2br w:val="nil"/>
              <w:tr2bl w:val="nil"/>
            </w:tcBorders>
            <w:shd w:val="clear" w:color="auto" w:fill="auto"/>
            <w:vAlign w:val="center"/>
          </w:tcPr>
          <w:p w14:paraId="000327D5">
            <w:pPr>
              <w:pStyle w:val="49"/>
              <w:rPr>
                <w:sz w:val="16"/>
                <w:szCs w:val="18"/>
              </w:rPr>
            </w:pPr>
            <w:r>
              <w:rPr>
                <w:sz w:val="16"/>
                <w:szCs w:val="18"/>
              </w:rPr>
              <w:t>SHA</w:t>
            </w:r>
          </w:p>
        </w:tc>
        <w:tc>
          <w:tcPr>
            <w:tcW w:w="3231" w:type="dxa"/>
            <w:tcBorders>
              <w:tl2br w:val="nil"/>
              <w:tr2bl w:val="nil"/>
            </w:tcBorders>
            <w:shd w:val="clear" w:color="auto" w:fill="auto"/>
            <w:vAlign w:val="center"/>
          </w:tcPr>
          <w:p w14:paraId="279F33A2">
            <w:pPr>
              <w:pStyle w:val="49"/>
              <w:rPr>
                <w:sz w:val="16"/>
                <w:szCs w:val="18"/>
              </w:rPr>
            </w:pPr>
            <w:r>
              <w:rPr>
                <w:sz w:val="16"/>
                <w:szCs w:val="18"/>
              </w:rPr>
              <w:t>Shanghai Hongqiao International Airport</w:t>
            </w:r>
          </w:p>
        </w:tc>
      </w:tr>
      <w:tr w14:paraId="052D59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080DC918">
            <w:pPr>
              <w:pStyle w:val="49"/>
              <w:rPr>
                <w:sz w:val="16"/>
                <w:szCs w:val="18"/>
              </w:rPr>
            </w:pPr>
            <w:r>
              <w:rPr>
                <w:sz w:val="16"/>
                <w:szCs w:val="18"/>
              </w:rPr>
              <w:t>ENH</w:t>
            </w:r>
          </w:p>
        </w:tc>
        <w:tc>
          <w:tcPr>
            <w:tcW w:w="3126" w:type="dxa"/>
            <w:tcBorders>
              <w:tl2br w:val="nil"/>
              <w:tr2bl w:val="nil"/>
            </w:tcBorders>
            <w:shd w:val="clear" w:color="auto" w:fill="auto"/>
            <w:vAlign w:val="center"/>
          </w:tcPr>
          <w:p w14:paraId="7AA31B51">
            <w:pPr>
              <w:pStyle w:val="49"/>
              <w:rPr>
                <w:sz w:val="16"/>
                <w:szCs w:val="18"/>
              </w:rPr>
            </w:pPr>
            <w:r>
              <w:rPr>
                <w:sz w:val="16"/>
                <w:szCs w:val="18"/>
              </w:rPr>
              <w:t>Enshi Xujiaping International Airport</w:t>
            </w:r>
          </w:p>
        </w:tc>
        <w:tc>
          <w:tcPr>
            <w:tcW w:w="887" w:type="dxa"/>
            <w:tcBorders>
              <w:tl2br w:val="nil"/>
              <w:tr2bl w:val="nil"/>
            </w:tcBorders>
            <w:shd w:val="clear" w:color="auto" w:fill="auto"/>
            <w:vAlign w:val="center"/>
          </w:tcPr>
          <w:p w14:paraId="36B0DA08">
            <w:pPr>
              <w:pStyle w:val="49"/>
              <w:rPr>
                <w:sz w:val="16"/>
                <w:szCs w:val="18"/>
              </w:rPr>
            </w:pPr>
            <w:r>
              <w:rPr>
                <w:sz w:val="16"/>
                <w:szCs w:val="18"/>
              </w:rPr>
              <w:t>SHE</w:t>
            </w:r>
          </w:p>
        </w:tc>
        <w:tc>
          <w:tcPr>
            <w:tcW w:w="3231" w:type="dxa"/>
            <w:tcBorders>
              <w:tl2br w:val="nil"/>
              <w:tr2bl w:val="nil"/>
            </w:tcBorders>
            <w:shd w:val="clear" w:color="auto" w:fill="auto"/>
            <w:vAlign w:val="center"/>
          </w:tcPr>
          <w:p w14:paraId="7BD8E62B">
            <w:pPr>
              <w:pStyle w:val="49"/>
              <w:rPr>
                <w:sz w:val="16"/>
                <w:szCs w:val="18"/>
              </w:rPr>
            </w:pPr>
            <w:r>
              <w:rPr>
                <w:sz w:val="16"/>
                <w:szCs w:val="18"/>
              </w:rPr>
              <w:t>Shenyang Taoxian International Airport</w:t>
            </w:r>
          </w:p>
        </w:tc>
      </w:tr>
      <w:tr w14:paraId="1FBEBD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DCB0658">
            <w:pPr>
              <w:pStyle w:val="49"/>
              <w:rPr>
                <w:sz w:val="16"/>
                <w:szCs w:val="18"/>
              </w:rPr>
            </w:pPr>
            <w:r>
              <w:rPr>
                <w:sz w:val="16"/>
                <w:szCs w:val="18"/>
              </w:rPr>
              <w:t>ENY</w:t>
            </w:r>
          </w:p>
        </w:tc>
        <w:tc>
          <w:tcPr>
            <w:tcW w:w="3126" w:type="dxa"/>
            <w:tcBorders>
              <w:tl2br w:val="nil"/>
              <w:tr2bl w:val="nil"/>
            </w:tcBorders>
            <w:shd w:val="clear" w:color="auto" w:fill="auto"/>
            <w:vAlign w:val="center"/>
          </w:tcPr>
          <w:p w14:paraId="3BDE04E1">
            <w:pPr>
              <w:pStyle w:val="49"/>
              <w:rPr>
                <w:sz w:val="16"/>
                <w:szCs w:val="18"/>
              </w:rPr>
            </w:pPr>
            <w:r>
              <w:rPr>
                <w:sz w:val="16"/>
                <w:szCs w:val="18"/>
              </w:rPr>
              <w:t>Yan'an Nanniwan Airport</w:t>
            </w:r>
          </w:p>
        </w:tc>
        <w:tc>
          <w:tcPr>
            <w:tcW w:w="887" w:type="dxa"/>
            <w:tcBorders>
              <w:tl2br w:val="nil"/>
              <w:tr2bl w:val="nil"/>
            </w:tcBorders>
            <w:shd w:val="clear" w:color="auto" w:fill="auto"/>
            <w:vAlign w:val="center"/>
          </w:tcPr>
          <w:p w14:paraId="345ED260">
            <w:pPr>
              <w:pStyle w:val="49"/>
              <w:rPr>
                <w:sz w:val="16"/>
                <w:szCs w:val="18"/>
              </w:rPr>
            </w:pPr>
            <w:r>
              <w:rPr>
                <w:sz w:val="16"/>
                <w:szCs w:val="18"/>
              </w:rPr>
              <w:t>SHF</w:t>
            </w:r>
          </w:p>
        </w:tc>
        <w:tc>
          <w:tcPr>
            <w:tcW w:w="3231" w:type="dxa"/>
            <w:tcBorders>
              <w:tl2br w:val="nil"/>
              <w:tr2bl w:val="nil"/>
            </w:tcBorders>
            <w:shd w:val="clear" w:color="auto" w:fill="auto"/>
            <w:vAlign w:val="center"/>
          </w:tcPr>
          <w:p w14:paraId="7FB7E30A">
            <w:pPr>
              <w:pStyle w:val="49"/>
              <w:rPr>
                <w:sz w:val="16"/>
                <w:szCs w:val="18"/>
              </w:rPr>
            </w:pPr>
            <w:r>
              <w:rPr>
                <w:sz w:val="16"/>
                <w:szCs w:val="18"/>
              </w:rPr>
              <w:t>Shihezi Huayuan Airport</w:t>
            </w:r>
          </w:p>
        </w:tc>
      </w:tr>
      <w:tr w14:paraId="5073A9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1E6A12A0">
            <w:pPr>
              <w:pStyle w:val="49"/>
              <w:rPr>
                <w:sz w:val="16"/>
                <w:szCs w:val="18"/>
              </w:rPr>
            </w:pPr>
            <w:r>
              <w:rPr>
                <w:sz w:val="16"/>
                <w:szCs w:val="18"/>
              </w:rPr>
              <w:t>ERL</w:t>
            </w:r>
          </w:p>
        </w:tc>
        <w:tc>
          <w:tcPr>
            <w:tcW w:w="3126" w:type="dxa"/>
            <w:tcBorders>
              <w:tl2br w:val="nil"/>
              <w:tr2bl w:val="nil"/>
            </w:tcBorders>
            <w:shd w:val="clear" w:color="auto" w:fill="auto"/>
            <w:vAlign w:val="center"/>
          </w:tcPr>
          <w:p w14:paraId="4E912280">
            <w:pPr>
              <w:pStyle w:val="49"/>
              <w:rPr>
                <w:sz w:val="16"/>
                <w:szCs w:val="18"/>
              </w:rPr>
            </w:pPr>
            <w:r>
              <w:rPr>
                <w:sz w:val="16"/>
                <w:szCs w:val="18"/>
              </w:rPr>
              <w:t>Erenhot Saiwusu International Airport</w:t>
            </w:r>
          </w:p>
        </w:tc>
        <w:tc>
          <w:tcPr>
            <w:tcW w:w="887" w:type="dxa"/>
            <w:tcBorders>
              <w:tl2br w:val="nil"/>
              <w:tr2bl w:val="nil"/>
            </w:tcBorders>
            <w:shd w:val="clear" w:color="auto" w:fill="auto"/>
            <w:vAlign w:val="center"/>
          </w:tcPr>
          <w:p w14:paraId="7AA71DA4">
            <w:pPr>
              <w:pStyle w:val="49"/>
              <w:rPr>
                <w:sz w:val="16"/>
                <w:szCs w:val="18"/>
              </w:rPr>
            </w:pPr>
            <w:r>
              <w:rPr>
                <w:sz w:val="16"/>
                <w:szCs w:val="18"/>
              </w:rPr>
              <w:t>SJW</w:t>
            </w:r>
          </w:p>
        </w:tc>
        <w:tc>
          <w:tcPr>
            <w:tcW w:w="3231" w:type="dxa"/>
            <w:tcBorders>
              <w:tl2br w:val="nil"/>
              <w:tr2bl w:val="nil"/>
            </w:tcBorders>
            <w:shd w:val="clear" w:color="auto" w:fill="auto"/>
            <w:vAlign w:val="center"/>
          </w:tcPr>
          <w:p w14:paraId="289DC5FC">
            <w:pPr>
              <w:pStyle w:val="49"/>
              <w:rPr>
                <w:sz w:val="16"/>
                <w:szCs w:val="18"/>
              </w:rPr>
            </w:pPr>
            <w:r>
              <w:rPr>
                <w:sz w:val="16"/>
                <w:szCs w:val="18"/>
              </w:rPr>
              <w:t>Shijiazhuang Zhengding International Airport</w:t>
            </w:r>
          </w:p>
        </w:tc>
      </w:tr>
      <w:tr w14:paraId="098AAE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69C4D69">
            <w:pPr>
              <w:pStyle w:val="49"/>
              <w:rPr>
                <w:sz w:val="16"/>
                <w:szCs w:val="18"/>
              </w:rPr>
            </w:pPr>
            <w:r>
              <w:rPr>
                <w:sz w:val="16"/>
                <w:szCs w:val="18"/>
              </w:rPr>
              <w:t>FOC</w:t>
            </w:r>
          </w:p>
        </w:tc>
        <w:tc>
          <w:tcPr>
            <w:tcW w:w="3126" w:type="dxa"/>
            <w:tcBorders>
              <w:tl2br w:val="nil"/>
              <w:tr2bl w:val="nil"/>
            </w:tcBorders>
            <w:shd w:val="clear" w:color="auto" w:fill="auto"/>
            <w:vAlign w:val="center"/>
          </w:tcPr>
          <w:p w14:paraId="44A43B29">
            <w:pPr>
              <w:pStyle w:val="49"/>
              <w:rPr>
                <w:sz w:val="16"/>
                <w:szCs w:val="18"/>
              </w:rPr>
            </w:pPr>
            <w:r>
              <w:rPr>
                <w:sz w:val="16"/>
                <w:szCs w:val="18"/>
              </w:rPr>
              <w:t>Fuzhou Changle International Airport</w:t>
            </w:r>
          </w:p>
        </w:tc>
        <w:tc>
          <w:tcPr>
            <w:tcW w:w="887" w:type="dxa"/>
            <w:tcBorders>
              <w:tl2br w:val="nil"/>
              <w:tr2bl w:val="nil"/>
            </w:tcBorders>
            <w:shd w:val="clear" w:color="auto" w:fill="auto"/>
            <w:vAlign w:val="center"/>
          </w:tcPr>
          <w:p w14:paraId="1F309859">
            <w:pPr>
              <w:pStyle w:val="49"/>
              <w:rPr>
                <w:sz w:val="16"/>
                <w:szCs w:val="18"/>
              </w:rPr>
            </w:pPr>
            <w:r>
              <w:rPr>
                <w:sz w:val="16"/>
                <w:szCs w:val="18"/>
              </w:rPr>
              <w:t>SQD</w:t>
            </w:r>
          </w:p>
        </w:tc>
        <w:tc>
          <w:tcPr>
            <w:tcW w:w="3231" w:type="dxa"/>
            <w:tcBorders>
              <w:tl2br w:val="nil"/>
              <w:tr2bl w:val="nil"/>
            </w:tcBorders>
            <w:shd w:val="clear" w:color="auto" w:fill="auto"/>
            <w:vAlign w:val="center"/>
          </w:tcPr>
          <w:p w14:paraId="59235FC8">
            <w:pPr>
              <w:pStyle w:val="49"/>
              <w:rPr>
                <w:sz w:val="16"/>
                <w:szCs w:val="18"/>
              </w:rPr>
            </w:pPr>
            <w:r>
              <w:rPr>
                <w:sz w:val="16"/>
                <w:szCs w:val="18"/>
              </w:rPr>
              <w:t>Shangrao Sanqingshan Airport</w:t>
            </w:r>
          </w:p>
        </w:tc>
      </w:tr>
      <w:tr w14:paraId="5B4720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2BD9EA0">
            <w:pPr>
              <w:pStyle w:val="49"/>
              <w:rPr>
                <w:sz w:val="16"/>
                <w:szCs w:val="18"/>
              </w:rPr>
            </w:pPr>
            <w:r>
              <w:rPr>
                <w:sz w:val="16"/>
                <w:szCs w:val="18"/>
              </w:rPr>
              <w:t>FUG</w:t>
            </w:r>
          </w:p>
        </w:tc>
        <w:tc>
          <w:tcPr>
            <w:tcW w:w="3126" w:type="dxa"/>
            <w:tcBorders>
              <w:tl2br w:val="nil"/>
              <w:tr2bl w:val="nil"/>
            </w:tcBorders>
            <w:shd w:val="clear" w:color="auto" w:fill="auto"/>
            <w:vAlign w:val="center"/>
          </w:tcPr>
          <w:p w14:paraId="7B20A5CB">
            <w:pPr>
              <w:pStyle w:val="49"/>
              <w:rPr>
                <w:sz w:val="16"/>
                <w:szCs w:val="18"/>
              </w:rPr>
            </w:pPr>
            <w:r>
              <w:rPr>
                <w:sz w:val="16"/>
                <w:szCs w:val="18"/>
              </w:rPr>
              <w:t>Fuyang Airport</w:t>
            </w:r>
          </w:p>
        </w:tc>
        <w:tc>
          <w:tcPr>
            <w:tcW w:w="887" w:type="dxa"/>
            <w:tcBorders>
              <w:tl2br w:val="nil"/>
              <w:tr2bl w:val="nil"/>
            </w:tcBorders>
            <w:shd w:val="clear" w:color="auto" w:fill="auto"/>
            <w:vAlign w:val="center"/>
          </w:tcPr>
          <w:p w14:paraId="62CAF52C">
            <w:pPr>
              <w:pStyle w:val="49"/>
              <w:rPr>
                <w:sz w:val="16"/>
                <w:szCs w:val="18"/>
              </w:rPr>
            </w:pPr>
            <w:r>
              <w:rPr>
                <w:sz w:val="16"/>
                <w:szCs w:val="18"/>
              </w:rPr>
              <w:t>SQJ</w:t>
            </w:r>
          </w:p>
        </w:tc>
        <w:tc>
          <w:tcPr>
            <w:tcW w:w="3231" w:type="dxa"/>
            <w:tcBorders>
              <w:tl2br w:val="nil"/>
              <w:tr2bl w:val="nil"/>
            </w:tcBorders>
            <w:shd w:val="clear" w:color="auto" w:fill="auto"/>
            <w:vAlign w:val="center"/>
          </w:tcPr>
          <w:p w14:paraId="76E35A28">
            <w:pPr>
              <w:pStyle w:val="49"/>
              <w:rPr>
                <w:sz w:val="16"/>
                <w:szCs w:val="18"/>
              </w:rPr>
            </w:pPr>
            <w:r>
              <w:rPr>
                <w:sz w:val="16"/>
                <w:szCs w:val="18"/>
              </w:rPr>
              <w:t>Sanming Shaxian Airport</w:t>
            </w:r>
          </w:p>
        </w:tc>
      </w:tr>
      <w:tr w14:paraId="6CC3BA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046E64D">
            <w:pPr>
              <w:pStyle w:val="49"/>
              <w:rPr>
                <w:sz w:val="16"/>
                <w:szCs w:val="18"/>
              </w:rPr>
            </w:pPr>
            <w:r>
              <w:rPr>
                <w:sz w:val="16"/>
                <w:szCs w:val="18"/>
              </w:rPr>
              <w:t>FUO</w:t>
            </w:r>
          </w:p>
        </w:tc>
        <w:tc>
          <w:tcPr>
            <w:tcW w:w="3126" w:type="dxa"/>
            <w:tcBorders>
              <w:tl2br w:val="nil"/>
              <w:tr2bl w:val="nil"/>
            </w:tcBorders>
            <w:shd w:val="clear" w:color="auto" w:fill="auto"/>
            <w:vAlign w:val="center"/>
          </w:tcPr>
          <w:p w14:paraId="2C4232DF">
            <w:pPr>
              <w:pStyle w:val="49"/>
              <w:rPr>
                <w:sz w:val="16"/>
                <w:szCs w:val="18"/>
              </w:rPr>
            </w:pPr>
            <w:r>
              <w:rPr>
                <w:sz w:val="16"/>
                <w:szCs w:val="18"/>
              </w:rPr>
              <w:t>Foshan Shadi Airport</w:t>
            </w:r>
          </w:p>
        </w:tc>
        <w:tc>
          <w:tcPr>
            <w:tcW w:w="887" w:type="dxa"/>
            <w:tcBorders>
              <w:tl2br w:val="nil"/>
              <w:tr2bl w:val="nil"/>
            </w:tcBorders>
            <w:shd w:val="clear" w:color="auto" w:fill="auto"/>
            <w:vAlign w:val="center"/>
          </w:tcPr>
          <w:p w14:paraId="021A9F90">
            <w:pPr>
              <w:pStyle w:val="49"/>
              <w:rPr>
                <w:sz w:val="16"/>
                <w:szCs w:val="18"/>
              </w:rPr>
            </w:pPr>
            <w:r>
              <w:rPr>
                <w:sz w:val="16"/>
                <w:szCs w:val="18"/>
              </w:rPr>
              <w:t>SWA</w:t>
            </w:r>
          </w:p>
        </w:tc>
        <w:tc>
          <w:tcPr>
            <w:tcW w:w="3231" w:type="dxa"/>
            <w:tcBorders>
              <w:tl2br w:val="nil"/>
              <w:tr2bl w:val="nil"/>
            </w:tcBorders>
            <w:shd w:val="clear" w:color="auto" w:fill="auto"/>
            <w:vAlign w:val="center"/>
          </w:tcPr>
          <w:p w14:paraId="04FDCB6A">
            <w:pPr>
              <w:pStyle w:val="49"/>
              <w:rPr>
                <w:sz w:val="16"/>
                <w:szCs w:val="18"/>
              </w:rPr>
            </w:pPr>
            <w:r>
              <w:rPr>
                <w:sz w:val="16"/>
                <w:szCs w:val="18"/>
              </w:rPr>
              <w:t>Jieyang Chaoshan International Airport</w:t>
            </w:r>
          </w:p>
        </w:tc>
      </w:tr>
      <w:tr w14:paraId="463AEA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1195771">
            <w:pPr>
              <w:pStyle w:val="49"/>
              <w:rPr>
                <w:sz w:val="16"/>
                <w:szCs w:val="18"/>
              </w:rPr>
            </w:pPr>
            <w:r>
              <w:rPr>
                <w:sz w:val="16"/>
                <w:szCs w:val="18"/>
              </w:rPr>
              <w:t>FYJ</w:t>
            </w:r>
          </w:p>
        </w:tc>
        <w:tc>
          <w:tcPr>
            <w:tcW w:w="3126" w:type="dxa"/>
            <w:tcBorders>
              <w:tl2br w:val="nil"/>
              <w:tr2bl w:val="nil"/>
            </w:tcBorders>
            <w:shd w:val="clear" w:color="auto" w:fill="auto"/>
            <w:vAlign w:val="center"/>
          </w:tcPr>
          <w:p w14:paraId="1DF88E44">
            <w:pPr>
              <w:pStyle w:val="49"/>
              <w:rPr>
                <w:sz w:val="16"/>
                <w:szCs w:val="18"/>
              </w:rPr>
            </w:pPr>
            <w:r>
              <w:rPr>
                <w:sz w:val="16"/>
                <w:szCs w:val="18"/>
              </w:rPr>
              <w:t>Fuyuan Dongji Airport</w:t>
            </w:r>
          </w:p>
        </w:tc>
        <w:tc>
          <w:tcPr>
            <w:tcW w:w="887" w:type="dxa"/>
            <w:tcBorders>
              <w:tl2br w:val="nil"/>
              <w:tr2bl w:val="nil"/>
            </w:tcBorders>
            <w:shd w:val="clear" w:color="auto" w:fill="auto"/>
            <w:vAlign w:val="center"/>
          </w:tcPr>
          <w:p w14:paraId="10C086C1">
            <w:pPr>
              <w:pStyle w:val="49"/>
              <w:rPr>
                <w:sz w:val="16"/>
                <w:szCs w:val="18"/>
              </w:rPr>
            </w:pPr>
            <w:r>
              <w:rPr>
                <w:sz w:val="16"/>
                <w:szCs w:val="18"/>
              </w:rPr>
              <w:t>SYM</w:t>
            </w:r>
          </w:p>
        </w:tc>
        <w:tc>
          <w:tcPr>
            <w:tcW w:w="3231" w:type="dxa"/>
            <w:tcBorders>
              <w:tl2br w:val="nil"/>
              <w:tr2bl w:val="nil"/>
            </w:tcBorders>
            <w:shd w:val="clear" w:color="auto" w:fill="auto"/>
            <w:vAlign w:val="center"/>
          </w:tcPr>
          <w:p w14:paraId="62F29F86">
            <w:pPr>
              <w:pStyle w:val="49"/>
              <w:rPr>
                <w:sz w:val="16"/>
                <w:szCs w:val="18"/>
              </w:rPr>
            </w:pPr>
            <w:r>
              <w:rPr>
                <w:sz w:val="16"/>
                <w:szCs w:val="18"/>
              </w:rPr>
              <w:t>Pu'er Simao Airport</w:t>
            </w:r>
          </w:p>
        </w:tc>
      </w:tr>
      <w:tr w14:paraId="3E1FF8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E0C43C2">
            <w:pPr>
              <w:pStyle w:val="49"/>
              <w:rPr>
                <w:sz w:val="16"/>
                <w:szCs w:val="18"/>
              </w:rPr>
            </w:pPr>
            <w:r>
              <w:rPr>
                <w:sz w:val="16"/>
                <w:szCs w:val="18"/>
              </w:rPr>
              <w:t>FYN</w:t>
            </w:r>
          </w:p>
        </w:tc>
        <w:tc>
          <w:tcPr>
            <w:tcW w:w="3126" w:type="dxa"/>
            <w:tcBorders>
              <w:tl2br w:val="nil"/>
              <w:tr2bl w:val="nil"/>
            </w:tcBorders>
            <w:shd w:val="clear" w:color="auto" w:fill="auto"/>
            <w:vAlign w:val="center"/>
          </w:tcPr>
          <w:p w14:paraId="1502C662">
            <w:pPr>
              <w:pStyle w:val="49"/>
              <w:rPr>
                <w:sz w:val="16"/>
                <w:szCs w:val="18"/>
              </w:rPr>
            </w:pPr>
            <w:r>
              <w:rPr>
                <w:sz w:val="16"/>
                <w:szCs w:val="18"/>
              </w:rPr>
              <w:t>Fuyun Koktokay Airport</w:t>
            </w:r>
          </w:p>
        </w:tc>
        <w:tc>
          <w:tcPr>
            <w:tcW w:w="887" w:type="dxa"/>
            <w:tcBorders>
              <w:tl2br w:val="nil"/>
              <w:tr2bl w:val="nil"/>
            </w:tcBorders>
            <w:shd w:val="clear" w:color="auto" w:fill="auto"/>
            <w:vAlign w:val="center"/>
          </w:tcPr>
          <w:p w14:paraId="701B4DD7">
            <w:pPr>
              <w:pStyle w:val="49"/>
              <w:rPr>
                <w:sz w:val="16"/>
                <w:szCs w:val="18"/>
              </w:rPr>
            </w:pPr>
            <w:r>
              <w:rPr>
                <w:sz w:val="16"/>
                <w:szCs w:val="18"/>
              </w:rPr>
              <w:t>SYX</w:t>
            </w:r>
          </w:p>
        </w:tc>
        <w:tc>
          <w:tcPr>
            <w:tcW w:w="3231" w:type="dxa"/>
            <w:tcBorders>
              <w:tl2br w:val="nil"/>
              <w:tr2bl w:val="nil"/>
            </w:tcBorders>
            <w:shd w:val="clear" w:color="auto" w:fill="auto"/>
            <w:vAlign w:val="center"/>
          </w:tcPr>
          <w:p w14:paraId="7624EC9A">
            <w:pPr>
              <w:pStyle w:val="49"/>
              <w:rPr>
                <w:sz w:val="16"/>
                <w:szCs w:val="18"/>
              </w:rPr>
            </w:pPr>
            <w:r>
              <w:rPr>
                <w:sz w:val="16"/>
                <w:szCs w:val="18"/>
              </w:rPr>
              <w:t>Sanya Phoenix International Airport</w:t>
            </w:r>
          </w:p>
        </w:tc>
      </w:tr>
      <w:tr w14:paraId="225555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4EAFF0F">
            <w:pPr>
              <w:pStyle w:val="49"/>
              <w:rPr>
                <w:sz w:val="16"/>
                <w:szCs w:val="18"/>
              </w:rPr>
            </w:pPr>
            <w:r>
              <w:rPr>
                <w:sz w:val="16"/>
                <w:szCs w:val="18"/>
              </w:rPr>
              <w:t>GMQ</w:t>
            </w:r>
          </w:p>
        </w:tc>
        <w:tc>
          <w:tcPr>
            <w:tcW w:w="3126" w:type="dxa"/>
            <w:tcBorders>
              <w:tl2br w:val="nil"/>
              <w:tr2bl w:val="nil"/>
            </w:tcBorders>
            <w:shd w:val="clear" w:color="auto" w:fill="auto"/>
            <w:vAlign w:val="center"/>
          </w:tcPr>
          <w:p w14:paraId="14874305">
            <w:pPr>
              <w:pStyle w:val="49"/>
              <w:rPr>
                <w:sz w:val="16"/>
                <w:szCs w:val="18"/>
              </w:rPr>
            </w:pPr>
            <w:r>
              <w:rPr>
                <w:sz w:val="16"/>
                <w:szCs w:val="18"/>
              </w:rPr>
              <w:t>Golog Maqin Airport</w:t>
            </w:r>
          </w:p>
        </w:tc>
        <w:tc>
          <w:tcPr>
            <w:tcW w:w="887" w:type="dxa"/>
            <w:tcBorders>
              <w:tl2br w:val="nil"/>
              <w:tr2bl w:val="nil"/>
            </w:tcBorders>
            <w:shd w:val="clear" w:color="auto" w:fill="auto"/>
            <w:vAlign w:val="center"/>
          </w:tcPr>
          <w:p w14:paraId="4F54F65F">
            <w:pPr>
              <w:pStyle w:val="49"/>
              <w:rPr>
                <w:sz w:val="16"/>
                <w:szCs w:val="18"/>
              </w:rPr>
            </w:pPr>
            <w:r>
              <w:rPr>
                <w:sz w:val="16"/>
                <w:szCs w:val="18"/>
              </w:rPr>
              <w:t>SZX</w:t>
            </w:r>
          </w:p>
        </w:tc>
        <w:tc>
          <w:tcPr>
            <w:tcW w:w="3231" w:type="dxa"/>
            <w:tcBorders>
              <w:tl2br w:val="nil"/>
              <w:tr2bl w:val="nil"/>
            </w:tcBorders>
            <w:shd w:val="clear" w:color="auto" w:fill="auto"/>
            <w:vAlign w:val="center"/>
          </w:tcPr>
          <w:p w14:paraId="77379A98">
            <w:pPr>
              <w:pStyle w:val="49"/>
              <w:rPr>
                <w:sz w:val="16"/>
                <w:szCs w:val="18"/>
              </w:rPr>
            </w:pPr>
            <w:r>
              <w:rPr>
                <w:sz w:val="16"/>
                <w:szCs w:val="18"/>
              </w:rPr>
              <w:t>Shenzhen Bao'an International Airport</w:t>
            </w:r>
          </w:p>
        </w:tc>
      </w:tr>
      <w:tr w14:paraId="4116B5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98EFF7F">
            <w:pPr>
              <w:pStyle w:val="49"/>
              <w:rPr>
                <w:sz w:val="16"/>
                <w:szCs w:val="18"/>
              </w:rPr>
            </w:pPr>
            <w:r>
              <w:rPr>
                <w:sz w:val="16"/>
                <w:szCs w:val="18"/>
              </w:rPr>
              <w:t>GOQ</w:t>
            </w:r>
          </w:p>
        </w:tc>
        <w:tc>
          <w:tcPr>
            <w:tcW w:w="3126" w:type="dxa"/>
            <w:tcBorders>
              <w:tl2br w:val="nil"/>
              <w:tr2bl w:val="nil"/>
            </w:tcBorders>
            <w:shd w:val="clear" w:color="auto" w:fill="auto"/>
            <w:vAlign w:val="center"/>
          </w:tcPr>
          <w:p w14:paraId="27004B20">
            <w:pPr>
              <w:pStyle w:val="49"/>
              <w:rPr>
                <w:sz w:val="16"/>
                <w:szCs w:val="18"/>
              </w:rPr>
            </w:pPr>
            <w:r>
              <w:rPr>
                <w:sz w:val="16"/>
                <w:szCs w:val="18"/>
              </w:rPr>
              <w:t>Golmud Airport</w:t>
            </w:r>
          </w:p>
        </w:tc>
        <w:tc>
          <w:tcPr>
            <w:tcW w:w="887" w:type="dxa"/>
            <w:tcBorders>
              <w:tl2br w:val="nil"/>
              <w:tr2bl w:val="nil"/>
            </w:tcBorders>
            <w:shd w:val="clear" w:color="auto" w:fill="auto"/>
            <w:vAlign w:val="center"/>
          </w:tcPr>
          <w:p w14:paraId="7D881ABF">
            <w:pPr>
              <w:pStyle w:val="49"/>
              <w:rPr>
                <w:sz w:val="16"/>
                <w:szCs w:val="18"/>
              </w:rPr>
            </w:pPr>
            <w:r>
              <w:rPr>
                <w:sz w:val="16"/>
                <w:szCs w:val="18"/>
              </w:rPr>
              <w:t>TAO</w:t>
            </w:r>
          </w:p>
        </w:tc>
        <w:tc>
          <w:tcPr>
            <w:tcW w:w="3231" w:type="dxa"/>
            <w:tcBorders>
              <w:tl2br w:val="nil"/>
              <w:tr2bl w:val="nil"/>
            </w:tcBorders>
            <w:shd w:val="clear" w:color="auto" w:fill="auto"/>
            <w:vAlign w:val="center"/>
          </w:tcPr>
          <w:p w14:paraId="74748CAF">
            <w:pPr>
              <w:pStyle w:val="49"/>
              <w:rPr>
                <w:sz w:val="16"/>
                <w:szCs w:val="18"/>
              </w:rPr>
            </w:pPr>
            <w:r>
              <w:rPr>
                <w:sz w:val="16"/>
                <w:szCs w:val="18"/>
              </w:rPr>
              <w:t>Qingdao Jiaodong International Airport</w:t>
            </w:r>
          </w:p>
        </w:tc>
      </w:tr>
      <w:tr w14:paraId="65139B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61C1F38">
            <w:pPr>
              <w:pStyle w:val="49"/>
              <w:rPr>
                <w:sz w:val="16"/>
                <w:szCs w:val="18"/>
              </w:rPr>
            </w:pPr>
            <w:r>
              <w:rPr>
                <w:sz w:val="16"/>
                <w:szCs w:val="18"/>
              </w:rPr>
              <w:t>GXH</w:t>
            </w:r>
          </w:p>
        </w:tc>
        <w:tc>
          <w:tcPr>
            <w:tcW w:w="3126" w:type="dxa"/>
            <w:tcBorders>
              <w:tl2br w:val="nil"/>
              <w:tr2bl w:val="nil"/>
            </w:tcBorders>
            <w:shd w:val="clear" w:color="auto" w:fill="auto"/>
            <w:vAlign w:val="center"/>
          </w:tcPr>
          <w:p w14:paraId="4C21DFD0">
            <w:pPr>
              <w:pStyle w:val="49"/>
              <w:rPr>
                <w:sz w:val="16"/>
                <w:szCs w:val="18"/>
              </w:rPr>
            </w:pPr>
            <w:r>
              <w:rPr>
                <w:sz w:val="16"/>
                <w:szCs w:val="18"/>
              </w:rPr>
              <w:t>Gannan Xiahe Airport</w:t>
            </w:r>
          </w:p>
        </w:tc>
        <w:tc>
          <w:tcPr>
            <w:tcW w:w="887" w:type="dxa"/>
            <w:tcBorders>
              <w:tl2br w:val="nil"/>
              <w:tr2bl w:val="nil"/>
            </w:tcBorders>
            <w:shd w:val="clear" w:color="auto" w:fill="auto"/>
            <w:vAlign w:val="center"/>
          </w:tcPr>
          <w:p w14:paraId="5BC9A9BD">
            <w:pPr>
              <w:pStyle w:val="49"/>
              <w:rPr>
                <w:sz w:val="16"/>
                <w:szCs w:val="18"/>
              </w:rPr>
            </w:pPr>
            <w:r>
              <w:rPr>
                <w:sz w:val="16"/>
                <w:szCs w:val="18"/>
              </w:rPr>
              <w:t>TCG</w:t>
            </w:r>
          </w:p>
        </w:tc>
        <w:tc>
          <w:tcPr>
            <w:tcW w:w="3231" w:type="dxa"/>
            <w:tcBorders>
              <w:tl2br w:val="nil"/>
              <w:tr2bl w:val="nil"/>
            </w:tcBorders>
            <w:shd w:val="clear" w:color="auto" w:fill="auto"/>
            <w:vAlign w:val="center"/>
          </w:tcPr>
          <w:p w14:paraId="6490251B">
            <w:pPr>
              <w:pStyle w:val="49"/>
              <w:rPr>
                <w:sz w:val="16"/>
                <w:szCs w:val="18"/>
              </w:rPr>
            </w:pPr>
            <w:r>
              <w:rPr>
                <w:sz w:val="16"/>
                <w:szCs w:val="18"/>
              </w:rPr>
              <w:t>Tacheng Qianquan Airport</w:t>
            </w:r>
          </w:p>
        </w:tc>
      </w:tr>
      <w:tr w14:paraId="560331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1965FCD">
            <w:pPr>
              <w:pStyle w:val="49"/>
              <w:rPr>
                <w:sz w:val="16"/>
                <w:szCs w:val="18"/>
              </w:rPr>
            </w:pPr>
            <w:r>
              <w:rPr>
                <w:sz w:val="16"/>
                <w:szCs w:val="18"/>
              </w:rPr>
              <w:t>GYS</w:t>
            </w:r>
          </w:p>
        </w:tc>
        <w:tc>
          <w:tcPr>
            <w:tcW w:w="3126" w:type="dxa"/>
            <w:tcBorders>
              <w:tl2br w:val="nil"/>
              <w:tr2bl w:val="nil"/>
            </w:tcBorders>
            <w:shd w:val="clear" w:color="auto" w:fill="auto"/>
            <w:vAlign w:val="center"/>
          </w:tcPr>
          <w:p w14:paraId="6DBAEAF2">
            <w:pPr>
              <w:pStyle w:val="49"/>
              <w:rPr>
                <w:sz w:val="16"/>
                <w:szCs w:val="18"/>
              </w:rPr>
            </w:pPr>
            <w:r>
              <w:rPr>
                <w:sz w:val="16"/>
                <w:szCs w:val="18"/>
              </w:rPr>
              <w:t>Guangyuan Panlong Airport</w:t>
            </w:r>
          </w:p>
        </w:tc>
        <w:tc>
          <w:tcPr>
            <w:tcW w:w="887" w:type="dxa"/>
            <w:tcBorders>
              <w:tl2br w:val="nil"/>
              <w:tr2bl w:val="nil"/>
            </w:tcBorders>
            <w:shd w:val="clear" w:color="auto" w:fill="auto"/>
            <w:vAlign w:val="center"/>
          </w:tcPr>
          <w:p w14:paraId="2366F003">
            <w:pPr>
              <w:pStyle w:val="49"/>
              <w:rPr>
                <w:sz w:val="16"/>
                <w:szCs w:val="18"/>
              </w:rPr>
            </w:pPr>
            <w:r>
              <w:rPr>
                <w:sz w:val="16"/>
                <w:szCs w:val="18"/>
              </w:rPr>
              <w:t>TCZ</w:t>
            </w:r>
          </w:p>
        </w:tc>
        <w:tc>
          <w:tcPr>
            <w:tcW w:w="3231" w:type="dxa"/>
            <w:tcBorders>
              <w:tl2br w:val="nil"/>
              <w:tr2bl w:val="nil"/>
            </w:tcBorders>
            <w:shd w:val="clear" w:color="auto" w:fill="auto"/>
            <w:vAlign w:val="center"/>
          </w:tcPr>
          <w:p w14:paraId="52D14845">
            <w:pPr>
              <w:pStyle w:val="49"/>
              <w:rPr>
                <w:sz w:val="16"/>
                <w:szCs w:val="18"/>
              </w:rPr>
            </w:pPr>
            <w:r>
              <w:rPr>
                <w:sz w:val="16"/>
                <w:szCs w:val="18"/>
              </w:rPr>
              <w:t>Tengchong Tuofeng Airport</w:t>
            </w:r>
          </w:p>
        </w:tc>
      </w:tr>
      <w:tr w14:paraId="49F94A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4CB9D80">
            <w:pPr>
              <w:pStyle w:val="49"/>
              <w:rPr>
                <w:sz w:val="16"/>
                <w:szCs w:val="18"/>
              </w:rPr>
            </w:pPr>
            <w:r>
              <w:rPr>
                <w:sz w:val="16"/>
                <w:szCs w:val="18"/>
              </w:rPr>
              <w:t>GYU</w:t>
            </w:r>
          </w:p>
        </w:tc>
        <w:tc>
          <w:tcPr>
            <w:tcW w:w="3126" w:type="dxa"/>
            <w:tcBorders>
              <w:tl2br w:val="nil"/>
              <w:tr2bl w:val="nil"/>
            </w:tcBorders>
            <w:shd w:val="clear" w:color="auto" w:fill="auto"/>
            <w:vAlign w:val="center"/>
          </w:tcPr>
          <w:p w14:paraId="0C05DE5A">
            <w:pPr>
              <w:pStyle w:val="49"/>
              <w:rPr>
                <w:sz w:val="16"/>
                <w:szCs w:val="18"/>
              </w:rPr>
            </w:pPr>
            <w:r>
              <w:rPr>
                <w:sz w:val="16"/>
                <w:szCs w:val="18"/>
              </w:rPr>
              <w:t>Guyuan Liupanshan Airport</w:t>
            </w:r>
          </w:p>
        </w:tc>
        <w:tc>
          <w:tcPr>
            <w:tcW w:w="887" w:type="dxa"/>
            <w:tcBorders>
              <w:tl2br w:val="nil"/>
              <w:tr2bl w:val="nil"/>
            </w:tcBorders>
            <w:shd w:val="clear" w:color="auto" w:fill="auto"/>
            <w:vAlign w:val="center"/>
          </w:tcPr>
          <w:p w14:paraId="3112C046">
            <w:pPr>
              <w:pStyle w:val="49"/>
              <w:rPr>
                <w:sz w:val="16"/>
                <w:szCs w:val="18"/>
              </w:rPr>
            </w:pPr>
            <w:r>
              <w:rPr>
                <w:sz w:val="16"/>
                <w:szCs w:val="18"/>
              </w:rPr>
              <w:t>TEN</w:t>
            </w:r>
          </w:p>
        </w:tc>
        <w:tc>
          <w:tcPr>
            <w:tcW w:w="3231" w:type="dxa"/>
            <w:tcBorders>
              <w:tl2br w:val="nil"/>
              <w:tr2bl w:val="nil"/>
            </w:tcBorders>
            <w:shd w:val="clear" w:color="auto" w:fill="auto"/>
            <w:vAlign w:val="center"/>
          </w:tcPr>
          <w:p w14:paraId="2D0901A6">
            <w:pPr>
              <w:pStyle w:val="49"/>
              <w:rPr>
                <w:sz w:val="16"/>
                <w:szCs w:val="18"/>
              </w:rPr>
            </w:pPr>
            <w:r>
              <w:rPr>
                <w:sz w:val="16"/>
                <w:szCs w:val="18"/>
              </w:rPr>
              <w:t>Tongren Fenghuang Airport</w:t>
            </w:r>
          </w:p>
        </w:tc>
      </w:tr>
      <w:tr w14:paraId="5B182C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8F3A18A">
            <w:pPr>
              <w:pStyle w:val="49"/>
              <w:rPr>
                <w:sz w:val="16"/>
                <w:szCs w:val="18"/>
              </w:rPr>
            </w:pPr>
            <w:r>
              <w:rPr>
                <w:sz w:val="16"/>
                <w:szCs w:val="18"/>
              </w:rPr>
              <w:t>GZG</w:t>
            </w:r>
          </w:p>
        </w:tc>
        <w:tc>
          <w:tcPr>
            <w:tcW w:w="3126" w:type="dxa"/>
            <w:tcBorders>
              <w:tl2br w:val="nil"/>
              <w:tr2bl w:val="nil"/>
            </w:tcBorders>
            <w:shd w:val="clear" w:color="auto" w:fill="auto"/>
            <w:vAlign w:val="center"/>
          </w:tcPr>
          <w:p w14:paraId="4628AF3D">
            <w:pPr>
              <w:pStyle w:val="49"/>
              <w:rPr>
                <w:sz w:val="16"/>
                <w:szCs w:val="18"/>
              </w:rPr>
            </w:pPr>
            <w:r>
              <w:rPr>
                <w:sz w:val="16"/>
                <w:szCs w:val="18"/>
              </w:rPr>
              <w:t>Garzê Gesar Airport</w:t>
            </w:r>
          </w:p>
        </w:tc>
        <w:tc>
          <w:tcPr>
            <w:tcW w:w="887" w:type="dxa"/>
            <w:tcBorders>
              <w:tl2br w:val="nil"/>
              <w:tr2bl w:val="nil"/>
            </w:tcBorders>
            <w:shd w:val="clear" w:color="auto" w:fill="auto"/>
            <w:vAlign w:val="center"/>
          </w:tcPr>
          <w:p w14:paraId="0FF9489C">
            <w:pPr>
              <w:pStyle w:val="49"/>
              <w:rPr>
                <w:sz w:val="16"/>
                <w:szCs w:val="18"/>
              </w:rPr>
            </w:pPr>
            <w:r>
              <w:rPr>
                <w:sz w:val="16"/>
                <w:szCs w:val="18"/>
              </w:rPr>
              <w:t>TGO</w:t>
            </w:r>
          </w:p>
        </w:tc>
        <w:tc>
          <w:tcPr>
            <w:tcW w:w="3231" w:type="dxa"/>
            <w:tcBorders>
              <w:tl2br w:val="nil"/>
              <w:tr2bl w:val="nil"/>
            </w:tcBorders>
            <w:shd w:val="clear" w:color="auto" w:fill="auto"/>
            <w:vAlign w:val="center"/>
          </w:tcPr>
          <w:p w14:paraId="283FE68A">
            <w:pPr>
              <w:pStyle w:val="49"/>
              <w:rPr>
                <w:sz w:val="16"/>
                <w:szCs w:val="18"/>
              </w:rPr>
            </w:pPr>
            <w:r>
              <w:rPr>
                <w:sz w:val="16"/>
                <w:szCs w:val="18"/>
              </w:rPr>
              <w:t>Tongliao Airport</w:t>
            </w:r>
          </w:p>
        </w:tc>
      </w:tr>
      <w:tr w14:paraId="210955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6004823B">
            <w:pPr>
              <w:pStyle w:val="49"/>
              <w:rPr>
                <w:sz w:val="16"/>
                <w:szCs w:val="18"/>
              </w:rPr>
            </w:pPr>
            <w:r>
              <w:rPr>
                <w:sz w:val="16"/>
                <w:szCs w:val="18"/>
              </w:rPr>
              <w:t>HAK</w:t>
            </w:r>
          </w:p>
        </w:tc>
        <w:tc>
          <w:tcPr>
            <w:tcW w:w="3126" w:type="dxa"/>
            <w:tcBorders>
              <w:tl2br w:val="nil"/>
              <w:tr2bl w:val="nil"/>
            </w:tcBorders>
            <w:shd w:val="clear" w:color="auto" w:fill="auto"/>
            <w:vAlign w:val="center"/>
          </w:tcPr>
          <w:p w14:paraId="7DB4D395">
            <w:pPr>
              <w:pStyle w:val="49"/>
              <w:rPr>
                <w:sz w:val="16"/>
                <w:szCs w:val="18"/>
              </w:rPr>
            </w:pPr>
            <w:r>
              <w:rPr>
                <w:sz w:val="16"/>
                <w:szCs w:val="18"/>
              </w:rPr>
              <w:t>Haikou Meilan International Airport</w:t>
            </w:r>
          </w:p>
        </w:tc>
        <w:tc>
          <w:tcPr>
            <w:tcW w:w="887" w:type="dxa"/>
            <w:tcBorders>
              <w:tl2br w:val="nil"/>
              <w:tr2bl w:val="nil"/>
            </w:tcBorders>
            <w:shd w:val="clear" w:color="auto" w:fill="auto"/>
            <w:vAlign w:val="center"/>
          </w:tcPr>
          <w:p w14:paraId="691B936E">
            <w:pPr>
              <w:pStyle w:val="49"/>
              <w:rPr>
                <w:sz w:val="16"/>
                <w:szCs w:val="18"/>
              </w:rPr>
            </w:pPr>
            <w:r>
              <w:rPr>
                <w:sz w:val="16"/>
                <w:szCs w:val="18"/>
              </w:rPr>
              <w:t>THQ</w:t>
            </w:r>
          </w:p>
        </w:tc>
        <w:tc>
          <w:tcPr>
            <w:tcW w:w="3231" w:type="dxa"/>
            <w:tcBorders>
              <w:tl2br w:val="nil"/>
              <w:tr2bl w:val="nil"/>
            </w:tcBorders>
            <w:shd w:val="clear" w:color="auto" w:fill="auto"/>
            <w:vAlign w:val="center"/>
          </w:tcPr>
          <w:p w14:paraId="24394D01">
            <w:pPr>
              <w:pStyle w:val="49"/>
              <w:rPr>
                <w:sz w:val="16"/>
                <w:szCs w:val="18"/>
              </w:rPr>
            </w:pPr>
            <w:r>
              <w:rPr>
                <w:sz w:val="16"/>
                <w:szCs w:val="18"/>
              </w:rPr>
              <w:t>Tianshui Maijishan Airport</w:t>
            </w:r>
          </w:p>
        </w:tc>
      </w:tr>
      <w:tr w14:paraId="34B378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CB33B68">
            <w:pPr>
              <w:pStyle w:val="49"/>
              <w:rPr>
                <w:sz w:val="16"/>
                <w:szCs w:val="18"/>
              </w:rPr>
            </w:pPr>
            <w:r>
              <w:rPr>
                <w:sz w:val="16"/>
                <w:szCs w:val="18"/>
              </w:rPr>
              <w:t>HBQ</w:t>
            </w:r>
          </w:p>
        </w:tc>
        <w:tc>
          <w:tcPr>
            <w:tcW w:w="3126" w:type="dxa"/>
            <w:tcBorders>
              <w:tl2br w:val="nil"/>
              <w:tr2bl w:val="nil"/>
            </w:tcBorders>
            <w:shd w:val="clear" w:color="auto" w:fill="auto"/>
            <w:vAlign w:val="center"/>
          </w:tcPr>
          <w:p w14:paraId="5D10F6B5">
            <w:pPr>
              <w:pStyle w:val="49"/>
              <w:rPr>
                <w:sz w:val="16"/>
                <w:szCs w:val="18"/>
              </w:rPr>
            </w:pPr>
            <w:r>
              <w:rPr>
                <w:sz w:val="16"/>
                <w:szCs w:val="18"/>
              </w:rPr>
              <w:t>Haibei Qilian Airport</w:t>
            </w:r>
          </w:p>
        </w:tc>
        <w:tc>
          <w:tcPr>
            <w:tcW w:w="887" w:type="dxa"/>
            <w:tcBorders>
              <w:tl2br w:val="nil"/>
              <w:tr2bl w:val="nil"/>
            </w:tcBorders>
            <w:shd w:val="clear" w:color="auto" w:fill="auto"/>
            <w:vAlign w:val="center"/>
          </w:tcPr>
          <w:p w14:paraId="54BEE822">
            <w:pPr>
              <w:pStyle w:val="49"/>
              <w:rPr>
                <w:sz w:val="16"/>
                <w:szCs w:val="18"/>
              </w:rPr>
            </w:pPr>
            <w:r>
              <w:rPr>
                <w:sz w:val="16"/>
                <w:szCs w:val="18"/>
              </w:rPr>
              <w:t>TLQ</w:t>
            </w:r>
          </w:p>
        </w:tc>
        <w:tc>
          <w:tcPr>
            <w:tcW w:w="3231" w:type="dxa"/>
            <w:tcBorders>
              <w:tl2br w:val="nil"/>
              <w:tr2bl w:val="nil"/>
            </w:tcBorders>
            <w:shd w:val="clear" w:color="auto" w:fill="auto"/>
            <w:vAlign w:val="center"/>
          </w:tcPr>
          <w:p w14:paraId="7D49E70D">
            <w:pPr>
              <w:pStyle w:val="49"/>
              <w:rPr>
                <w:sz w:val="16"/>
                <w:szCs w:val="18"/>
              </w:rPr>
            </w:pPr>
            <w:r>
              <w:rPr>
                <w:sz w:val="16"/>
                <w:szCs w:val="18"/>
              </w:rPr>
              <w:t>Turpan Jiaohe Airport</w:t>
            </w:r>
          </w:p>
        </w:tc>
      </w:tr>
      <w:tr w14:paraId="228579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A60F63C">
            <w:pPr>
              <w:pStyle w:val="49"/>
              <w:rPr>
                <w:sz w:val="16"/>
                <w:szCs w:val="18"/>
              </w:rPr>
            </w:pPr>
            <w:r>
              <w:rPr>
                <w:sz w:val="16"/>
                <w:szCs w:val="18"/>
              </w:rPr>
              <w:t>HCJ</w:t>
            </w:r>
          </w:p>
        </w:tc>
        <w:tc>
          <w:tcPr>
            <w:tcW w:w="3126" w:type="dxa"/>
            <w:tcBorders>
              <w:tl2br w:val="nil"/>
              <w:tr2bl w:val="nil"/>
            </w:tcBorders>
            <w:shd w:val="clear" w:color="auto" w:fill="auto"/>
            <w:vAlign w:val="center"/>
          </w:tcPr>
          <w:p w14:paraId="4A9BCE3F">
            <w:pPr>
              <w:pStyle w:val="49"/>
              <w:rPr>
                <w:sz w:val="16"/>
                <w:szCs w:val="18"/>
              </w:rPr>
            </w:pPr>
            <w:r>
              <w:rPr>
                <w:sz w:val="16"/>
                <w:szCs w:val="18"/>
              </w:rPr>
              <w:t>Hechi Jinchengjiang Airport</w:t>
            </w:r>
          </w:p>
        </w:tc>
        <w:tc>
          <w:tcPr>
            <w:tcW w:w="887" w:type="dxa"/>
            <w:tcBorders>
              <w:tl2br w:val="nil"/>
              <w:tr2bl w:val="nil"/>
            </w:tcBorders>
            <w:shd w:val="clear" w:color="auto" w:fill="auto"/>
            <w:vAlign w:val="center"/>
          </w:tcPr>
          <w:p w14:paraId="4BDD0A3B">
            <w:pPr>
              <w:pStyle w:val="49"/>
              <w:rPr>
                <w:sz w:val="16"/>
                <w:szCs w:val="18"/>
              </w:rPr>
            </w:pPr>
            <w:r>
              <w:rPr>
                <w:sz w:val="16"/>
                <w:szCs w:val="18"/>
              </w:rPr>
              <w:t>TNA</w:t>
            </w:r>
          </w:p>
        </w:tc>
        <w:tc>
          <w:tcPr>
            <w:tcW w:w="3231" w:type="dxa"/>
            <w:tcBorders>
              <w:tl2br w:val="nil"/>
              <w:tr2bl w:val="nil"/>
            </w:tcBorders>
            <w:shd w:val="clear" w:color="auto" w:fill="auto"/>
            <w:vAlign w:val="center"/>
          </w:tcPr>
          <w:p w14:paraId="170715FB">
            <w:pPr>
              <w:pStyle w:val="49"/>
              <w:rPr>
                <w:sz w:val="16"/>
                <w:szCs w:val="18"/>
              </w:rPr>
            </w:pPr>
            <w:r>
              <w:rPr>
                <w:sz w:val="16"/>
                <w:szCs w:val="18"/>
              </w:rPr>
              <w:t>Jinan Yaoqiang International Airport</w:t>
            </w:r>
          </w:p>
        </w:tc>
      </w:tr>
      <w:tr w14:paraId="084A6E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98379F0">
            <w:pPr>
              <w:pStyle w:val="49"/>
              <w:rPr>
                <w:sz w:val="16"/>
                <w:szCs w:val="18"/>
              </w:rPr>
            </w:pPr>
            <w:r>
              <w:rPr>
                <w:sz w:val="16"/>
                <w:szCs w:val="18"/>
              </w:rPr>
              <w:t>HDG</w:t>
            </w:r>
          </w:p>
        </w:tc>
        <w:tc>
          <w:tcPr>
            <w:tcW w:w="3126" w:type="dxa"/>
            <w:tcBorders>
              <w:tl2br w:val="nil"/>
              <w:tr2bl w:val="nil"/>
            </w:tcBorders>
            <w:shd w:val="clear" w:color="auto" w:fill="auto"/>
            <w:vAlign w:val="center"/>
          </w:tcPr>
          <w:p w14:paraId="718D70BE">
            <w:pPr>
              <w:pStyle w:val="49"/>
              <w:rPr>
                <w:sz w:val="16"/>
                <w:szCs w:val="18"/>
              </w:rPr>
            </w:pPr>
            <w:r>
              <w:rPr>
                <w:sz w:val="16"/>
                <w:szCs w:val="18"/>
              </w:rPr>
              <w:t>Handan Airport</w:t>
            </w:r>
          </w:p>
        </w:tc>
        <w:tc>
          <w:tcPr>
            <w:tcW w:w="887" w:type="dxa"/>
            <w:tcBorders>
              <w:tl2br w:val="nil"/>
              <w:tr2bl w:val="nil"/>
            </w:tcBorders>
            <w:shd w:val="clear" w:color="auto" w:fill="auto"/>
            <w:vAlign w:val="center"/>
          </w:tcPr>
          <w:p w14:paraId="53242555">
            <w:pPr>
              <w:pStyle w:val="49"/>
              <w:rPr>
                <w:sz w:val="16"/>
                <w:szCs w:val="18"/>
              </w:rPr>
            </w:pPr>
            <w:r>
              <w:rPr>
                <w:sz w:val="16"/>
                <w:szCs w:val="18"/>
              </w:rPr>
              <w:t>TNH</w:t>
            </w:r>
          </w:p>
        </w:tc>
        <w:tc>
          <w:tcPr>
            <w:tcW w:w="3231" w:type="dxa"/>
            <w:tcBorders>
              <w:tl2br w:val="nil"/>
              <w:tr2bl w:val="nil"/>
            </w:tcBorders>
            <w:shd w:val="clear" w:color="auto" w:fill="auto"/>
            <w:vAlign w:val="center"/>
          </w:tcPr>
          <w:p w14:paraId="101D06CB">
            <w:pPr>
              <w:pStyle w:val="49"/>
              <w:rPr>
                <w:sz w:val="16"/>
                <w:szCs w:val="18"/>
              </w:rPr>
            </w:pPr>
            <w:r>
              <w:rPr>
                <w:sz w:val="16"/>
                <w:szCs w:val="18"/>
              </w:rPr>
              <w:t>Tonghua Sanyuanpu Airport</w:t>
            </w:r>
          </w:p>
        </w:tc>
      </w:tr>
      <w:tr w14:paraId="65BBD3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076A7DE">
            <w:pPr>
              <w:pStyle w:val="49"/>
              <w:rPr>
                <w:sz w:val="16"/>
                <w:szCs w:val="18"/>
              </w:rPr>
            </w:pPr>
            <w:r>
              <w:rPr>
                <w:sz w:val="16"/>
                <w:szCs w:val="18"/>
              </w:rPr>
              <w:t>HEK</w:t>
            </w:r>
          </w:p>
        </w:tc>
        <w:tc>
          <w:tcPr>
            <w:tcW w:w="3126" w:type="dxa"/>
            <w:tcBorders>
              <w:tl2br w:val="nil"/>
              <w:tr2bl w:val="nil"/>
            </w:tcBorders>
            <w:shd w:val="clear" w:color="auto" w:fill="auto"/>
            <w:vAlign w:val="center"/>
          </w:tcPr>
          <w:p w14:paraId="365BF27C">
            <w:pPr>
              <w:pStyle w:val="49"/>
              <w:rPr>
                <w:sz w:val="16"/>
                <w:szCs w:val="18"/>
              </w:rPr>
            </w:pPr>
            <w:r>
              <w:rPr>
                <w:sz w:val="16"/>
                <w:szCs w:val="18"/>
              </w:rPr>
              <w:t>Heihe Aihui Airport</w:t>
            </w:r>
          </w:p>
        </w:tc>
        <w:tc>
          <w:tcPr>
            <w:tcW w:w="887" w:type="dxa"/>
            <w:tcBorders>
              <w:tl2br w:val="nil"/>
              <w:tr2bl w:val="nil"/>
            </w:tcBorders>
            <w:shd w:val="clear" w:color="auto" w:fill="auto"/>
            <w:vAlign w:val="center"/>
          </w:tcPr>
          <w:p w14:paraId="6DAA3705">
            <w:pPr>
              <w:pStyle w:val="49"/>
              <w:rPr>
                <w:sz w:val="16"/>
                <w:szCs w:val="18"/>
              </w:rPr>
            </w:pPr>
            <w:r>
              <w:rPr>
                <w:sz w:val="16"/>
                <w:szCs w:val="18"/>
              </w:rPr>
              <w:t>TSN</w:t>
            </w:r>
          </w:p>
        </w:tc>
        <w:tc>
          <w:tcPr>
            <w:tcW w:w="3231" w:type="dxa"/>
            <w:tcBorders>
              <w:tl2br w:val="nil"/>
              <w:tr2bl w:val="nil"/>
            </w:tcBorders>
            <w:shd w:val="clear" w:color="auto" w:fill="auto"/>
            <w:vAlign w:val="center"/>
          </w:tcPr>
          <w:p w14:paraId="4836DBD9">
            <w:pPr>
              <w:pStyle w:val="49"/>
              <w:rPr>
                <w:sz w:val="16"/>
                <w:szCs w:val="18"/>
              </w:rPr>
            </w:pPr>
            <w:r>
              <w:rPr>
                <w:sz w:val="16"/>
                <w:szCs w:val="18"/>
              </w:rPr>
              <w:t>Tianjin Binhai International Airport</w:t>
            </w:r>
          </w:p>
        </w:tc>
      </w:tr>
      <w:tr w14:paraId="087DFF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43F53417">
            <w:pPr>
              <w:pStyle w:val="49"/>
              <w:rPr>
                <w:sz w:val="16"/>
                <w:szCs w:val="18"/>
              </w:rPr>
            </w:pPr>
            <w:r>
              <w:rPr>
                <w:sz w:val="16"/>
                <w:szCs w:val="18"/>
              </w:rPr>
              <w:t>HET</w:t>
            </w:r>
          </w:p>
        </w:tc>
        <w:tc>
          <w:tcPr>
            <w:tcW w:w="3126" w:type="dxa"/>
            <w:tcBorders>
              <w:tl2br w:val="nil"/>
              <w:tr2bl w:val="nil"/>
            </w:tcBorders>
            <w:shd w:val="clear" w:color="auto" w:fill="auto"/>
            <w:vAlign w:val="center"/>
          </w:tcPr>
          <w:p w14:paraId="3FAF77EA">
            <w:pPr>
              <w:pStyle w:val="49"/>
              <w:rPr>
                <w:sz w:val="16"/>
                <w:szCs w:val="18"/>
              </w:rPr>
            </w:pPr>
            <w:r>
              <w:rPr>
                <w:sz w:val="16"/>
                <w:szCs w:val="18"/>
              </w:rPr>
              <w:t>Hohhot Baita International Airport</w:t>
            </w:r>
          </w:p>
        </w:tc>
        <w:tc>
          <w:tcPr>
            <w:tcW w:w="887" w:type="dxa"/>
            <w:tcBorders>
              <w:tl2br w:val="nil"/>
              <w:tr2bl w:val="nil"/>
            </w:tcBorders>
            <w:shd w:val="clear" w:color="auto" w:fill="auto"/>
            <w:vAlign w:val="center"/>
          </w:tcPr>
          <w:p w14:paraId="341079F1">
            <w:pPr>
              <w:pStyle w:val="49"/>
              <w:rPr>
                <w:sz w:val="16"/>
                <w:szCs w:val="18"/>
              </w:rPr>
            </w:pPr>
            <w:r>
              <w:rPr>
                <w:sz w:val="16"/>
                <w:szCs w:val="18"/>
              </w:rPr>
              <w:t>TVS</w:t>
            </w:r>
          </w:p>
        </w:tc>
        <w:tc>
          <w:tcPr>
            <w:tcW w:w="3231" w:type="dxa"/>
            <w:tcBorders>
              <w:tl2br w:val="nil"/>
              <w:tr2bl w:val="nil"/>
            </w:tcBorders>
            <w:shd w:val="clear" w:color="auto" w:fill="auto"/>
            <w:vAlign w:val="center"/>
          </w:tcPr>
          <w:p w14:paraId="4FB8AADA">
            <w:pPr>
              <w:pStyle w:val="49"/>
              <w:rPr>
                <w:sz w:val="16"/>
                <w:szCs w:val="18"/>
              </w:rPr>
            </w:pPr>
            <w:r>
              <w:rPr>
                <w:sz w:val="16"/>
                <w:szCs w:val="18"/>
              </w:rPr>
              <w:t>Tangshan Sannühe Airport</w:t>
            </w:r>
          </w:p>
        </w:tc>
      </w:tr>
      <w:tr w14:paraId="19AB58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7A016596">
            <w:pPr>
              <w:pStyle w:val="49"/>
              <w:rPr>
                <w:sz w:val="16"/>
                <w:szCs w:val="18"/>
              </w:rPr>
            </w:pPr>
            <w:r>
              <w:rPr>
                <w:sz w:val="16"/>
                <w:szCs w:val="18"/>
              </w:rPr>
              <w:t>HFE</w:t>
            </w:r>
          </w:p>
        </w:tc>
        <w:tc>
          <w:tcPr>
            <w:tcW w:w="3126" w:type="dxa"/>
            <w:tcBorders>
              <w:tl2br w:val="nil"/>
              <w:tr2bl w:val="nil"/>
            </w:tcBorders>
            <w:shd w:val="clear" w:color="auto" w:fill="auto"/>
            <w:vAlign w:val="center"/>
          </w:tcPr>
          <w:p w14:paraId="23278832">
            <w:pPr>
              <w:pStyle w:val="49"/>
              <w:rPr>
                <w:sz w:val="16"/>
                <w:szCs w:val="18"/>
              </w:rPr>
            </w:pPr>
            <w:r>
              <w:rPr>
                <w:sz w:val="16"/>
                <w:szCs w:val="18"/>
              </w:rPr>
              <w:t>Hefei Xinqiao International Airport</w:t>
            </w:r>
          </w:p>
        </w:tc>
        <w:tc>
          <w:tcPr>
            <w:tcW w:w="887" w:type="dxa"/>
            <w:tcBorders>
              <w:tl2br w:val="nil"/>
              <w:tr2bl w:val="nil"/>
            </w:tcBorders>
            <w:shd w:val="clear" w:color="auto" w:fill="auto"/>
            <w:vAlign w:val="center"/>
          </w:tcPr>
          <w:p w14:paraId="589E6F58">
            <w:pPr>
              <w:pStyle w:val="49"/>
              <w:rPr>
                <w:sz w:val="16"/>
                <w:szCs w:val="18"/>
              </w:rPr>
            </w:pPr>
            <w:r>
              <w:rPr>
                <w:sz w:val="16"/>
                <w:szCs w:val="18"/>
              </w:rPr>
              <w:t>TWC</w:t>
            </w:r>
          </w:p>
        </w:tc>
        <w:tc>
          <w:tcPr>
            <w:tcW w:w="3231" w:type="dxa"/>
            <w:tcBorders>
              <w:tl2br w:val="nil"/>
              <w:tr2bl w:val="nil"/>
            </w:tcBorders>
            <w:shd w:val="clear" w:color="auto" w:fill="auto"/>
            <w:vAlign w:val="center"/>
          </w:tcPr>
          <w:p w14:paraId="631BA19F">
            <w:pPr>
              <w:pStyle w:val="49"/>
              <w:rPr>
                <w:sz w:val="16"/>
                <w:szCs w:val="18"/>
              </w:rPr>
            </w:pPr>
            <w:r>
              <w:rPr>
                <w:sz w:val="16"/>
                <w:szCs w:val="18"/>
              </w:rPr>
              <w:t>Tumxuk Tangwangcheng Airport</w:t>
            </w:r>
          </w:p>
        </w:tc>
      </w:tr>
      <w:tr w14:paraId="06D176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5D68D231">
            <w:pPr>
              <w:pStyle w:val="49"/>
              <w:rPr>
                <w:sz w:val="16"/>
                <w:szCs w:val="18"/>
              </w:rPr>
            </w:pPr>
            <w:r>
              <w:rPr>
                <w:sz w:val="16"/>
                <w:szCs w:val="18"/>
              </w:rPr>
              <w:t>HGH</w:t>
            </w:r>
          </w:p>
        </w:tc>
        <w:tc>
          <w:tcPr>
            <w:tcW w:w="3126" w:type="dxa"/>
            <w:tcBorders>
              <w:tl2br w:val="nil"/>
              <w:tr2bl w:val="nil"/>
            </w:tcBorders>
            <w:shd w:val="clear" w:color="auto" w:fill="auto"/>
            <w:vAlign w:val="center"/>
          </w:tcPr>
          <w:p w14:paraId="09D5E2EF">
            <w:pPr>
              <w:pStyle w:val="49"/>
              <w:rPr>
                <w:sz w:val="16"/>
                <w:szCs w:val="18"/>
              </w:rPr>
            </w:pPr>
            <w:r>
              <w:rPr>
                <w:sz w:val="16"/>
                <w:szCs w:val="18"/>
              </w:rPr>
              <w:t>Hangzhou Xiaoshan International Airport</w:t>
            </w:r>
          </w:p>
        </w:tc>
        <w:tc>
          <w:tcPr>
            <w:tcW w:w="887" w:type="dxa"/>
            <w:tcBorders>
              <w:tl2br w:val="nil"/>
              <w:tr2bl w:val="nil"/>
            </w:tcBorders>
            <w:shd w:val="clear" w:color="auto" w:fill="auto"/>
            <w:vAlign w:val="center"/>
          </w:tcPr>
          <w:p w14:paraId="4D8B6249">
            <w:pPr>
              <w:pStyle w:val="49"/>
              <w:rPr>
                <w:sz w:val="16"/>
                <w:szCs w:val="18"/>
              </w:rPr>
            </w:pPr>
            <w:r>
              <w:rPr>
                <w:sz w:val="16"/>
                <w:szCs w:val="18"/>
              </w:rPr>
              <w:t>TXN</w:t>
            </w:r>
          </w:p>
        </w:tc>
        <w:tc>
          <w:tcPr>
            <w:tcW w:w="3231" w:type="dxa"/>
            <w:tcBorders>
              <w:tl2br w:val="nil"/>
              <w:tr2bl w:val="nil"/>
            </w:tcBorders>
            <w:shd w:val="clear" w:color="auto" w:fill="auto"/>
            <w:vAlign w:val="center"/>
          </w:tcPr>
          <w:p w14:paraId="287CB594">
            <w:pPr>
              <w:pStyle w:val="49"/>
              <w:rPr>
                <w:sz w:val="16"/>
                <w:szCs w:val="18"/>
              </w:rPr>
            </w:pPr>
            <w:r>
              <w:rPr>
                <w:sz w:val="16"/>
                <w:szCs w:val="18"/>
              </w:rPr>
              <w:t>Huangshan Tunxi International Airport</w:t>
            </w:r>
          </w:p>
        </w:tc>
      </w:tr>
      <w:tr w14:paraId="2F1679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56827925">
            <w:pPr>
              <w:pStyle w:val="49"/>
              <w:rPr>
                <w:sz w:val="16"/>
                <w:szCs w:val="18"/>
              </w:rPr>
            </w:pPr>
            <w:r>
              <w:rPr>
                <w:sz w:val="16"/>
                <w:szCs w:val="18"/>
              </w:rPr>
              <w:t>HIA</w:t>
            </w:r>
          </w:p>
        </w:tc>
        <w:tc>
          <w:tcPr>
            <w:tcW w:w="3126" w:type="dxa"/>
            <w:tcBorders>
              <w:tl2br w:val="nil"/>
              <w:tr2bl w:val="nil"/>
            </w:tcBorders>
            <w:shd w:val="clear" w:color="auto" w:fill="auto"/>
            <w:vAlign w:val="center"/>
          </w:tcPr>
          <w:p w14:paraId="1A6DE3CC">
            <w:pPr>
              <w:pStyle w:val="49"/>
              <w:rPr>
                <w:sz w:val="16"/>
                <w:szCs w:val="18"/>
              </w:rPr>
            </w:pPr>
            <w:r>
              <w:rPr>
                <w:sz w:val="16"/>
                <w:szCs w:val="18"/>
              </w:rPr>
              <w:t>Huai'an Lianshui International Airport</w:t>
            </w:r>
          </w:p>
        </w:tc>
        <w:tc>
          <w:tcPr>
            <w:tcW w:w="887" w:type="dxa"/>
            <w:tcBorders>
              <w:tl2br w:val="nil"/>
              <w:tr2bl w:val="nil"/>
            </w:tcBorders>
            <w:shd w:val="clear" w:color="auto" w:fill="auto"/>
            <w:vAlign w:val="center"/>
          </w:tcPr>
          <w:p w14:paraId="70129B4D">
            <w:pPr>
              <w:pStyle w:val="49"/>
              <w:rPr>
                <w:sz w:val="16"/>
                <w:szCs w:val="18"/>
              </w:rPr>
            </w:pPr>
            <w:r>
              <w:rPr>
                <w:sz w:val="16"/>
                <w:szCs w:val="18"/>
              </w:rPr>
              <w:t>TYN</w:t>
            </w:r>
          </w:p>
        </w:tc>
        <w:tc>
          <w:tcPr>
            <w:tcW w:w="3231" w:type="dxa"/>
            <w:tcBorders>
              <w:tl2br w:val="nil"/>
              <w:tr2bl w:val="nil"/>
            </w:tcBorders>
            <w:shd w:val="clear" w:color="auto" w:fill="auto"/>
            <w:vAlign w:val="center"/>
          </w:tcPr>
          <w:p w14:paraId="46D4A67A">
            <w:pPr>
              <w:pStyle w:val="49"/>
              <w:rPr>
                <w:sz w:val="16"/>
                <w:szCs w:val="18"/>
              </w:rPr>
            </w:pPr>
            <w:r>
              <w:rPr>
                <w:sz w:val="16"/>
                <w:szCs w:val="18"/>
              </w:rPr>
              <w:t>Taiyuan Wusu International Airport</w:t>
            </w:r>
          </w:p>
        </w:tc>
      </w:tr>
      <w:tr w14:paraId="5D56AB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5E5FDE1">
            <w:pPr>
              <w:pStyle w:val="49"/>
              <w:rPr>
                <w:sz w:val="16"/>
                <w:szCs w:val="18"/>
              </w:rPr>
            </w:pPr>
            <w:r>
              <w:rPr>
                <w:sz w:val="16"/>
                <w:szCs w:val="18"/>
              </w:rPr>
              <w:t>HJJ</w:t>
            </w:r>
          </w:p>
        </w:tc>
        <w:tc>
          <w:tcPr>
            <w:tcW w:w="3126" w:type="dxa"/>
            <w:tcBorders>
              <w:tl2br w:val="nil"/>
              <w:tr2bl w:val="nil"/>
            </w:tcBorders>
            <w:shd w:val="clear" w:color="auto" w:fill="auto"/>
            <w:vAlign w:val="center"/>
          </w:tcPr>
          <w:p w14:paraId="2B55DE1F">
            <w:pPr>
              <w:pStyle w:val="49"/>
              <w:rPr>
                <w:sz w:val="16"/>
                <w:szCs w:val="18"/>
              </w:rPr>
            </w:pPr>
            <w:r>
              <w:rPr>
                <w:sz w:val="16"/>
                <w:szCs w:val="18"/>
              </w:rPr>
              <w:t>Huaihua Zhijiang Airport</w:t>
            </w:r>
          </w:p>
        </w:tc>
        <w:tc>
          <w:tcPr>
            <w:tcW w:w="887" w:type="dxa"/>
            <w:tcBorders>
              <w:tl2br w:val="nil"/>
              <w:tr2bl w:val="nil"/>
            </w:tcBorders>
            <w:shd w:val="clear" w:color="auto" w:fill="auto"/>
            <w:vAlign w:val="center"/>
          </w:tcPr>
          <w:p w14:paraId="740421E8">
            <w:pPr>
              <w:pStyle w:val="49"/>
              <w:rPr>
                <w:sz w:val="16"/>
                <w:szCs w:val="18"/>
              </w:rPr>
            </w:pPr>
            <w:r>
              <w:rPr>
                <w:sz w:val="16"/>
                <w:szCs w:val="18"/>
              </w:rPr>
              <w:t>UCB</w:t>
            </w:r>
          </w:p>
        </w:tc>
        <w:tc>
          <w:tcPr>
            <w:tcW w:w="3231" w:type="dxa"/>
            <w:tcBorders>
              <w:tl2br w:val="nil"/>
              <w:tr2bl w:val="nil"/>
            </w:tcBorders>
            <w:shd w:val="clear" w:color="auto" w:fill="auto"/>
            <w:vAlign w:val="center"/>
          </w:tcPr>
          <w:p w14:paraId="2E560FA5">
            <w:pPr>
              <w:pStyle w:val="49"/>
              <w:rPr>
                <w:sz w:val="16"/>
                <w:szCs w:val="18"/>
              </w:rPr>
            </w:pPr>
            <w:r>
              <w:rPr>
                <w:sz w:val="16"/>
                <w:szCs w:val="18"/>
              </w:rPr>
              <w:t>Ulanqab Jining Airport</w:t>
            </w:r>
          </w:p>
        </w:tc>
      </w:tr>
      <w:tr w14:paraId="3A21D5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0E4A7E6">
            <w:pPr>
              <w:pStyle w:val="49"/>
              <w:rPr>
                <w:sz w:val="16"/>
                <w:szCs w:val="18"/>
              </w:rPr>
            </w:pPr>
            <w:r>
              <w:rPr>
                <w:sz w:val="16"/>
                <w:szCs w:val="18"/>
              </w:rPr>
              <w:t>HLD</w:t>
            </w:r>
          </w:p>
        </w:tc>
        <w:tc>
          <w:tcPr>
            <w:tcW w:w="3126" w:type="dxa"/>
            <w:tcBorders>
              <w:tl2br w:val="nil"/>
              <w:tr2bl w:val="nil"/>
            </w:tcBorders>
            <w:shd w:val="clear" w:color="auto" w:fill="auto"/>
            <w:vAlign w:val="center"/>
          </w:tcPr>
          <w:p w14:paraId="7D8DF11C">
            <w:pPr>
              <w:pStyle w:val="49"/>
              <w:rPr>
                <w:sz w:val="16"/>
                <w:szCs w:val="18"/>
              </w:rPr>
            </w:pPr>
            <w:r>
              <w:rPr>
                <w:sz w:val="16"/>
                <w:szCs w:val="18"/>
              </w:rPr>
              <w:t>Hulunbuir Hailar Airport</w:t>
            </w:r>
          </w:p>
        </w:tc>
        <w:tc>
          <w:tcPr>
            <w:tcW w:w="887" w:type="dxa"/>
            <w:tcBorders>
              <w:tl2br w:val="nil"/>
              <w:tr2bl w:val="nil"/>
            </w:tcBorders>
            <w:shd w:val="clear" w:color="auto" w:fill="auto"/>
            <w:vAlign w:val="center"/>
          </w:tcPr>
          <w:p w14:paraId="443EDDC0">
            <w:pPr>
              <w:pStyle w:val="49"/>
              <w:rPr>
                <w:sz w:val="16"/>
                <w:szCs w:val="18"/>
              </w:rPr>
            </w:pPr>
            <w:r>
              <w:rPr>
                <w:sz w:val="16"/>
                <w:szCs w:val="18"/>
              </w:rPr>
              <w:t>URC</w:t>
            </w:r>
          </w:p>
        </w:tc>
        <w:tc>
          <w:tcPr>
            <w:tcW w:w="3231" w:type="dxa"/>
            <w:tcBorders>
              <w:tl2br w:val="nil"/>
              <w:tr2bl w:val="nil"/>
            </w:tcBorders>
            <w:shd w:val="clear" w:color="auto" w:fill="auto"/>
            <w:vAlign w:val="center"/>
          </w:tcPr>
          <w:p w14:paraId="2D2FACB5">
            <w:pPr>
              <w:pStyle w:val="49"/>
              <w:rPr>
                <w:sz w:val="16"/>
                <w:szCs w:val="18"/>
              </w:rPr>
            </w:pPr>
            <w:r>
              <w:rPr>
                <w:sz w:val="16"/>
                <w:szCs w:val="18"/>
              </w:rPr>
              <w:t>Ürümqi Tianshan International Airport</w:t>
            </w:r>
          </w:p>
        </w:tc>
      </w:tr>
      <w:tr w14:paraId="12CED0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CFD42DC">
            <w:pPr>
              <w:pStyle w:val="49"/>
              <w:rPr>
                <w:sz w:val="16"/>
                <w:szCs w:val="18"/>
              </w:rPr>
            </w:pPr>
            <w:r>
              <w:rPr>
                <w:sz w:val="16"/>
                <w:szCs w:val="18"/>
              </w:rPr>
              <w:t>HLH</w:t>
            </w:r>
          </w:p>
        </w:tc>
        <w:tc>
          <w:tcPr>
            <w:tcW w:w="3126" w:type="dxa"/>
            <w:tcBorders>
              <w:tl2br w:val="nil"/>
              <w:tr2bl w:val="nil"/>
            </w:tcBorders>
            <w:shd w:val="clear" w:color="auto" w:fill="auto"/>
            <w:vAlign w:val="center"/>
          </w:tcPr>
          <w:p w14:paraId="6E10097C">
            <w:pPr>
              <w:pStyle w:val="49"/>
              <w:rPr>
                <w:sz w:val="16"/>
                <w:szCs w:val="18"/>
              </w:rPr>
            </w:pPr>
            <w:r>
              <w:rPr>
                <w:sz w:val="16"/>
                <w:szCs w:val="18"/>
              </w:rPr>
              <w:t>Ulanhot Yilelite Airport</w:t>
            </w:r>
          </w:p>
        </w:tc>
        <w:tc>
          <w:tcPr>
            <w:tcW w:w="887" w:type="dxa"/>
            <w:tcBorders>
              <w:tl2br w:val="nil"/>
              <w:tr2bl w:val="nil"/>
            </w:tcBorders>
            <w:shd w:val="clear" w:color="auto" w:fill="auto"/>
            <w:vAlign w:val="center"/>
          </w:tcPr>
          <w:p w14:paraId="62CB3921">
            <w:pPr>
              <w:pStyle w:val="49"/>
              <w:rPr>
                <w:sz w:val="16"/>
                <w:szCs w:val="18"/>
              </w:rPr>
            </w:pPr>
            <w:r>
              <w:rPr>
                <w:sz w:val="16"/>
                <w:szCs w:val="18"/>
              </w:rPr>
              <w:t>UYN</w:t>
            </w:r>
          </w:p>
        </w:tc>
        <w:tc>
          <w:tcPr>
            <w:tcW w:w="3231" w:type="dxa"/>
            <w:tcBorders>
              <w:tl2br w:val="nil"/>
              <w:tr2bl w:val="nil"/>
            </w:tcBorders>
            <w:shd w:val="clear" w:color="auto" w:fill="auto"/>
            <w:vAlign w:val="center"/>
          </w:tcPr>
          <w:p w14:paraId="732E0268">
            <w:pPr>
              <w:pStyle w:val="49"/>
              <w:rPr>
                <w:sz w:val="16"/>
                <w:szCs w:val="18"/>
              </w:rPr>
            </w:pPr>
            <w:r>
              <w:rPr>
                <w:sz w:val="16"/>
                <w:szCs w:val="18"/>
              </w:rPr>
              <w:t>Yulin Yuyang Airport</w:t>
            </w:r>
          </w:p>
        </w:tc>
      </w:tr>
      <w:tr w14:paraId="43EEEC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5BD91A6">
            <w:pPr>
              <w:pStyle w:val="49"/>
              <w:rPr>
                <w:sz w:val="16"/>
                <w:szCs w:val="18"/>
              </w:rPr>
            </w:pPr>
            <w:r>
              <w:rPr>
                <w:sz w:val="16"/>
                <w:szCs w:val="18"/>
              </w:rPr>
              <w:t>HMI</w:t>
            </w:r>
          </w:p>
        </w:tc>
        <w:tc>
          <w:tcPr>
            <w:tcW w:w="3126" w:type="dxa"/>
            <w:tcBorders>
              <w:tl2br w:val="nil"/>
              <w:tr2bl w:val="nil"/>
            </w:tcBorders>
            <w:shd w:val="clear" w:color="auto" w:fill="auto"/>
            <w:vAlign w:val="center"/>
          </w:tcPr>
          <w:p w14:paraId="20368244">
            <w:pPr>
              <w:pStyle w:val="49"/>
              <w:rPr>
                <w:sz w:val="16"/>
                <w:szCs w:val="18"/>
              </w:rPr>
            </w:pPr>
            <w:r>
              <w:rPr>
                <w:sz w:val="16"/>
                <w:szCs w:val="18"/>
              </w:rPr>
              <w:t>Hami Yizhou Airport</w:t>
            </w:r>
          </w:p>
        </w:tc>
        <w:tc>
          <w:tcPr>
            <w:tcW w:w="887" w:type="dxa"/>
            <w:tcBorders>
              <w:tl2br w:val="nil"/>
              <w:tr2bl w:val="nil"/>
            </w:tcBorders>
            <w:shd w:val="clear" w:color="auto" w:fill="auto"/>
            <w:vAlign w:val="center"/>
          </w:tcPr>
          <w:p w14:paraId="06A15A91">
            <w:pPr>
              <w:pStyle w:val="49"/>
              <w:rPr>
                <w:sz w:val="16"/>
                <w:szCs w:val="18"/>
              </w:rPr>
            </w:pPr>
            <w:r>
              <w:rPr>
                <w:sz w:val="16"/>
                <w:szCs w:val="18"/>
              </w:rPr>
              <w:t>WDS</w:t>
            </w:r>
          </w:p>
        </w:tc>
        <w:tc>
          <w:tcPr>
            <w:tcW w:w="3231" w:type="dxa"/>
            <w:tcBorders>
              <w:tl2br w:val="nil"/>
              <w:tr2bl w:val="nil"/>
            </w:tcBorders>
            <w:shd w:val="clear" w:color="auto" w:fill="auto"/>
            <w:vAlign w:val="center"/>
          </w:tcPr>
          <w:p w14:paraId="6FE4602E">
            <w:pPr>
              <w:pStyle w:val="49"/>
              <w:rPr>
                <w:sz w:val="16"/>
                <w:szCs w:val="18"/>
              </w:rPr>
            </w:pPr>
            <w:r>
              <w:rPr>
                <w:sz w:val="16"/>
                <w:szCs w:val="18"/>
              </w:rPr>
              <w:t>Shiyan Wudangshan Airport</w:t>
            </w:r>
          </w:p>
        </w:tc>
      </w:tr>
      <w:tr w14:paraId="087A42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8D4C9D3">
            <w:pPr>
              <w:pStyle w:val="49"/>
              <w:rPr>
                <w:sz w:val="16"/>
                <w:szCs w:val="18"/>
              </w:rPr>
            </w:pPr>
            <w:r>
              <w:rPr>
                <w:sz w:val="16"/>
                <w:szCs w:val="18"/>
              </w:rPr>
              <w:t>HNY</w:t>
            </w:r>
          </w:p>
        </w:tc>
        <w:tc>
          <w:tcPr>
            <w:tcW w:w="3126" w:type="dxa"/>
            <w:tcBorders>
              <w:tl2br w:val="nil"/>
              <w:tr2bl w:val="nil"/>
            </w:tcBorders>
            <w:shd w:val="clear" w:color="auto" w:fill="auto"/>
            <w:vAlign w:val="center"/>
          </w:tcPr>
          <w:p w14:paraId="6BC3181C">
            <w:pPr>
              <w:pStyle w:val="49"/>
              <w:rPr>
                <w:sz w:val="16"/>
                <w:szCs w:val="18"/>
              </w:rPr>
            </w:pPr>
            <w:r>
              <w:rPr>
                <w:sz w:val="16"/>
                <w:szCs w:val="18"/>
              </w:rPr>
              <w:t>Hengyang Nanyue Airport</w:t>
            </w:r>
          </w:p>
        </w:tc>
        <w:tc>
          <w:tcPr>
            <w:tcW w:w="887" w:type="dxa"/>
            <w:tcBorders>
              <w:tl2br w:val="nil"/>
              <w:tr2bl w:val="nil"/>
            </w:tcBorders>
            <w:shd w:val="clear" w:color="auto" w:fill="auto"/>
            <w:vAlign w:val="center"/>
          </w:tcPr>
          <w:p w14:paraId="5781E0E0">
            <w:pPr>
              <w:pStyle w:val="49"/>
              <w:rPr>
                <w:sz w:val="16"/>
                <w:szCs w:val="18"/>
              </w:rPr>
            </w:pPr>
            <w:r>
              <w:rPr>
                <w:sz w:val="16"/>
                <w:szCs w:val="18"/>
              </w:rPr>
              <w:t>WEF</w:t>
            </w:r>
          </w:p>
        </w:tc>
        <w:tc>
          <w:tcPr>
            <w:tcW w:w="3231" w:type="dxa"/>
            <w:tcBorders>
              <w:tl2br w:val="nil"/>
              <w:tr2bl w:val="nil"/>
            </w:tcBorders>
            <w:shd w:val="clear" w:color="auto" w:fill="auto"/>
            <w:vAlign w:val="center"/>
          </w:tcPr>
          <w:p w14:paraId="5166F79A">
            <w:pPr>
              <w:pStyle w:val="49"/>
              <w:rPr>
                <w:sz w:val="16"/>
                <w:szCs w:val="18"/>
              </w:rPr>
            </w:pPr>
            <w:r>
              <w:rPr>
                <w:sz w:val="16"/>
                <w:szCs w:val="18"/>
              </w:rPr>
              <w:t>Weifang Airport</w:t>
            </w:r>
          </w:p>
        </w:tc>
      </w:tr>
      <w:tr w14:paraId="6971C1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EA1CD9C">
            <w:pPr>
              <w:pStyle w:val="49"/>
              <w:rPr>
                <w:sz w:val="16"/>
                <w:szCs w:val="18"/>
              </w:rPr>
            </w:pPr>
            <w:r>
              <w:rPr>
                <w:sz w:val="16"/>
                <w:szCs w:val="18"/>
              </w:rPr>
              <w:t>HPG</w:t>
            </w:r>
          </w:p>
        </w:tc>
        <w:tc>
          <w:tcPr>
            <w:tcW w:w="3126" w:type="dxa"/>
            <w:tcBorders>
              <w:tl2br w:val="nil"/>
              <w:tr2bl w:val="nil"/>
            </w:tcBorders>
            <w:shd w:val="clear" w:color="auto" w:fill="auto"/>
            <w:vAlign w:val="center"/>
          </w:tcPr>
          <w:p w14:paraId="42CBAB8C">
            <w:pPr>
              <w:pStyle w:val="49"/>
              <w:rPr>
                <w:sz w:val="16"/>
                <w:szCs w:val="18"/>
              </w:rPr>
            </w:pPr>
            <w:r>
              <w:rPr>
                <w:sz w:val="16"/>
                <w:szCs w:val="18"/>
              </w:rPr>
              <w:t>Shennongjia Hongping Airport</w:t>
            </w:r>
          </w:p>
        </w:tc>
        <w:tc>
          <w:tcPr>
            <w:tcW w:w="887" w:type="dxa"/>
            <w:tcBorders>
              <w:tl2br w:val="nil"/>
              <w:tr2bl w:val="nil"/>
            </w:tcBorders>
            <w:shd w:val="clear" w:color="auto" w:fill="auto"/>
            <w:vAlign w:val="center"/>
          </w:tcPr>
          <w:p w14:paraId="2ADCDB76">
            <w:pPr>
              <w:pStyle w:val="49"/>
              <w:rPr>
                <w:sz w:val="16"/>
                <w:szCs w:val="18"/>
              </w:rPr>
            </w:pPr>
            <w:r>
              <w:rPr>
                <w:sz w:val="16"/>
                <w:szCs w:val="18"/>
              </w:rPr>
              <w:t>WEH</w:t>
            </w:r>
          </w:p>
        </w:tc>
        <w:tc>
          <w:tcPr>
            <w:tcW w:w="3231" w:type="dxa"/>
            <w:tcBorders>
              <w:tl2br w:val="nil"/>
              <w:tr2bl w:val="nil"/>
            </w:tcBorders>
            <w:shd w:val="clear" w:color="auto" w:fill="auto"/>
            <w:vAlign w:val="center"/>
          </w:tcPr>
          <w:p w14:paraId="3B400712">
            <w:pPr>
              <w:pStyle w:val="49"/>
              <w:rPr>
                <w:sz w:val="16"/>
                <w:szCs w:val="18"/>
              </w:rPr>
            </w:pPr>
            <w:r>
              <w:rPr>
                <w:sz w:val="16"/>
                <w:szCs w:val="18"/>
              </w:rPr>
              <w:t>Weihai Dashuibo International Airport</w:t>
            </w:r>
          </w:p>
        </w:tc>
      </w:tr>
      <w:tr w14:paraId="0E3464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644CC5CA">
            <w:pPr>
              <w:pStyle w:val="49"/>
              <w:rPr>
                <w:sz w:val="16"/>
                <w:szCs w:val="18"/>
              </w:rPr>
            </w:pPr>
            <w:r>
              <w:rPr>
                <w:sz w:val="16"/>
                <w:szCs w:val="18"/>
              </w:rPr>
              <w:t>HRB</w:t>
            </w:r>
          </w:p>
        </w:tc>
        <w:tc>
          <w:tcPr>
            <w:tcW w:w="3126" w:type="dxa"/>
            <w:tcBorders>
              <w:tl2br w:val="nil"/>
              <w:tr2bl w:val="nil"/>
            </w:tcBorders>
            <w:shd w:val="clear" w:color="auto" w:fill="auto"/>
            <w:vAlign w:val="center"/>
          </w:tcPr>
          <w:p w14:paraId="113D51ED">
            <w:pPr>
              <w:pStyle w:val="49"/>
              <w:rPr>
                <w:sz w:val="16"/>
                <w:szCs w:val="18"/>
              </w:rPr>
            </w:pPr>
            <w:r>
              <w:rPr>
                <w:sz w:val="16"/>
                <w:szCs w:val="18"/>
              </w:rPr>
              <w:t>Harbin Taiping International Airport</w:t>
            </w:r>
          </w:p>
        </w:tc>
        <w:tc>
          <w:tcPr>
            <w:tcW w:w="887" w:type="dxa"/>
            <w:tcBorders>
              <w:tl2br w:val="nil"/>
              <w:tr2bl w:val="nil"/>
            </w:tcBorders>
            <w:shd w:val="clear" w:color="auto" w:fill="auto"/>
            <w:vAlign w:val="center"/>
          </w:tcPr>
          <w:p w14:paraId="792744E0">
            <w:pPr>
              <w:pStyle w:val="49"/>
              <w:rPr>
                <w:sz w:val="16"/>
                <w:szCs w:val="18"/>
              </w:rPr>
            </w:pPr>
            <w:r>
              <w:rPr>
                <w:sz w:val="16"/>
                <w:szCs w:val="18"/>
              </w:rPr>
              <w:t>WGN</w:t>
            </w:r>
          </w:p>
        </w:tc>
        <w:tc>
          <w:tcPr>
            <w:tcW w:w="3231" w:type="dxa"/>
            <w:tcBorders>
              <w:tl2br w:val="nil"/>
              <w:tr2bl w:val="nil"/>
            </w:tcBorders>
            <w:shd w:val="clear" w:color="auto" w:fill="auto"/>
            <w:vAlign w:val="center"/>
          </w:tcPr>
          <w:p w14:paraId="59F3087D">
            <w:pPr>
              <w:pStyle w:val="49"/>
              <w:rPr>
                <w:sz w:val="16"/>
                <w:szCs w:val="18"/>
              </w:rPr>
            </w:pPr>
            <w:r>
              <w:rPr>
                <w:sz w:val="16"/>
                <w:szCs w:val="18"/>
              </w:rPr>
              <w:t>Shaoyang Wugang Airport</w:t>
            </w:r>
          </w:p>
        </w:tc>
      </w:tr>
      <w:tr w14:paraId="190D36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75BE26E">
            <w:pPr>
              <w:pStyle w:val="49"/>
              <w:rPr>
                <w:sz w:val="16"/>
                <w:szCs w:val="18"/>
              </w:rPr>
            </w:pPr>
            <w:r>
              <w:rPr>
                <w:sz w:val="16"/>
                <w:szCs w:val="18"/>
              </w:rPr>
              <w:t>HSN</w:t>
            </w:r>
          </w:p>
        </w:tc>
        <w:tc>
          <w:tcPr>
            <w:tcW w:w="3126" w:type="dxa"/>
            <w:tcBorders>
              <w:tl2br w:val="nil"/>
              <w:tr2bl w:val="nil"/>
            </w:tcBorders>
            <w:shd w:val="clear" w:color="auto" w:fill="auto"/>
            <w:vAlign w:val="center"/>
          </w:tcPr>
          <w:p w14:paraId="3167670F">
            <w:pPr>
              <w:pStyle w:val="49"/>
              <w:rPr>
                <w:sz w:val="16"/>
                <w:szCs w:val="18"/>
              </w:rPr>
            </w:pPr>
            <w:r>
              <w:rPr>
                <w:sz w:val="16"/>
                <w:szCs w:val="18"/>
              </w:rPr>
              <w:t>Zhoushan Putuoshan International Airport</w:t>
            </w:r>
          </w:p>
        </w:tc>
        <w:tc>
          <w:tcPr>
            <w:tcW w:w="887" w:type="dxa"/>
            <w:tcBorders>
              <w:tl2br w:val="nil"/>
              <w:tr2bl w:val="nil"/>
            </w:tcBorders>
            <w:shd w:val="clear" w:color="auto" w:fill="auto"/>
            <w:vAlign w:val="center"/>
          </w:tcPr>
          <w:p w14:paraId="6415BA24">
            <w:pPr>
              <w:pStyle w:val="49"/>
              <w:rPr>
                <w:sz w:val="16"/>
                <w:szCs w:val="18"/>
              </w:rPr>
            </w:pPr>
            <w:r>
              <w:rPr>
                <w:sz w:val="16"/>
                <w:szCs w:val="18"/>
              </w:rPr>
              <w:t>WMT</w:t>
            </w:r>
          </w:p>
        </w:tc>
        <w:tc>
          <w:tcPr>
            <w:tcW w:w="3231" w:type="dxa"/>
            <w:tcBorders>
              <w:tl2br w:val="nil"/>
              <w:tr2bl w:val="nil"/>
            </w:tcBorders>
            <w:shd w:val="clear" w:color="auto" w:fill="auto"/>
            <w:vAlign w:val="center"/>
          </w:tcPr>
          <w:p w14:paraId="095E378C">
            <w:pPr>
              <w:pStyle w:val="49"/>
              <w:rPr>
                <w:sz w:val="16"/>
                <w:szCs w:val="18"/>
              </w:rPr>
            </w:pPr>
            <w:r>
              <w:rPr>
                <w:sz w:val="16"/>
                <w:szCs w:val="18"/>
              </w:rPr>
              <w:t>Zunyi Maotai Airport</w:t>
            </w:r>
          </w:p>
        </w:tc>
      </w:tr>
      <w:tr w14:paraId="647C16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4126407">
            <w:pPr>
              <w:pStyle w:val="49"/>
              <w:rPr>
                <w:sz w:val="16"/>
                <w:szCs w:val="18"/>
              </w:rPr>
            </w:pPr>
            <w:r>
              <w:rPr>
                <w:sz w:val="16"/>
                <w:szCs w:val="18"/>
              </w:rPr>
              <w:t>HTN</w:t>
            </w:r>
          </w:p>
        </w:tc>
        <w:tc>
          <w:tcPr>
            <w:tcW w:w="3126" w:type="dxa"/>
            <w:tcBorders>
              <w:tl2br w:val="nil"/>
              <w:tr2bl w:val="nil"/>
            </w:tcBorders>
            <w:shd w:val="clear" w:color="auto" w:fill="auto"/>
            <w:vAlign w:val="center"/>
          </w:tcPr>
          <w:p w14:paraId="60E7AEA7">
            <w:pPr>
              <w:pStyle w:val="49"/>
              <w:rPr>
                <w:sz w:val="16"/>
                <w:szCs w:val="18"/>
              </w:rPr>
            </w:pPr>
            <w:r>
              <w:rPr>
                <w:sz w:val="16"/>
                <w:szCs w:val="18"/>
              </w:rPr>
              <w:t>Hotan Kungang Airport</w:t>
            </w:r>
          </w:p>
        </w:tc>
        <w:tc>
          <w:tcPr>
            <w:tcW w:w="887" w:type="dxa"/>
            <w:tcBorders>
              <w:tl2br w:val="nil"/>
              <w:tr2bl w:val="nil"/>
            </w:tcBorders>
            <w:shd w:val="clear" w:color="auto" w:fill="auto"/>
            <w:vAlign w:val="center"/>
          </w:tcPr>
          <w:p w14:paraId="309FE99B">
            <w:pPr>
              <w:pStyle w:val="49"/>
              <w:rPr>
                <w:sz w:val="16"/>
                <w:szCs w:val="18"/>
              </w:rPr>
            </w:pPr>
            <w:r>
              <w:rPr>
                <w:sz w:val="16"/>
                <w:szCs w:val="18"/>
              </w:rPr>
              <w:t>WNH</w:t>
            </w:r>
          </w:p>
        </w:tc>
        <w:tc>
          <w:tcPr>
            <w:tcW w:w="3231" w:type="dxa"/>
            <w:tcBorders>
              <w:tl2br w:val="nil"/>
              <w:tr2bl w:val="nil"/>
            </w:tcBorders>
            <w:shd w:val="clear" w:color="auto" w:fill="auto"/>
            <w:vAlign w:val="center"/>
          </w:tcPr>
          <w:p w14:paraId="0E76F0DA">
            <w:pPr>
              <w:pStyle w:val="49"/>
              <w:rPr>
                <w:sz w:val="16"/>
                <w:szCs w:val="18"/>
              </w:rPr>
            </w:pPr>
            <w:r>
              <w:rPr>
                <w:sz w:val="16"/>
                <w:szCs w:val="18"/>
              </w:rPr>
              <w:t>Wenshan Yanshan Airport</w:t>
            </w:r>
          </w:p>
        </w:tc>
      </w:tr>
      <w:tr w14:paraId="71D057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0B9673D0">
            <w:pPr>
              <w:pStyle w:val="49"/>
              <w:rPr>
                <w:sz w:val="16"/>
                <w:szCs w:val="18"/>
              </w:rPr>
            </w:pPr>
            <w:r>
              <w:rPr>
                <w:sz w:val="16"/>
                <w:szCs w:val="18"/>
              </w:rPr>
              <w:t>HTT</w:t>
            </w:r>
          </w:p>
        </w:tc>
        <w:tc>
          <w:tcPr>
            <w:tcW w:w="3126" w:type="dxa"/>
            <w:tcBorders>
              <w:tl2br w:val="nil"/>
              <w:tr2bl w:val="nil"/>
            </w:tcBorders>
            <w:shd w:val="clear" w:color="auto" w:fill="auto"/>
            <w:vAlign w:val="center"/>
          </w:tcPr>
          <w:p w14:paraId="2CD76B8A">
            <w:pPr>
              <w:pStyle w:val="49"/>
              <w:rPr>
                <w:sz w:val="16"/>
                <w:szCs w:val="18"/>
              </w:rPr>
            </w:pPr>
            <w:r>
              <w:rPr>
                <w:sz w:val="16"/>
                <w:szCs w:val="18"/>
              </w:rPr>
              <w:t>Haixi Huatugou Airport</w:t>
            </w:r>
          </w:p>
        </w:tc>
        <w:tc>
          <w:tcPr>
            <w:tcW w:w="887" w:type="dxa"/>
            <w:tcBorders>
              <w:tl2br w:val="nil"/>
              <w:tr2bl w:val="nil"/>
            </w:tcBorders>
            <w:shd w:val="clear" w:color="auto" w:fill="auto"/>
            <w:vAlign w:val="center"/>
          </w:tcPr>
          <w:p w14:paraId="29510913">
            <w:pPr>
              <w:pStyle w:val="49"/>
              <w:rPr>
                <w:sz w:val="16"/>
                <w:szCs w:val="18"/>
              </w:rPr>
            </w:pPr>
            <w:r>
              <w:rPr>
                <w:sz w:val="16"/>
                <w:szCs w:val="18"/>
              </w:rPr>
              <w:t>WNZ</w:t>
            </w:r>
          </w:p>
        </w:tc>
        <w:tc>
          <w:tcPr>
            <w:tcW w:w="3231" w:type="dxa"/>
            <w:tcBorders>
              <w:tl2br w:val="nil"/>
              <w:tr2bl w:val="nil"/>
            </w:tcBorders>
            <w:shd w:val="clear" w:color="auto" w:fill="auto"/>
            <w:vAlign w:val="center"/>
          </w:tcPr>
          <w:p w14:paraId="677AFD46">
            <w:pPr>
              <w:pStyle w:val="49"/>
              <w:rPr>
                <w:sz w:val="16"/>
                <w:szCs w:val="18"/>
              </w:rPr>
            </w:pPr>
            <w:r>
              <w:rPr>
                <w:sz w:val="16"/>
                <w:szCs w:val="18"/>
              </w:rPr>
              <w:t>Wenzhou Longwan International Airport</w:t>
            </w:r>
          </w:p>
        </w:tc>
      </w:tr>
      <w:tr w14:paraId="0D07C3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D2D2B87">
            <w:pPr>
              <w:pStyle w:val="49"/>
              <w:rPr>
                <w:sz w:val="16"/>
                <w:szCs w:val="18"/>
              </w:rPr>
            </w:pPr>
            <w:r>
              <w:rPr>
                <w:sz w:val="16"/>
                <w:szCs w:val="18"/>
              </w:rPr>
              <w:t>HUO</w:t>
            </w:r>
          </w:p>
        </w:tc>
        <w:tc>
          <w:tcPr>
            <w:tcW w:w="3126" w:type="dxa"/>
            <w:tcBorders>
              <w:tl2br w:val="nil"/>
              <w:tr2bl w:val="nil"/>
            </w:tcBorders>
            <w:shd w:val="clear" w:color="auto" w:fill="auto"/>
            <w:vAlign w:val="center"/>
          </w:tcPr>
          <w:p w14:paraId="2BCCE9BA">
            <w:pPr>
              <w:pStyle w:val="49"/>
              <w:rPr>
                <w:sz w:val="16"/>
                <w:szCs w:val="18"/>
              </w:rPr>
            </w:pPr>
            <w:r>
              <w:rPr>
                <w:sz w:val="16"/>
                <w:szCs w:val="18"/>
              </w:rPr>
              <w:t>Huolin Gol Huolinhe Airport</w:t>
            </w:r>
          </w:p>
        </w:tc>
        <w:tc>
          <w:tcPr>
            <w:tcW w:w="887" w:type="dxa"/>
            <w:tcBorders>
              <w:tl2br w:val="nil"/>
              <w:tr2bl w:val="nil"/>
            </w:tcBorders>
            <w:shd w:val="clear" w:color="auto" w:fill="auto"/>
            <w:vAlign w:val="center"/>
          </w:tcPr>
          <w:p w14:paraId="509596D1">
            <w:pPr>
              <w:pStyle w:val="49"/>
              <w:rPr>
                <w:sz w:val="16"/>
                <w:szCs w:val="18"/>
              </w:rPr>
            </w:pPr>
            <w:r>
              <w:rPr>
                <w:sz w:val="16"/>
                <w:szCs w:val="18"/>
              </w:rPr>
              <w:t>WSK</w:t>
            </w:r>
          </w:p>
        </w:tc>
        <w:tc>
          <w:tcPr>
            <w:tcW w:w="3231" w:type="dxa"/>
            <w:tcBorders>
              <w:tl2br w:val="nil"/>
              <w:tr2bl w:val="nil"/>
            </w:tcBorders>
            <w:shd w:val="clear" w:color="auto" w:fill="auto"/>
            <w:vAlign w:val="center"/>
          </w:tcPr>
          <w:p w14:paraId="4467F93B">
            <w:pPr>
              <w:pStyle w:val="49"/>
              <w:rPr>
                <w:sz w:val="16"/>
                <w:szCs w:val="18"/>
              </w:rPr>
            </w:pPr>
            <w:r>
              <w:rPr>
                <w:sz w:val="16"/>
                <w:szCs w:val="18"/>
              </w:rPr>
              <w:t>Chongqing Wushan Airport</w:t>
            </w:r>
          </w:p>
        </w:tc>
      </w:tr>
      <w:tr w14:paraId="70F0F3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7E5C908">
            <w:pPr>
              <w:pStyle w:val="49"/>
              <w:rPr>
                <w:sz w:val="16"/>
                <w:szCs w:val="18"/>
              </w:rPr>
            </w:pPr>
            <w:r>
              <w:rPr>
                <w:sz w:val="16"/>
                <w:szCs w:val="18"/>
              </w:rPr>
              <w:t>HUZ</w:t>
            </w:r>
          </w:p>
        </w:tc>
        <w:tc>
          <w:tcPr>
            <w:tcW w:w="3126" w:type="dxa"/>
            <w:tcBorders>
              <w:tl2br w:val="nil"/>
              <w:tr2bl w:val="nil"/>
            </w:tcBorders>
            <w:shd w:val="clear" w:color="auto" w:fill="auto"/>
            <w:vAlign w:val="center"/>
          </w:tcPr>
          <w:p w14:paraId="3446EFF6">
            <w:pPr>
              <w:pStyle w:val="49"/>
              <w:rPr>
                <w:sz w:val="16"/>
                <w:szCs w:val="18"/>
              </w:rPr>
            </w:pPr>
            <w:r>
              <w:rPr>
                <w:sz w:val="16"/>
                <w:szCs w:val="18"/>
              </w:rPr>
              <w:t>Huizhou Pingtan Airport</w:t>
            </w:r>
          </w:p>
        </w:tc>
        <w:tc>
          <w:tcPr>
            <w:tcW w:w="887" w:type="dxa"/>
            <w:tcBorders>
              <w:tl2br w:val="nil"/>
              <w:tr2bl w:val="nil"/>
            </w:tcBorders>
            <w:shd w:val="clear" w:color="auto" w:fill="auto"/>
            <w:vAlign w:val="center"/>
          </w:tcPr>
          <w:p w14:paraId="0DBD4877">
            <w:pPr>
              <w:pStyle w:val="49"/>
              <w:rPr>
                <w:sz w:val="16"/>
                <w:szCs w:val="18"/>
              </w:rPr>
            </w:pPr>
            <w:r>
              <w:rPr>
                <w:sz w:val="16"/>
                <w:szCs w:val="18"/>
              </w:rPr>
              <w:t>WUA</w:t>
            </w:r>
          </w:p>
        </w:tc>
        <w:tc>
          <w:tcPr>
            <w:tcW w:w="3231" w:type="dxa"/>
            <w:tcBorders>
              <w:tl2br w:val="nil"/>
              <w:tr2bl w:val="nil"/>
            </w:tcBorders>
            <w:shd w:val="clear" w:color="auto" w:fill="auto"/>
            <w:vAlign w:val="center"/>
          </w:tcPr>
          <w:p w14:paraId="7FD70F72">
            <w:pPr>
              <w:pStyle w:val="49"/>
              <w:rPr>
                <w:sz w:val="16"/>
                <w:szCs w:val="18"/>
              </w:rPr>
            </w:pPr>
            <w:r>
              <w:rPr>
                <w:sz w:val="16"/>
                <w:szCs w:val="18"/>
              </w:rPr>
              <w:t>Wuhai Airport</w:t>
            </w:r>
          </w:p>
        </w:tc>
      </w:tr>
      <w:tr w14:paraId="6B6DF9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A28134A">
            <w:pPr>
              <w:pStyle w:val="49"/>
              <w:rPr>
                <w:sz w:val="16"/>
                <w:szCs w:val="18"/>
              </w:rPr>
            </w:pPr>
            <w:r>
              <w:rPr>
                <w:sz w:val="16"/>
                <w:szCs w:val="18"/>
              </w:rPr>
              <w:t>HXD</w:t>
            </w:r>
          </w:p>
        </w:tc>
        <w:tc>
          <w:tcPr>
            <w:tcW w:w="3126" w:type="dxa"/>
            <w:tcBorders>
              <w:tl2br w:val="nil"/>
              <w:tr2bl w:val="nil"/>
            </w:tcBorders>
            <w:shd w:val="clear" w:color="auto" w:fill="auto"/>
            <w:vAlign w:val="center"/>
          </w:tcPr>
          <w:p w14:paraId="7B709AA7">
            <w:pPr>
              <w:pStyle w:val="49"/>
              <w:rPr>
                <w:sz w:val="16"/>
                <w:szCs w:val="18"/>
              </w:rPr>
            </w:pPr>
            <w:r>
              <w:rPr>
                <w:sz w:val="16"/>
                <w:szCs w:val="18"/>
              </w:rPr>
              <w:t>Haixi Delingha Airport</w:t>
            </w:r>
          </w:p>
        </w:tc>
        <w:tc>
          <w:tcPr>
            <w:tcW w:w="887" w:type="dxa"/>
            <w:tcBorders>
              <w:tl2br w:val="nil"/>
              <w:tr2bl w:val="nil"/>
            </w:tcBorders>
            <w:shd w:val="clear" w:color="auto" w:fill="auto"/>
            <w:vAlign w:val="center"/>
          </w:tcPr>
          <w:p w14:paraId="3F55B96F">
            <w:pPr>
              <w:pStyle w:val="49"/>
              <w:rPr>
                <w:sz w:val="16"/>
                <w:szCs w:val="18"/>
              </w:rPr>
            </w:pPr>
            <w:r>
              <w:rPr>
                <w:sz w:val="16"/>
                <w:szCs w:val="18"/>
              </w:rPr>
              <w:t>WUH</w:t>
            </w:r>
          </w:p>
        </w:tc>
        <w:tc>
          <w:tcPr>
            <w:tcW w:w="3231" w:type="dxa"/>
            <w:tcBorders>
              <w:tl2br w:val="nil"/>
              <w:tr2bl w:val="nil"/>
            </w:tcBorders>
            <w:shd w:val="clear" w:color="auto" w:fill="auto"/>
            <w:vAlign w:val="center"/>
          </w:tcPr>
          <w:p w14:paraId="4867CA02">
            <w:pPr>
              <w:pStyle w:val="49"/>
              <w:rPr>
                <w:sz w:val="16"/>
                <w:szCs w:val="18"/>
              </w:rPr>
            </w:pPr>
            <w:r>
              <w:rPr>
                <w:sz w:val="16"/>
                <w:szCs w:val="18"/>
              </w:rPr>
              <w:t>Wuhan Tianhe International Airport</w:t>
            </w:r>
          </w:p>
        </w:tc>
      </w:tr>
      <w:tr w14:paraId="6AAB93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6299B3E">
            <w:pPr>
              <w:pStyle w:val="49"/>
              <w:rPr>
                <w:sz w:val="16"/>
                <w:szCs w:val="18"/>
              </w:rPr>
            </w:pPr>
            <w:r>
              <w:rPr>
                <w:sz w:val="16"/>
                <w:szCs w:val="18"/>
              </w:rPr>
              <w:t>HYN</w:t>
            </w:r>
          </w:p>
        </w:tc>
        <w:tc>
          <w:tcPr>
            <w:tcW w:w="3126" w:type="dxa"/>
            <w:tcBorders>
              <w:tl2br w:val="nil"/>
              <w:tr2bl w:val="nil"/>
            </w:tcBorders>
            <w:shd w:val="clear" w:color="auto" w:fill="auto"/>
            <w:vAlign w:val="center"/>
          </w:tcPr>
          <w:p w14:paraId="551738F7">
            <w:pPr>
              <w:pStyle w:val="49"/>
              <w:rPr>
                <w:sz w:val="16"/>
                <w:szCs w:val="18"/>
              </w:rPr>
            </w:pPr>
            <w:r>
              <w:rPr>
                <w:sz w:val="16"/>
                <w:szCs w:val="18"/>
              </w:rPr>
              <w:t>Taizhou Luqiao Airport</w:t>
            </w:r>
          </w:p>
        </w:tc>
        <w:tc>
          <w:tcPr>
            <w:tcW w:w="887" w:type="dxa"/>
            <w:tcBorders>
              <w:tl2br w:val="nil"/>
              <w:tr2bl w:val="nil"/>
            </w:tcBorders>
            <w:shd w:val="clear" w:color="auto" w:fill="auto"/>
            <w:vAlign w:val="center"/>
          </w:tcPr>
          <w:p w14:paraId="739644A5">
            <w:pPr>
              <w:pStyle w:val="49"/>
              <w:rPr>
                <w:sz w:val="16"/>
                <w:szCs w:val="18"/>
              </w:rPr>
            </w:pPr>
            <w:r>
              <w:rPr>
                <w:sz w:val="16"/>
                <w:szCs w:val="18"/>
              </w:rPr>
              <w:t>WUS</w:t>
            </w:r>
          </w:p>
        </w:tc>
        <w:tc>
          <w:tcPr>
            <w:tcW w:w="3231" w:type="dxa"/>
            <w:tcBorders>
              <w:tl2br w:val="nil"/>
              <w:tr2bl w:val="nil"/>
            </w:tcBorders>
            <w:shd w:val="clear" w:color="auto" w:fill="auto"/>
            <w:vAlign w:val="center"/>
          </w:tcPr>
          <w:p w14:paraId="437E8C78">
            <w:pPr>
              <w:pStyle w:val="49"/>
              <w:rPr>
                <w:sz w:val="16"/>
                <w:szCs w:val="18"/>
              </w:rPr>
            </w:pPr>
            <w:r>
              <w:rPr>
                <w:sz w:val="16"/>
                <w:szCs w:val="18"/>
              </w:rPr>
              <w:t>Wuyishan Airport</w:t>
            </w:r>
          </w:p>
        </w:tc>
      </w:tr>
      <w:tr w14:paraId="41AE4B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9F1385F">
            <w:pPr>
              <w:pStyle w:val="49"/>
              <w:rPr>
                <w:sz w:val="16"/>
                <w:szCs w:val="18"/>
              </w:rPr>
            </w:pPr>
            <w:r>
              <w:rPr>
                <w:sz w:val="16"/>
                <w:szCs w:val="18"/>
              </w:rPr>
              <w:t>HZG</w:t>
            </w:r>
          </w:p>
        </w:tc>
        <w:tc>
          <w:tcPr>
            <w:tcW w:w="3126" w:type="dxa"/>
            <w:tcBorders>
              <w:tl2br w:val="nil"/>
              <w:tr2bl w:val="nil"/>
            </w:tcBorders>
            <w:shd w:val="clear" w:color="auto" w:fill="auto"/>
            <w:vAlign w:val="center"/>
          </w:tcPr>
          <w:p w14:paraId="6B280CC9">
            <w:pPr>
              <w:pStyle w:val="49"/>
              <w:rPr>
                <w:sz w:val="16"/>
                <w:szCs w:val="18"/>
              </w:rPr>
            </w:pPr>
            <w:r>
              <w:rPr>
                <w:sz w:val="16"/>
                <w:szCs w:val="18"/>
              </w:rPr>
              <w:t>Hanzhong Chenggu Airport</w:t>
            </w:r>
          </w:p>
        </w:tc>
        <w:tc>
          <w:tcPr>
            <w:tcW w:w="887" w:type="dxa"/>
            <w:tcBorders>
              <w:tl2br w:val="nil"/>
              <w:tr2bl w:val="nil"/>
            </w:tcBorders>
            <w:shd w:val="clear" w:color="auto" w:fill="auto"/>
            <w:vAlign w:val="center"/>
          </w:tcPr>
          <w:p w14:paraId="440BFC37">
            <w:pPr>
              <w:pStyle w:val="49"/>
              <w:rPr>
                <w:sz w:val="16"/>
                <w:szCs w:val="18"/>
              </w:rPr>
            </w:pPr>
            <w:r>
              <w:rPr>
                <w:sz w:val="16"/>
                <w:szCs w:val="18"/>
              </w:rPr>
              <w:t>WUT</w:t>
            </w:r>
          </w:p>
        </w:tc>
        <w:tc>
          <w:tcPr>
            <w:tcW w:w="3231" w:type="dxa"/>
            <w:tcBorders>
              <w:tl2br w:val="nil"/>
              <w:tr2bl w:val="nil"/>
            </w:tcBorders>
            <w:shd w:val="clear" w:color="auto" w:fill="auto"/>
            <w:vAlign w:val="center"/>
          </w:tcPr>
          <w:p w14:paraId="610FA375">
            <w:pPr>
              <w:pStyle w:val="49"/>
              <w:rPr>
                <w:sz w:val="16"/>
                <w:szCs w:val="18"/>
              </w:rPr>
            </w:pPr>
            <w:r>
              <w:rPr>
                <w:sz w:val="16"/>
                <w:szCs w:val="18"/>
              </w:rPr>
              <w:t>Xinzhou Wutai Mountain Airport</w:t>
            </w:r>
          </w:p>
        </w:tc>
      </w:tr>
      <w:tr w14:paraId="6DDAAA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FE0BC0A">
            <w:pPr>
              <w:pStyle w:val="49"/>
              <w:rPr>
                <w:sz w:val="16"/>
                <w:szCs w:val="18"/>
              </w:rPr>
            </w:pPr>
            <w:r>
              <w:rPr>
                <w:sz w:val="16"/>
                <w:szCs w:val="18"/>
              </w:rPr>
              <w:t>HZH</w:t>
            </w:r>
          </w:p>
        </w:tc>
        <w:tc>
          <w:tcPr>
            <w:tcW w:w="3126" w:type="dxa"/>
            <w:tcBorders>
              <w:tl2br w:val="nil"/>
              <w:tr2bl w:val="nil"/>
            </w:tcBorders>
            <w:shd w:val="clear" w:color="auto" w:fill="auto"/>
            <w:vAlign w:val="center"/>
          </w:tcPr>
          <w:p w14:paraId="7DA075DA">
            <w:pPr>
              <w:pStyle w:val="49"/>
              <w:rPr>
                <w:sz w:val="16"/>
                <w:szCs w:val="18"/>
              </w:rPr>
            </w:pPr>
            <w:r>
              <w:rPr>
                <w:sz w:val="16"/>
                <w:szCs w:val="18"/>
              </w:rPr>
              <w:t>Huizhou Pingtan Airport</w:t>
            </w:r>
          </w:p>
        </w:tc>
        <w:tc>
          <w:tcPr>
            <w:tcW w:w="887" w:type="dxa"/>
            <w:tcBorders>
              <w:tl2br w:val="nil"/>
              <w:tr2bl w:val="nil"/>
            </w:tcBorders>
            <w:shd w:val="clear" w:color="auto" w:fill="auto"/>
            <w:vAlign w:val="center"/>
          </w:tcPr>
          <w:p w14:paraId="7D193EAE">
            <w:pPr>
              <w:pStyle w:val="49"/>
              <w:rPr>
                <w:sz w:val="16"/>
                <w:szCs w:val="18"/>
              </w:rPr>
            </w:pPr>
            <w:r>
              <w:rPr>
                <w:sz w:val="16"/>
                <w:szCs w:val="18"/>
              </w:rPr>
              <w:t>WUX</w:t>
            </w:r>
          </w:p>
        </w:tc>
        <w:tc>
          <w:tcPr>
            <w:tcW w:w="3231" w:type="dxa"/>
            <w:tcBorders>
              <w:tl2br w:val="nil"/>
              <w:tr2bl w:val="nil"/>
            </w:tcBorders>
            <w:shd w:val="clear" w:color="auto" w:fill="auto"/>
            <w:vAlign w:val="center"/>
          </w:tcPr>
          <w:p w14:paraId="208DBBBC">
            <w:pPr>
              <w:pStyle w:val="49"/>
              <w:rPr>
                <w:sz w:val="16"/>
                <w:szCs w:val="18"/>
              </w:rPr>
            </w:pPr>
            <w:r>
              <w:rPr>
                <w:sz w:val="16"/>
                <w:szCs w:val="18"/>
              </w:rPr>
              <w:t>Wuxi Shuofang Airport</w:t>
            </w:r>
          </w:p>
        </w:tc>
      </w:tr>
      <w:tr w14:paraId="299C27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746A7B1E">
            <w:pPr>
              <w:pStyle w:val="49"/>
              <w:rPr>
                <w:sz w:val="16"/>
                <w:szCs w:val="18"/>
              </w:rPr>
            </w:pPr>
            <w:r>
              <w:rPr>
                <w:sz w:val="16"/>
                <w:szCs w:val="18"/>
              </w:rPr>
              <w:t>INC</w:t>
            </w:r>
          </w:p>
        </w:tc>
        <w:tc>
          <w:tcPr>
            <w:tcW w:w="3126" w:type="dxa"/>
            <w:tcBorders>
              <w:tl2br w:val="nil"/>
              <w:tr2bl w:val="nil"/>
            </w:tcBorders>
            <w:shd w:val="clear" w:color="auto" w:fill="auto"/>
            <w:vAlign w:val="center"/>
          </w:tcPr>
          <w:p w14:paraId="2FA4E424">
            <w:pPr>
              <w:pStyle w:val="49"/>
              <w:rPr>
                <w:sz w:val="16"/>
                <w:szCs w:val="18"/>
              </w:rPr>
            </w:pPr>
            <w:r>
              <w:rPr>
                <w:sz w:val="16"/>
                <w:szCs w:val="18"/>
              </w:rPr>
              <w:t>Yinchuan Hedong International Airport</w:t>
            </w:r>
          </w:p>
        </w:tc>
        <w:tc>
          <w:tcPr>
            <w:tcW w:w="887" w:type="dxa"/>
            <w:tcBorders>
              <w:tl2br w:val="nil"/>
              <w:tr2bl w:val="nil"/>
            </w:tcBorders>
            <w:shd w:val="clear" w:color="auto" w:fill="auto"/>
            <w:vAlign w:val="center"/>
          </w:tcPr>
          <w:p w14:paraId="658FB2C8">
            <w:pPr>
              <w:pStyle w:val="49"/>
              <w:rPr>
                <w:sz w:val="16"/>
                <w:szCs w:val="18"/>
              </w:rPr>
            </w:pPr>
            <w:r>
              <w:rPr>
                <w:sz w:val="16"/>
                <w:szCs w:val="18"/>
              </w:rPr>
              <w:t>WUZ</w:t>
            </w:r>
          </w:p>
        </w:tc>
        <w:tc>
          <w:tcPr>
            <w:tcW w:w="3231" w:type="dxa"/>
            <w:tcBorders>
              <w:tl2br w:val="nil"/>
              <w:tr2bl w:val="nil"/>
            </w:tcBorders>
            <w:shd w:val="clear" w:color="auto" w:fill="auto"/>
            <w:vAlign w:val="center"/>
          </w:tcPr>
          <w:p w14:paraId="7ABCA037">
            <w:pPr>
              <w:pStyle w:val="49"/>
              <w:rPr>
                <w:sz w:val="16"/>
                <w:szCs w:val="18"/>
              </w:rPr>
            </w:pPr>
            <w:r>
              <w:rPr>
                <w:sz w:val="16"/>
                <w:szCs w:val="18"/>
              </w:rPr>
              <w:t>Wuzhou Xijiang Airport</w:t>
            </w:r>
          </w:p>
        </w:tc>
      </w:tr>
      <w:tr w14:paraId="4D2ECB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725CC67">
            <w:pPr>
              <w:pStyle w:val="49"/>
              <w:rPr>
                <w:sz w:val="16"/>
                <w:szCs w:val="18"/>
              </w:rPr>
            </w:pPr>
            <w:r>
              <w:rPr>
                <w:sz w:val="16"/>
                <w:szCs w:val="18"/>
              </w:rPr>
              <w:t>IQM</w:t>
            </w:r>
          </w:p>
        </w:tc>
        <w:tc>
          <w:tcPr>
            <w:tcW w:w="3126" w:type="dxa"/>
            <w:tcBorders>
              <w:tl2br w:val="nil"/>
              <w:tr2bl w:val="nil"/>
            </w:tcBorders>
            <w:shd w:val="clear" w:color="auto" w:fill="auto"/>
            <w:vAlign w:val="center"/>
          </w:tcPr>
          <w:p w14:paraId="531D9C44">
            <w:pPr>
              <w:pStyle w:val="49"/>
              <w:rPr>
                <w:sz w:val="16"/>
                <w:szCs w:val="18"/>
              </w:rPr>
            </w:pPr>
            <w:r>
              <w:rPr>
                <w:sz w:val="16"/>
                <w:szCs w:val="18"/>
              </w:rPr>
              <w:t>Qiemo Yudu Airport</w:t>
            </w:r>
          </w:p>
        </w:tc>
        <w:tc>
          <w:tcPr>
            <w:tcW w:w="887" w:type="dxa"/>
            <w:tcBorders>
              <w:tl2br w:val="nil"/>
              <w:tr2bl w:val="nil"/>
            </w:tcBorders>
            <w:shd w:val="clear" w:color="auto" w:fill="auto"/>
            <w:vAlign w:val="center"/>
          </w:tcPr>
          <w:p w14:paraId="39B0CF62">
            <w:pPr>
              <w:pStyle w:val="49"/>
              <w:rPr>
                <w:sz w:val="16"/>
                <w:szCs w:val="18"/>
              </w:rPr>
            </w:pPr>
            <w:r>
              <w:rPr>
                <w:sz w:val="16"/>
                <w:szCs w:val="18"/>
              </w:rPr>
              <w:t>WXN</w:t>
            </w:r>
          </w:p>
        </w:tc>
        <w:tc>
          <w:tcPr>
            <w:tcW w:w="3231" w:type="dxa"/>
            <w:tcBorders>
              <w:tl2br w:val="nil"/>
              <w:tr2bl w:val="nil"/>
            </w:tcBorders>
            <w:shd w:val="clear" w:color="auto" w:fill="auto"/>
            <w:vAlign w:val="center"/>
          </w:tcPr>
          <w:p w14:paraId="6B05D888">
            <w:pPr>
              <w:pStyle w:val="49"/>
              <w:rPr>
                <w:sz w:val="16"/>
                <w:szCs w:val="18"/>
              </w:rPr>
            </w:pPr>
            <w:r>
              <w:rPr>
                <w:sz w:val="16"/>
                <w:szCs w:val="18"/>
              </w:rPr>
              <w:t>Wanzhou Wuqiao Airport</w:t>
            </w:r>
          </w:p>
        </w:tc>
      </w:tr>
      <w:tr w14:paraId="28B35C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4881A1C">
            <w:pPr>
              <w:pStyle w:val="49"/>
              <w:rPr>
                <w:sz w:val="16"/>
                <w:szCs w:val="18"/>
              </w:rPr>
            </w:pPr>
            <w:r>
              <w:rPr>
                <w:sz w:val="16"/>
                <w:szCs w:val="18"/>
              </w:rPr>
              <w:t>IQN</w:t>
            </w:r>
          </w:p>
        </w:tc>
        <w:tc>
          <w:tcPr>
            <w:tcW w:w="3126" w:type="dxa"/>
            <w:tcBorders>
              <w:tl2br w:val="nil"/>
              <w:tr2bl w:val="nil"/>
            </w:tcBorders>
            <w:shd w:val="clear" w:color="auto" w:fill="auto"/>
            <w:vAlign w:val="center"/>
          </w:tcPr>
          <w:p w14:paraId="0C0B4D36">
            <w:pPr>
              <w:pStyle w:val="49"/>
              <w:rPr>
                <w:sz w:val="16"/>
                <w:szCs w:val="18"/>
              </w:rPr>
            </w:pPr>
            <w:r>
              <w:rPr>
                <w:sz w:val="16"/>
                <w:szCs w:val="18"/>
              </w:rPr>
              <w:t>Qingyang Airport</w:t>
            </w:r>
          </w:p>
        </w:tc>
        <w:tc>
          <w:tcPr>
            <w:tcW w:w="887" w:type="dxa"/>
            <w:tcBorders>
              <w:tl2br w:val="nil"/>
              <w:tr2bl w:val="nil"/>
            </w:tcBorders>
            <w:shd w:val="clear" w:color="auto" w:fill="auto"/>
            <w:vAlign w:val="center"/>
          </w:tcPr>
          <w:p w14:paraId="0EBC622B">
            <w:pPr>
              <w:pStyle w:val="49"/>
              <w:rPr>
                <w:sz w:val="16"/>
                <w:szCs w:val="18"/>
              </w:rPr>
            </w:pPr>
            <w:r>
              <w:rPr>
                <w:sz w:val="16"/>
                <w:szCs w:val="18"/>
              </w:rPr>
              <w:t>XAI</w:t>
            </w:r>
          </w:p>
        </w:tc>
        <w:tc>
          <w:tcPr>
            <w:tcW w:w="3231" w:type="dxa"/>
            <w:tcBorders>
              <w:tl2br w:val="nil"/>
              <w:tr2bl w:val="nil"/>
            </w:tcBorders>
            <w:shd w:val="clear" w:color="auto" w:fill="auto"/>
            <w:vAlign w:val="center"/>
          </w:tcPr>
          <w:p w14:paraId="7BF5DCBA">
            <w:pPr>
              <w:pStyle w:val="49"/>
              <w:rPr>
                <w:sz w:val="16"/>
                <w:szCs w:val="18"/>
              </w:rPr>
            </w:pPr>
            <w:r>
              <w:rPr>
                <w:sz w:val="16"/>
                <w:szCs w:val="18"/>
              </w:rPr>
              <w:t>Xinyang Minggang Airport</w:t>
            </w:r>
          </w:p>
        </w:tc>
      </w:tr>
      <w:tr w14:paraId="594595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73AB9C4">
            <w:pPr>
              <w:pStyle w:val="49"/>
              <w:rPr>
                <w:sz w:val="16"/>
                <w:szCs w:val="18"/>
              </w:rPr>
            </w:pPr>
            <w:r>
              <w:rPr>
                <w:sz w:val="16"/>
                <w:szCs w:val="18"/>
              </w:rPr>
              <w:t>JDZ</w:t>
            </w:r>
          </w:p>
        </w:tc>
        <w:tc>
          <w:tcPr>
            <w:tcW w:w="3126" w:type="dxa"/>
            <w:tcBorders>
              <w:tl2br w:val="nil"/>
              <w:tr2bl w:val="nil"/>
            </w:tcBorders>
            <w:shd w:val="clear" w:color="auto" w:fill="auto"/>
            <w:vAlign w:val="center"/>
          </w:tcPr>
          <w:p w14:paraId="3BC1804C">
            <w:pPr>
              <w:pStyle w:val="49"/>
              <w:rPr>
                <w:sz w:val="16"/>
                <w:szCs w:val="18"/>
              </w:rPr>
            </w:pPr>
            <w:r>
              <w:rPr>
                <w:sz w:val="16"/>
                <w:szCs w:val="18"/>
              </w:rPr>
              <w:t>Jingdezhen Luojia Airport</w:t>
            </w:r>
          </w:p>
        </w:tc>
        <w:tc>
          <w:tcPr>
            <w:tcW w:w="887" w:type="dxa"/>
            <w:tcBorders>
              <w:tl2br w:val="nil"/>
              <w:tr2bl w:val="nil"/>
            </w:tcBorders>
            <w:shd w:val="clear" w:color="auto" w:fill="auto"/>
            <w:vAlign w:val="center"/>
          </w:tcPr>
          <w:p w14:paraId="754FDCCE">
            <w:pPr>
              <w:pStyle w:val="49"/>
              <w:rPr>
                <w:sz w:val="16"/>
                <w:szCs w:val="18"/>
              </w:rPr>
            </w:pPr>
            <w:r>
              <w:rPr>
                <w:sz w:val="16"/>
                <w:szCs w:val="18"/>
              </w:rPr>
              <w:t>XFN</w:t>
            </w:r>
          </w:p>
        </w:tc>
        <w:tc>
          <w:tcPr>
            <w:tcW w:w="3231" w:type="dxa"/>
            <w:tcBorders>
              <w:tl2br w:val="nil"/>
              <w:tr2bl w:val="nil"/>
            </w:tcBorders>
            <w:shd w:val="clear" w:color="auto" w:fill="auto"/>
            <w:vAlign w:val="center"/>
          </w:tcPr>
          <w:p w14:paraId="6272DAE8">
            <w:pPr>
              <w:pStyle w:val="49"/>
              <w:rPr>
                <w:sz w:val="16"/>
                <w:szCs w:val="18"/>
              </w:rPr>
            </w:pPr>
            <w:r>
              <w:rPr>
                <w:sz w:val="16"/>
                <w:szCs w:val="18"/>
              </w:rPr>
              <w:t>Xiangyang Liujia Airport</w:t>
            </w:r>
          </w:p>
        </w:tc>
      </w:tr>
      <w:tr w14:paraId="546CCF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68EF61FA">
            <w:pPr>
              <w:pStyle w:val="49"/>
              <w:rPr>
                <w:sz w:val="16"/>
                <w:szCs w:val="18"/>
              </w:rPr>
            </w:pPr>
            <w:r>
              <w:rPr>
                <w:sz w:val="16"/>
                <w:szCs w:val="18"/>
              </w:rPr>
              <w:t>JGD</w:t>
            </w:r>
          </w:p>
        </w:tc>
        <w:tc>
          <w:tcPr>
            <w:tcW w:w="3126" w:type="dxa"/>
            <w:tcBorders>
              <w:tl2br w:val="nil"/>
              <w:tr2bl w:val="nil"/>
            </w:tcBorders>
            <w:shd w:val="clear" w:color="auto" w:fill="auto"/>
            <w:vAlign w:val="center"/>
          </w:tcPr>
          <w:p w14:paraId="1D69F2F7">
            <w:pPr>
              <w:pStyle w:val="49"/>
              <w:rPr>
                <w:sz w:val="16"/>
                <w:szCs w:val="18"/>
              </w:rPr>
            </w:pPr>
            <w:r>
              <w:rPr>
                <w:sz w:val="16"/>
                <w:szCs w:val="18"/>
              </w:rPr>
              <w:t>Greater Khingan Range Oroqen Airport</w:t>
            </w:r>
          </w:p>
        </w:tc>
        <w:tc>
          <w:tcPr>
            <w:tcW w:w="887" w:type="dxa"/>
            <w:tcBorders>
              <w:tl2br w:val="nil"/>
              <w:tr2bl w:val="nil"/>
            </w:tcBorders>
            <w:shd w:val="clear" w:color="auto" w:fill="auto"/>
            <w:vAlign w:val="center"/>
          </w:tcPr>
          <w:p w14:paraId="255A006D">
            <w:pPr>
              <w:pStyle w:val="49"/>
              <w:rPr>
                <w:sz w:val="16"/>
                <w:szCs w:val="18"/>
              </w:rPr>
            </w:pPr>
            <w:r>
              <w:rPr>
                <w:sz w:val="16"/>
                <w:szCs w:val="18"/>
              </w:rPr>
              <w:t>XIC</w:t>
            </w:r>
          </w:p>
        </w:tc>
        <w:tc>
          <w:tcPr>
            <w:tcW w:w="3231" w:type="dxa"/>
            <w:tcBorders>
              <w:tl2br w:val="nil"/>
              <w:tr2bl w:val="nil"/>
            </w:tcBorders>
            <w:shd w:val="clear" w:color="auto" w:fill="auto"/>
            <w:vAlign w:val="center"/>
          </w:tcPr>
          <w:p w14:paraId="1205196C">
            <w:pPr>
              <w:pStyle w:val="49"/>
              <w:rPr>
                <w:sz w:val="16"/>
                <w:szCs w:val="18"/>
              </w:rPr>
            </w:pPr>
            <w:r>
              <w:rPr>
                <w:sz w:val="16"/>
                <w:szCs w:val="18"/>
              </w:rPr>
              <w:t>Xichang Qingshan Airport</w:t>
            </w:r>
          </w:p>
        </w:tc>
      </w:tr>
      <w:tr w14:paraId="233DB3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932D983">
            <w:pPr>
              <w:pStyle w:val="49"/>
              <w:rPr>
                <w:sz w:val="16"/>
                <w:szCs w:val="18"/>
              </w:rPr>
            </w:pPr>
            <w:r>
              <w:rPr>
                <w:sz w:val="16"/>
                <w:szCs w:val="18"/>
              </w:rPr>
              <w:t>JGN</w:t>
            </w:r>
          </w:p>
        </w:tc>
        <w:tc>
          <w:tcPr>
            <w:tcW w:w="3126" w:type="dxa"/>
            <w:tcBorders>
              <w:tl2br w:val="nil"/>
              <w:tr2bl w:val="nil"/>
            </w:tcBorders>
            <w:shd w:val="clear" w:color="auto" w:fill="auto"/>
            <w:vAlign w:val="center"/>
          </w:tcPr>
          <w:p w14:paraId="1728CF52">
            <w:pPr>
              <w:pStyle w:val="49"/>
              <w:rPr>
                <w:sz w:val="16"/>
                <w:szCs w:val="18"/>
              </w:rPr>
            </w:pPr>
            <w:r>
              <w:rPr>
                <w:sz w:val="16"/>
                <w:szCs w:val="18"/>
              </w:rPr>
              <w:t>Jiayuguan Jiuquan Airport</w:t>
            </w:r>
          </w:p>
        </w:tc>
        <w:tc>
          <w:tcPr>
            <w:tcW w:w="887" w:type="dxa"/>
            <w:tcBorders>
              <w:tl2br w:val="nil"/>
              <w:tr2bl w:val="nil"/>
            </w:tcBorders>
            <w:shd w:val="clear" w:color="auto" w:fill="auto"/>
            <w:vAlign w:val="center"/>
          </w:tcPr>
          <w:p w14:paraId="48F6AAD1">
            <w:pPr>
              <w:pStyle w:val="49"/>
              <w:rPr>
                <w:sz w:val="16"/>
                <w:szCs w:val="18"/>
              </w:rPr>
            </w:pPr>
            <w:r>
              <w:rPr>
                <w:sz w:val="16"/>
                <w:szCs w:val="18"/>
              </w:rPr>
              <w:t>XIL</w:t>
            </w:r>
          </w:p>
        </w:tc>
        <w:tc>
          <w:tcPr>
            <w:tcW w:w="3231" w:type="dxa"/>
            <w:tcBorders>
              <w:tl2br w:val="nil"/>
              <w:tr2bl w:val="nil"/>
            </w:tcBorders>
            <w:shd w:val="clear" w:color="auto" w:fill="auto"/>
            <w:vAlign w:val="center"/>
          </w:tcPr>
          <w:p w14:paraId="265369A3">
            <w:pPr>
              <w:pStyle w:val="49"/>
              <w:rPr>
                <w:sz w:val="16"/>
                <w:szCs w:val="18"/>
              </w:rPr>
            </w:pPr>
            <w:r>
              <w:rPr>
                <w:sz w:val="16"/>
                <w:szCs w:val="18"/>
              </w:rPr>
              <w:t>Xilinhot Airport</w:t>
            </w:r>
          </w:p>
        </w:tc>
      </w:tr>
      <w:tr w14:paraId="60863B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3CB69ABF">
            <w:pPr>
              <w:pStyle w:val="49"/>
              <w:rPr>
                <w:sz w:val="16"/>
                <w:szCs w:val="18"/>
              </w:rPr>
            </w:pPr>
            <w:r>
              <w:rPr>
                <w:sz w:val="16"/>
                <w:szCs w:val="18"/>
              </w:rPr>
              <w:t>JGS</w:t>
            </w:r>
          </w:p>
        </w:tc>
        <w:tc>
          <w:tcPr>
            <w:tcW w:w="3126" w:type="dxa"/>
            <w:tcBorders>
              <w:tl2br w:val="nil"/>
              <w:tr2bl w:val="nil"/>
            </w:tcBorders>
            <w:shd w:val="clear" w:color="auto" w:fill="auto"/>
            <w:vAlign w:val="center"/>
          </w:tcPr>
          <w:p w14:paraId="4821F463">
            <w:pPr>
              <w:pStyle w:val="49"/>
              <w:rPr>
                <w:sz w:val="16"/>
                <w:szCs w:val="18"/>
              </w:rPr>
            </w:pPr>
            <w:r>
              <w:rPr>
                <w:sz w:val="16"/>
                <w:szCs w:val="18"/>
              </w:rPr>
              <w:t>Ji'an Jinggangshan Airport</w:t>
            </w:r>
          </w:p>
        </w:tc>
        <w:tc>
          <w:tcPr>
            <w:tcW w:w="887" w:type="dxa"/>
            <w:tcBorders>
              <w:tl2br w:val="nil"/>
              <w:tr2bl w:val="nil"/>
            </w:tcBorders>
            <w:shd w:val="clear" w:color="auto" w:fill="auto"/>
            <w:vAlign w:val="center"/>
          </w:tcPr>
          <w:p w14:paraId="1C465CC4">
            <w:pPr>
              <w:pStyle w:val="49"/>
              <w:rPr>
                <w:sz w:val="16"/>
                <w:szCs w:val="18"/>
              </w:rPr>
            </w:pPr>
            <w:r>
              <w:rPr>
                <w:sz w:val="16"/>
                <w:szCs w:val="18"/>
              </w:rPr>
              <w:t>XIY</w:t>
            </w:r>
          </w:p>
        </w:tc>
        <w:tc>
          <w:tcPr>
            <w:tcW w:w="3231" w:type="dxa"/>
            <w:tcBorders>
              <w:tl2br w:val="nil"/>
              <w:tr2bl w:val="nil"/>
            </w:tcBorders>
            <w:shd w:val="clear" w:color="auto" w:fill="auto"/>
            <w:vAlign w:val="center"/>
          </w:tcPr>
          <w:p w14:paraId="49477DE3">
            <w:pPr>
              <w:pStyle w:val="49"/>
              <w:rPr>
                <w:sz w:val="16"/>
                <w:szCs w:val="18"/>
              </w:rPr>
            </w:pPr>
            <w:r>
              <w:rPr>
                <w:sz w:val="16"/>
                <w:szCs w:val="18"/>
              </w:rPr>
              <w:t>Xi'an Xianyang International Airport</w:t>
            </w:r>
          </w:p>
        </w:tc>
      </w:tr>
      <w:tr w14:paraId="3F30F6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6DBC6F55">
            <w:pPr>
              <w:pStyle w:val="49"/>
              <w:rPr>
                <w:sz w:val="16"/>
                <w:szCs w:val="18"/>
              </w:rPr>
            </w:pPr>
            <w:r>
              <w:rPr>
                <w:sz w:val="16"/>
                <w:szCs w:val="18"/>
              </w:rPr>
              <w:t>JHG</w:t>
            </w:r>
          </w:p>
        </w:tc>
        <w:tc>
          <w:tcPr>
            <w:tcW w:w="3126" w:type="dxa"/>
            <w:tcBorders>
              <w:tl2br w:val="nil"/>
              <w:tr2bl w:val="nil"/>
            </w:tcBorders>
            <w:shd w:val="clear" w:color="auto" w:fill="auto"/>
            <w:vAlign w:val="center"/>
          </w:tcPr>
          <w:p w14:paraId="4FD7D12C">
            <w:pPr>
              <w:pStyle w:val="49"/>
              <w:rPr>
                <w:sz w:val="16"/>
                <w:szCs w:val="18"/>
              </w:rPr>
            </w:pPr>
            <w:r>
              <w:rPr>
                <w:sz w:val="16"/>
                <w:szCs w:val="18"/>
              </w:rPr>
              <w:t>Xishuangbanna Gasa International Airport</w:t>
            </w:r>
          </w:p>
        </w:tc>
        <w:tc>
          <w:tcPr>
            <w:tcW w:w="887" w:type="dxa"/>
            <w:tcBorders>
              <w:tl2br w:val="nil"/>
              <w:tr2bl w:val="nil"/>
            </w:tcBorders>
            <w:shd w:val="clear" w:color="auto" w:fill="auto"/>
            <w:vAlign w:val="center"/>
          </w:tcPr>
          <w:p w14:paraId="36492939">
            <w:pPr>
              <w:pStyle w:val="49"/>
              <w:rPr>
                <w:sz w:val="16"/>
                <w:szCs w:val="18"/>
              </w:rPr>
            </w:pPr>
            <w:r>
              <w:rPr>
                <w:sz w:val="16"/>
                <w:szCs w:val="18"/>
              </w:rPr>
              <w:t>XMN</w:t>
            </w:r>
          </w:p>
        </w:tc>
        <w:tc>
          <w:tcPr>
            <w:tcW w:w="3231" w:type="dxa"/>
            <w:tcBorders>
              <w:tl2br w:val="nil"/>
              <w:tr2bl w:val="nil"/>
            </w:tcBorders>
            <w:shd w:val="clear" w:color="auto" w:fill="auto"/>
            <w:vAlign w:val="center"/>
          </w:tcPr>
          <w:p w14:paraId="1621591E">
            <w:pPr>
              <w:pStyle w:val="49"/>
              <w:rPr>
                <w:sz w:val="16"/>
                <w:szCs w:val="18"/>
              </w:rPr>
            </w:pPr>
            <w:r>
              <w:rPr>
                <w:sz w:val="16"/>
                <w:szCs w:val="18"/>
              </w:rPr>
              <w:t>Xiamen Gaoqi International Airport</w:t>
            </w:r>
          </w:p>
        </w:tc>
      </w:tr>
      <w:tr w14:paraId="086746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4466CBF4">
            <w:pPr>
              <w:pStyle w:val="49"/>
              <w:rPr>
                <w:sz w:val="16"/>
                <w:szCs w:val="18"/>
              </w:rPr>
            </w:pPr>
            <w:r>
              <w:rPr>
                <w:sz w:val="16"/>
                <w:szCs w:val="18"/>
              </w:rPr>
              <w:t>JIC</w:t>
            </w:r>
          </w:p>
        </w:tc>
        <w:tc>
          <w:tcPr>
            <w:tcW w:w="3126" w:type="dxa"/>
            <w:tcBorders>
              <w:tl2br w:val="nil"/>
              <w:tr2bl w:val="nil"/>
            </w:tcBorders>
            <w:shd w:val="clear" w:color="auto" w:fill="auto"/>
            <w:vAlign w:val="center"/>
          </w:tcPr>
          <w:p w14:paraId="50B3FF9D">
            <w:pPr>
              <w:pStyle w:val="49"/>
              <w:rPr>
                <w:sz w:val="16"/>
                <w:szCs w:val="18"/>
              </w:rPr>
            </w:pPr>
            <w:r>
              <w:rPr>
                <w:sz w:val="16"/>
                <w:szCs w:val="18"/>
              </w:rPr>
              <w:t>Jinchang Jinchuan Airport</w:t>
            </w:r>
          </w:p>
        </w:tc>
        <w:tc>
          <w:tcPr>
            <w:tcW w:w="887" w:type="dxa"/>
            <w:tcBorders>
              <w:tl2br w:val="nil"/>
              <w:tr2bl w:val="nil"/>
            </w:tcBorders>
            <w:shd w:val="clear" w:color="auto" w:fill="auto"/>
            <w:vAlign w:val="center"/>
          </w:tcPr>
          <w:p w14:paraId="084903F4">
            <w:pPr>
              <w:pStyle w:val="49"/>
              <w:rPr>
                <w:sz w:val="16"/>
                <w:szCs w:val="18"/>
              </w:rPr>
            </w:pPr>
            <w:r>
              <w:rPr>
                <w:sz w:val="16"/>
                <w:szCs w:val="18"/>
              </w:rPr>
              <w:t>XNN</w:t>
            </w:r>
          </w:p>
        </w:tc>
        <w:tc>
          <w:tcPr>
            <w:tcW w:w="3231" w:type="dxa"/>
            <w:tcBorders>
              <w:tl2br w:val="nil"/>
              <w:tr2bl w:val="nil"/>
            </w:tcBorders>
            <w:shd w:val="clear" w:color="auto" w:fill="auto"/>
            <w:vAlign w:val="center"/>
          </w:tcPr>
          <w:p w14:paraId="4FED12F7">
            <w:pPr>
              <w:pStyle w:val="49"/>
              <w:rPr>
                <w:sz w:val="16"/>
                <w:szCs w:val="18"/>
              </w:rPr>
            </w:pPr>
            <w:r>
              <w:rPr>
                <w:sz w:val="16"/>
                <w:szCs w:val="18"/>
              </w:rPr>
              <w:t>Xining Caojiabao International Airport</w:t>
            </w:r>
          </w:p>
        </w:tc>
      </w:tr>
      <w:tr w14:paraId="4B7EC6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EF8E0A6">
            <w:pPr>
              <w:pStyle w:val="49"/>
              <w:rPr>
                <w:sz w:val="16"/>
                <w:szCs w:val="18"/>
              </w:rPr>
            </w:pPr>
            <w:r>
              <w:rPr>
                <w:sz w:val="16"/>
                <w:szCs w:val="18"/>
              </w:rPr>
              <w:t>JIQ</w:t>
            </w:r>
          </w:p>
        </w:tc>
        <w:tc>
          <w:tcPr>
            <w:tcW w:w="3126" w:type="dxa"/>
            <w:tcBorders>
              <w:tl2br w:val="nil"/>
              <w:tr2bl w:val="nil"/>
            </w:tcBorders>
            <w:shd w:val="clear" w:color="auto" w:fill="auto"/>
            <w:vAlign w:val="center"/>
          </w:tcPr>
          <w:p w14:paraId="03B4ECE1">
            <w:pPr>
              <w:pStyle w:val="49"/>
              <w:rPr>
                <w:sz w:val="16"/>
                <w:szCs w:val="18"/>
              </w:rPr>
            </w:pPr>
            <w:r>
              <w:rPr>
                <w:sz w:val="16"/>
                <w:szCs w:val="18"/>
              </w:rPr>
              <w:t>Qianjiang Wulingshan Airport</w:t>
            </w:r>
          </w:p>
        </w:tc>
        <w:tc>
          <w:tcPr>
            <w:tcW w:w="887" w:type="dxa"/>
            <w:tcBorders>
              <w:tl2br w:val="nil"/>
              <w:tr2bl w:val="nil"/>
            </w:tcBorders>
            <w:shd w:val="clear" w:color="auto" w:fill="auto"/>
            <w:vAlign w:val="center"/>
          </w:tcPr>
          <w:p w14:paraId="68520804">
            <w:pPr>
              <w:pStyle w:val="49"/>
              <w:rPr>
                <w:sz w:val="16"/>
                <w:szCs w:val="18"/>
              </w:rPr>
            </w:pPr>
            <w:r>
              <w:rPr>
                <w:sz w:val="16"/>
                <w:szCs w:val="18"/>
              </w:rPr>
              <w:t>XUZ</w:t>
            </w:r>
          </w:p>
        </w:tc>
        <w:tc>
          <w:tcPr>
            <w:tcW w:w="3231" w:type="dxa"/>
            <w:tcBorders>
              <w:tl2br w:val="nil"/>
              <w:tr2bl w:val="nil"/>
            </w:tcBorders>
            <w:shd w:val="clear" w:color="auto" w:fill="auto"/>
            <w:vAlign w:val="center"/>
          </w:tcPr>
          <w:p w14:paraId="2FB2B7B4">
            <w:pPr>
              <w:pStyle w:val="49"/>
              <w:rPr>
                <w:sz w:val="16"/>
                <w:szCs w:val="18"/>
              </w:rPr>
            </w:pPr>
            <w:r>
              <w:rPr>
                <w:sz w:val="16"/>
                <w:szCs w:val="18"/>
              </w:rPr>
              <w:t>Xuzhou Guanyin International Airport</w:t>
            </w:r>
          </w:p>
        </w:tc>
      </w:tr>
      <w:tr w14:paraId="5D6695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554111DE">
            <w:pPr>
              <w:pStyle w:val="49"/>
              <w:rPr>
                <w:sz w:val="16"/>
                <w:szCs w:val="18"/>
              </w:rPr>
            </w:pPr>
            <w:r>
              <w:rPr>
                <w:sz w:val="16"/>
                <w:szCs w:val="18"/>
              </w:rPr>
              <w:t>JJN</w:t>
            </w:r>
          </w:p>
        </w:tc>
        <w:tc>
          <w:tcPr>
            <w:tcW w:w="3126" w:type="dxa"/>
            <w:tcBorders>
              <w:tl2br w:val="nil"/>
              <w:tr2bl w:val="nil"/>
            </w:tcBorders>
            <w:shd w:val="clear" w:color="auto" w:fill="auto"/>
            <w:vAlign w:val="center"/>
          </w:tcPr>
          <w:p w14:paraId="66B02BBA">
            <w:pPr>
              <w:pStyle w:val="49"/>
              <w:rPr>
                <w:sz w:val="16"/>
                <w:szCs w:val="18"/>
              </w:rPr>
            </w:pPr>
            <w:r>
              <w:rPr>
                <w:sz w:val="16"/>
                <w:szCs w:val="18"/>
              </w:rPr>
              <w:t>Quanzhou Jinjiang International Airport</w:t>
            </w:r>
          </w:p>
        </w:tc>
        <w:tc>
          <w:tcPr>
            <w:tcW w:w="887" w:type="dxa"/>
            <w:tcBorders>
              <w:tl2br w:val="nil"/>
              <w:tr2bl w:val="nil"/>
            </w:tcBorders>
            <w:shd w:val="clear" w:color="auto" w:fill="auto"/>
            <w:vAlign w:val="center"/>
          </w:tcPr>
          <w:p w14:paraId="0373626F">
            <w:pPr>
              <w:pStyle w:val="49"/>
              <w:rPr>
                <w:sz w:val="16"/>
                <w:szCs w:val="18"/>
              </w:rPr>
            </w:pPr>
            <w:r>
              <w:rPr>
                <w:sz w:val="16"/>
                <w:szCs w:val="18"/>
              </w:rPr>
              <w:t>YBP</w:t>
            </w:r>
          </w:p>
        </w:tc>
        <w:tc>
          <w:tcPr>
            <w:tcW w:w="3231" w:type="dxa"/>
            <w:tcBorders>
              <w:tl2br w:val="nil"/>
              <w:tr2bl w:val="nil"/>
            </w:tcBorders>
            <w:shd w:val="clear" w:color="auto" w:fill="auto"/>
            <w:vAlign w:val="center"/>
          </w:tcPr>
          <w:p w14:paraId="1743B712">
            <w:pPr>
              <w:pStyle w:val="49"/>
              <w:rPr>
                <w:sz w:val="16"/>
                <w:szCs w:val="18"/>
              </w:rPr>
            </w:pPr>
            <w:r>
              <w:rPr>
                <w:sz w:val="16"/>
                <w:szCs w:val="18"/>
              </w:rPr>
              <w:t>Yibin Wuliangye Airport</w:t>
            </w:r>
          </w:p>
        </w:tc>
      </w:tr>
      <w:tr w14:paraId="33E8A2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0356078">
            <w:pPr>
              <w:pStyle w:val="49"/>
              <w:rPr>
                <w:sz w:val="16"/>
                <w:szCs w:val="18"/>
              </w:rPr>
            </w:pPr>
            <w:r>
              <w:rPr>
                <w:sz w:val="16"/>
                <w:szCs w:val="18"/>
              </w:rPr>
              <w:t>JMJ</w:t>
            </w:r>
          </w:p>
        </w:tc>
        <w:tc>
          <w:tcPr>
            <w:tcW w:w="3126" w:type="dxa"/>
            <w:tcBorders>
              <w:tl2br w:val="nil"/>
              <w:tr2bl w:val="nil"/>
            </w:tcBorders>
            <w:shd w:val="clear" w:color="auto" w:fill="auto"/>
            <w:vAlign w:val="center"/>
          </w:tcPr>
          <w:p w14:paraId="7DCFFFFA">
            <w:pPr>
              <w:pStyle w:val="49"/>
              <w:rPr>
                <w:sz w:val="16"/>
                <w:szCs w:val="18"/>
              </w:rPr>
            </w:pPr>
            <w:r>
              <w:rPr>
                <w:sz w:val="16"/>
                <w:szCs w:val="18"/>
              </w:rPr>
              <w:t>Lancang Jingmai Airport</w:t>
            </w:r>
          </w:p>
        </w:tc>
        <w:tc>
          <w:tcPr>
            <w:tcW w:w="887" w:type="dxa"/>
            <w:tcBorders>
              <w:tl2br w:val="nil"/>
              <w:tr2bl w:val="nil"/>
            </w:tcBorders>
            <w:shd w:val="clear" w:color="auto" w:fill="auto"/>
            <w:vAlign w:val="center"/>
          </w:tcPr>
          <w:p w14:paraId="7D7B1FD2">
            <w:pPr>
              <w:pStyle w:val="49"/>
              <w:rPr>
                <w:sz w:val="16"/>
                <w:szCs w:val="18"/>
              </w:rPr>
            </w:pPr>
            <w:r>
              <w:rPr>
                <w:sz w:val="16"/>
                <w:szCs w:val="18"/>
              </w:rPr>
              <w:t>YCU</w:t>
            </w:r>
          </w:p>
        </w:tc>
        <w:tc>
          <w:tcPr>
            <w:tcW w:w="3231" w:type="dxa"/>
            <w:tcBorders>
              <w:tl2br w:val="nil"/>
              <w:tr2bl w:val="nil"/>
            </w:tcBorders>
            <w:shd w:val="clear" w:color="auto" w:fill="auto"/>
            <w:vAlign w:val="center"/>
          </w:tcPr>
          <w:p w14:paraId="2BDB4D5A">
            <w:pPr>
              <w:pStyle w:val="49"/>
              <w:rPr>
                <w:sz w:val="16"/>
                <w:szCs w:val="18"/>
              </w:rPr>
            </w:pPr>
            <w:r>
              <w:rPr>
                <w:sz w:val="16"/>
                <w:szCs w:val="18"/>
              </w:rPr>
              <w:t>Yuncheng Yanhu International Airport</w:t>
            </w:r>
          </w:p>
        </w:tc>
      </w:tr>
      <w:tr w14:paraId="75B8CF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B6EE4FE">
            <w:pPr>
              <w:pStyle w:val="49"/>
              <w:rPr>
                <w:sz w:val="16"/>
                <w:szCs w:val="18"/>
              </w:rPr>
            </w:pPr>
            <w:r>
              <w:rPr>
                <w:sz w:val="16"/>
                <w:szCs w:val="18"/>
              </w:rPr>
              <w:t>JMU</w:t>
            </w:r>
          </w:p>
        </w:tc>
        <w:tc>
          <w:tcPr>
            <w:tcW w:w="3126" w:type="dxa"/>
            <w:tcBorders>
              <w:tl2br w:val="nil"/>
              <w:tr2bl w:val="nil"/>
            </w:tcBorders>
            <w:shd w:val="clear" w:color="auto" w:fill="auto"/>
            <w:vAlign w:val="center"/>
          </w:tcPr>
          <w:p w14:paraId="7BF397DA">
            <w:pPr>
              <w:pStyle w:val="49"/>
              <w:rPr>
                <w:sz w:val="16"/>
                <w:szCs w:val="18"/>
              </w:rPr>
            </w:pPr>
            <w:r>
              <w:rPr>
                <w:sz w:val="16"/>
                <w:szCs w:val="18"/>
              </w:rPr>
              <w:t>Jiamusi Dongjiao Airport</w:t>
            </w:r>
          </w:p>
        </w:tc>
        <w:tc>
          <w:tcPr>
            <w:tcW w:w="887" w:type="dxa"/>
            <w:tcBorders>
              <w:tl2br w:val="nil"/>
              <w:tr2bl w:val="nil"/>
            </w:tcBorders>
            <w:shd w:val="clear" w:color="auto" w:fill="auto"/>
            <w:vAlign w:val="center"/>
          </w:tcPr>
          <w:p w14:paraId="4D493523">
            <w:pPr>
              <w:pStyle w:val="49"/>
              <w:rPr>
                <w:sz w:val="16"/>
                <w:szCs w:val="18"/>
              </w:rPr>
            </w:pPr>
            <w:r>
              <w:rPr>
                <w:sz w:val="16"/>
                <w:szCs w:val="18"/>
              </w:rPr>
              <w:t>YIC</w:t>
            </w:r>
          </w:p>
        </w:tc>
        <w:tc>
          <w:tcPr>
            <w:tcW w:w="3231" w:type="dxa"/>
            <w:tcBorders>
              <w:tl2br w:val="nil"/>
              <w:tr2bl w:val="nil"/>
            </w:tcBorders>
            <w:shd w:val="clear" w:color="auto" w:fill="auto"/>
            <w:vAlign w:val="center"/>
          </w:tcPr>
          <w:p w14:paraId="4F975E4F">
            <w:pPr>
              <w:pStyle w:val="49"/>
              <w:rPr>
                <w:sz w:val="16"/>
                <w:szCs w:val="18"/>
              </w:rPr>
            </w:pPr>
            <w:r>
              <w:rPr>
                <w:sz w:val="16"/>
                <w:szCs w:val="18"/>
              </w:rPr>
              <w:t>Yichun Mingyueshan Airport</w:t>
            </w:r>
          </w:p>
        </w:tc>
      </w:tr>
      <w:tr w14:paraId="42920A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7B7B32D1">
            <w:pPr>
              <w:pStyle w:val="49"/>
              <w:rPr>
                <w:sz w:val="16"/>
                <w:szCs w:val="18"/>
              </w:rPr>
            </w:pPr>
            <w:r>
              <w:rPr>
                <w:sz w:val="16"/>
                <w:szCs w:val="18"/>
              </w:rPr>
              <w:t>JNG</w:t>
            </w:r>
          </w:p>
        </w:tc>
        <w:tc>
          <w:tcPr>
            <w:tcW w:w="3126" w:type="dxa"/>
            <w:tcBorders>
              <w:tl2br w:val="nil"/>
              <w:tr2bl w:val="nil"/>
            </w:tcBorders>
            <w:shd w:val="clear" w:color="auto" w:fill="auto"/>
            <w:vAlign w:val="center"/>
          </w:tcPr>
          <w:p w14:paraId="5CCA5F5D">
            <w:pPr>
              <w:pStyle w:val="49"/>
              <w:rPr>
                <w:sz w:val="16"/>
                <w:szCs w:val="18"/>
              </w:rPr>
            </w:pPr>
            <w:r>
              <w:rPr>
                <w:sz w:val="16"/>
                <w:szCs w:val="18"/>
              </w:rPr>
              <w:t>Jining Qufu Airport</w:t>
            </w:r>
          </w:p>
        </w:tc>
        <w:tc>
          <w:tcPr>
            <w:tcW w:w="887" w:type="dxa"/>
            <w:tcBorders>
              <w:tl2br w:val="nil"/>
              <w:tr2bl w:val="nil"/>
            </w:tcBorders>
            <w:shd w:val="clear" w:color="auto" w:fill="auto"/>
            <w:vAlign w:val="center"/>
          </w:tcPr>
          <w:p w14:paraId="59897B27">
            <w:pPr>
              <w:pStyle w:val="49"/>
              <w:rPr>
                <w:sz w:val="16"/>
                <w:szCs w:val="18"/>
              </w:rPr>
            </w:pPr>
            <w:r>
              <w:rPr>
                <w:sz w:val="16"/>
                <w:szCs w:val="18"/>
              </w:rPr>
              <w:t>YIE</w:t>
            </w:r>
          </w:p>
        </w:tc>
        <w:tc>
          <w:tcPr>
            <w:tcW w:w="3231" w:type="dxa"/>
            <w:tcBorders>
              <w:tl2br w:val="nil"/>
              <w:tr2bl w:val="nil"/>
            </w:tcBorders>
            <w:shd w:val="clear" w:color="auto" w:fill="auto"/>
            <w:vAlign w:val="center"/>
          </w:tcPr>
          <w:p w14:paraId="7955B5B0">
            <w:pPr>
              <w:pStyle w:val="49"/>
              <w:rPr>
                <w:sz w:val="16"/>
                <w:szCs w:val="18"/>
              </w:rPr>
            </w:pPr>
            <w:r>
              <w:rPr>
                <w:sz w:val="16"/>
                <w:szCs w:val="18"/>
              </w:rPr>
              <w:t>Arxan Yiershi Airport</w:t>
            </w:r>
          </w:p>
        </w:tc>
      </w:tr>
      <w:tr w14:paraId="42B206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21F83198">
            <w:pPr>
              <w:pStyle w:val="49"/>
              <w:rPr>
                <w:sz w:val="16"/>
                <w:szCs w:val="18"/>
              </w:rPr>
            </w:pPr>
            <w:r>
              <w:rPr>
                <w:sz w:val="16"/>
                <w:szCs w:val="18"/>
              </w:rPr>
              <w:t>JNZ</w:t>
            </w:r>
          </w:p>
        </w:tc>
        <w:tc>
          <w:tcPr>
            <w:tcW w:w="3126" w:type="dxa"/>
            <w:tcBorders>
              <w:tl2br w:val="nil"/>
              <w:tr2bl w:val="nil"/>
            </w:tcBorders>
            <w:shd w:val="clear" w:color="auto" w:fill="auto"/>
            <w:vAlign w:val="center"/>
          </w:tcPr>
          <w:p w14:paraId="51FE7575">
            <w:pPr>
              <w:pStyle w:val="49"/>
              <w:rPr>
                <w:sz w:val="16"/>
                <w:szCs w:val="18"/>
              </w:rPr>
            </w:pPr>
            <w:r>
              <w:rPr>
                <w:sz w:val="16"/>
                <w:szCs w:val="18"/>
              </w:rPr>
              <w:t>Jinzhou Jinzhouwan Airport</w:t>
            </w:r>
          </w:p>
        </w:tc>
        <w:tc>
          <w:tcPr>
            <w:tcW w:w="887" w:type="dxa"/>
            <w:tcBorders>
              <w:tl2br w:val="nil"/>
              <w:tr2bl w:val="nil"/>
            </w:tcBorders>
            <w:shd w:val="clear" w:color="auto" w:fill="auto"/>
            <w:vAlign w:val="center"/>
          </w:tcPr>
          <w:p w14:paraId="5DBB422D">
            <w:pPr>
              <w:pStyle w:val="49"/>
              <w:rPr>
                <w:sz w:val="16"/>
                <w:szCs w:val="18"/>
              </w:rPr>
            </w:pPr>
            <w:r>
              <w:rPr>
                <w:sz w:val="16"/>
                <w:szCs w:val="18"/>
              </w:rPr>
              <w:t>YIH</w:t>
            </w:r>
          </w:p>
        </w:tc>
        <w:tc>
          <w:tcPr>
            <w:tcW w:w="3231" w:type="dxa"/>
            <w:tcBorders>
              <w:tl2br w:val="nil"/>
              <w:tr2bl w:val="nil"/>
            </w:tcBorders>
            <w:shd w:val="clear" w:color="auto" w:fill="auto"/>
            <w:vAlign w:val="center"/>
          </w:tcPr>
          <w:p w14:paraId="3D54FF27">
            <w:pPr>
              <w:pStyle w:val="49"/>
              <w:rPr>
                <w:sz w:val="16"/>
                <w:szCs w:val="18"/>
              </w:rPr>
            </w:pPr>
            <w:r>
              <w:rPr>
                <w:sz w:val="16"/>
                <w:szCs w:val="18"/>
              </w:rPr>
              <w:t>Yichang Sanxia International Airport</w:t>
            </w:r>
          </w:p>
        </w:tc>
      </w:tr>
      <w:tr w14:paraId="2F03FD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04B2715">
            <w:pPr>
              <w:pStyle w:val="49"/>
              <w:rPr>
                <w:sz w:val="16"/>
                <w:szCs w:val="18"/>
              </w:rPr>
            </w:pPr>
            <w:r>
              <w:rPr>
                <w:sz w:val="16"/>
                <w:szCs w:val="18"/>
              </w:rPr>
              <w:t>JSJ</w:t>
            </w:r>
          </w:p>
        </w:tc>
        <w:tc>
          <w:tcPr>
            <w:tcW w:w="3126" w:type="dxa"/>
            <w:tcBorders>
              <w:tl2br w:val="nil"/>
              <w:tr2bl w:val="nil"/>
            </w:tcBorders>
            <w:shd w:val="clear" w:color="auto" w:fill="auto"/>
            <w:vAlign w:val="center"/>
          </w:tcPr>
          <w:p w14:paraId="555FBD5A">
            <w:pPr>
              <w:pStyle w:val="49"/>
              <w:rPr>
                <w:sz w:val="16"/>
                <w:szCs w:val="18"/>
              </w:rPr>
            </w:pPr>
            <w:r>
              <w:rPr>
                <w:sz w:val="16"/>
                <w:szCs w:val="18"/>
              </w:rPr>
              <w:t>Jiansanjiang Shidi Airport</w:t>
            </w:r>
          </w:p>
        </w:tc>
        <w:tc>
          <w:tcPr>
            <w:tcW w:w="887" w:type="dxa"/>
            <w:tcBorders>
              <w:tl2br w:val="nil"/>
              <w:tr2bl w:val="nil"/>
            </w:tcBorders>
            <w:shd w:val="clear" w:color="auto" w:fill="auto"/>
            <w:vAlign w:val="center"/>
          </w:tcPr>
          <w:p w14:paraId="12C2D889">
            <w:pPr>
              <w:pStyle w:val="49"/>
              <w:rPr>
                <w:sz w:val="16"/>
                <w:szCs w:val="18"/>
              </w:rPr>
            </w:pPr>
            <w:r>
              <w:rPr>
                <w:sz w:val="16"/>
                <w:szCs w:val="18"/>
              </w:rPr>
              <w:t>YIN</w:t>
            </w:r>
          </w:p>
        </w:tc>
        <w:tc>
          <w:tcPr>
            <w:tcW w:w="3231" w:type="dxa"/>
            <w:tcBorders>
              <w:tl2br w:val="nil"/>
              <w:tr2bl w:val="nil"/>
            </w:tcBorders>
            <w:shd w:val="clear" w:color="auto" w:fill="auto"/>
            <w:vAlign w:val="center"/>
          </w:tcPr>
          <w:p w14:paraId="2EC68DCF">
            <w:pPr>
              <w:pStyle w:val="49"/>
              <w:rPr>
                <w:sz w:val="16"/>
                <w:szCs w:val="18"/>
              </w:rPr>
            </w:pPr>
            <w:r>
              <w:rPr>
                <w:sz w:val="16"/>
                <w:szCs w:val="18"/>
              </w:rPr>
              <w:t>Yining International Airport</w:t>
            </w:r>
          </w:p>
        </w:tc>
      </w:tr>
      <w:tr w14:paraId="1D786C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B1A98F0">
            <w:pPr>
              <w:pStyle w:val="49"/>
              <w:rPr>
                <w:sz w:val="16"/>
                <w:szCs w:val="18"/>
              </w:rPr>
            </w:pPr>
            <w:r>
              <w:rPr>
                <w:sz w:val="16"/>
                <w:szCs w:val="18"/>
              </w:rPr>
              <w:t>JUH</w:t>
            </w:r>
          </w:p>
        </w:tc>
        <w:tc>
          <w:tcPr>
            <w:tcW w:w="3126" w:type="dxa"/>
            <w:tcBorders>
              <w:tl2br w:val="nil"/>
              <w:tr2bl w:val="nil"/>
            </w:tcBorders>
            <w:shd w:val="clear" w:color="auto" w:fill="auto"/>
            <w:vAlign w:val="center"/>
          </w:tcPr>
          <w:p w14:paraId="011EBB33">
            <w:pPr>
              <w:pStyle w:val="49"/>
              <w:rPr>
                <w:sz w:val="16"/>
                <w:szCs w:val="18"/>
              </w:rPr>
            </w:pPr>
            <w:r>
              <w:rPr>
                <w:sz w:val="16"/>
                <w:szCs w:val="18"/>
              </w:rPr>
              <w:t>Chizhou Jiuhuashan Airport</w:t>
            </w:r>
          </w:p>
        </w:tc>
        <w:tc>
          <w:tcPr>
            <w:tcW w:w="887" w:type="dxa"/>
            <w:tcBorders>
              <w:tl2br w:val="nil"/>
              <w:tr2bl w:val="nil"/>
            </w:tcBorders>
            <w:shd w:val="clear" w:color="auto" w:fill="auto"/>
            <w:vAlign w:val="center"/>
          </w:tcPr>
          <w:p w14:paraId="3EEDF203">
            <w:pPr>
              <w:pStyle w:val="49"/>
              <w:rPr>
                <w:sz w:val="16"/>
                <w:szCs w:val="18"/>
              </w:rPr>
            </w:pPr>
            <w:r>
              <w:rPr>
                <w:sz w:val="16"/>
                <w:szCs w:val="18"/>
              </w:rPr>
              <w:t>YIW</w:t>
            </w:r>
          </w:p>
        </w:tc>
        <w:tc>
          <w:tcPr>
            <w:tcW w:w="3231" w:type="dxa"/>
            <w:tcBorders>
              <w:tl2br w:val="nil"/>
              <w:tr2bl w:val="nil"/>
            </w:tcBorders>
            <w:shd w:val="clear" w:color="auto" w:fill="auto"/>
            <w:vAlign w:val="center"/>
          </w:tcPr>
          <w:p w14:paraId="33F886D2">
            <w:pPr>
              <w:pStyle w:val="49"/>
              <w:rPr>
                <w:sz w:val="16"/>
                <w:szCs w:val="18"/>
              </w:rPr>
            </w:pPr>
            <w:r>
              <w:rPr>
                <w:sz w:val="16"/>
                <w:szCs w:val="18"/>
              </w:rPr>
              <w:t>Yiwu Airport</w:t>
            </w:r>
          </w:p>
        </w:tc>
      </w:tr>
      <w:tr w14:paraId="657201B9">
        <w:tblPrEx>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412D7F8">
            <w:pPr>
              <w:pStyle w:val="49"/>
              <w:rPr>
                <w:sz w:val="16"/>
                <w:szCs w:val="18"/>
              </w:rPr>
            </w:pPr>
            <w:r>
              <w:rPr>
                <w:sz w:val="16"/>
                <w:szCs w:val="18"/>
              </w:rPr>
              <w:t>JUZ</w:t>
            </w:r>
          </w:p>
        </w:tc>
        <w:tc>
          <w:tcPr>
            <w:tcW w:w="3126" w:type="dxa"/>
            <w:tcBorders>
              <w:tl2br w:val="nil"/>
              <w:tr2bl w:val="nil"/>
            </w:tcBorders>
            <w:shd w:val="clear" w:color="auto" w:fill="auto"/>
            <w:vAlign w:val="center"/>
          </w:tcPr>
          <w:p w14:paraId="04B48702">
            <w:pPr>
              <w:pStyle w:val="49"/>
              <w:rPr>
                <w:sz w:val="16"/>
                <w:szCs w:val="18"/>
              </w:rPr>
            </w:pPr>
            <w:r>
              <w:rPr>
                <w:sz w:val="16"/>
                <w:szCs w:val="18"/>
              </w:rPr>
              <w:t>Quzhou Airport</w:t>
            </w:r>
          </w:p>
        </w:tc>
        <w:tc>
          <w:tcPr>
            <w:tcW w:w="887" w:type="dxa"/>
            <w:tcBorders>
              <w:tl2br w:val="nil"/>
              <w:tr2bl w:val="nil"/>
            </w:tcBorders>
            <w:shd w:val="clear" w:color="auto" w:fill="auto"/>
            <w:vAlign w:val="center"/>
          </w:tcPr>
          <w:p w14:paraId="6D2448D2">
            <w:pPr>
              <w:pStyle w:val="49"/>
              <w:rPr>
                <w:sz w:val="16"/>
                <w:szCs w:val="18"/>
              </w:rPr>
            </w:pPr>
            <w:r>
              <w:rPr>
                <w:sz w:val="16"/>
                <w:szCs w:val="18"/>
              </w:rPr>
              <w:t>YKH</w:t>
            </w:r>
          </w:p>
        </w:tc>
        <w:tc>
          <w:tcPr>
            <w:tcW w:w="3231" w:type="dxa"/>
            <w:tcBorders>
              <w:tl2br w:val="nil"/>
              <w:tr2bl w:val="nil"/>
            </w:tcBorders>
            <w:shd w:val="clear" w:color="auto" w:fill="auto"/>
            <w:vAlign w:val="center"/>
          </w:tcPr>
          <w:p w14:paraId="253DA87D">
            <w:pPr>
              <w:pStyle w:val="49"/>
              <w:rPr>
                <w:sz w:val="16"/>
                <w:szCs w:val="18"/>
              </w:rPr>
            </w:pPr>
            <w:r>
              <w:rPr>
                <w:sz w:val="16"/>
                <w:szCs w:val="18"/>
              </w:rPr>
              <w:t>Yingkou Lanqi Airport</w:t>
            </w:r>
          </w:p>
        </w:tc>
      </w:tr>
      <w:tr w14:paraId="20FB12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0BCACB05">
            <w:pPr>
              <w:pStyle w:val="49"/>
              <w:rPr>
                <w:sz w:val="16"/>
                <w:szCs w:val="18"/>
              </w:rPr>
            </w:pPr>
            <w:r>
              <w:rPr>
                <w:sz w:val="16"/>
                <w:szCs w:val="18"/>
              </w:rPr>
              <w:t>JXA</w:t>
            </w:r>
          </w:p>
        </w:tc>
        <w:tc>
          <w:tcPr>
            <w:tcW w:w="3126" w:type="dxa"/>
            <w:tcBorders>
              <w:tl2br w:val="nil"/>
              <w:tr2bl w:val="nil"/>
            </w:tcBorders>
            <w:shd w:val="clear" w:color="auto" w:fill="auto"/>
            <w:vAlign w:val="center"/>
          </w:tcPr>
          <w:p w14:paraId="60930D99">
            <w:pPr>
              <w:pStyle w:val="49"/>
              <w:rPr>
                <w:sz w:val="16"/>
                <w:szCs w:val="18"/>
              </w:rPr>
            </w:pPr>
            <w:r>
              <w:rPr>
                <w:sz w:val="16"/>
                <w:szCs w:val="18"/>
              </w:rPr>
              <w:t>Jixi Xingkaihu Airport</w:t>
            </w:r>
          </w:p>
        </w:tc>
        <w:tc>
          <w:tcPr>
            <w:tcW w:w="887" w:type="dxa"/>
            <w:tcBorders>
              <w:tl2br w:val="nil"/>
              <w:tr2bl w:val="nil"/>
            </w:tcBorders>
            <w:shd w:val="clear" w:color="auto" w:fill="auto"/>
            <w:vAlign w:val="center"/>
          </w:tcPr>
          <w:p w14:paraId="7C1E263F">
            <w:pPr>
              <w:pStyle w:val="49"/>
              <w:rPr>
                <w:sz w:val="16"/>
                <w:szCs w:val="18"/>
              </w:rPr>
            </w:pPr>
            <w:r>
              <w:rPr>
                <w:sz w:val="16"/>
                <w:szCs w:val="18"/>
              </w:rPr>
              <w:t>YNJ</w:t>
            </w:r>
          </w:p>
        </w:tc>
        <w:tc>
          <w:tcPr>
            <w:tcW w:w="3231" w:type="dxa"/>
            <w:tcBorders>
              <w:tl2br w:val="nil"/>
              <w:tr2bl w:val="nil"/>
            </w:tcBorders>
            <w:shd w:val="clear" w:color="auto" w:fill="auto"/>
            <w:vAlign w:val="center"/>
          </w:tcPr>
          <w:p w14:paraId="7EF4B3A9">
            <w:pPr>
              <w:pStyle w:val="49"/>
              <w:rPr>
                <w:sz w:val="16"/>
                <w:szCs w:val="18"/>
              </w:rPr>
            </w:pPr>
            <w:r>
              <w:rPr>
                <w:sz w:val="16"/>
                <w:szCs w:val="18"/>
              </w:rPr>
              <w:t>Yanji Chaoyangchuan International Airport</w:t>
            </w:r>
          </w:p>
        </w:tc>
      </w:tr>
      <w:tr w14:paraId="36EABE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6CE38C6">
            <w:pPr>
              <w:pStyle w:val="49"/>
              <w:rPr>
                <w:sz w:val="16"/>
                <w:szCs w:val="18"/>
              </w:rPr>
            </w:pPr>
            <w:r>
              <w:rPr>
                <w:sz w:val="16"/>
                <w:szCs w:val="18"/>
              </w:rPr>
              <w:t>JZH</w:t>
            </w:r>
          </w:p>
        </w:tc>
        <w:tc>
          <w:tcPr>
            <w:tcW w:w="3126" w:type="dxa"/>
            <w:tcBorders>
              <w:tl2br w:val="nil"/>
              <w:tr2bl w:val="nil"/>
            </w:tcBorders>
            <w:shd w:val="clear" w:color="auto" w:fill="auto"/>
            <w:vAlign w:val="center"/>
          </w:tcPr>
          <w:p w14:paraId="1A01D582">
            <w:pPr>
              <w:pStyle w:val="49"/>
              <w:rPr>
                <w:sz w:val="16"/>
                <w:szCs w:val="18"/>
              </w:rPr>
            </w:pPr>
            <w:r>
              <w:rPr>
                <w:sz w:val="16"/>
                <w:szCs w:val="18"/>
              </w:rPr>
              <w:t>Jiuzhai Huanglong Airport</w:t>
            </w:r>
          </w:p>
        </w:tc>
        <w:tc>
          <w:tcPr>
            <w:tcW w:w="887" w:type="dxa"/>
            <w:tcBorders>
              <w:tl2br w:val="nil"/>
              <w:tr2bl w:val="nil"/>
            </w:tcBorders>
            <w:shd w:val="clear" w:color="auto" w:fill="auto"/>
            <w:vAlign w:val="center"/>
          </w:tcPr>
          <w:p w14:paraId="525EEBFA">
            <w:pPr>
              <w:pStyle w:val="49"/>
              <w:rPr>
                <w:sz w:val="16"/>
                <w:szCs w:val="18"/>
              </w:rPr>
            </w:pPr>
            <w:r>
              <w:rPr>
                <w:sz w:val="16"/>
                <w:szCs w:val="18"/>
              </w:rPr>
              <w:t>YNT</w:t>
            </w:r>
          </w:p>
        </w:tc>
        <w:tc>
          <w:tcPr>
            <w:tcW w:w="3231" w:type="dxa"/>
            <w:tcBorders>
              <w:tl2br w:val="nil"/>
              <w:tr2bl w:val="nil"/>
            </w:tcBorders>
            <w:shd w:val="clear" w:color="auto" w:fill="auto"/>
            <w:vAlign w:val="center"/>
          </w:tcPr>
          <w:p w14:paraId="0EF2CE41">
            <w:pPr>
              <w:pStyle w:val="49"/>
              <w:rPr>
                <w:sz w:val="16"/>
                <w:szCs w:val="18"/>
              </w:rPr>
            </w:pPr>
            <w:r>
              <w:rPr>
                <w:sz w:val="16"/>
                <w:szCs w:val="18"/>
              </w:rPr>
              <w:t>Yantai Penglai International Airport</w:t>
            </w:r>
          </w:p>
        </w:tc>
      </w:tr>
      <w:tr w14:paraId="01A48F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33C83872">
            <w:pPr>
              <w:pStyle w:val="49"/>
              <w:rPr>
                <w:sz w:val="16"/>
                <w:szCs w:val="18"/>
              </w:rPr>
            </w:pPr>
            <w:r>
              <w:rPr>
                <w:sz w:val="16"/>
                <w:szCs w:val="18"/>
              </w:rPr>
              <w:t>KCA</w:t>
            </w:r>
          </w:p>
        </w:tc>
        <w:tc>
          <w:tcPr>
            <w:tcW w:w="3126" w:type="dxa"/>
            <w:tcBorders>
              <w:tl2br w:val="nil"/>
              <w:tr2bl w:val="nil"/>
            </w:tcBorders>
            <w:shd w:val="clear" w:color="auto" w:fill="auto"/>
            <w:vAlign w:val="center"/>
          </w:tcPr>
          <w:p w14:paraId="7E5097D2">
            <w:pPr>
              <w:pStyle w:val="49"/>
              <w:rPr>
                <w:sz w:val="16"/>
                <w:szCs w:val="18"/>
              </w:rPr>
            </w:pPr>
            <w:r>
              <w:rPr>
                <w:sz w:val="16"/>
                <w:szCs w:val="18"/>
              </w:rPr>
              <w:t>Kuqa Qiuci Airport</w:t>
            </w:r>
          </w:p>
        </w:tc>
        <w:tc>
          <w:tcPr>
            <w:tcW w:w="887" w:type="dxa"/>
            <w:tcBorders>
              <w:tl2br w:val="nil"/>
              <w:tr2bl w:val="nil"/>
            </w:tcBorders>
            <w:shd w:val="clear" w:color="auto" w:fill="auto"/>
            <w:vAlign w:val="center"/>
          </w:tcPr>
          <w:p w14:paraId="3237CB05">
            <w:pPr>
              <w:pStyle w:val="49"/>
              <w:rPr>
                <w:sz w:val="16"/>
                <w:szCs w:val="18"/>
              </w:rPr>
            </w:pPr>
            <w:r>
              <w:rPr>
                <w:sz w:val="16"/>
                <w:szCs w:val="18"/>
              </w:rPr>
              <w:t>YNZ</w:t>
            </w:r>
          </w:p>
        </w:tc>
        <w:tc>
          <w:tcPr>
            <w:tcW w:w="3231" w:type="dxa"/>
            <w:tcBorders>
              <w:tl2br w:val="nil"/>
              <w:tr2bl w:val="nil"/>
            </w:tcBorders>
            <w:shd w:val="clear" w:color="auto" w:fill="auto"/>
            <w:vAlign w:val="center"/>
          </w:tcPr>
          <w:p w14:paraId="0647CE49">
            <w:pPr>
              <w:pStyle w:val="49"/>
              <w:rPr>
                <w:sz w:val="16"/>
                <w:szCs w:val="18"/>
              </w:rPr>
            </w:pPr>
            <w:r>
              <w:rPr>
                <w:sz w:val="16"/>
                <w:szCs w:val="18"/>
              </w:rPr>
              <w:t>Yancheng Nanyang International Airport</w:t>
            </w:r>
          </w:p>
        </w:tc>
      </w:tr>
      <w:tr w14:paraId="0B999C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5BB3F3E7">
            <w:pPr>
              <w:pStyle w:val="49"/>
              <w:rPr>
                <w:sz w:val="16"/>
                <w:szCs w:val="18"/>
              </w:rPr>
            </w:pPr>
            <w:r>
              <w:rPr>
                <w:sz w:val="16"/>
                <w:szCs w:val="18"/>
              </w:rPr>
              <w:t>KGT</w:t>
            </w:r>
          </w:p>
        </w:tc>
        <w:tc>
          <w:tcPr>
            <w:tcW w:w="3126" w:type="dxa"/>
            <w:tcBorders>
              <w:tl2br w:val="nil"/>
              <w:tr2bl w:val="nil"/>
            </w:tcBorders>
            <w:shd w:val="clear" w:color="auto" w:fill="auto"/>
            <w:vAlign w:val="center"/>
          </w:tcPr>
          <w:p w14:paraId="0387BCD5">
            <w:pPr>
              <w:pStyle w:val="49"/>
              <w:rPr>
                <w:sz w:val="16"/>
                <w:szCs w:val="18"/>
              </w:rPr>
            </w:pPr>
            <w:r>
              <w:rPr>
                <w:sz w:val="16"/>
                <w:szCs w:val="18"/>
              </w:rPr>
              <w:t>Garzê Kangding Airport</w:t>
            </w:r>
          </w:p>
        </w:tc>
        <w:tc>
          <w:tcPr>
            <w:tcW w:w="887" w:type="dxa"/>
            <w:tcBorders>
              <w:tl2br w:val="nil"/>
              <w:tr2bl w:val="nil"/>
            </w:tcBorders>
            <w:shd w:val="clear" w:color="auto" w:fill="auto"/>
            <w:vAlign w:val="center"/>
          </w:tcPr>
          <w:p w14:paraId="71AC0FE0">
            <w:pPr>
              <w:pStyle w:val="49"/>
              <w:rPr>
                <w:sz w:val="16"/>
                <w:szCs w:val="18"/>
              </w:rPr>
            </w:pPr>
            <w:r>
              <w:rPr>
                <w:sz w:val="16"/>
                <w:szCs w:val="18"/>
              </w:rPr>
              <w:t>YSQ</w:t>
            </w:r>
          </w:p>
        </w:tc>
        <w:tc>
          <w:tcPr>
            <w:tcW w:w="3231" w:type="dxa"/>
            <w:tcBorders>
              <w:tl2br w:val="nil"/>
              <w:tr2bl w:val="nil"/>
            </w:tcBorders>
            <w:shd w:val="clear" w:color="auto" w:fill="auto"/>
            <w:vAlign w:val="center"/>
          </w:tcPr>
          <w:p w14:paraId="683317AA">
            <w:pPr>
              <w:pStyle w:val="49"/>
              <w:rPr>
                <w:sz w:val="16"/>
                <w:szCs w:val="18"/>
              </w:rPr>
            </w:pPr>
            <w:r>
              <w:rPr>
                <w:sz w:val="16"/>
                <w:szCs w:val="18"/>
              </w:rPr>
              <w:t>Songyuan Chaganhu Airport</w:t>
            </w:r>
          </w:p>
        </w:tc>
      </w:tr>
      <w:tr w14:paraId="5EE15C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46F41B51">
            <w:pPr>
              <w:pStyle w:val="49"/>
              <w:rPr>
                <w:sz w:val="16"/>
                <w:szCs w:val="18"/>
              </w:rPr>
            </w:pPr>
            <w:r>
              <w:rPr>
                <w:sz w:val="16"/>
                <w:szCs w:val="18"/>
              </w:rPr>
              <w:t>KHG</w:t>
            </w:r>
          </w:p>
        </w:tc>
        <w:tc>
          <w:tcPr>
            <w:tcW w:w="3126" w:type="dxa"/>
            <w:tcBorders>
              <w:tl2br w:val="nil"/>
              <w:tr2bl w:val="nil"/>
            </w:tcBorders>
            <w:shd w:val="clear" w:color="auto" w:fill="auto"/>
            <w:vAlign w:val="center"/>
          </w:tcPr>
          <w:p w14:paraId="28C07817">
            <w:pPr>
              <w:pStyle w:val="49"/>
              <w:rPr>
                <w:sz w:val="16"/>
                <w:szCs w:val="18"/>
              </w:rPr>
            </w:pPr>
            <w:r>
              <w:rPr>
                <w:sz w:val="16"/>
                <w:szCs w:val="18"/>
              </w:rPr>
              <w:t>Kashgar Layi International Airport</w:t>
            </w:r>
          </w:p>
        </w:tc>
        <w:tc>
          <w:tcPr>
            <w:tcW w:w="887" w:type="dxa"/>
            <w:tcBorders>
              <w:tl2br w:val="nil"/>
              <w:tr2bl w:val="nil"/>
            </w:tcBorders>
            <w:shd w:val="clear" w:color="auto" w:fill="auto"/>
            <w:vAlign w:val="center"/>
          </w:tcPr>
          <w:p w14:paraId="2AF5B0EA">
            <w:pPr>
              <w:pStyle w:val="49"/>
              <w:rPr>
                <w:sz w:val="16"/>
                <w:szCs w:val="18"/>
              </w:rPr>
            </w:pPr>
            <w:r>
              <w:rPr>
                <w:sz w:val="16"/>
                <w:szCs w:val="18"/>
              </w:rPr>
              <w:t>YTY</w:t>
            </w:r>
          </w:p>
        </w:tc>
        <w:tc>
          <w:tcPr>
            <w:tcW w:w="3231" w:type="dxa"/>
            <w:tcBorders>
              <w:tl2br w:val="nil"/>
              <w:tr2bl w:val="nil"/>
            </w:tcBorders>
            <w:shd w:val="clear" w:color="auto" w:fill="auto"/>
            <w:vAlign w:val="center"/>
          </w:tcPr>
          <w:p w14:paraId="0E5FCF3F">
            <w:pPr>
              <w:pStyle w:val="49"/>
              <w:rPr>
                <w:sz w:val="16"/>
                <w:szCs w:val="18"/>
              </w:rPr>
            </w:pPr>
            <w:r>
              <w:rPr>
                <w:sz w:val="16"/>
                <w:szCs w:val="18"/>
              </w:rPr>
              <w:t>Yangzhou Taizhou International Airport</w:t>
            </w:r>
          </w:p>
        </w:tc>
      </w:tr>
      <w:tr w14:paraId="1F4EA3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3AF76DA5">
            <w:pPr>
              <w:pStyle w:val="49"/>
              <w:rPr>
                <w:sz w:val="16"/>
                <w:szCs w:val="18"/>
              </w:rPr>
            </w:pPr>
            <w:r>
              <w:rPr>
                <w:sz w:val="16"/>
                <w:szCs w:val="18"/>
              </w:rPr>
              <w:t>KHN</w:t>
            </w:r>
          </w:p>
        </w:tc>
        <w:tc>
          <w:tcPr>
            <w:tcW w:w="3126" w:type="dxa"/>
            <w:tcBorders>
              <w:tl2br w:val="nil"/>
              <w:tr2bl w:val="nil"/>
            </w:tcBorders>
            <w:shd w:val="clear" w:color="auto" w:fill="auto"/>
            <w:vAlign w:val="center"/>
          </w:tcPr>
          <w:p w14:paraId="409CE9C8">
            <w:pPr>
              <w:pStyle w:val="49"/>
              <w:rPr>
                <w:sz w:val="16"/>
                <w:szCs w:val="18"/>
              </w:rPr>
            </w:pPr>
            <w:r>
              <w:rPr>
                <w:sz w:val="16"/>
                <w:szCs w:val="18"/>
              </w:rPr>
              <w:t>Nanchang Changbei International Airport</w:t>
            </w:r>
          </w:p>
        </w:tc>
        <w:tc>
          <w:tcPr>
            <w:tcW w:w="887" w:type="dxa"/>
            <w:tcBorders>
              <w:tl2br w:val="nil"/>
              <w:tr2bl w:val="nil"/>
            </w:tcBorders>
            <w:shd w:val="clear" w:color="auto" w:fill="auto"/>
            <w:vAlign w:val="center"/>
          </w:tcPr>
          <w:p w14:paraId="168CDE52">
            <w:pPr>
              <w:pStyle w:val="49"/>
              <w:rPr>
                <w:sz w:val="16"/>
                <w:szCs w:val="18"/>
              </w:rPr>
            </w:pPr>
            <w:r>
              <w:rPr>
                <w:sz w:val="16"/>
                <w:szCs w:val="18"/>
              </w:rPr>
              <w:t>YUS</w:t>
            </w:r>
          </w:p>
        </w:tc>
        <w:tc>
          <w:tcPr>
            <w:tcW w:w="3231" w:type="dxa"/>
            <w:tcBorders>
              <w:tl2br w:val="nil"/>
              <w:tr2bl w:val="nil"/>
            </w:tcBorders>
            <w:shd w:val="clear" w:color="auto" w:fill="auto"/>
            <w:vAlign w:val="center"/>
          </w:tcPr>
          <w:p w14:paraId="10AACF32">
            <w:pPr>
              <w:pStyle w:val="49"/>
              <w:rPr>
                <w:sz w:val="16"/>
                <w:szCs w:val="18"/>
              </w:rPr>
            </w:pPr>
            <w:r>
              <w:rPr>
                <w:sz w:val="16"/>
                <w:szCs w:val="18"/>
              </w:rPr>
              <w:t>Yushu Batang Airport</w:t>
            </w:r>
          </w:p>
        </w:tc>
      </w:tr>
      <w:tr w14:paraId="34762C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7268055">
            <w:pPr>
              <w:pStyle w:val="49"/>
              <w:rPr>
                <w:sz w:val="16"/>
                <w:szCs w:val="18"/>
              </w:rPr>
            </w:pPr>
            <w:r>
              <w:rPr>
                <w:sz w:val="16"/>
                <w:szCs w:val="18"/>
              </w:rPr>
              <w:t>KJH</w:t>
            </w:r>
          </w:p>
        </w:tc>
        <w:tc>
          <w:tcPr>
            <w:tcW w:w="3126" w:type="dxa"/>
            <w:tcBorders>
              <w:tl2br w:val="nil"/>
              <w:tr2bl w:val="nil"/>
            </w:tcBorders>
            <w:shd w:val="clear" w:color="auto" w:fill="auto"/>
            <w:vAlign w:val="center"/>
          </w:tcPr>
          <w:p w14:paraId="71860020">
            <w:pPr>
              <w:pStyle w:val="49"/>
              <w:rPr>
                <w:sz w:val="16"/>
                <w:szCs w:val="18"/>
              </w:rPr>
            </w:pPr>
            <w:r>
              <w:rPr>
                <w:sz w:val="16"/>
                <w:szCs w:val="18"/>
              </w:rPr>
              <w:t>Kaili Huangping Airport</w:t>
            </w:r>
          </w:p>
        </w:tc>
        <w:tc>
          <w:tcPr>
            <w:tcW w:w="887" w:type="dxa"/>
            <w:tcBorders>
              <w:tl2br w:val="nil"/>
              <w:tr2bl w:val="nil"/>
            </w:tcBorders>
            <w:shd w:val="clear" w:color="auto" w:fill="auto"/>
            <w:vAlign w:val="center"/>
          </w:tcPr>
          <w:p w14:paraId="04A008C4">
            <w:pPr>
              <w:pStyle w:val="49"/>
              <w:rPr>
                <w:sz w:val="16"/>
                <w:szCs w:val="18"/>
              </w:rPr>
            </w:pPr>
            <w:r>
              <w:rPr>
                <w:sz w:val="16"/>
                <w:szCs w:val="18"/>
              </w:rPr>
              <w:t>YYA</w:t>
            </w:r>
          </w:p>
        </w:tc>
        <w:tc>
          <w:tcPr>
            <w:tcW w:w="3231" w:type="dxa"/>
            <w:tcBorders>
              <w:tl2br w:val="nil"/>
              <w:tr2bl w:val="nil"/>
            </w:tcBorders>
            <w:shd w:val="clear" w:color="auto" w:fill="auto"/>
            <w:vAlign w:val="center"/>
          </w:tcPr>
          <w:p w14:paraId="2E360D91">
            <w:pPr>
              <w:pStyle w:val="49"/>
              <w:rPr>
                <w:sz w:val="16"/>
                <w:szCs w:val="18"/>
              </w:rPr>
            </w:pPr>
            <w:r>
              <w:rPr>
                <w:sz w:val="16"/>
                <w:szCs w:val="18"/>
              </w:rPr>
              <w:t>Yueyang Sanhe Airport</w:t>
            </w:r>
          </w:p>
        </w:tc>
      </w:tr>
      <w:tr w14:paraId="45F14F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B8F82BB">
            <w:pPr>
              <w:pStyle w:val="49"/>
              <w:rPr>
                <w:sz w:val="16"/>
                <w:szCs w:val="18"/>
              </w:rPr>
            </w:pPr>
            <w:r>
              <w:rPr>
                <w:sz w:val="16"/>
                <w:szCs w:val="18"/>
              </w:rPr>
              <w:t>KJI</w:t>
            </w:r>
          </w:p>
        </w:tc>
        <w:tc>
          <w:tcPr>
            <w:tcW w:w="3126" w:type="dxa"/>
            <w:tcBorders>
              <w:tl2br w:val="nil"/>
              <w:tr2bl w:val="nil"/>
            </w:tcBorders>
            <w:shd w:val="clear" w:color="auto" w:fill="auto"/>
            <w:vAlign w:val="center"/>
          </w:tcPr>
          <w:p w14:paraId="46D8F0B6">
            <w:pPr>
              <w:pStyle w:val="49"/>
              <w:rPr>
                <w:sz w:val="16"/>
                <w:szCs w:val="18"/>
              </w:rPr>
            </w:pPr>
            <w:r>
              <w:rPr>
                <w:sz w:val="16"/>
                <w:szCs w:val="18"/>
              </w:rPr>
              <w:t>Burqin Kanas Airport</w:t>
            </w:r>
          </w:p>
        </w:tc>
        <w:tc>
          <w:tcPr>
            <w:tcW w:w="887" w:type="dxa"/>
            <w:tcBorders>
              <w:tl2br w:val="nil"/>
              <w:tr2bl w:val="nil"/>
            </w:tcBorders>
            <w:shd w:val="clear" w:color="auto" w:fill="auto"/>
            <w:vAlign w:val="center"/>
          </w:tcPr>
          <w:p w14:paraId="76F41B84">
            <w:pPr>
              <w:pStyle w:val="49"/>
              <w:rPr>
                <w:sz w:val="16"/>
                <w:szCs w:val="18"/>
              </w:rPr>
            </w:pPr>
            <w:r>
              <w:rPr>
                <w:sz w:val="16"/>
                <w:szCs w:val="18"/>
              </w:rPr>
              <w:t>YZY</w:t>
            </w:r>
          </w:p>
        </w:tc>
        <w:tc>
          <w:tcPr>
            <w:tcW w:w="3231" w:type="dxa"/>
            <w:tcBorders>
              <w:tl2br w:val="nil"/>
              <w:tr2bl w:val="nil"/>
            </w:tcBorders>
            <w:shd w:val="clear" w:color="auto" w:fill="auto"/>
            <w:vAlign w:val="center"/>
          </w:tcPr>
          <w:p w14:paraId="39CC8A6F">
            <w:pPr>
              <w:pStyle w:val="49"/>
              <w:rPr>
                <w:sz w:val="16"/>
                <w:szCs w:val="18"/>
              </w:rPr>
            </w:pPr>
            <w:r>
              <w:rPr>
                <w:sz w:val="16"/>
                <w:szCs w:val="18"/>
              </w:rPr>
              <w:t>Zhangye Ganzhou Airport</w:t>
            </w:r>
          </w:p>
        </w:tc>
      </w:tr>
      <w:tr w14:paraId="499F38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255AA6AA">
            <w:pPr>
              <w:pStyle w:val="49"/>
              <w:rPr>
                <w:sz w:val="16"/>
                <w:szCs w:val="18"/>
              </w:rPr>
            </w:pPr>
            <w:r>
              <w:rPr>
                <w:sz w:val="16"/>
                <w:szCs w:val="18"/>
              </w:rPr>
              <w:t>KMG</w:t>
            </w:r>
          </w:p>
        </w:tc>
        <w:tc>
          <w:tcPr>
            <w:tcW w:w="3126" w:type="dxa"/>
            <w:tcBorders>
              <w:tl2br w:val="nil"/>
              <w:tr2bl w:val="nil"/>
            </w:tcBorders>
            <w:shd w:val="clear" w:color="auto" w:fill="auto"/>
            <w:vAlign w:val="center"/>
          </w:tcPr>
          <w:p w14:paraId="21AB5507">
            <w:pPr>
              <w:pStyle w:val="49"/>
              <w:rPr>
                <w:sz w:val="16"/>
                <w:szCs w:val="18"/>
              </w:rPr>
            </w:pPr>
            <w:r>
              <w:rPr>
                <w:sz w:val="16"/>
                <w:szCs w:val="18"/>
              </w:rPr>
              <w:t>Kunming Changshui International Airport</w:t>
            </w:r>
          </w:p>
        </w:tc>
        <w:tc>
          <w:tcPr>
            <w:tcW w:w="887" w:type="dxa"/>
            <w:tcBorders>
              <w:tl2br w:val="nil"/>
              <w:tr2bl w:val="nil"/>
            </w:tcBorders>
            <w:shd w:val="clear" w:color="auto" w:fill="auto"/>
            <w:vAlign w:val="center"/>
          </w:tcPr>
          <w:p w14:paraId="7D9DFC5C">
            <w:pPr>
              <w:pStyle w:val="49"/>
              <w:rPr>
                <w:sz w:val="16"/>
                <w:szCs w:val="18"/>
              </w:rPr>
            </w:pPr>
            <w:r>
              <w:rPr>
                <w:sz w:val="16"/>
                <w:szCs w:val="18"/>
              </w:rPr>
              <w:t>ZAT</w:t>
            </w:r>
          </w:p>
        </w:tc>
        <w:tc>
          <w:tcPr>
            <w:tcW w:w="3231" w:type="dxa"/>
            <w:tcBorders>
              <w:tl2br w:val="nil"/>
              <w:tr2bl w:val="nil"/>
            </w:tcBorders>
            <w:shd w:val="clear" w:color="auto" w:fill="auto"/>
            <w:vAlign w:val="center"/>
          </w:tcPr>
          <w:p w14:paraId="0A3EC551">
            <w:pPr>
              <w:pStyle w:val="49"/>
              <w:rPr>
                <w:sz w:val="16"/>
                <w:szCs w:val="18"/>
              </w:rPr>
            </w:pPr>
            <w:r>
              <w:rPr>
                <w:sz w:val="16"/>
                <w:szCs w:val="18"/>
              </w:rPr>
              <w:t>Zhaotong Airport</w:t>
            </w:r>
          </w:p>
        </w:tc>
      </w:tr>
      <w:tr w14:paraId="0E3F04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0547F7D8">
            <w:pPr>
              <w:pStyle w:val="49"/>
              <w:rPr>
                <w:sz w:val="16"/>
                <w:szCs w:val="18"/>
              </w:rPr>
            </w:pPr>
            <w:r>
              <w:rPr>
                <w:sz w:val="16"/>
                <w:szCs w:val="18"/>
              </w:rPr>
              <w:t>KOW</w:t>
            </w:r>
          </w:p>
        </w:tc>
        <w:tc>
          <w:tcPr>
            <w:tcW w:w="3126" w:type="dxa"/>
            <w:tcBorders>
              <w:tl2br w:val="nil"/>
              <w:tr2bl w:val="nil"/>
            </w:tcBorders>
            <w:shd w:val="clear" w:color="auto" w:fill="auto"/>
            <w:vAlign w:val="center"/>
          </w:tcPr>
          <w:p w14:paraId="7121B538">
            <w:pPr>
              <w:pStyle w:val="49"/>
              <w:rPr>
                <w:sz w:val="16"/>
                <w:szCs w:val="18"/>
              </w:rPr>
            </w:pPr>
            <w:r>
              <w:rPr>
                <w:sz w:val="16"/>
                <w:szCs w:val="18"/>
              </w:rPr>
              <w:t>Ganzhou Huangjin Airport</w:t>
            </w:r>
          </w:p>
        </w:tc>
        <w:tc>
          <w:tcPr>
            <w:tcW w:w="887" w:type="dxa"/>
            <w:tcBorders>
              <w:tl2br w:val="nil"/>
              <w:tr2bl w:val="nil"/>
            </w:tcBorders>
            <w:shd w:val="clear" w:color="auto" w:fill="auto"/>
            <w:vAlign w:val="center"/>
          </w:tcPr>
          <w:p w14:paraId="54CD1A54">
            <w:pPr>
              <w:pStyle w:val="49"/>
              <w:rPr>
                <w:sz w:val="16"/>
                <w:szCs w:val="18"/>
              </w:rPr>
            </w:pPr>
            <w:r>
              <w:rPr>
                <w:sz w:val="16"/>
                <w:szCs w:val="18"/>
              </w:rPr>
              <w:t>ZHA</w:t>
            </w:r>
          </w:p>
        </w:tc>
        <w:tc>
          <w:tcPr>
            <w:tcW w:w="3231" w:type="dxa"/>
            <w:tcBorders>
              <w:tl2br w:val="nil"/>
              <w:tr2bl w:val="nil"/>
            </w:tcBorders>
            <w:shd w:val="clear" w:color="auto" w:fill="auto"/>
            <w:vAlign w:val="center"/>
          </w:tcPr>
          <w:p w14:paraId="6A220B94">
            <w:pPr>
              <w:pStyle w:val="49"/>
              <w:rPr>
                <w:sz w:val="16"/>
                <w:szCs w:val="18"/>
              </w:rPr>
            </w:pPr>
            <w:r>
              <w:rPr>
                <w:sz w:val="16"/>
                <w:szCs w:val="18"/>
              </w:rPr>
              <w:t>Zhanjiang Airport</w:t>
            </w:r>
          </w:p>
        </w:tc>
      </w:tr>
      <w:tr w14:paraId="6BBAC2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6A1429DC">
            <w:pPr>
              <w:pStyle w:val="49"/>
              <w:rPr>
                <w:sz w:val="16"/>
                <w:szCs w:val="18"/>
              </w:rPr>
            </w:pPr>
            <w:r>
              <w:rPr>
                <w:sz w:val="16"/>
                <w:szCs w:val="18"/>
              </w:rPr>
              <w:t>KRL</w:t>
            </w:r>
          </w:p>
        </w:tc>
        <w:tc>
          <w:tcPr>
            <w:tcW w:w="3126" w:type="dxa"/>
            <w:tcBorders>
              <w:tl2br w:val="nil"/>
              <w:tr2bl w:val="nil"/>
            </w:tcBorders>
            <w:shd w:val="clear" w:color="auto" w:fill="auto"/>
            <w:vAlign w:val="center"/>
          </w:tcPr>
          <w:p w14:paraId="6B8E7DFA">
            <w:pPr>
              <w:pStyle w:val="49"/>
              <w:rPr>
                <w:sz w:val="16"/>
                <w:szCs w:val="18"/>
              </w:rPr>
            </w:pPr>
            <w:r>
              <w:rPr>
                <w:sz w:val="16"/>
                <w:szCs w:val="18"/>
              </w:rPr>
              <w:t>Korla Licheng Airport</w:t>
            </w:r>
          </w:p>
        </w:tc>
        <w:tc>
          <w:tcPr>
            <w:tcW w:w="887" w:type="dxa"/>
            <w:tcBorders>
              <w:tl2br w:val="nil"/>
              <w:tr2bl w:val="nil"/>
            </w:tcBorders>
            <w:shd w:val="clear" w:color="auto" w:fill="auto"/>
            <w:vAlign w:val="center"/>
          </w:tcPr>
          <w:p w14:paraId="468FBBF9">
            <w:pPr>
              <w:pStyle w:val="49"/>
              <w:rPr>
                <w:sz w:val="16"/>
                <w:szCs w:val="18"/>
              </w:rPr>
            </w:pPr>
            <w:r>
              <w:rPr>
                <w:sz w:val="16"/>
                <w:szCs w:val="18"/>
              </w:rPr>
              <w:t>ZHY</w:t>
            </w:r>
          </w:p>
        </w:tc>
        <w:tc>
          <w:tcPr>
            <w:tcW w:w="3231" w:type="dxa"/>
            <w:tcBorders>
              <w:tl2br w:val="nil"/>
              <w:tr2bl w:val="nil"/>
            </w:tcBorders>
            <w:shd w:val="clear" w:color="auto" w:fill="auto"/>
            <w:vAlign w:val="center"/>
          </w:tcPr>
          <w:p w14:paraId="3E9A1D01">
            <w:pPr>
              <w:pStyle w:val="49"/>
              <w:rPr>
                <w:sz w:val="16"/>
                <w:szCs w:val="18"/>
              </w:rPr>
            </w:pPr>
            <w:r>
              <w:rPr>
                <w:sz w:val="16"/>
                <w:szCs w:val="18"/>
              </w:rPr>
              <w:t>Zhongwei Shapotou Airport</w:t>
            </w:r>
          </w:p>
        </w:tc>
      </w:tr>
      <w:tr w14:paraId="000848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026" w:type="dxa"/>
            <w:tcBorders>
              <w:tl2br w:val="nil"/>
              <w:tr2bl w:val="nil"/>
            </w:tcBorders>
            <w:shd w:val="clear" w:color="auto" w:fill="auto"/>
            <w:vAlign w:val="center"/>
          </w:tcPr>
          <w:p w14:paraId="10A8DF3F">
            <w:pPr>
              <w:pStyle w:val="49"/>
              <w:rPr>
                <w:sz w:val="16"/>
                <w:szCs w:val="18"/>
              </w:rPr>
            </w:pPr>
            <w:r>
              <w:rPr>
                <w:sz w:val="16"/>
                <w:szCs w:val="18"/>
              </w:rPr>
              <w:t>KRY</w:t>
            </w:r>
          </w:p>
        </w:tc>
        <w:tc>
          <w:tcPr>
            <w:tcW w:w="3126" w:type="dxa"/>
            <w:tcBorders>
              <w:tl2br w:val="nil"/>
              <w:tr2bl w:val="nil"/>
            </w:tcBorders>
            <w:shd w:val="clear" w:color="auto" w:fill="auto"/>
            <w:vAlign w:val="center"/>
          </w:tcPr>
          <w:p w14:paraId="7E03680A">
            <w:pPr>
              <w:pStyle w:val="49"/>
              <w:rPr>
                <w:sz w:val="16"/>
                <w:szCs w:val="18"/>
              </w:rPr>
            </w:pPr>
            <w:r>
              <w:rPr>
                <w:sz w:val="16"/>
                <w:szCs w:val="18"/>
              </w:rPr>
              <w:t>Karamay Guhai Airport</w:t>
            </w:r>
          </w:p>
        </w:tc>
        <w:tc>
          <w:tcPr>
            <w:tcW w:w="887" w:type="dxa"/>
            <w:tcBorders>
              <w:tl2br w:val="nil"/>
              <w:tr2bl w:val="nil"/>
            </w:tcBorders>
            <w:shd w:val="clear" w:color="auto" w:fill="auto"/>
            <w:vAlign w:val="center"/>
          </w:tcPr>
          <w:p w14:paraId="59D3E82C">
            <w:pPr>
              <w:pStyle w:val="49"/>
              <w:rPr>
                <w:sz w:val="16"/>
                <w:szCs w:val="18"/>
              </w:rPr>
            </w:pPr>
            <w:r>
              <w:rPr>
                <w:sz w:val="16"/>
                <w:szCs w:val="18"/>
              </w:rPr>
              <w:t>ZQZ</w:t>
            </w:r>
          </w:p>
        </w:tc>
        <w:tc>
          <w:tcPr>
            <w:tcW w:w="3231" w:type="dxa"/>
            <w:tcBorders>
              <w:tl2br w:val="nil"/>
              <w:tr2bl w:val="nil"/>
            </w:tcBorders>
            <w:shd w:val="clear" w:color="auto" w:fill="auto"/>
            <w:vAlign w:val="center"/>
          </w:tcPr>
          <w:p w14:paraId="05C439E0">
            <w:pPr>
              <w:pStyle w:val="49"/>
              <w:rPr>
                <w:sz w:val="16"/>
                <w:szCs w:val="18"/>
              </w:rPr>
            </w:pPr>
            <w:r>
              <w:rPr>
                <w:sz w:val="16"/>
                <w:szCs w:val="18"/>
              </w:rPr>
              <w:t>Zhangjiakou Ningyuan Airport</w:t>
            </w:r>
          </w:p>
        </w:tc>
      </w:tr>
      <w:tr w14:paraId="4DE82A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75586FB2">
            <w:pPr>
              <w:pStyle w:val="49"/>
              <w:rPr>
                <w:sz w:val="16"/>
                <w:szCs w:val="18"/>
              </w:rPr>
            </w:pPr>
            <w:r>
              <w:rPr>
                <w:sz w:val="16"/>
                <w:szCs w:val="18"/>
              </w:rPr>
              <w:t>KWE</w:t>
            </w:r>
          </w:p>
        </w:tc>
        <w:tc>
          <w:tcPr>
            <w:tcW w:w="3126" w:type="dxa"/>
            <w:tcBorders>
              <w:tl2br w:val="nil"/>
              <w:tr2bl w:val="nil"/>
            </w:tcBorders>
            <w:shd w:val="clear" w:color="auto" w:fill="auto"/>
            <w:vAlign w:val="center"/>
          </w:tcPr>
          <w:p w14:paraId="2BC8F3D4">
            <w:pPr>
              <w:pStyle w:val="49"/>
              <w:rPr>
                <w:sz w:val="16"/>
                <w:szCs w:val="18"/>
              </w:rPr>
            </w:pPr>
            <w:r>
              <w:rPr>
                <w:sz w:val="16"/>
                <w:szCs w:val="18"/>
              </w:rPr>
              <w:t>Guiyang Longdongbao International Airport</w:t>
            </w:r>
          </w:p>
        </w:tc>
        <w:tc>
          <w:tcPr>
            <w:tcW w:w="887" w:type="dxa"/>
            <w:tcBorders>
              <w:tl2br w:val="nil"/>
              <w:tr2bl w:val="nil"/>
            </w:tcBorders>
            <w:shd w:val="clear" w:color="auto" w:fill="auto"/>
            <w:vAlign w:val="center"/>
          </w:tcPr>
          <w:p w14:paraId="4B82B69D">
            <w:pPr>
              <w:pStyle w:val="49"/>
              <w:rPr>
                <w:sz w:val="16"/>
                <w:szCs w:val="18"/>
              </w:rPr>
            </w:pPr>
            <w:r>
              <w:rPr>
                <w:sz w:val="16"/>
                <w:szCs w:val="18"/>
              </w:rPr>
              <w:t>ZUH</w:t>
            </w:r>
          </w:p>
        </w:tc>
        <w:tc>
          <w:tcPr>
            <w:tcW w:w="3231" w:type="dxa"/>
            <w:tcBorders>
              <w:tl2br w:val="nil"/>
              <w:tr2bl w:val="nil"/>
            </w:tcBorders>
            <w:shd w:val="clear" w:color="auto" w:fill="auto"/>
            <w:vAlign w:val="center"/>
          </w:tcPr>
          <w:p w14:paraId="1E1D8C05">
            <w:pPr>
              <w:pStyle w:val="49"/>
              <w:rPr>
                <w:sz w:val="16"/>
                <w:szCs w:val="18"/>
              </w:rPr>
            </w:pPr>
            <w:r>
              <w:rPr>
                <w:sz w:val="16"/>
                <w:szCs w:val="18"/>
              </w:rPr>
              <w:t>Zhuhai Jinwan Airport</w:t>
            </w:r>
          </w:p>
        </w:tc>
      </w:tr>
      <w:tr w14:paraId="161D3B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174CD39C">
            <w:pPr>
              <w:pStyle w:val="49"/>
              <w:rPr>
                <w:sz w:val="16"/>
                <w:szCs w:val="18"/>
              </w:rPr>
            </w:pPr>
            <w:r>
              <w:rPr>
                <w:sz w:val="16"/>
                <w:szCs w:val="18"/>
              </w:rPr>
              <w:t>KWL</w:t>
            </w:r>
          </w:p>
        </w:tc>
        <w:tc>
          <w:tcPr>
            <w:tcW w:w="3126" w:type="dxa"/>
            <w:tcBorders>
              <w:tl2br w:val="nil"/>
              <w:tr2bl w:val="nil"/>
            </w:tcBorders>
            <w:shd w:val="clear" w:color="auto" w:fill="auto"/>
            <w:vAlign w:val="center"/>
          </w:tcPr>
          <w:p w14:paraId="3892C064">
            <w:pPr>
              <w:pStyle w:val="49"/>
              <w:rPr>
                <w:sz w:val="16"/>
                <w:szCs w:val="18"/>
              </w:rPr>
            </w:pPr>
            <w:r>
              <w:rPr>
                <w:sz w:val="16"/>
                <w:szCs w:val="18"/>
              </w:rPr>
              <w:t>Guilin Liangjiang International Airport</w:t>
            </w:r>
          </w:p>
        </w:tc>
        <w:tc>
          <w:tcPr>
            <w:tcW w:w="887" w:type="dxa"/>
            <w:tcBorders>
              <w:tl2br w:val="nil"/>
              <w:tr2bl w:val="nil"/>
            </w:tcBorders>
            <w:shd w:val="clear" w:color="auto" w:fill="auto"/>
            <w:vAlign w:val="center"/>
          </w:tcPr>
          <w:p w14:paraId="6833DE34">
            <w:pPr>
              <w:pStyle w:val="49"/>
              <w:rPr>
                <w:sz w:val="16"/>
                <w:szCs w:val="18"/>
              </w:rPr>
            </w:pPr>
            <w:r>
              <w:rPr>
                <w:sz w:val="16"/>
                <w:szCs w:val="18"/>
              </w:rPr>
              <w:t>ZYI</w:t>
            </w:r>
          </w:p>
        </w:tc>
        <w:tc>
          <w:tcPr>
            <w:tcW w:w="3231" w:type="dxa"/>
            <w:tcBorders>
              <w:tl2br w:val="nil"/>
              <w:tr2bl w:val="nil"/>
            </w:tcBorders>
            <w:shd w:val="clear" w:color="auto" w:fill="auto"/>
            <w:vAlign w:val="center"/>
          </w:tcPr>
          <w:p w14:paraId="414D4007">
            <w:pPr>
              <w:pStyle w:val="49"/>
              <w:rPr>
                <w:sz w:val="16"/>
                <w:szCs w:val="18"/>
              </w:rPr>
            </w:pPr>
            <w:r>
              <w:rPr>
                <w:sz w:val="16"/>
                <w:szCs w:val="18"/>
              </w:rPr>
              <w:t>Zunyi Xinzhou Airport</w:t>
            </w:r>
          </w:p>
        </w:tc>
      </w:tr>
      <w:tr w14:paraId="154CF1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026" w:type="dxa"/>
            <w:tcBorders>
              <w:tl2br w:val="nil"/>
              <w:tr2bl w:val="nil"/>
            </w:tcBorders>
            <w:shd w:val="clear" w:color="auto" w:fill="auto"/>
            <w:vAlign w:val="center"/>
          </w:tcPr>
          <w:p w14:paraId="08DC79C1">
            <w:pPr>
              <w:pStyle w:val="49"/>
              <w:rPr>
                <w:sz w:val="16"/>
                <w:szCs w:val="18"/>
              </w:rPr>
            </w:pPr>
            <w:r>
              <w:rPr>
                <w:sz w:val="16"/>
                <w:szCs w:val="18"/>
              </w:rPr>
              <w:t>LCX</w:t>
            </w:r>
          </w:p>
        </w:tc>
        <w:tc>
          <w:tcPr>
            <w:tcW w:w="3126" w:type="dxa"/>
            <w:tcBorders>
              <w:tl2br w:val="nil"/>
              <w:tr2bl w:val="nil"/>
            </w:tcBorders>
            <w:shd w:val="clear" w:color="auto" w:fill="auto"/>
            <w:vAlign w:val="center"/>
          </w:tcPr>
          <w:p w14:paraId="73DCB3BF">
            <w:pPr>
              <w:pStyle w:val="49"/>
              <w:rPr>
                <w:sz w:val="16"/>
                <w:szCs w:val="18"/>
              </w:rPr>
            </w:pPr>
            <w:r>
              <w:rPr>
                <w:sz w:val="16"/>
                <w:szCs w:val="18"/>
              </w:rPr>
              <w:t>Liancheng Guanzhaishan Airport</w:t>
            </w:r>
          </w:p>
        </w:tc>
        <w:tc>
          <w:tcPr>
            <w:tcW w:w="887" w:type="dxa"/>
            <w:tcBorders>
              <w:tl2br w:val="nil"/>
              <w:tr2bl w:val="nil"/>
            </w:tcBorders>
            <w:shd w:val="clear" w:color="auto" w:fill="auto"/>
            <w:vAlign w:val="center"/>
          </w:tcPr>
          <w:p w14:paraId="01759F23">
            <w:pPr>
              <w:pStyle w:val="49"/>
              <w:rPr>
                <w:sz w:val="16"/>
                <w:szCs w:val="18"/>
              </w:rPr>
            </w:pPr>
          </w:p>
        </w:tc>
        <w:tc>
          <w:tcPr>
            <w:tcW w:w="3231" w:type="dxa"/>
            <w:tcBorders>
              <w:tl2br w:val="nil"/>
              <w:tr2bl w:val="nil"/>
            </w:tcBorders>
            <w:shd w:val="clear" w:color="auto" w:fill="auto"/>
            <w:vAlign w:val="center"/>
          </w:tcPr>
          <w:p w14:paraId="166250DF">
            <w:pPr>
              <w:pStyle w:val="49"/>
              <w:rPr>
                <w:sz w:val="16"/>
                <w:szCs w:val="18"/>
              </w:rPr>
            </w:pPr>
          </w:p>
        </w:tc>
      </w:tr>
    </w:tbl>
    <w:p w14:paraId="037D8841">
      <w:pPr>
        <w:ind w:firstLine="0" w:firstLineChars="0"/>
      </w:pPr>
    </w:p>
    <w:p w14:paraId="09CC2A8E">
      <w:pPr>
        <w:pStyle w:val="3"/>
        <w:ind w:firstLine="482"/>
      </w:pPr>
      <w:r>
        <w:t>1.2 Runway pavement roughness data</w:t>
      </w:r>
    </w:p>
    <w:p w14:paraId="67718DB9">
      <w:pPr>
        <w:ind w:firstLine="420"/>
      </w:pPr>
      <w:r>
        <w:t>Runway pavement roughness constitutes a primary input to the aircraft–runway energy consumption model. Roughness data were obtained using two general approaches: direct measurement and indirect characterization.Direct measurement methods acquire surface elevation profiles using physical instruments, including static surveying techniques, vehicle-mounted profilometers, and three-dimensional laser scanning systems. These methods provide high-resolution geometric elevation data of the runway surface. Indirect characterization methods are represented by the International Roughness Index (IRI), which estimates pavement roughness conditions through mathematical filtering models applied to longitudinal profile data. The technical principles, data processing procedures, and applicability of these two approaches are described below.</w:t>
      </w:r>
    </w:p>
    <w:p w14:paraId="686A90ED">
      <w:pPr>
        <w:pStyle w:val="4"/>
        <w:ind w:firstLine="482"/>
      </w:pPr>
      <w:r>
        <w:t>1.2.1 Three-dimensional direct roughness measurement</w:t>
      </w:r>
    </w:p>
    <w:p w14:paraId="55BBD490">
      <w:pPr>
        <w:ind w:firstLine="0" w:firstLineChars="0"/>
        <w:jc w:val="left"/>
        <w:rPr>
          <w:b/>
          <w:bCs/>
        </w:rPr>
      </w:pPr>
      <w:r>
        <w:rPr>
          <w:b/>
          <w:bCs/>
        </w:rPr>
        <w:t>Laser profilometer combined with BeiDou satellite positioning</w:t>
      </w:r>
    </w:p>
    <w:p w14:paraId="7FB01E84">
      <w:pPr>
        <w:ind w:firstLineChars="0"/>
        <w:jc w:val="left"/>
      </w:pPr>
      <w:r>
        <w:t>Short-wavelength runway roughness (wavelength &lt; 15 m) was measured using a vehicle-mounted laser profilometer. However, such systems inherently filter out long-wavelength components of surface geometry. To capture full-spectrum roughness, laser profilometer measurements were combined with high-precision BeiDou Navigation Satellite System (BDS) positioning to reconstruct long-wavelength elevation variations. In this approach, the laser distance sensor records the relative distance between the vehicle and the runway surface, while onboard accelerometers measure vehicle acceleration. Vehicle body vibrations are corrected through double integration to obtain short-wavelength surface roughness (Fig.</w:t>
      </w:r>
      <w:r>
        <w:rPr>
          <w:rFonts w:hint="eastAsia"/>
        </w:rPr>
        <w:t>S</w:t>
      </w:r>
      <w:r>
        <w:t>1.2a). Simultaneously, a mobile BDS receiver mounted on the test vehicle operates in real-time differential mode with a fixed airport base station to achieve fixed-solution positioning. The system outputs longitude, latitude, velocity, and absolute elevation at predefined sampling intervals. Current civil high-precision positioning systems achieve horizontal accuracy of approximately 1 mm and vertical accuracy of approximately 8 mm (Fig.</w:t>
      </w:r>
      <w:r>
        <w:rPr>
          <w:rFonts w:hint="eastAsia"/>
        </w:rPr>
        <w:t>S</w:t>
      </w:r>
      <w:r>
        <w:t>1.2b). Based on measurements from 21 survey lines, a three-dimensional runway elevation model was reconstructed (Fig.</w:t>
      </w:r>
      <w:r>
        <w:rPr>
          <w:rFonts w:hint="eastAsia"/>
        </w:rPr>
        <w:t>S</w:t>
      </w:r>
      <w:r>
        <w:t>1.3).</w:t>
      </w:r>
    </w:p>
    <w:p w14:paraId="2659C9F0">
      <w:pPr>
        <w:ind w:firstLine="0" w:firstLineChars="0"/>
        <w:jc w:val="center"/>
        <w:rPr>
          <w:rFonts w:ascii="宋体" w:hAnsi="宋体" w:cs="宋体"/>
          <w:kern w:val="2"/>
          <w:szCs w:val="24"/>
        </w:rPr>
      </w:pPr>
      <w:r>
        <w:rPr>
          <w:rFonts w:hint="eastAsia" w:ascii="宋体" w:hAnsi="宋体" w:cs="宋体"/>
          <w:kern w:val="2"/>
          <w:szCs w:val="24"/>
        </w:rPr>
        <w:drawing>
          <wp:inline distT="0" distB="0" distL="114300" distR="114300">
            <wp:extent cx="3557270" cy="1721485"/>
            <wp:effectExtent l="0" t="0" r="11430" b="571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8"/>
                    <a:srcRect t="6239" b="3748"/>
                    <a:stretch>
                      <a:fillRect/>
                    </a:stretch>
                  </pic:blipFill>
                  <pic:spPr>
                    <a:xfrm>
                      <a:off x="0" y="0"/>
                      <a:ext cx="3557270" cy="1721485"/>
                    </a:xfrm>
                    <a:prstGeom prst="rect">
                      <a:avLst/>
                    </a:prstGeom>
                    <a:noFill/>
                    <a:ln>
                      <a:noFill/>
                    </a:ln>
                  </pic:spPr>
                </pic:pic>
              </a:graphicData>
            </a:graphic>
          </wp:inline>
        </w:drawing>
      </w:r>
    </w:p>
    <w:p w14:paraId="46D1CDDC">
      <w:pPr>
        <w:pStyle w:val="52"/>
      </w:pPr>
      <w:r>
        <w:t>Fig.</w:t>
      </w:r>
      <w:r>
        <w:rPr>
          <w:rFonts w:hint="eastAsia"/>
        </w:rPr>
        <w:t>S</w:t>
      </w:r>
      <w:r>
        <w:t>1.1</w:t>
      </w:r>
      <w:r>
        <w:rPr>
          <w:rFonts w:hint="eastAsia"/>
        </w:rPr>
        <w:t xml:space="preserve">. </w:t>
      </w:r>
      <w:r>
        <w:t>Acquisition of absolute runway surface elevation.</w:t>
      </w:r>
    </w:p>
    <w:p w14:paraId="2ED22A25">
      <w:pPr>
        <w:tabs>
          <w:tab w:val="left" w:pos="2215"/>
        </w:tabs>
        <w:ind w:firstLine="420" w:firstLineChars="0"/>
        <w:jc w:val="left"/>
        <w:rPr>
          <w:rFonts w:cstheme="minorBidi"/>
          <w:kern w:val="2"/>
          <w:szCs w:val="24"/>
        </w:rPr>
      </w:pPr>
      <w:r>
        <w:rPr>
          <w:rFonts w:cstheme="minorBidi"/>
          <w:kern w:val="2"/>
          <w:szCs w:val="24"/>
        </w:rPr>
        <w:drawing>
          <wp:anchor distT="0" distB="0" distL="114300" distR="114300" simplePos="0" relativeHeight="251659264" behindDoc="0" locked="0" layoutInCell="1" allowOverlap="1">
            <wp:simplePos x="0" y="0"/>
            <wp:positionH relativeFrom="column">
              <wp:posOffset>2202180</wp:posOffset>
            </wp:positionH>
            <wp:positionV relativeFrom="paragraph">
              <wp:posOffset>31115</wp:posOffset>
            </wp:positionV>
            <wp:extent cx="2547620" cy="1911350"/>
            <wp:effectExtent l="0" t="0" r="5080" b="6350"/>
            <wp:wrapNone/>
            <wp:docPr id="22" name="图片 22" descr="说明: E:\项目研究\项目汇总\智能压实\智能压实产品开发\5月15号智能压实学校测试\产品拍摄\微信图片_2018051517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说明: E:\项目研究\项目汇总\智能压实\智能压实产品开发\5月15号智能压实学校测试\产品拍摄\微信图片_20180515171804.jpg"/>
                    <pic:cNvPicPr>
                      <a:picLocks noChangeAspect="1"/>
                    </pic:cNvPicPr>
                  </pic:nvPicPr>
                  <pic:blipFill>
                    <a:blip r:embed="rId9"/>
                    <a:stretch>
                      <a:fillRect/>
                    </a:stretch>
                  </pic:blipFill>
                  <pic:spPr>
                    <a:xfrm>
                      <a:off x="0" y="0"/>
                      <a:ext cx="2547620" cy="1911350"/>
                    </a:xfrm>
                    <a:prstGeom prst="rect">
                      <a:avLst/>
                    </a:prstGeom>
                    <a:noFill/>
                    <a:ln>
                      <a:noFill/>
                    </a:ln>
                  </pic:spPr>
                </pic:pic>
              </a:graphicData>
            </a:graphic>
          </wp:anchor>
        </w:drawing>
      </w:r>
      <w:r>
        <w:rPr>
          <w:rFonts w:hint="eastAsia" w:ascii="宋体" w:hAnsi="宋体" w:cs="宋体"/>
          <w:kern w:val="2"/>
          <w:szCs w:val="24"/>
        </w:rPr>
        <w:drawing>
          <wp:inline distT="0" distB="0" distL="114300" distR="114300">
            <wp:extent cx="1920240" cy="1911985"/>
            <wp:effectExtent l="0" t="0" r="10160" b="5715"/>
            <wp:docPr id="32" name="图片 32"/>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10"/>
                    <a:stretch>
                      <a:fillRect/>
                    </a:stretch>
                  </pic:blipFill>
                  <pic:spPr>
                    <a:xfrm>
                      <a:off x="0" y="0"/>
                      <a:ext cx="1920240" cy="1911985"/>
                    </a:xfrm>
                    <a:prstGeom prst="rect">
                      <a:avLst/>
                    </a:prstGeom>
                    <a:noFill/>
                    <a:ln>
                      <a:noFill/>
                    </a:ln>
                  </pic:spPr>
                </pic:pic>
              </a:graphicData>
            </a:graphic>
          </wp:inline>
        </w:drawing>
      </w:r>
    </w:p>
    <w:p w14:paraId="5A31EC82">
      <w:pPr>
        <w:tabs>
          <w:tab w:val="left" w:pos="1008"/>
        </w:tabs>
        <w:ind w:firstLine="420"/>
        <w:jc w:val="left"/>
        <w:rPr>
          <w:rFonts w:cstheme="minorBidi"/>
          <w:kern w:val="2"/>
          <w:szCs w:val="24"/>
        </w:rPr>
      </w:pPr>
      <w:r>
        <w:rPr>
          <w:rFonts w:cstheme="minorBidi"/>
          <w:kern w:val="2"/>
          <w:szCs w:val="24"/>
        </w:rPr>
        <w:t>(a) Vehicle-mounted laser profilometer system.</w:t>
      </w:r>
    </w:p>
    <w:p w14:paraId="4C08F251">
      <w:pPr>
        <w:tabs>
          <w:tab w:val="left" w:pos="1008"/>
        </w:tabs>
        <w:ind w:firstLine="420"/>
        <w:jc w:val="left"/>
        <w:rPr>
          <w:rFonts w:cstheme="minorBidi"/>
          <w:kern w:val="2"/>
          <w:szCs w:val="24"/>
        </w:rPr>
      </w:pPr>
      <w:r>
        <w:rPr>
          <w:rFonts w:cstheme="minorBidi"/>
          <w:kern w:val="2"/>
          <w:szCs w:val="24"/>
        </w:rPr>
        <w:t>(b) BeiDou Navigation Satellite System (BDS) positioning equipment.</w:t>
      </w:r>
    </w:p>
    <w:p w14:paraId="5A5FDD7E">
      <w:pPr>
        <w:pStyle w:val="52"/>
      </w:pPr>
      <w:r>
        <w:rPr>
          <w:rFonts w:hint="eastAsia"/>
        </w:rPr>
        <w:t>Fig.S1.2. Runway roughness measurement system.</w:t>
      </w:r>
    </w:p>
    <w:p w14:paraId="640A08BB">
      <w:pPr>
        <w:tabs>
          <w:tab w:val="left" w:pos="1008"/>
        </w:tabs>
        <w:ind w:firstLine="420"/>
        <w:jc w:val="left"/>
        <w:rPr>
          <w:rFonts w:cstheme="minorBidi"/>
          <w:kern w:val="2"/>
          <w:szCs w:val="24"/>
        </w:rPr>
      </w:pPr>
    </w:p>
    <w:p w14:paraId="37A2CA7B">
      <w:pPr>
        <w:tabs>
          <w:tab w:val="left" w:pos="1008"/>
        </w:tabs>
        <w:ind w:firstLine="420"/>
        <w:jc w:val="center"/>
        <w:rPr>
          <w:rFonts w:cstheme="minorBidi"/>
          <w:kern w:val="2"/>
          <w:szCs w:val="24"/>
        </w:rPr>
      </w:pPr>
      <w:r>
        <w:rPr>
          <w:rFonts w:cstheme="minorBidi"/>
          <w:kern w:val="2"/>
          <w:szCs w:val="24"/>
        </w:rPr>
        <w:drawing>
          <wp:inline distT="0" distB="0" distL="114300" distR="114300">
            <wp:extent cx="5039995" cy="2242185"/>
            <wp:effectExtent l="0" t="0" r="1905" b="571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1"/>
                    <a:stretch>
                      <a:fillRect/>
                    </a:stretch>
                  </pic:blipFill>
                  <pic:spPr>
                    <a:xfrm>
                      <a:off x="0" y="0"/>
                      <a:ext cx="5039995" cy="2242185"/>
                    </a:xfrm>
                    <a:prstGeom prst="rect">
                      <a:avLst/>
                    </a:prstGeom>
                    <a:noFill/>
                    <a:ln>
                      <a:noFill/>
                    </a:ln>
                  </pic:spPr>
                </pic:pic>
              </a:graphicData>
            </a:graphic>
          </wp:inline>
        </w:drawing>
      </w:r>
    </w:p>
    <w:p w14:paraId="076330DE">
      <w:pPr>
        <w:pStyle w:val="52"/>
      </w:pPr>
      <w:r>
        <w:t>Fig.</w:t>
      </w:r>
      <w:r>
        <w:rPr>
          <w:rFonts w:hint="eastAsia"/>
        </w:rPr>
        <w:t>S</w:t>
      </w:r>
      <w:r>
        <w:t>1.3</w:t>
      </w:r>
      <w:r>
        <w:rPr>
          <w:rFonts w:hint="eastAsia"/>
        </w:rPr>
        <w:t>.</w:t>
      </w:r>
      <w:r>
        <w:t xml:space="preserve"> Three-dimensional reconstruction of runway elevation.</w:t>
      </w:r>
    </w:p>
    <w:p w14:paraId="58A5DC50">
      <w:pPr>
        <w:ind w:firstLine="0" w:firstLineChars="0"/>
        <w:rPr>
          <w:b/>
          <w:bCs/>
        </w:rPr>
      </w:pPr>
      <w:r>
        <w:rPr>
          <w:b/>
          <w:bCs/>
        </w:rPr>
        <w:t>Three-dimensional laser scanning for high-resolution roughness acquisition</w:t>
      </w:r>
    </w:p>
    <w:p w14:paraId="6153F871">
      <w:pPr>
        <w:ind w:firstLine="420"/>
      </w:pPr>
      <w:r>
        <w:t>To improve measurement efficiency and geometric fidelity, runway roughness was acquired using a three-dimensional laser scanning system (Fig.</w:t>
      </w:r>
      <w:r>
        <w:rPr>
          <w:rFonts w:hint="eastAsia"/>
        </w:rPr>
        <w:t>S</w:t>
      </w:r>
      <w:r>
        <w:t>1.4). The workflow comprised control surveying, multi-station scanning, point cloud registration, and standardized grid construction.</w:t>
      </w:r>
    </w:p>
    <w:p w14:paraId="4D7ED8DE">
      <w:pPr>
        <w:pStyle w:val="58"/>
        <w:rPr>
          <w:rFonts w:hint="default"/>
        </w:rPr>
      </w:pPr>
      <w:r>
        <w:drawing>
          <wp:inline distT="0" distB="0" distL="0" distR="0">
            <wp:extent cx="1516380" cy="1889125"/>
            <wp:effectExtent l="0" t="0" r="7620" b="3175"/>
            <wp:docPr id="11" name="图片 11" descr="C:\Users\DELL\AppData\Local\Temp\WeChat Files\41380b0466026f2c45c23ddf4b042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DELL\AppData\Local\Temp\WeChat Files\41380b0466026f2c45c23ddf4b0422d.jpg"/>
                    <pic:cNvPicPr>
                      <a:picLocks noChangeAspect="1" noChangeArrowheads="1"/>
                    </pic:cNvPicPr>
                  </pic:nvPicPr>
                  <pic:blipFill>
                    <a:blip r:embed="rId12" cstate="print">
                      <a:extLst>
                        <a:ext uri="{28A0092B-C50C-407E-A947-70E740481C1C}">
                          <a14:useLocalDpi xmlns:a14="http://schemas.microsoft.com/office/drawing/2010/main" val="0"/>
                        </a:ext>
                      </a:extLst>
                    </a:blip>
                    <a:srcRect l="8988" t="18383" b="26085"/>
                    <a:stretch>
                      <a:fillRect/>
                    </a:stretch>
                  </pic:blipFill>
                  <pic:spPr>
                    <a:xfrm>
                      <a:off x="0" y="0"/>
                      <a:ext cx="1526134" cy="1901661"/>
                    </a:xfrm>
                    <a:prstGeom prst="rect">
                      <a:avLst/>
                    </a:prstGeom>
                    <a:noFill/>
                    <a:ln>
                      <a:noFill/>
                    </a:ln>
                  </pic:spPr>
                </pic:pic>
              </a:graphicData>
            </a:graphic>
          </wp:inline>
        </w:drawing>
      </w:r>
    </w:p>
    <w:p w14:paraId="0E9313E8">
      <w:pPr>
        <w:pStyle w:val="52"/>
      </w:pPr>
      <w:r>
        <w:t>Fig.</w:t>
      </w:r>
      <w:r>
        <w:rPr>
          <w:rFonts w:hint="eastAsia"/>
        </w:rPr>
        <w:t>S</w:t>
      </w:r>
      <w:r>
        <w:t>1.4</w:t>
      </w:r>
      <w:r>
        <w:rPr>
          <w:rFonts w:hint="eastAsia"/>
        </w:rPr>
        <w:t>.</w:t>
      </w:r>
      <w:r>
        <w:t xml:space="preserve"> Three-dimensional laser scanning system.</w:t>
      </w:r>
    </w:p>
    <w:p w14:paraId="08620204">
      <w:pPr>
        <w:ind w:firstLine="420"/>
      </w:pPr>
      <w:r>
        <w:t>Control survey: Control measurements were conducted within the runway survey area using GNSS RTK to establish a geodetic reference framework (Fig.</w:t>
      </w:r>
      <w:r>
        <w:rPr>
          <w:rFonts w:hint="eastAsia"/>
        </w:rPr>
        <w:t>S</w:t>
      </w:r>
      <w:r>
        <w:t>1.5). The achieved positioning accuracy was: Horizontal accuracy: ±(8 +1.0×10⁻⁶×D) mm, Vertical accuracy: ±(15+1.0×10⁻⁶×D) mm. where D denotes the baseline distance in millimetres.</w:t>
      </w:r>
    </w:p>
    <w:p w14:paraId="78575619">
      <w:pPr>
        <w:pStyle w:val="58"/>
        <w:rPr>
          <w:rFonts w:hint="default"/>
        </w:rPr>
      </w:pPr>
      <w:r>
        <w:drawing>
          <wp:inline distT="0" distB="0" distL="0" distR="0">
            <wp:extent cx="1638935" cy="4084320"/>
            <wp:effectExtent l="0" t="0" r="5080" b="12065"/>
            <wp:docPr id="410664443" name="图片 410664443" descr="C:\Users\DELL\Documents\WeChat Files\lkf0129\FileStorage\Temp\1670812322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64443" name="图片 410664443" descr="C:\Users\DELL\Documents\WeChat Files\lkf0129\FileStorage\Temp\1670812322868.png"/>
                    <pic:cNvPicPr>
                      <a:picLocks noChangeAspect="1" noChangeArrowheads="1"/>
                    </pic:cNvPicPr>
                  </pic:nvPicPr>
                  <pic:blipFill>
                    <a:blip r:embed="rId13">
                      <a:extLst>
                        <a:ext uri="{28A0092B-C50C-407E-A947-70E740481C1C}">
                          <a14:useLocalDpi xmlns:a14="http://schemas.microsoft.com/office/drawing/2010/main" val="0"/>
                        </a:ext>
                      </a:extLst>
                    </a:blip>
                    <a:srcRect l="17258" r="16363"/>
                    <a:stretch>
                      <a:fillRect/>
                    </a:stretch>
                  </pic:blipFill>
                  <pic:spPr>
                    <a:xfrm rot="16200000" flipV="1">
                      <a:off x="0" y="0"/>
                      <a:ext cx="1638935" cy="4084320"/>
                    </a:xfrm>
                    <a:prstGeom prst="rect">
                      <a:avLst/>
                    </a:prstGeom>
                    <a:noFill/>
                    <a:ln>
                      <a:noFill/>
                    </a:ln>
                  </pic:spPr>
                </pic:pic>
              </a:graphicData>
            </a:graphic>
          </wp:inline>
        </w:drawing>
      </w:r>
    </w:p>
    <w:p w14:paraId="4AEC5033">
      <w:pPr>
        <w:pStyle w:val="52"/>
      </w:pPr>
      <w:r>
        <w:t>Fig.</w:t>
      </w:r>
      <w:r>
        <w:rPr>
          <w:rFonts w:hint="eastAsia"/>
        </w:rPr>
        <w:t>S</w:t>
      </w:r>
      <w:r>
        <w:t>1.5</w:t>
      </w:r>
      <w:r>
        <w:rPr>
          <w:rFonts w:hint="eastAsia"/>
        </w:rPr>
        <w:t>.</w:t>
      </w:r>
      <w:r>
        <w:t xml:space="preserve"> Control survey results.</w:t>
      </w:r>
    </w:p>
    <w:p w14:paraId="56B51770">
      <w:pPr>
        <w:ind w:firstLine="420"/>
        <w:jc w:val="left"/>
      </w:pPr>
      <w:r>
        <w:t>Multi-station scanning</w:t>
      </w:r>
      <w:r>
        <w:rPr>
          <w:rFonts w:hint="eastAsia"/>
        </w:rPr>
        <w:t>:</w:t>
      </w:r>
      <w:r>
        <w:t>For long runways exceeding the coverage of a single scan position, multi-station scanning was performed (Fig.</w:t>
      </w:r>
      <w:r>
        <w:rPr>
          <w:rFonts w:hint="eastAsia"/>
        </w:rPr>
        <w:t>S</w:t>
      </w:r>
      <w:r>
        <w:t>1.6). Scan station placement satisfied two conditions:Complete spatial coverage of the runway after point cloud registration;Sufficient overlap between adjacent stations to ensure accurate alignment.</w:t>
      </w:r>
      <w:r>
        <w:rPr>
          <w:rFonts w:hint="eastAsia"/>
        </w:rPr>
        <w:t xml:space="preserve">  </w:t>
      </w:r>
      <w:r>
        <w:rPr>
          <w:rFonts w:hint="eastAsia"/>
        </w:rPr>
        <w:drawing>
          <wp:inline distT="0" distB="0" distL="0" distR="0">
            <wp:extent cx="2405380" cy="1298575"/>
            <wp:effectExtent l="0" t="0" r="7620" b="9525"/>
            <wp:docPr id="393297360" name="图片 39329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97360" name="图片 393297360"/>
                    <pic:cNvPicPr>
                      <a:picLocks noChangeAspect="1"/>
                    </pic:cNvPicPr>
                  </pic:nvPicPr>
                  <pic:blipFill>
                    <a:blip r:embed="rId14"/>
                    <a:stretch>
                      <a:fillRect/>
                    </a:stretch>
                  </pic:blipFill>
                  <pic:spPr>
                    <a:xfrm>
                      <a:off x="0" y="0"/>
                      <a:ext cx="2405380" cy="1298575"/>
                    </a:xfrm>
                    <a:prstGeom prst="rect">
                      <a:avLst/>
                    </a:prstGeom>
                  </pic:spPr>
                </pic:pic>
              </a:graphicData>
            </a:graphic>
          </wp:inline>
        </w:drawing>
      </w:r>
      <w:r>
        <w:rPr>
          <w:rFonts w:hint="eastAsia"/>
        </w:rPr>
        <w:drawing>
          <wp:inline distT="0" distB="0" distL="0" distR="0">
            <wp:extent cx="2367915" cy="1292225"/>
            <wp:effectExtent l="0" t="0" r="6985" b="3175"/>
            <wp:docPr id="1255609597" name="图片 125560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09597" name="图片 1255609597"/>
                    <pic:cNvPicPr>
                      <a:picLocks noChangeAspect="1"/>
                    </pic:cNvPicPr>
                  </pic:nvPicPr>
                  <pic:blipFill>
                    <a:blip r:embed="rId15"/>
                    <a:stretch>
                      <a:fillRect/>
                    </a:stretch>
                  </pic:blipFill>
                  <pic:spPr>
                    <a:xfrm>
                      <a:off x="0" y="0"/>
                      <a:ext cx="2367915" cy="1292225"/>
                    </a:xfrm>
                    <a:prstGeom prst="rect">
                      <a:avLst/>
                    </a:prstGeom>
                  </pic:spPr>
                </pic:pic>
              </a:graphicData>
            </a:graphic>
          </wp:inline>
        </w:drawing>
      </w:r>
    </w:p>
    <w:p w14:paraId="0D849248">
      <w:pPr>
        <w:pStyle w:val="52"/>
      </w:pPr>
      <w:r>
        <w:t>Fig.</w:t>
      </w:r>
      <w:r>
        <w:rPr>
          <w:rFonts w:hint="eastAsia"/>
        </w:rPr>
        <w:t>S</w:t>
      </w:r>
      <w:r>
        <w:t>1.6</w:t>
      </w:r>
      <w:r>
        <w:rPr>
          <w:rFonts w:hint="eastAsia"/>
        </w:rPr>
        <w:t>.</w:t>
      </w:r>
      <w:r>
        <w:t xml:space="preserve"> Example of multi-station scanning data coverage.</w:t>
      </w:r>
    </w:p>
    <w:p w14:paraId="16CA7B11">
      <w:pPr>
        <w:ind w:firstLine="420"/>
      </w:pPr>
      <w:r>
        <w:t>Point cloud registration and processing</w:t>
      </w:r>
      <w:r>
        <w:rPr>
          <w:rFonts w:hint="eastAsia"/>
        </w:rPr>
        <w:t>:</w:t>
      </w:r>
      <w:r>
        <w:t>Point clouds were registered and fused based on control point accuracy constraints. The final registration error was controlled within twice the mean square error of control measurements (Fig.</w:t>
      </w:r>
      <w:r>
        <w:rPr>
          <w:rFonts w:hint="eastAsia"/>
        </w:rPr>
        <w:t>S</w:t>
      </w:r>
      <w:r>
        <w:t>1.7).</w:t>
      </w:r>
    </w:p>
    <w:p w14:paraId="0280621A">
      <w:pPr>
        <w:ind w:firstLine="420"/>
      </w:pPr>
      <w:r>
        <w:t>The fused dataset was then used to construct a standardized digital elevation model for roughness analysis.</w:t>
      </w:r>
    </w:p>
    <w:p w14:paraId="3836A625">
      <w:pPr>
        <w:ind w:firstLine="420"/>
      </w:pPr>
      <w:r>
        <w:rPr>
          <w:rFonts w:hint="eastAsia"/>
        </w:rPr>
        <w:drawing>
          <wp:inline distT="0" distB="0" distL="0" distR="0">
            <wp:extent cx="2580640" cy="2955925"/>
            <wp:effectExtent l="0" t="0" r="3175" b="1016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rcRect r="6355"/>
                    <a:stretch>
                      <a:fillRect/>
                    </a:stretch>
                  </pic:blipFill>
                  <pic:spPr>
                    <a:xfrm rot="5400000">
                      <a:off x="0" y="0"/>
                      <a:ext cx="2580640" cy="2955925"/>
                    </a:xfrm>
                    <a:prstGeom prst="rect">
                      <a:avLst/>
                    </a:prstGeom>
                    <a:ln>
                      <a:noFill/>
                    </a:ln>
                  </pic:spPr>
                </pic:pic>
              </a:graphicData>
            </a:graphic>
          </wp:inline>
        </w:drawing>
      </w:r>
      <w:r>
        <w:rPr>
          <w:rFonts w:hint="eastAsia"/>
        </w:rPr>
        <w:t xml:space="preserve">    </w:t>
      </w:r>
      <w:r>
        <w:rPr>
          <w:rFonts w:hint="eastAsia"/>
        </w:rPr>
        <w:drawing>
          <wp:inline distT="0" distB="0" distL="0" distR="0">
            <wp:extent cx="861060" cy="2498090"/>
            <wp:effectExtent l="0" t="0" r="2540" b="3810"/>
            <wp:docPr id="728647033" name="图片 728647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47033" name="图片 728647033"/>
                    <pic:cNvPicPr>
                      <a:picLocks noChangeAspect="1"/>
                    </pic:cNvPicPr>
                  </pic:nvPicPr>
                  <pic:blipFill>
                    <a:blip r:embed="rId17"/>
                    <a:stretch>
                      <a:fillRect/>
                    </a:stretch>
                  </pic:blipFill>
                  <pic:spPr>
                    <a:xfrm rot="10800000">
                      <a:off x="0" y="0"/>
                      <a:ext cx="861060" cy="2498090"/>
                    </a:xfrm>
                    <a:prstGeom prst="rect">
                      <a:avLst/>
                    </a:prstGeom>
                  </pic:spPr>
                </pic:pic>
              </a:graphicData>
            </a:graphic>
          </wp:inline>
        </w:drawing>
      </w:r>
    </w:p>
    <w:p w14:paraId="0F9D7E35">
      <w:pPr>
        <w:pStyle w:val="52"/>
      </w:pPr>
      <w:r>
        <w:t>Fig.</w:t>
      </w:r>
      <w:r>
        <w:rPr>
          <w:rFonts w:hint="eastAsia"/>
        </w:rPr>
        <w:t>S</w:t>
      </w:r>
      <w:r>
        <w:t>1.7</w:t>
      </w:r>
      <w:r>
        <w:rPr>
          <w:rFonts w:hint="eastAsia"/>
        </w:rPr>
        <w:t>.</w:t>
      </w:r>
      <w:r>
        <w:t xml:space="preserve"> Registered and fused point cloud dataset.</w:t>
      </w:r>
    </w:p>
    <w:p w14:paraId="6A17C44B">
      <w:pPr>
        <w:ind w:firstLine="420"/>
      </w:pPr>
      <w:r>
        <w:t>Standardized grid construction</w:t>
      </w:r>
      <w:r>
        <w:rPr>
          <w:rFonts w:hint="eastAsia"/>
        </w:rPr>
        <w:t>:</w:t>
      </w:r>
      <w:r>
        <w:t>Digital grids of 5 cm×5 cm and 10 cm×10 cm resolution were generated for subsequent roughness characterization. The three-dimensional standardized roughness grid of the runway at Shanghai Hongqiao International Airport is shown in Fig.</w:t>
      </w:r>
      <w:r>
        <w:rPr>
          <w:rFonts w:hint="eastAsia"/>
        </w:rPr>
        <w:t>S</w:t>
      </w:r>
      <w:r>
        <w:t>1.8</w:t>
      </w:r>
      <w:r>
        <w:rPr>
          <w:vertAlign w:val="superscript"/>
        </w:rPr>
        <w:fldChar w:fldCharType="begin"/>
      </w:r>
      <w:r>
        <w:rPr>
          <w:vertAlign w:val="superscript"/>
        </w:rPr>
        <w:instrText xml:space="preserve"> REF _Ref17858 \r \h </w:instrText>
      </w:r>
      <w:r>
        <w:rPr>
          <w:vertAlign w:val="superscript"/>
        </w:rPr>
        <w:fldChar w:fldCharType="separate"/>
      </w:r>
      <w:r>
        <w:rPr>
          <w:vertAlign w:val="superscript"/>
        </w:rPr>
        <w:t>1</w:t>
      </w:r>
      <w:r>
        <w:rPr>
          <w:vertAlign w:val="superscript"/>
        </w:rPr>
        <w:fldChar w:fldCharType="end"/>
      </w:r>
      <w:r>
        <w:t>.</w:t>
      </w:r>
    </w:p>
    <w:p w14:paraId="532B0A44">
      <w:pPr>
        <w:ind w:firstLine="420"/>
      </w:pPr>
    </w:p>
    <w:p w14:paraId="35D6BAE2">
      <w:pPr>
        <w:ind w:firstLine="420"/>
      </w:pPr>
    </w:p>
    <w:p w14:paraId="29BA8141">
      <w:pPr>
        <w:ind w:firstLine="420"/>
      </w:pPr>
    </w:p>
    <w:p w14:paraId="58DEA940">
      <w:pPr>
        <w:ind w:firstLine="420"/>
      </w:pPr>
    </w:p>
    <w:p w14:paraId="1048E2F1">
      <w:pPr>
        <w:ind w:firstLine="420"/>
      </w:pPr>
    </w:p>
    <w:p w14:paraId="7B75163F">
      <w:pPr>
        <w:ind w:firstLine="420"/>
      </w:pPr>
    </w:p>
    <w:p w14:paraId="137F9382">
      <w:pPr>
        <w:ind w:firstLine="420"/>
      </w:pPr>
      <w:r>
        <w:rPr>
          <w:rFonts w:hint="eastAsia"/>
        </w:rPr>
        <w:drawing>
          <wp:inline distT="0" distB="0" distL="0" distR="0">
            <wp:extent cx="1670050" cy="4559935"/>
            <wp:effectExtent l="0" t="0" r="12065" b="6350"/>
            <wp:docPr id="455160540" name="图片 455160540" descr="C:\Users\DELL\AppData\Local\Temp\WeChat Files\ea0c8b561cba9f5406a63b0c848b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60540" name="图片 455160540" descr="C:\Users\DELL\AppData\Local\Temp\WeChat Files\ea0c8b561cba9f5406a63b0c848be3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rot="5400000">
                      <a:off x="0" y="0"/>
                      <a:ext cx="1688722" cy="4609753"/>
                    </a:xfrm>
                    <a:prstGeom prst="rect">
                      <a:avLst/>
                    </a:prstGeom>
                    <a:noFill/>
                    <a:ln>
                      <a:noFill/>
                    </a:ln>
                  </pic:spPr>
                </pic:pic>
              </a:graphicData>
            </a:graphic>
          </wp:inline>
        </w:drawing>
      </w:r>
    </w:p>
    <w:p w14:paraId="12B34E0D">
      <w:pPr>
        <w:pStyle w:val="52"/>
      </w:pPr>
      <w:r>
        <w:rPr>
          <w:rFonts w:hint="eastAsia"/>
        </w:rPr>
        <w:t>Fig.S1.8. Standardized three-dimensional roughness grid of the runway at Shanghai Hongqiao International Airport.</w:t>
      </w:r>
    </w:p>
    <w:p w14:paraId="6530B5B8">
      <w:pPr>
        <w:pStyle w:val="4"/>
        <w:ind w:firstLine="482"/>
      </w:pPr>
      <w:r>
        <w:t>1.2.2 Statistical modelling and roughness reconstruction based on three-dimensional power spectral density</w:t>
      </w:r>
    </w:p>
    <w:p w14:paraId="0DC81EAE">
      <w:pPr>
        <w:ind w:firstLine="420"/>
      </w:pPr>
      <w:r>
        <w:t>Based on directly measured three-dimensional elevation data, runway roughness was further characterized and modelled in the frequency domain using power spectral density (PSD) representations. Frequency-domain analysis of measured runway elevation datasets established a three-dimensional spectral modelling framework suitable for airport pavements.</w:t>
      </w:r>
    </w:p>
    <w:p w14:paraId="165C9F57">
      <w:pPr>
        <w:ind w:firstLine="420"/>
      </w:pPr>
      <w:r>
        <w:t>Distinct spectral characteristics were observed for different pavement materials. Asphalt runways were adequately described using a Sussman-type spectral model, whereas concrete runways exhibited spectral discontinuities requiring piecewise representation. A transverse coherence function was additionally introduced to quantify the statistical correlation between longitudinal and transverse roughness components.</w:t>
      </w:r>
    </w:p>
    <w:p w14:paraId="271DAB52">
      <w:pPr>
        <w:ind w:firstLine="420"/>
      </w:pPr>
      <w:r>
        <w:t>By combining the longitudinal PSD with the transverse coherence function, and incorporating transfer functions and stochastic reconstruction algorithms, three-dimensional roughness elevation fields were generated that satisfy the statistical properties of measured data. This modelling approach reduces reliance on high-density measurement datasets while preserving statistical consistency with observed roughness characteristics.</w:t>
      </w:r>
    </w:p>
    <w:p w14:paraId="5BB19474">
      <w:pPr>
        <w:ind w:firstLine="420"/>
      </w:pPr>
      <w:r>
        <w:t>(1) Longitudinal power spectral density (PSD)</w:t>
      </w:r>
    </w:p>
    <w:p w14:paraId="7B6C7CB9">
      <w:pPr>
        <w:ind w:firstLine="420"/>
      </w:pPr>
      <w:r>
        <w:t>For asphalt runways, the roughness spectral model follows a Sussman-type formulation:</w:t>
      </w:r>
    </w:p>
    <w:p w14:paraId="7B993510">
      <w:pPr>
        <w:pStyle w:val="21"/>
        <w:ind w:firstLine="482"/>
      </w:pPr>
      <w:r>
        <w:rPr>
          <w:rFonts w:hint="eastAsia"/>
        </w:rPr>
        <w:tab/>
      </w:r>
      <w:r>
        <w:rPr>
          <w:position w:val="-24"/>
        </w:rPr>
        <w:object>
          <v:shape id="_x0000_i1025" o:spt="75" type="#_x0000_t75" style="height:31pt;width:138pt;" o:ole="t" filled="f" o:preferrelative="t" stroked="f" coordsize="21600,21600">
            <v:path/>
            <v:fill on="f" focussize="0,0"/>
            <v:stroke on="f" joinstyle="miter"/>
            <v:imagedata r:id="rId20" o:title=""/>
            <o:lock v:ext="edit" aspectratio="t"/>
            <w10:wrap type="none"/>
            <w10:anchorlock/>
          </v:shape>
          <o:OLEObject Type="Embed" ProgID="Equation.DSMT4" ShapeID="_x0000_i1025" DrawAspect="Content" ObjectID="_1468075725" r:id="rId19">
            <o:LockedField>false</o:LockedField>
          </o:OLEObject>
        </w:object>
      </w:r>
      <w:r>
        <w:rPr>
          <w:rFonts w:hint="eastAsia"/>
          <w:b w:val="0"/>
          <w:bCs w:val="0"/>
        </w:rPr>
        <w:tab/>
      </w:r>
      <w:r>
        <w:rPr>
          <w:rFonts w:hint="eastAsia" w:eastAsia="宋体"/>
          <w:b w:val="0"/>
          <w:bCs w:val="0"/>
        </w:rPr>
        <w:t>(S</w:t>
      </w:r>
      <w:r>
        <w:rPr>
          <w:rFonts w:hint="eastAsia"/>
          <w:b w:val="0"/>
          <w:bCs w:val="0"/>
        </w:rPr>
        <w:t>1</w:t>
      </w:r>
      <w:r>
        <w:rPr>
          <w:rFonts w:hint="eastAsia" w:eastAsia="宋体"/>
          <w:b w:val="0"/>
          <w:bCs w:val="0"/>
        </w:rPr>
        <w:t>.1)</w:t>
      </w:r>
      <w:r>
        <w:rPr>
          <w:rFonts w:hint="eastAsia"/>
        </w:rPr>
        <w:t xml:space="preserve"> </w:t>
      </w:r>
    </w:p>
    <w:p w14:paraId="06F9DF60">
      <w:pPr>
        <w:ind w:firstLine="0" w:firstLineChars="0"/>
      </w:pPr>
      <w:r>
        <w:rPr>
          <w:rFonts w:hint="eastAsia"/>
        </w:rPr>
        <w:t>w</w:t>
      </w:r>
      <w:r>
        <w:t>here</w:t>
      </w:r>
      <w:r>
        <w:rPr>
          <w:rFonts w:hint="eastAsia"/>
        </w:rPr>
        <w:t xml:space="preserve"> G</w:t>
      </w:r>
      <w:r>
        <w:rPr>
          <w:rFonts w:hint="eastAsia"/>
          <w:vertAlign w:val="subscript"/>
        </w:rPr>
        <w:t>d</w:t>
      </w:r>
      <w:r>
        <w:t xml:space="preserve"> denotes the power spectral density and </w:t>
      </w:r>
      <w:r>
        <w:rPr>
          <w:rFonts w:ascii="Cambria Math" w:hAnsi="Cambria Math" w:cs="Cambria Math"/>
        </w:rPr>
        <w:t>𝑛</w:t>
      </w:r>
      <w:r>
        <w:t xml:space="preserve"> represents the spatial frequency.</w:t>
      </w:r>
    </w:p>
    <w:p w14:paraId="3A6F7331">
      <w:pPr>
        <w:ind w:firstLine="420"/>
      </w:pPr>
      <w:r>
        <w:t xml:space="preserve">For concrete runways, a piecewise spectral model with a discontinuity at </w:t>
      </w:r>
      <m:oMath>
        <m:sSub>
          <m:sSubPr>
            <m:ctrlPr>
              <w:rPr>
                <w:rFonts w:hint="eastAsia" w:ascii="Cambria Math" w:hAnsi="Cambria Math"/>
              </w:rPr>
            </m:ctrlPr>
          </m:sSubPr>
          <m:e>
            <m:r>
              <m:rPr>
                <m:sty m:val="p"/>
              </m:rPr>
              <w:rPr>
                <w:rFonts w:hint="eastAsia" w:ascii="Cambria Math" w:hAnsi="Cambria Math"/>
              </w:rPr>
              <m:t>n</m:t>
            </m:r>
            <m:ctrlPr>
              <w:rPr>
                <w:rFonts w:hint="eastAsia" w:ascii="Cambria Math" w:hAnsi="Cambria Math"/>
              </w:rPr>
            </m:ctrlPr>
          </m:e>
          <m:sub>
            <m:r>
              <m:rPr>
                <m:sty m:val="p"/>
              </m:rPr>
              <w:rPr>
                <w:rFonts w:hint="eastAsia" w:ascii="Cambria Math" w:hAnsi="Cambria Math"/>
              </w:rPr>
              <m:t>0</m:t>
            </m:r>
            <m:ctrlPr>
              <w:rPr>
                <w:rFonts w:hint="eastAsia" w:ascii="Cambria Math" w:hAnsi="Cambria Math"/>
              </w:rPr>
            </m:ctrlPr>
          </m:sub>
        </m:sSub>
        <m:r>
          <m:rPr>
            <m:sty m:val="p"/>
          </m:rPr>
          <w:rPr>
            <w:rFonts w:hint="eastAsia" w:ascii="Cambria Math" w:hAnsi="Cambria Math"/>
          </w:rPr>
          <m:t>=0.1</m:t>
        </m:r>
        <m:sSup>
          <m:sSupPr>
            <m:ctrlPr>
              <w:rPr>
                <w:rFonts w:hint="eastAsia" w:ascii="Cambria Math" w:hAnsi="Cambria Math"/>
              </w:rPr>
            </m:ctrlPr>
          </m:sSupPr>
          <m:e>
            <m:r>
              <m:rPr>
                <m:sty m:val="p"/>
              </m:rPr>
              <w:rPr>
                <w:rFonts w:hint="eastAsia" w:ascii="Cambria Math" w:hAnsi="Cambria Math"/>
              </w:rPr>
              <m:t>m</m:t>
            </m:r>
            <m:ctrlPr>
              <w:rPr>
                <w:rFonts w:hint="eastAsia" w:ascii="Cambria Math" w:hAnsi="Cambria Math"/>
              </w:rPr>
            </m:ctrlPr>
          </m:e>
          <m:sup>
            <m:r>
              <m:rPr>
                <m:sty m:val="p"/>
              </m:rPr>
              <w:rPr>
                <w:rFonts w:hint="eastAsia" w:ascii="Cambria Math" w:hAnsi="Cambria Math"/>
              </w:rPr>
              <m:t>−1 </m:t>
            </m:r>
            <m:ctrlPr>
              <w:rPr>
                <w:rFonts w:hint="eastAsia" w:ascii="Cambria Math" w:hAnsi="Cambria Math"/>
              </w:rPr>
            </m:ctrlPr>
          </m:sup>
        </m:sSup>
      </m:oMath>
    </w:p>
    <w:p w14:paraId="18C1584A">
      <w:pPr>
        <w:ind w:firstLine="0" w:firstLineChars="0"/>
      </w:pPr>
      <w:r>
        <w:t>was adopted:</w:t>
      </w:r>
    </w:p>
    <w:p w14:paraId="334F55C9">
      <w:pPr>
        <w:pStyle w:val="21"/>
        <w:ind w:firstLine="482"/>
      </w:pPr>
      <w:r>
        <w:rPr>
          <w:rFonts w:hint="eastAsia" w:hAnsi="Cambria Math" w:eastAsia="宋体"/>
        </w:rPr>
        <w:tab/>
      </w:r>
      <m:oMath>
        <m:d>
          <m:dPr>
            <m:begChr m:val="{"/>
            <m:endChr m:val=""/>
            <m:ctrlPr>
              <w:rPr>
                <w:rFonts w:hint="eastAsia" w:ascii="Cambria Math" w:hAnsi="Cambria Math"/>
                <w:b w:val="0"/>
                <w:bCs w:val="0"/>
                <w:i/>
              </w:rPr>
            </m:ctrlPr>
          </m:dPr>
          <m:e>
            <m:eqArr>
              <m:eqArrPr>
                <m:ctrlPr>
                  <w:rPr>
                    <w:rFonts w:hint="eastAsia" w:ascii="Cambria Math" w:hAnsi="Cambria Math"/>
                    <w:b w:val="0"/>
                    <w:bCs w:val="0"/>
                    <w:i/>
                  </w:rPr>
                </m:ctrlPr>
              </m:eqArrPr>
              <m:e>
                <m:r>
                  <m:rPr/>
                  <w:rPr>
                    <w:rFonts w:hint="eastAsia" w:ascii="Cambria Math" w:hAnsi="Cambria Math"/>
                  </w:rPr>
                  <m:t>&amp;</m:t>
                </m:r>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d</m:t>
                    </m:r>
                    <m:ctrlPr>
                      <w:rPr>
                        <w:rFonts w:hint="eastAsia" w:ascii="Cambria Math" w:hAnsi="Cambria Math"/>
                        <w:b w:val="0"/>
                        <w:bCs w:val="0"/>
                        <w:i/>
                      </w:rPr>
                    </m:ctrlPr>
                  </m:sub>
                </m:sSub>
                <m:r>
                  <m:rPr/>
                  <w:rPr>
                    <w:rFonts w:ascii="Cambria Math" w:hAnsi="Cambria Math"/>
                  </w:rPr>
                  <m:t>(n)=</m:t>
                </m:r>
                <m:f>
                  <m:fPr>
                    <m:ctrlPr>
                      <w:rPr>
                        <w:rFonts w:hint="eastAsia" w:ascii="Cambria Math" w:hAnsi="Cambria Math"/>
                        <w:b w:val="0"/>
                        <w:bCs w:val="0"/>
                        <w:i/>
                      </w:rPr>
                    </m:ctrlPr>
                  </m:fPr>
                  <m:num>
                    <m:sSub>
                      <m:sSubPr>
                        <m:ctrlPr>
                          <w:rPr>
                            <w:rFonts w:hint="eastAsia" w:ascii="Cambria Math" w:hAnsi="Cambria Math"/>
                            <w:b w:val="0"/>
                            <w:bCs w:val="0"/>
                            <w:i/>
                          </w:rPr>
                        </m:ctrlPr>
                      </m:sSubPr>
                      <m:e>
                        <m:r>
                          <m:rPr/>
                          <w:rPr>
                            <w:rFonts w:ascii="Cambria Math" w:hAnsi="Cambria Math"/>
                          </w:rPr>
                          <m:t>C</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ctrlPr>
                      <w:rPr>
                        <w:rFonts w:hint="eastAsia" w:ascii="Cambria Math" w:hAnsi="Cambria Math"/>
                        <w:b w:val="0"/>
                        <w:bCs w:val="0"/>
                        <w:i/>
                      </w:rPr>
                    </m:ctrlPr>
                  </m:num>
                  <m:den>
                    <m:sSup>
                      <m:sSupPr>
                        <m:ctrlPr>
                          <w:rPr>
                            <w:rFonts w:hint="eastAsia" w:ascii="Cambria Math" w:hAnsi="Cambria Math"/>
                            <w:b w:val="0"/>
                            <w:bCs w:val="0"/>
                            <w:i/>
                          </w:rPr>
                        </m:ctrlPr>
                      </m:sSupPr>
                      <m:e>
                        <m:r>
                          <m:rPr/>
                          <w:rPr>
                            <w:rFonts w:ascii="Cambria Math" w:hAnsi="Cambria Math"/>
                          </w:rPr>
                          <m:t>α</m:t>
                        </m:r>
                        <m:ctrlPr>
                          <w:rPr>
                            <w:rFonts w:hint="eastAsia" w:ascii="Cambria Math" w:hAnsi="Cambria Math"/>
                            <w:b w:val="0"/>
                            <w:bCs w:val="0"/>
                            <w:i/>
                          </w:rPr>
                        </m:ctrlPr>
                      </m:e>
                      <m:sup>
                        <m:sSub>
                          <m:sSubPr>
                            <m:ctrlPr>
                              <w:rPr>
                                <w:rFonts w:hint="eastAsia" w:ascii="Cambria Math" w:hAnsi="Cambria Math"/>
                                <w:b w:val="0"/>
                                <w:bCs w:val="0"/>
                                <w:i/>
                              </w:rPr>
                            </m:ctrlPr>
                          </m:sSubPr>
                          <m:e>
                            <m:r>
                              <m:rPr/>
                              <w:rPr>
                                <w:rFonts w:ascii="Cambria Math" w:hAnsi="Cambria Math"/>
                              </w:rPr>
                              <m:t>w</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ctrlPr>
                          <w:rPr>
                            <w:rFonts w:hint="eastAsia" w:ascii="Cambria Math" w:hAnsi="Cambria Math"/>
                            <w:b w:val="0"/>
                            <w:bCs w:val="0"/>
                            <w:i/>
                          </w:rPr>
                        </m:ctrlPr>
                      </m:sup>
                    </m:sSup>
                    <m:r>
                      <m:rPr/>
                      <w:rPr>
                        <w:rFonts w:hint="eastAsia" w:ascii="Cambria Math" w:hAnsi="Cambria Math"/>
                      </w:rPr>
                      <m:t>+</m:t>
                    </m:r>
                    <m:sSup>
                      <m:sSupPr>
                        <m:ctrlPr>
                          <w:rPr>
                            <w:rFonts w:hint="eastAsia" w:ascii="Cambria Math" w:hAnsi="Cambria Math"/>
                            <w:b w:val="0"/>
                            <w:bCs w:val="0"/>
                            <w:i/>
                          </w:rPr>
                        </m:ctrlPr>
                      </m:sSupPr>
                      <m:e>
                        <m:r>
                          <m:rPr/>
                          <w:rPr>
                            <w:rFonts w:ascii="Cambria Math" w:hAnsi="Cambria Math"/>
                          </w:rPr>
                          <m:t>n</m:t>
                        </m:r>
                        <m:ctrlPr>
                          <w:rPr>
                            <w:rFonts w:hint="eastAsia" w:ascii="Cambria Math" w:hAnsi="Cambria Math"/>
                            <w:b w:val="0"/>
                            <w:bCs w:val="0"/>
                            <w:i/>
                          </w:rPr>
                        </m:ctrlPr>
                      </m:e>
                      <m:sup>
                        <m:sSub>
                          <m:sSubPr>
                            <m:ctrlPr>
                              <w:rPr>
                                <w:rFonts w:hint="eastAsia" w:ascii="Cambria Math" w:hAnsi="Cambria Math"/>
                                <w:b w:val="0"/>
                                <w:bCs w:val="0"/>
                                <w:i/>
                              </w:rPr>
                            </m:ctrlPr>
                          </m:sSubPr>
                          <m:e>
                            <m:r>
                              <m:rPr/>
                              <w:rPr>
                                <w:rFonts w:ascii="Cambria Math" w:hAnsi="Cambria Math"/>
                              </w:rPr>
                              <m:t>w</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ctrlPr>
                          <w:rPr>
                            <w:rFonts w:hint="eastAsia" w:ascii="Cambria Math" w:hAnsi="Cambria Math"/>
                            <w:b w:val="0"/>
                            <w:bCs w:val="0"/>
                            <w:i/>
                          </w:rPr>
                        </m:ctrlPr>
                      </m:sup>
                    </m:sSup>
                    <m:ctrlPr>
                      <w:rPr>
                        <w:rFonts w:hint="eastAsia" w:ascii="Cambria Math" w:hAnsi="Cambria Math"/>
                        <w:b w:val="0"/>
                        <w:bCs w:val="0"/>
                        <w:i/>
                      </w:rPr>
                    </m:ctrlPr>
                  </m:den>
                </m:f>
                <m:r>
                  <m:rPr/>
                  <w:rPr>
                    <w:rFonts w:hint="eastAsia" w:ascii="Cambria Math" w:hAnsi="Cambria Math"/>
                  </w:rPr>
                  <m:t> ,</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&lt;</m:t>
                    </m:r>
                    <m:ctrlPr>
                      <w:rPr>
                        <w:rFonts w:hint="eastAsia" w:ascii="Cambria Math" w:hAnsi="Cambria Math"/>
                        <w:b w:val="0"/>
                        <w:bCs w:val="0"/>
                        <w:i/>
                      </w:rPr>
                    </m:ctrlPr>
                  </m:e>
                </m:func>
                <m:sSub>
                  <m:sSubPr>
                    <m:ctrlPr>
                      <w:rPr>
                        <w:rFonts w:hint="eastAsia" w:ascii="Cambria Math" w:hAnsi="Cambria Math"/>
                        <w:b w:val="0"/>
                        <w:bCs w:val="0"/>
                        <w:i/>
                      </w:rPr>
                    </m:ctrlPr>
                  </m:sSubPr>
                  <m:e>
                    <m:r>
                      <m:rPr/>
                      <w:rPr>
                        <w:rFonts w:ascii="Cambria Math" w:hAnsi="Cambria Math"/>
                      </w:rPr>
                      <m:t>n</m:t>
                    </m:r>
                    <m:ctrlPr>
                      <w:rPr>
                        <w:rFonts w:hint="eastAsia" w:ascii="Cambria Math" w:hAnsi="Cambria Math"/>
                        <w:b w:val="0"/>
                        <w:bCs w:val="0"/>
                        <w:i/>
                      </w:rPr>
                    </m:ctrlPr>
                  </m:e>
                  <m:sub>
                    <m:r>
                      <m:rPr/>
                      <w:rPr>
                        <w:rFonts w:ascii="Cambria Math" w:hAnsi="Cambria Math"/>
                      </w:rPr>
                      <m:t>0</m:t>
                    </m:r>
                    <m:ctrlPr>
                      <w:rPr>
                        <w:rFonts w:hint="eastAsia" w:ascii="Cambria Math" w:hAnsi="Cambria Math"/>
                        <w:b w:val="0"/>
                        <w:bCs w:val="0"/>
                        <w:i/>
                      </w:rPr>
                    </m:ctrlPr>
                  </m:sub>
                </m:sSub>
                <m:r>
                  <m:rPr/>
                  <w:rPr>
                    <w:rFonts w:ascii="Cambria Math" w:hAnsi="Cambria Math"/>
                  </w:rPr>
                  <m:t>   First paragraph</m:t>
                </m:r>
                <m:ctrlPr>
                  <w:rPr>
                    <w:rFonts w:hint="eastAsia" w:ascii="Cambria Math" w:hAnsi="Cambria Math"/>
                    <w:b w:val="0"/>
                    <w:bCs w:val="0"/>
                    <w:i/>
                  </w:rPr>
                </m:ctrlPr>
              </m:e>
              <m:e>
                <m:r>
                  <m:rPr/>
                  <w:rPr>
                    <w:rFonts w:hint="eastAsia" w:ascii="Cambria Math" w:hAnsi="Cambria Math"/>
                  </w:rPr>
                  <m:t>&amp;</m:t>
                </m:r>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d</m:t>
                    </m:r>
                    <m:ctrlPr>
                      <w:rPr>
                        <w:rFonts w:hint="eastAsia" w:ascii="Cambria Math" w:hAnsi="Cambria Math"/>
                        <w:b w:val="0"/>
                        <w:bCs w:val="0"/>
                        <w:i/>
                      </w:rPr>
                    </m:ctrlPr>
                  </m:sub>
                </m:sSub>
                <m:r>
                  <m:rPr/>
                  <w:rPr>
                    <w:rFonts w:ascii="Cambria Math" w:hAnsi="Cambria Math"/>
                  </w:rPr>
                  <m:t>(n)=</m:t>
                </m:r>
                <m:sSub>
                  <m:sSubPr>
                    <m:ctrlPr>
                      <w:rPr>
                        <w:rFonts w:hint="eastAsia" w:ascii="Cambria Math" w:hAnsi="Cambria Math"/>
                        <w:b w:val="0"/>
                        <w:bCs w:val="0"/>
                        <w:i/>
                      </w:rPr>
                    </m:ctrlPr>
                  </m:sSubPr>
                  <m:e>
                    <m:r>
                      <m:rPr/>
                      <w:rPr>
                        <w:rFonts w:ascii="Cambria Math" w:hAnsi="Cambria Math"/>
                      </w:rPr>
                      <m:t>C</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sSup>
                  <m:sSupPr>
                    <m:ctrlPr>
                      <w:rPr>
                        <w:rFonts w:hint="eastAsia" w:ascii="Cambria Math" w:hAnsi="Cambria Math"/>
                        <w:b w:val="0"/>
                        <w:bCs w:val="0"/>
                        <w:i/>
                      </w:rPr>
                    </m:ctrlPr>
                  </m:sSupPr>
                  <m:e>
                    <m:r>
                      <m:rPr/>
                      <w:rPr>
                        <w:rFonts w:ascii="Cambria Math" w:hAnsi="Cambria Math"/>
                      </w:rPr>
                      <m:t>n</m:t>
                    </m:r>
                    <m:ctrlPr>
                      <w:rPr>
                        <w:rFonts w:hint="eastAsia" w:ascii="Cambria Math" w:hAnsi="Cambria Math"/>
                        <w:b w:val="0"/>
                        <w:bCs w:val="0"/>
                        <w:i/>
                      </w:rPr>
                    </m:ctrlPr>
                  </m:e>
                  <m:sup>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w</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ctrlPr>
                      <w:rPr>
                        <w:rFonts w:hint="eastAsia" w:ascii="Cambria Math" w:hAnsi="Cambria Math"/>
                        <w:b w:val="0"/>
                        <w:bCs w:val="0"/>
                        <w:i/>
                      </w:rPr>
                    </m:ctrlPr>
                  </m:sup>
                </m:sSup>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sSub>
                  <m:sSubPr>
                    <m:ctrlPr>
                      <w:rPr>
                        <w:rFonts w:hint="eastAsia" w:ascii="Cambria Math" w:hAnsi="Cambria Math"/>
                        <w:b w:val="0"/>
                        <w:bCs w:val="0"/>
                        <w:i/>
                      </w:rPr>
                    </m:ctrlPr>
                  </m:sSubPr>
                  <m:e>
                    <m:r>
                      <m:rPr/>
                      <w:rPr>
                        <w:rFonts w:ascii="Cambria Math" w:hAnsi="Cambria Math"/>
                      </w:rPr>
                      <m:t>n</m:t>
                    </m:r>
                    <m:ctrlPr>
                      <w:rPr>
                        <w:rFonts w:hint="eastAsia" w:ascii="Cambria Math" w:hAnsi="Cambria Math"/>
                        <w:b w:val="0"/>
                        <w:bCs w:val="0"/>
                        <w:i/>
                      </w:rPr>
                    </m:ctrlPr>
                  </m:e>
                  <m:sub>
                    <m:r>
                      <m:rPr/>
                      <w:rPr>
                        <w:rFonts w:ascii="Cambria Math" w:hAnsi="Cambria Math"/>
                      </w:rPr>
                      <m:t>0</m:t>
                    </m:r>
                    <m:ctrlPr>
                      <w:rPr>
                        <w:rFonts w:hint="eastAsia" w:ascii="Cambria Math" w:hAnsi="Cambria Math"/>
                        <w:b w:val="0"/>
                        <w:bCs w:val="0"/>
                        <w:i/>
                      </w:rPr>
                    </m:ctrlPr>
                  </m:sub>
                </m:sSub>
                <m:r>
                  <m:rPr/>
                  <w:rPr>
                    <w:rFonts w:ascii="Cambria Math" w:hAnsi="Cambria Math"/>
                  </w:rPr>
                  <m:t>      Second paragraph</m:t>
                </m:r>
                <m:ctrlPr>
                  <w:rPr>
                    <w:rFonts w:hint="eastAsia" w:ascii="Cambria Math" w:hAnsi="Cambria Math"/>
                    <w:b w:val="0"/>
                    <w:bCs w:val="0"/>
                    <w:i/>
                  </w:rPr>
                </m:ctrlPr>
              </m:e>
            </m:eqArr>
            <m:ctrlPr>
              <w:rPr>
                <w:rFonts w:hint="eastAsia" w:ascii="Cambria Math" w:hAnsi="Cambria Math"/>
                <w:b w:val="0"/>
                <w:bCs w:val="0"/>
                <w:i/>
              </w:rPr>
            </m:ctrlPr>
          </m:e>
        </m:d>
      </m:oMath>
      <w:r>
        <w:rPr>
          <w:rFonts w:hint="eastAsia"/>
        </w:rPr>
        <w:tab/>
      </w:r>
      <w:bookmarkStart w:id="0" w:name="OLE_LINK3"/>
      <w:r>
        <w:rPr>
          <w:rFonts w:hint="eastAsia" w:eastAsia="宋体"/>
          <w:b w:val="0"/>
          <w:bCs w:val="0"/>
        </w:rPr>
        <w:t>(S1.</w:t>
      </w:r>
      <w:r>
        <w:rPr>
          <w:rFonts w:hint="eastAsia"/>
          <w:b w:val="0"/>
          <w:bCs w:val="0"/>
        </w:rPr>
        <w:t>2</w:t>
      </w:r>
      <w:r>
        <w:rPr>
          <w:rFonts w:hint="eastAsia" w:eastAsia="宋体"/>
          <w:b w:val="0"/>
          <w:bCs w:val="0"/>
        </w:rPr>
        <w:t>)</w:t>
      </w:r>
      <w:bookmarkEnd w:id="0"/>
    </w:p>
    <w:p w14:paraId="52E46CE9">
      <w:pPr>
        <w:ind w:firstLine="420"/>
      </w:pPr>
      <w:r>
        <w:t>(2) Transverse coherence function</w:t>
      </w:r>
    </w:p>
    <w:p w14:paraId="53BFA427">
      <w:pPr>
        <w:ind w:firstLine="420"/>
      </w:pPr>
      <w:r>
        <w:t>The transverse coherence function is fitted using:</w:t>
      </w:r>
    </w:p>
    <w:p w14:paraId="75388A79">
      <w:pPr>
        <w:pStyle w:val="21"/>
        <w:ind w:firstLine="482"/>
        <w:rPr>
          <w:b w:val="0"/>
          <w:bCs w:val="0"/>
        </w:rPr>
      </w:pPr>
      <w:r>
        <w:rPr>
          <w:rFonts w:hint="eastAsia"/>
        </w:rPr>
        <w:tab/>
      </w:r>
      <m:oMath>
        <m:r>
          <m:rPr/>
          <w:rPr>
            <w:rFonts w:ascii="Cambria Math" w:hAnsi="Cambria Math"/>
          </w:rPr>
          <m:t>co</m:t>
        </m:r>
        <m:sSub>
          <m:sSubPr>
            <m:ctrlPr>
              <w:rPr>
                <w:rFonts w:hint="eastAsia" w:ascii="Cambria Math" w:hAnsi="Cambria Math"/>
                <w:b w:val="0"/>
                <w:bCs w:val="0"/>
                <w:i/>
              </w:rPr>
            </m:ctrlPr>
          </m:sSubPr>
          <m:e>
            <m:r>
              <m:rPr/>
              <w:rPr>
                <w:rFonts w:ascii="Cambria Math" w:hAnsi="Cambria Math"/>
              </w:rPr>
              <m:t>h</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ascii="Cambria Math" w:hAnsi="Cambria Math"/>
          </w:rPr>
          <m:t>=a</m:t>
        </m:r>
        <m:sSup>
          <m:sSupPr>
            <m:ctrlPr>
              <w:rPr>
                <w:rFonts w:hint="eastAsia" w:ascii="Cambria Math" w:hAnsi="Cambria Math"/>
                <w:b w:val="0"/>
                <w:bCs w:val="0"/>
                <w:i/>
              </w:rPr>
            </m:ctrlPr>
          </m:sSupPr>
          <m:e>
            <m:r>
              <m:rPr/>
              <w:rPr>
                <w:rFonts w:ascii="Cambria Math" w:hAnsi="Cambria Math"/>
              </w:rPr>
              <m:t>e</m:t>
            </m:r>
            <m:ctrlPr>
              <w:rPr>
                <w:rFonts w:hint="eastAsia" w:ascii="Cambria Math" w:hAnsi="Cambria Math"/>
                <w:b w:val="0"/>
                <w:bCs w:val="0"/>
                <w:i/>
              </w:rPr>
            </m:ctrlPr>
          </m:e>
          <m:sup>
            <m:r>
              <m:rPr/>
              <w:rPr>
                <w:rFonts w:ascii="Cambria Math" w:hAnsi="Cambria Math"/>
              </w:rPr>
              <m:t>−f</m:t>
            </m:r>
            <m:d>
              <m:dPr>
                <m:ctrlPr>
                  <w:rPr>
                    <w:rFonts w:hint="eastAsia" w:ascii="Cambria Math" w:hAnsi="Cambria Math"/>
                    <w:b w:val="0"/>
                    <w:bCs w:val="0"/>
                    <w:i/>
                  </w:rPr>
                </m:ctrlPr>
              </m:dPr>
              <m:e>
                <m:r>
                  <m:rPr/>
                  <w:rPr>
                    <w:rFonts w:ascii="Cambria Math" w:hAnsi="Cambria Math"/>
                  </w:rPr>
                  <m:t>ρ</m:t>
                </m:r>
                <m:ctrlPr>
                  <w:rPr>
                    <w:rFonts w:hint="eastAsia" w:ascii="Cambria Math" w:hAnsi="Cambria Math"/>
                    <w:b w:val="0"/>
                    <w:bCs w:val="0"/>
                    <w:i/>
                  </w:rPr>
                </m:ctrlPr>
              </m:e>
            </m:d>
            <m:r>
              <m:rPr/>
              <w:rPr>
                <w:rFonts w:ascii="Cambria Math" w:hAnsi="Cambria Math"/>
              </w:rPr>
              <m:t>n</m:t>
            </m:r>
            <m:ctrlPr>
              <w:rPr>
                <w:rFonts w:hint="eastAsia" w:ascii="Cambria Math" w:hAnsi="Cambria Math"/>
                <w:b w:val="0"/>
                <w:bCs w:val="0"/>
                <w:i/>
              </w:rPr>
            </m:ctrlPr>
          </m:sup>
        </m:sSup>
        <m:r>
          <m:rPr/>
          <w:rPr>
            <w:rFonts w:ascii="Cambria Math" w:hAnsi="Cambria Math"/>
          </w:rPr>
          <m:t>−a+1</m:t>
        </m:r>
        <m:r>
          <m:rPr/>
          <w:rPr>
            <w:rFonts w:hint="eastAsia" w:ascii="Cambria Math" w:hAnsi="Cambria Math" w:eastAsia="宋体" w:cs="宋体"/>
          </w:rPr>
          <m:t>，</m:t>
        </m:r>
        <m:r>
          <m:rPr/>
          <w:rPr>
            <w:rFonts w:ascii="Cambria Math" w:hAnsi="Cambria Math"/>
          </w:rPr>
          <m:t>f(</m:t>
        </m:r>
        <m:r>
          <m:rPr/>
          <w:rPr>
            <w:rFonts w:ascii="Cambria Math" w:hAnsi="Cambria Math" w:cs="Cambria Math"/>
          </w:rPr>
          <m:t>ρ</m:t>
        </m:r>
        <m:r>
          <m:rPr/>
          <w:rPr>
            <w:rFonts w:ascii="Cambria Math" w:hAnsi="Cambria Math"/>
          </w:rPr>
          <m:t>)&gt;0</m:t>
        </m:r>
      </m:oMath>
      <w:r>
        <w:rPr>
          <w:rFonts w:hint="eastAsia"/>
        </w:rPr>
        <w:tab/>
      </w:r>
      <w:r>
        <w:rPr>
          <w:rFonts w:hint="eastAsia" w:eastAsia="宋体"/>
          <w:b w:val="0"/>
          <w:bCs w:val="0"/>
        </w:rPr>
        <w:t>(S1.</w:t>
      </w:r>
      <w:r>
        <w:rPr>
          <w:rFonts w:hint="eastAsia"/>
          <w:b w:val="0"/>
          <w:bCs w:val="0"/>
        </w:rPr>
        <w:t>3</w:t>
      </w:r>
      <w:r>
        <w:rPr>
          <w:rFonts w:hint="eastAsia" w:eastAsia="宋体"/>
          <w:b w:val="0"/>
          <w:bCs w:val="0"/>
        </w:rPr>
        <w:t>)</w:t>
      </w:r>
    </w:p>
    <w:p w14:paraId="30C7972D">
      <w:pPr>
        <w:ind w:firstLine="0" w:firstLineChars="0"/>
      </w:pPr>
      <w:r>
        <w:t xml:space="preserve">where a is the fitting coefficient and </w:t>
      </w:r>
      <w:r>
        <w:rPr>
          <w:rFonts w:ascii="Cambria Math" w:hAnsi="Cambria Math" w:cs="Cambria Math"/>
        </w:rPr>
        <w:t>𝜌</w:t>
      </w:r>
      <w:r>
        <w:t xml:space="preserve"> denotes the spacing between two survey lines.</w:t>
      </w:r>
    </w:p>
    <w:p w14:paraId="3AB69BAD">
      <w:pPr>
        <w:ind w:firstLine="420"/>
      </w:pPr>
      <w:r>
        <w:t xml:space="preserve">The decay function is defined as </w:t>
      </w:r>
      <m:oMath>
        <m:r>
          <m:rPr>
            <m:sty m:val="p"/>
          </m:rPr>
          <w:rPr>
            <w:rFonts w:hint="eastAsia" w:ascii="Cambria Math" w:hAnsi="Cambria Math"/>
          </w:rPr>
          <m:t>f(ρ)=b(ρ</m:t>
        </m:r>
        <m:sSup>
          <m:sSupPr>
            <m:ctrlPr>
              <w:rPr>
                <w:rFonts w:hint="eastAsia" w:ascii="Cambria Math" w:hAnsi="Cambria Math"/>
              </w:rPr>
            </m:ctrlPr>
          </m:sSupPr>
          <m:e>
            <m:r>
              <m:rPr>
                <m:sty m:val="p"/>
              </m:rPr>
              <w:rPr>
                <w:rFonts w:hint="eastAsia" w:ascii="Cambria Math" w:hAnsi="Cambria Math"/>
              </w:rPr>
              <m:t>)</m:t>
            </m:r>
            <m:ctrlPr>
              <w:rPr>
                <w:rFonts w:hint="eastAsia" w:ascii="Cambria Math" w:hAnsi="Cambria Math"/>
              </w:rPr>
            </m:ctrlPr>
          </m:e>
          <m:sup>
            <m:r>
              <m:rPr>
                <m:sty m:val="p"/>
              </m:rPr>
              <w:rPr>
                <w:rFonts w:hint="eastAsia" w:ascii="Cambria Math" w:hAnsi="Cambria Math"/>
              </w:rPr>
              <m:t>c</m:t>
            </m:r>
            <m:ctrlPr>
              <w:rPr>
                <w:rFonts w:hint="eastAsia" w:ascii="Cambria Math" w:hAnsi="Cambria Math"/>
              </w:rPr>
            </m:ctrlPr>
          </m:sup>
        </m:sSup>
      </m:oMath>
      <w:r>
        <w:t>. The fitted parameter ranges are summarized in</w:t>
      </w:r>
      <w:r>
        <w:rPr>
          <w:rFonts w:hint="eastAsia"/>
        </w:rPr>
        <w:t xml:space="preserve"> </w:t>
      </w:r>
      <w:r>
        <w:t>Table</w:t>
      </w:r>
      <w:r>
        <w:rPr>
          <w:rFonts w:hint="eastAsia"/>
        </w:rPr>
        <w:t xml:space="preserve"> S</w:t>
      </w:r>
      <w:r>
        <w:t>1.2.</w:t>
      </w:r>
    </w:p>
    <w:p w14:paraId="5E53F99E">
      <w:pPr>
        <w:pStyle w:val="52"/>
      </w:pPr>
      <w:r>
        <w:t xml:space="preserve">Table </w:t>
      </w:r>
      <w:r>
        <w:rPr>
          <w:rFonts w:hint="eastAsia"/>
        </w:rPr>
        <w:t>S</w:t>
      </w:r>
      <w:r>
        <w:t>1.2</w:t>
      </w:r>
      <w:r>
        <w:rPr>
          <w:rFonts w:hint="eastAsia"/>
        </w:rPr>
        <w:t>.</w:t>
      </w:r>
      <w:r>
        <w:t xml:space="preserve"> Fitted parameter ranges of the transverse coherence function</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0"/>
        <w:gridCol w:w="3196"/>
        <w:gridCol w:w="2966"/>
      </w:tblGrid>
      <w:tr w14:paraId="2C588E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85" w:type="pct"/>
            <w:tcBorders>
              <w:top w:val="single" w:color="auto" w:sz="12" w:space="0"/>
              <w:bottom w:val="single" w:color="auto" w:sz="12" w:space="0"/>
            </w:tcBorders>
            <w:vAlign w:val="center"/>
          </w:tcPr>
          <w:p w14:paraId="78903CD5">
            <w:pPr>
              <w:pStyle w:val="49"/>
            </w:pPr>
            <w:r>
              <w:rPr>
                <w:rFonts w:hint="eastAsia"/>
              </w:rPr>
              <w:t>a</w:t>
            </w:r>
          </w:p>
        </w:tc>
        <w:tc>
          <w:tcPr>
            <w:tcW w:w="1875" w:type="pct"/>
            <w:tcBorders>
              <w:top w:val="single" w:color="auto" w:sz="12" w:space="0"/>
              <w:bottom w:val="single" w:color="auto" w:sz="12" w:space="0"/>
            </w:tcBorders>
            <w:vAlign w:val="center"/>
          </w:tcPr>
          <w:p w14:paraId="65432740">
            <w:pPr>
              <w:pStyle w:val="49"/>
            </w:pPr>
            <w:r>
              <w:rPr>
                <w:rFonts w:hint="eastAsia"/>
              </w:rPr>
              <w:t>b</w:t>
            </w:r>
          </w:p>
        </w:tc>
        <w:tc>
          <w:tcPr>
            <w:tcW w:w="1740" w:type="pct"/>
            <w:tcBorders>
              <w:top w:val="single" w:color="auto" w:sz="12" w:space="0"/>
              <w:bottom w:val="single" w:color="auto" w:sz="12" w:space="0"/>
            </w:tcBorders>
            <w:vAlign w:val="center"/>
          </w:tcPr>
          <w:p w14:paraId="4A4F5772">
            <w:pPr>
              <w:pStyle w:val="49"/>
            </w:pPr>
            <w:r>
              <w:rPr>
                <w:rFonts w:hint="eastAsia"/>
              </w:rPr>
              <w:t>c</w:t>
            </w:r>
          </w:p>
        </w:tc>
      </w:tr>
      <w:tr w14:paraId="5767C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85" w:type="pct"/>
            <w:tcBorders>
              <w:top w:val="single" w:color="auto" w:sz="12" w:space="0"/>
            </w:tcBorders>
            <w:vAlign w:val="center"/>
          </w:tcPr>
          <w:p w14:paraId="0BDF385D">
            <w:pPr>
              <w:pStyle w:val="49"/>
            </w:pPr>
            <w:r>
              <w:rPr>
                <w:rFonts w:hint="eastAsia"/>
              </w:rPr>
              <w:t>0.81-0.89</w:t>
            </w:r>
          </w:p>
        </w:tc>
        <w:tc>
          <w:tcPr>
            <w:tcW w:w="1875" w:type="pct"/>
            <w:tcBorders>
              <w:top w:val="single" w:color="auto" w:sz="12" w:space="0"/>
            </w:tcBorders>
            <w:vAlign w:val="center"/>
          </w:tcPr>
          <w:p w14:paraId="6CC692E0">
            <w:pPr>
              <w:pStyle w:val="49"/>
            </w:pPr>
            <w:r>
              <w:rPr>
                <w:rFonts w:hint="eastAsia"/>
              </w:rPr>
              <w:t>5-17</w:t>
            </w:r>
          </w:p>
        </w:tc>
        <w:tc>
          <w:tcPr>
            <w:tcW w:w="1740" w:type="pct"/>
            <w:tcBorders>
              <w:top w:val="single" w:color="auto" w:sz="12" w:space="0"/>
            </w:tcBorders>
            <w:vAlign w:val="center"/>
          </w:tcPr>
          <w:p w14:paraId="39627571">
            <w:pPr>
              <w:pStyle w:val="49"/>
            </w:pPr>
            <w:r>
              <w:rPr>
                <w:rFonts w:hint="eastAsia"/>
              </w:rPr>
              <w:t>0.46-0.53</w:t>
            </w:r>
          </w:p>
        </w:tc>
      </w:tr>
    </w:tbl>
    <w:p w14:paraId="0985AA78">
      <w:pPr>
        <w:ind w:firstLine="0" w:firstLineChars="0"/>
      </w:pPr>
      <w:bookmarkStart w:id="1" w:name="OLE_LINK23"/>
    </w:p>
    <w:p w14:paraId="324062E2">
      <w:pPr>
        <w:ind w:firstLine="420"/>
      </w:pPr>
      <w:r>
        <w:t>(3) Three-dimensional roughness reconstruction</w:t>
      </w:r>
    </w:p>
    <w:bookmarkEnd w:id="1"/>
    <w:p w14:paraId="2B7A9360">
      <w:pPr>
        <w:ind w:firstLine="420"/>
      </w:pPr>
      <w:r>
        <w:t>Three-dimensional roughness fields were reconstructed by combining the longitudinal PSD model with the transverse coherence function using a transfer-function-based stochastic reconstruction framework.</w:t>
      </w:r>
    </w:p>
    <w:p w14:paraId="42567D07">
      <w:pPr>
        <w:ind w:firstLine="420"/>
      </w:pPr>
      <w:r>
        <w:t>The longitudinal roughness of a single survey line was reconstructed via discrete Fourier transform (DFT). The transverse relationship between adjacent survey lines was formulated as an input–output system, in which the roughness of one survey line serves as the input and the adjacent line as the output.</w:t>
      </w:r>
    </w:p>
    <w:p w14:paraId="6356ECFC">
      <w:pPr>
        <w:ind w:firstLine="420"/>
      </w:pPr>
      <w:r>
        <w:t>The auto-power spectrum of the runway centreline is defined as</w:t>
      </w:r>
      <w:r>
        <w:rPr>
          <w:rFonts w:hint="eastAsia"/>
        </w:rPr>
        <w:t xml:space="preserve"> </w:t>
      </w:r>
      <m:oMath>
        <m:sSub>
          <m:sSubPr>
            <m:ctrlPr>
              <w:rPr>
                <w:rFonts w:hint="eastAsia" w:ascii="Cambria Math" w:hAnsi="Cambria Math"/>
              </w:rPr>
            </m:ctrlPr>
          </m:sSubPr>
          <m:e>
            <m:r>
              <m:rPr>
                <m:sty m:val="p"/>
              </m:rPr>
              <w:rPr>
                <w:rFonts w:hint="eastAsia" w:ascii="Cambria Math" w:hAnsi="Cambria Math"/>
              </w:rPr>
              <m:t>G</m:t>
            </m:r>
            <m:ctrlPr>
              <w:rPr>
                <w:rFonts w:hint="eastAsia" w:ascii="Cambria Math" w:hAnsi="Cambria Math"/>
              </w:rPr>
            </m:ctrlPr>
          </m:e>
          <m:sub>
            <m:r>
              <m:rPr>
                <m:sty m:val="p"/>
              </m:rPr>
              <w:rPr>
                <w:rFonts w:hint="eastAsia" w:ascii="Cambria Math" w:hAnsi="Cambria Math"/>
              </w:rPr>
              <m:t>xx</m:t>
            </m:r>
            <m:ctrlPr>
              <w:rPr>
                <w:rFonts w:hint="eastAsia" w:ascii="Cambria Math" w:hAnsi="Cambria Math"/>
              </w:rPr>
            </m:ctrlPr>
          </m:sub>
        </m:sSub>
        <m:r>
          <m:rPr>
            <m:sty m:val="p"/>
          </m:rPr>
          <w:rPr>
            <w:rFonts w:hint="eastAsia" w:ascii="Cambria Math" w:hAnsi="Cambria Math"/>
          </w:rPr>
          <m:t>(w)</m:t>
        </m:r>
      </m:oMath>
      <w:r>
        <w:rPr>
          <w:rFonts w:hint="eastAsia"/>
        </w:rPr>
        <w:t>,</w:t>
      </w:r>
      <w:r>
        <w:t xml:space="preserve"> The corresponding Fourier spectrum </w:t>
      </w:r>
      <m:oMath>
        <m:sSub>
          <m:sSubPr>
            <m:ctrlPr>
              <w:rPr>
                <w:rFonts w:hint="eastAsia" w:ascii="Cambria Math" w:hAnsi="Cambria Math"/>
              </w:rPr>
            </m:ctrlPr>
          </m:sSubPr>
          <m:e>
            <m:r>
              <m:rPr>
                <m:sty m:val="p"/>
              </m:rPr>
              <w:rPr>
                <w:rFonts w:hint="eastAsia" w:ascii="Cambria Math" w:hAnsi="Cambria Math"/>
              </w:rPr>
              <m:t>F</m:t>
            </m:r>
            <m:ctrlPr>
              <w:rPr>
                <w:rFonts w:hint="eastAsia" w:ascii="Cambria Math" w:hAnsi="Cambria Math"/>
              </w:rPr>
            </m:ctrlPr>
          </m:e>
          <m:sub>
            <m:r>
              <m:rPr>
                <m:sty m:val="p"/>
              </m:rPr>
              <w:rPr>
                <w:rFonts w:hint="eastAsia" w:ascii="Cambria Math" w:hAnsi="Cambria Math"/>
              </w:rPr>
              <m:t>x</m:t>
            </m:r>
            <m:ctrlPr>
              <w:rPr>
                <w:rFonts w:hint="eastAsia" w:ascii="Cambria Math" w:hAnsi="Cambria Math"/>
              </w:rPr>
            </m:ctrlPr>
          </m:sub>
        </m:sSub>
        <m:r>
          <m:rPr>
            <m:sty m:val="p"/>
          </m:rPr>
          <w:rPr>
            <w:rFonts w:hint="eastAsia" w:ascii="Cambria Math" w:hAnsi="Cambria Math"/>
          </w:rPr>
          <m:t>(w)</m:t>
        </m:r>
      </m:oMath>
      <w:r>
        <w:rPr>
          <w:rFonts w:hint="eastAsia" w:hAnsi="Cambria Math"/>
        </w:rPr>
        <w:t xml:space="preserve"> </w:t>
      </w:r>
      <w:r>
        <w:t>is obtained fro</w:t>
      </w:r>
      <w:r>
        <w:rPr>
          <w:rFonts w:hint="eastAsia"/>
        </w:rPr>
        <w:t>m</w:t>
      </w:r>
      <m:oMath>
        <m:sSub>
          <m:sSubPr>
            <m:ctrlPr>
              <w:rPr>
                <w:rFonts w:hint="eastAsia" w:ascii="Cambria Math" w:hAnsi="Cambria Math"/>
              </w:rPr>
            </m:ctrlPr>
          </m:sSubPr>
          <m:e>
            <m:r>
              <m:rPr>
                <m:sty m:val="p"/>
              </m:rPr>
              <w:rPr>
                <w:rFonts w:hint="eastAsia" w:ascii="Cambria Math" w:hAnsi="Cambria Math"/>
              </w:rPr>
              <m:t>G</m:t>
            </m:r>
            <m:ctrlPr>
              <w:rPr>
                <w:rFonts w:hint="eastAsia" w:ascii="Cambria Math" w:hAnsi="Cambria Math"/>
              </w:rPr>
            </m:ctrlPr>
          </m:e>
          <m:sub>
            <m:r>
              <m:rPr>
                <m:sty m:val="p"/>
              </m:rPr>
              <w:rPr>
                <w:rFonts w:hint="eastAsia" w:ascii="Cambria Math" w:hAnsi="Cambria Math"/>
              </w:rPr>
              <m:t>xx</m:t>
            </m:r>
            <m:ctrlPr>
              <w:rPr>
                <w:rFonts w:hint="eastAsia" w:ascii="Cambria Math" w:hAnsi="Cambria Math"/>
              </w:rPr>
            </m:ctrlPr>
          </m:sub>
        </m:sSub>
        <m:r>
          <m:rPr>
            <m:sty m:val="p"/>
          </m:rPr>
          <w:rPr>
            <w:rFonts w:hint="eastAsia" w:ascii="Cambria Math" w:hAnsi="Cambria Math"/>
          </w:rPr>
          <m:t>(w)</m:t>
        </m:r>
      </m:oMath>
      <w:r>
        <w:rPr>
          <w:rFonts w:ascii="Cambria Math" w:hAnsi="Cambria Math" w:cs="Cambria Math"/>
        </w:rPr>
        <w:t xml:space="preserve">. </w:t>
      </w:r>
      <w:r>
        <w:t xml:space="preserve">The frequency response function </w:t>
      </w:r>
      <m:oMath>
        <m:r>
          <m:rPr>
            <m:sty m:val="p"/>
          </m:rPr>
          <w:rPr>
            <w:rFonts w:hint="eastAsia" w:ascii="Cambria Math" w:hAnsi="Cambria Math"/>
          </w:rPr>
          <m:t>H(w)</m:t>
        </m:r>
      </m:oMath>
      <w:r>
        <w:t>is derived from the fitted coherence function, yielding:</w:t>
      </w:r>
    </w:p>
    <w:p w14:paraId="53AEFF02">
      <w:pPr>
        <w:pStyle w:val="21"/>
        <w:ind w:firstLine="482"/>
        <w:rPr>
          <w:b w:val="0"/>
          <w:bCs w:val="0"/>
        </w:rPr>
      </w:pPr>
      <w:r>
        <w:rPr>
          <w:rFonts w:hint="eastAsia"/>
        </w:rPr>
        <w:tab/>
      </w:r>
      <m:oMath>
        <m:sSub>
          <m:sSubPr>
            <m:ctrlPr>
              <w:rPr>
                <w:rFonts w:hint="eastAsia" w:ascii="Cambria Math" w:hAnsi="Cambria Math"/>
                <w:b w:val="0"/>
                <w:bCs w:val="0"/>
                <w:i/>
              </w:rPr>
            </m:ctrlPr>
          </m:sSubPr>
          <m:e>
            <m:r>
              <m:rPr/>
              <w:rPr>
                <w:rFonts w:ascii="Cambria Math" w:hAnsi="Cambria Math"/>
              </w:rPr>
              <m:t>F</m:t>
            </m:r>
            <m:ctrlPr>
              <w:rPr>
                <w:rFonts w:hint="eastAsia" w:ascii="Cambria Math" w:hAnsi="Cambria Math"/>
                <w:b w:val="0"/>
                <w:bCs w:val="0"/>
                <w:i/>
              </w:rPr>
            </m:ctrlPr>
          </m:e>
          <m:sub>
            <m:r>
              <m:rPr/>
              <w:rPr>
                <w:rFonts w:ascii="Cambria Math" w:hAnsi="Cambria Math"/>
              </w:rPr>
              <m:t>y</m:t>
            </m:r>
            <m:ctrlPr>
              <w:rPr>
                <w:rFonts w:hint="eastAsia" w:ascii="Cambria Math" w:hAnsi="Cambria Math"/>
                <w:b w:val="0"/>
                <w:bCs w:val="0"/>
                <w:i/>
              </w:rPr>
            </m:ctrlPr>
          </m:sub>
        </m:sSub>
        <m:r>
          <m:rPr/>
          <w:rPr>
            <w:rFonts w:ascii="Cambria Math" w:hAnsi="Cambria Math"/>
          </w:rPr>
          <m:t>(w)=H(w)</m:t>
        </m:r>
        <m:sSub>
          <m:sSubPr>
            <m:ctrlPr>
              <w:rPr>
                <w:rFonts w:hint="eastAsia" w:ascii="Cambria Math" w:hAnsi="Cambria Math"/>
                <w:b w:val="0"/>
                <w:bCs w:val="0"/>
                <w:i/>
              </w:rPr>
            </m:ctrlPr>
          </m:sSubPr>
          <m:e>
            <m:r>
              <m:rPr/>
              <w:rPr>
                <w:rFonts w:ascii="Cambria Math" w:hAnsi="Cambria Math"/>
              </w:rPr>
              <m:t>F</m:t>
            </m:r>
            <m:ctrlPr>
              <w:rPr>
                <w:rFonts w:hint="eastAsia" w:ascii="Cambria Math" w:hAnsi="Cambria Math"/>
                <w:b w:val="0"/>
                <w:bCs w:val="0"/>
                <w:i/>
              </w:rPr>
            </m:ctrlPr>
          </m:e>
          <m:sub>
            <m:r>
              <m:rPr/>
              <w:rPr>
                <w:rFonts w:ascii="Cambria Math" w:hAnsi="Cambria Math"/>
              </w:rPr>
              <m:t>x</m:t>
            </m:r>
            <m:ctrlPr>
              <w:rPr>
                <w:rFonts w:hint="eastAsia" w:ascii="Cambria Math" w:hAnsi="Cambria Math"/>
                <w:b w:val="0"/>
                <w:bCs w:val="0"/>
                <w:i/>
              </w:rPr>
            </m:ctrlPr>
          </m:sub>
        </m:sSub>
        <m:r>
          <m:rPr/>
          <w:rPr>
            <w:rFonts w:ascii="Cambria Math" w:hAnsi="Cambria Math"/>
          </w:rPr>
          <m:t>(w)</m:t>
        </m:r>
      </m:oMath>
      <w:r>
        <w:rPr>
          <w:rFonts w:hint="eastAsia"/>
        </w:rPr>
        <w:tab/>
      </w:r>
      <w:r>
        <w:rPr>
          <w:rFonts w:hint="eastAsia" w:eastAsia="宋体"/>
          <w:b w:val="0"/>
          <w:bCs w:val="0"/>
        </w:rPr>
        <w:t>(S</w:t>
      </w:r>
      <w:r>
        <w:rPr>
          <w:rFonts w:hint="eastAsia"/>
          <w:b w:val="0"/>
          <w:bCs w:val="0"/>
        </w:rPr>
        <w:t>1.4</w:t>
      </w:r>
      <w:r>
        <w:rPr>
          <w:rFonts w:hint="eastAsia" w:eastAsia="宋体"/>
          <w:b w:val="0"/>
          <w:bCs w:val="0"/>
        </w:rPr>
        <w:t>)</w:t>
      </w:r>
    </w:p>
    <w:p w14:paraId="749F874B">
      <w:pPr>
        <w:ind w:firstLine="420"/>
      </w:pPr>
      <w:r>
        <w:t>Inverse Fourier transformation then provides the spatial-domain roughness profile for each survey line.</w:t>
      </w:r>
    </w:p>
    <w:p w14:paraId="5D83155A">
      <w:pPr>
        <w:ind w:firstLine="420"/>
      </w:pPr>
      <w:r>
        <w:t>Assuming identical auto-power spectral densities for wheel tracks:</w:t>
      </w:r>
    </w:p>
    <w:p w14:paraId="7D93E48D">
      <w:pPr>
        <w:pStyle w:val="21"/>
        <w:ind w:firstLine="482"/>
        <w:rPr>
          <w:b w:val="0"/>
          <w:bCs w:val="0"/>
        </w:rPr>
      </w:pPr>
      <w:r>
        <w:rPr>
          <w:rFonts w:hint="eastAsia"/>
        </w:rPr>
        <w:tab/>
      </w:r>
      <m:oMath>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xx</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m:nor/>
              </m:rPr>
              <w:rPr>
                <w:rFonts w:hint="eastAsia"/>
                <w:b w:val="0"/>
                <w:bCs w:val="0"/>
                <w:i/>
              </w:rPr>
              <m:t>yy</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oMath>
      <w:r>
        <w:rPr>
          <w:rFonts w:hint="eastAsia"/>
        </w:rPr>
        <w:tab/>
      </w:r>
      <w:r>
        <w:rPr>
          <w:rFonts w:hint="eastAsia" w:eastAsia="宋体"/>
          <w:b w:val="0"/>
          <w:bCs w:val="0"/>
        </w:rPr>
        <w:t>(S1.</w:t>
      </w:r>
      <w:r>
        <w:rPr>
          <w:rFonts w:hint="eastAsia"/>
          <w:b w:val="0"/>
          <w:bCs w:val="0"/>
        </w:rPr>
        <w:t>5</w:t>
      </w:r>
      <w:r>
        <w:rPr>
          <w:rFonts w:hint="eastAsia" w:eastAsia="宋体"/>
          <w:b w:val="0"/>
          <w:bCs w:val="0"/>
        </w:rPr>
        <w:t>)</w:t>
      </w:r>
    </w:p>
    <w:p w14:paraId="26FBDE08">
      <w:pPr>
        <w:ind w:firstLine="420"/>
      </w:pPr>
      <w:r>
        <w:t>the cross-power spectral density becomes:</w:t>
      </w:r>
    </w:p>
    <w:p w14:paraId="1FD1D296">
      <w:pPr>
        <w:pStyle w:val="21"/>
        <w:ind w:firstLine="482"/>
        <w:rPr>
          <w:rFonts w:eastAsia="宋体"/>
          <w:b w:val="0"/>
          <w:bCs w:val="0"/>
        </w:rPr>
      </w:pPr>
      <w:r>
        <w:rPr>
          <w:rFonts w:hint="eastAsia"/>
        </w:rPr>
        <w:tab/>
      </w:r>
      <m:oMath>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ascii="Cambria Math" w:hAnsi="Cambria Math"/>
          </w:rPr>
          <m:t>=co</m:t>
        </m:r>
        <m:sSub>
          <m:sSubPr>
            <m:ctrlPr>
              <w:rPr>
                <w:rFonts w:hint="eastAsia" w:ascii="Cambria Math" w:hAnsi="Cambria Math"/>
                <w:b w:val="0"/>
                <w:bCs w:val="0"/>
                <w:i/>
              </w:rPr>
            </m:ctrlPr>
          </m:sSubPr>
          <m:e>
            <m:r>
              <m:rPr/>
              <w:rPr>
                <w:rFonts w:ascii="Cambria Math" w:hAnsi="Cambria Math"/>
              </w:rPr>
              <m:t>h</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xx</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n</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oMath>
      <w:r>
        <w:rPr>
          <w:rFonts w:hint="eastAsia"/>
        </w:rPr>
        <w:tab/>
      </w:r>
      <w:r>
        <w:rPr>
          <w:rFonts w:hint="eastAsia" w:eastAsia="宋体"/>
          <w:b w:val="0"/>
          <w:bCs w:val="0"/>
        </w:rPr>
        <w:t>(S1.</w:t>
      </w:r>
      <w:r>
        <w:rPr>
          <w:rFonts w:hint="eastAsia"/>
          <w:b w:val="0"/>
          <w:bCs w:val="0"/>
        </w:rPr>
        <w:t>6</w:t>
      </w:r>
      <w:r>
        <w:rPr>
          <w:rFonts w:hint="eastAsia" w:eastAsia="宋体"/>
          <w:b w:val="0"/>
          <w:bCs w:val="0"/>
        </w:rPr>
        <w:t>)</w:t>
      </w:r>
    </w:p>
    <w:p w14:paraId="6A4D00DE">
      <w:pPr>
        <w:ind w:firstLine="420"/>
      </w:pPr>
      <w:r>
        <w:t>or in angular frequency form,</w:t>
      </w:r>
    </w:p>
    <w:p w14:paraId="58DCF359">
      <w:pPr>
        <w:pStyle w:val="21"/>
        <w:ind w:firstLine="482"/>
      </w:pPr>
      <w:r>
        <w:rPr>
          <w:rFonts w:hint="eastAsia"/>
        </w:rPr>
        <w:tab/>
      </w:r>
      <m:oMath>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ascii="Cambria Math" w:hAnsi="Cambria Math"/>
          </w:rPr>
          <m:t>(w)=co</m:t>
        </m:r>
        <m:sSub>
          <m:sSubPr>
            <m:ctrlPr>
              <w:rPr>
                <w:rFonts w:hint="eastAsia" w:ascii="Cambria Math" w:hAnsi="Cambria Math"/>
                <w:b w:val="0"/>
                <w:bCs w:val="0"/>
                <w:i/>
              </w:rPr>
            </m:ctrlPr>
          </m:sSubPr>
          <m:e>
            <m:r>
              <m:rPr/>
              <w:rPr>
                <w:rFonts w:ascii="Cambria Math" w:hAnsi="Cambria Math"/>
              </w:rPr>
              <m:t>h</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ascii="Cambria Math" w:hAnsi="Cambria Math"/>
          </w:rPr>
          <m:t>(w)</m:t>
        </m:r>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xx</m:t>
            </m:r>
            <m:ctrlPr>
              <w:rPr>
                <w:rFonts w:hint="eastAsia" w:ascii="Cambria Math" w:hAnsi="Cambria Math"/>
                <w:b w:val="0"/>
                <w:bCs w:val="0"/>
                <w:i/>
              </w:rPr>
            </m:ctrlPr>
          </m:sub>
        </m:sSub>
        <m:r>
          <m:rPr/>
          <w:rPr>
            <w:rFonts w:ascii="Cambria Math" w:hAnsi="Cambria Math"/>
          </w:rPr>
          <m:t>(w)</m:t>
        </m:r>
      </m:oMath>
      <w:r>
        <w:rPr>
          <w:rFonts w:hint="eastAsia"/>
        </w:rPr>
        <w:tab/>
      </w:r>
      <w:r>
        <w:rPr>
          <w:rFonts w:hint="eastAsia" w:eastAsia="宋体"/>
          <w:b w:val="0"/>
          <w:bCs w:val="0"/>
        </w:rPr>
        <w:t>(S1.</w:t>
      </w:r>
      <w:r>
        <w:rPr>
          <w:rFonts w:hint="eastAsia"/>
          <w:b w:val="0"/>
          <w:bCs w:val="0"/>
        </w:rPr>
        <w:t>7</w:t>
      </w:r>
      <w:r>
        <w:rPr>
          <w:rFonts w:hint="eastAsia" w:eastAsia="宋体"/>
          <w:b w:val="0"/>
          <w:bCs w:val="0"/>
        </w:rPr>
        <w:t>)</w:t>
      </w:r>
    </w:p>
    <w:p w14:paraId="3E52E96F">
      <w:pPr>
        <w:ind w:firstLine="420"/>
      </w:pPr>
      <w:r>
        <w:t>According to random vibration theory:</w:t>
      </w:r>
    </w:p>
    <w:p w14:paraId="78EE14FA">
      <w:pPr>
        <w:pStyle w:val="21"/>
        <w:ind w:firstLine="482"/>
        <w:rPr>
          <w:b w:val="0"/>
          <w:bCs w:val="0"/>
        </w:rPr>
      </w:pPr>
      <w:r>
        <w:rPr>
          <w:rFonts w:hint="eastAsia"/>
        </w:rPr>
        <w:tab/>
      </w:r>
      <m:oMath>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ascii="Cambria Math" w:hAnsi="Cambria Math"/>
          </w:rPr>
          <m:t>(w)=H(w)</m:t>
        </m:r>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xx</m:t>
            </m:r>
            <m:ctrlPr>
              <w:rPr>
                <w:rFonts w:hint="eastAsia" w:ascii="Cambria Math" w:hAnsi="Cambria Math"/>
                <w:b w:val="0"/>
                <w:bCs w:val="0"/>
                <w:i/>
              </w:rPr>
            </m:ctrlPr>
          </m:sub>
        </m:sSub>
        <m:r>
          <m:rPr/>
          <w:rPr>
            <w:rFonts w:ascii="Cambria Math" w:hAnsi="Cambria Math"/>
          </w:rPr>
          <m:t>(w)</m:t>
        </m:r>
      </m:oMath>
      <w:r>
        <w:rPr>
          <w:rFonts w:hint="eastAsia"/>
        </w:rPr>
        <w:tab/>
      </w:r>
      <w:r>
        <w:rPr>
          <w:rFonts w:hint="eastAsia" w:eastAsia="宋体"/>
          <w:b w:val="0"/>
          <w:bCs w:val="0"/>
        </w:rPr>
        <w:t>(S</w:t>
      </w:r>
      <w:r>
        <w:rPr>
          <w:rFonts w:hint="eastAsia"/>
          <w:b w:val="0"/>
          <w:bCs w:val="0"/>
        </w:rPr>
        <w:t>1.8</w:t>
      </w:r>
      <w:r>
        <w:rPr>
          <w:rFonts w:hint="eastAsia" w:eastAsia="宋体"/>
          <w:b w:val="0"/>
          <w:bCs w:val="0"/>
        </w:rPr>
        <w:t>)</w:t>
      </w:r>
    </w:p>
    <w:p w14:paraId="21296888">
      <w:pPr>
        <w:ind w:firstLine="420"/>
      </w:pPr>
      <w:r>
        <w:t>thus,</w:t>
      </w:r>
    </w:p>
    <w:p w14:paraId="2AE51B4A">
      <w:pPr>
        <w:pStyle w:val="21"/>
      </w:pPr>
      <w:r>
        <w:rPr>
          <w:rFonts w:hint="eastAsia"/>
          <w:b w:val="0"/>
          <w:bCs w:val="0"/>
        </w:rPr>
        <w:tab/>
      </w:r>
      <m:oMath>
        <m:d>
          <m:dPr>
            <m:begChr m:val="|"/>
            <m:endChr m:val="|"/>
            <m:ctrlPr>
              <w:rPr>
                <w:rFonts w:hint="eastAsia" w:ascii="Cambria Math" w:hAnsi="Cambria Math"/>
                <w:b w:val="0"/>
                <w:bCs w:val="0"/>
                <w:i/>
              </w:rPr>
            </m:ctrlPr>
          </m:dPr>
          <m:e>
            <m:r>
              <m:rPr/>
              <w:rPr>
                <w:rFonts w:ascii="Cambria Math" w:hAnsi="Cambria Math"/>
              </w:rPr>
              <m:t>H(w)</m:t>
            </m:r>
            <m:ctrlPr>
              <w:rPr>
                <w:rFonts w:hint="eastAsia" w:ascii="Cambria Math" w:hAnsi="Cambria Math"/>
                <w:b w:val="0"/>
                <w:bCs w:val="0"/>
                <w:i/>
              </w:rPr>
            </m:ctrlPr>
          </m:e>
        </m:d>
        <m:r>
          <m:rPr/>
          <w:rPr>
            <w:rFonts w:ascii="Cambria Math" w:hAnsi="Cambria Math"/>
          </w:rPr>
          <m:t>=co</m:t>
        </m:r>
        <m:sSub>
          <m:sSubPr>
            <m:ctrlPr>
              <w:rPr>
                <w:rFonts w:hint="eastAsia" w:ascii="Cambria Math" w:hAnsi="Cambria Math"/>
                <w:b w:val="0"/>
                <w:bCs w:val="0"/>
                <w:i/>
              </w:rPr>
            </m:ctrlPr>
          </m:sSubPr>
          <m:e>
            <m:r>
              <m:rPr/>
              <w:rPr>
                <w:rFonts w:ascii="Cambria Math" w:hAnsi="Cambria Math"/>
              </w:rPr>
              <m:t>h</m:t>
            </m:r>
            <m:ctrlPr>
              <w:rPr>
                <w:rFonts w:hint="eastAsia" w:ascii="Cambria Math" w:hAnsi="Cambria Math"/>
                <w:b w:val="0"/>
                <w:bCs w:val="0"/>
                <w:i/>
              </w:rPr>
            </m:ctrlPr>
          </m:e>
          <m:sub>
            <m:r>
              <m:rPr/>
              <w:rPr>
                <w:rFonts w:ascii="Cambria Math" w:hAnsi="Cambria Math"/>
              </w:rPr>
              <m:t>xy</m:t>
            </m:r>
            <m:ctrlPr>
              <w:rPr>
                <w:rFonts w:hint="eastAsia" w:ascii="Cambria Math" w:hAnsi="Cambria Math"/>
                <w:b w:val="0"/>
                <w:bCs w:val="0"/>
                <w:i/>
              </w:rPr>
            </m:ctrlPr>
          </m:sub>
        </m:sSub>
        <m:r>
          <m:rPr/>
          <w:rPr>
            <w:rFonts w:ascii="Cambria Math" w:hAnsi="Cambria Math"/>
          </w:rPr>
          <m:t>(w)</m:t>
        </m:r>
      </m:oMath>
      <w:r>
        <w:rPr>
          <w:rFonts w:hint="eastAsia"/>
          <w:b w:val="0"/>
          <w:bCs w:val="0"/>
        </w:rPr>
        <w:tab/>
      </w:r>
      <w:r>
        <w:rPr>
          <w:rFonts w:hint="eastAsia" w:eastAsia="宋体"/>
          <w:b w:val="0"/>
          <w:bCs w:val="0"/>
        </w:rPr>
        <w:t>(S</w:t>
      </w:r>
      <w:r>
        <w:rPr>
          <w:rFonts w:hint="eastAsia"/>
          <w:b w:val="0"/>
          <w:bCs w:val="0"/>
        </w:rPr>
        <w:t>1.9</w:t>
      </w:r>
      <w:r>
        <w:rPr>
          <w:rFonts w:hint="eastAsia" w:eastAsia="宋体"/>
          <w:b w:val="0"/>
          <w:bCs w:val="0"/>
        </w:rPr>
        <w:t>)</w:t>
      </w:r>
    </w:p>
    <w:p w14:paraId="608E860A">
      <w:pPr>
        <w:ind w:firstLine="420"/>
      </w:pPr>
      <w:r>
        <w:t>A second-order transfer function was adopted:</w:t>
      </w:r>
    </w:p>
    <w:p w14:paraId="5F952F50">
      <w:pPr>
        <w:pStyle w:val="21"/>
        <w:ind w:firstLine="482"/>
        <w:rPr>
          <w:b w:val="0"/>
          <w:bCs w:val="0"/>
        </w:rPr>
      </w:pPr>
      <w:r>
        <w:rPr>
          <w:rFonts w:hint="eastAsia"/>
        </w:rPr>
        <w:tab/>
      </w:r>
      <m:oMath>
        <m:sSub>
          <m:sSubPr>
            <m:ctrlPr>
              <w:rPr>
                <w:rFonts w:hint="eastAsia" w:ascii="Cambria Math" w:hAnsi="Cambria Math"/>
                <w:b w:val="0"/>
                <w:bCs w:val="0"/>
                <w:i/>
              </w:rPr>
            </m:ctrlPr>
          </m:sSubPr>
          <m:e>
            <m:r>
              <m:rPr/>
              <w:rPr>
                <w:rFonts w:ascii="Cambria Math" w:hAnsi="Cambria Math"/>
              </w:rPr>
              <m:t>G</m:t>
            </m:r>
            <m:ctrlPr>
              <w:rPr>
                <w:rFonts w:hint="eastAsia" w:ascii="Cambria Math" w:hAnsi="Cambria Math"/>
                <w:b w:val="0"/>
                <w:bCs w:val="0"/>
                <w:i/>
              </w:rPr>
            </m:ctrlPr>
          </m:e>
          <m:sub>
            <m:r>
              <m:rPr/>
              <w:rPr>
                <w:rFonts w:ascii="Cambria Math" w:hAnsi="Cambria Math"/>
              </w:rPr>
              <m:t>21</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s</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hint="eastAsia" w:ascii="Cambria Math" w:hAnsi="Cambria Math"/>
          </w:rPr>
          <m:t>=</m:t>
        </m:r>
        <m:f>
          <m:fPr>
            <m:ctrlPr>
              <w:rPr>
                <w:rFonts w:hint="eastAsia" w:ascii="Cambria Math" w:hAnsi="Cambria Math"/>
                <w:b w:val="0"/>
                <w:bCs w:val="0"/>
                <w:i/>
              </w:rPr>
            </m:ctrlPr>
          </m:fPr>
          <m:num>
            <m:func>
              <m:funcPr>
                <m:ctrlPr>
                  <w:rPr>
                    <w:rFonts w:hint="eastAsia" w:ascii="Cambria Math" w:hAnsi="Cambria Math"/>
                    <w:b w:val="0"/>
                    <w:bCs w:val="0"/>
                    <w:i/>
                  </w:rPr>
                </m:ctrlPr>
              </m:funcPr>
              <m:fName>
                <m:sSub>
                  <m:sSubPr>
                    <m:ctrlPr>
                      <w:rPr>
                        <w:rFonts w:hint="eastAsia" w:ascii="Cambria Math" w:hAnsi="Cambria Math"/>
                        <w:b w:val="0"/>
                        <w:bCs w:val="0"/>
                        <w:i/>
                      </w:rPr>
                    </m:ctrlPr>
                  </m:sSubPr>
                  <m:e>
                    <m:r>
                      <m:rPr/>
                      <w:rPr>
                        <w:rFonts w:ascii="Cambria Math" w:hAnsi="Cambria Math"/>
                      </w:rPr>
                      <m:t>W</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func>
              <m:funcPr>
                <m:ctrlPr>
                  <w:rPr>
                    <w:rFonts w:hint="eastAsia" w:ascii="Cambria Math" w:hAnsi="Cambria Math"/>
                    <w:b w:val="0"/>
                    <w:bCs w:val="0"/>
                    <w:i/>
                  </w:rPr>
                </m:ctrlPr>
              </m:funcPr>
              <m:fName>
                <m:r>
                  <m:rPr/>
                  <w:rPr>
                    <w:rFonts w:ascii="Cambria Math" w:hAnsi="Cambria Math"/>
                  </w:rPr>
                  <m:t>s</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ctrlPr>
              <w:rPr>
                <w:rFonts w:hint="eastAsia" w:ascii="Cambria Math" w:hAnsi="Cambria Math"/>
                <w:b w:val="0"/>
                <w:bCs w:val="0"/>
                <w:i/>
              </w:rPr>
            </m:ctrlPr>
          </m:num>
          <m:den>
            <m:func>
              <m:funcPr>
                <m:ctrlPr>
                  <w:rPr>
                    <w:rFonts w:hint="eastAsia" w:ascii="Cambria Math" w:hAnsi="Cambria Math"/>
                    <w:b w:val="0"/>
                    <w:bCs w:val="0"/>
                    <w:i/>
                  </w:rPr>
                </m:ctrlPr>
              </m:funcPr>
              <m:fName>
                <m:sSub>
                  <m:sSubPr>
                    <m:ctrlPr>
                      <w:rPr>
                        <w:rFonts w:hint="eastAsia" w:ascii="Cambria Math" w:hAnsi="Cambria Math"/>
                        <w:b w:val="0"/>
                        <w:bCs w:val="0"/>
                        <w:i/>
                      </w:rPr>
                    </m:ctrlPr>
                  </m:sSubPr>
                  <m:e>
                    <m:r>
                      <m:rPr/>
                      <w:rPr>
                        <w:rFonts w:ascii="Cambria Math" w:hAnsi="Cambria Math"/>
                      </w:rPr>
                      <m:t>W</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func>
              <m:funcPr>
                <m:ctrlPr>
                  <w:rPr>
                    <w:rFonts w:hint="eastAsia" w:ascii="Cambria Math" w:hAnsi="Cambria Math"/>
                    <w:b w:val="0"/>
                    <w:bCs w:val="0"/>
                    <w:i/>
                  </w:rPr>
                </m:ctrlPr>
              </m:funcPr>
              <m:fName>
                <m:r>
                  <m:rPr/>
                  <w:rPr>
                    <w:rFonts w:ascii="Cambria Math" w:hAnsi="Cambria Math"/>
                  </w:rPr>
                  <m:t>s</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ctrlPr>
              <w:rPr>
                <w:rFonts w:hint="eastAsia" w:ascii="Cambria Math" w:hAnsi="Cambria Math"/>
                <w:b w:val="0"/>
                <w:bCs w:val="0"/>
                <w:i/>
              </w:rPr>
            </m:ctrlPr>
          </m:den>
        </m:f>
        <m:r>
          <m:rPr/>
          <w:rPr>
            <w:rFonts w:hint="eastAsia" w:ascii="Cambria Math" w:hAnsi="Cambria Math"/>
          </w:rPr>
          <m:t>=</m:t>
        </m:r>
        <m:f>
          <m:fPr>
            <m:ctrlPr>
              <w:rPr>
                <w:rFonts w:hint="eastAsia" w:ascii="Cambria Math" w:hAnsi="Cambria Math"/>
                <w:b w:val="0"/>
                <w:bCs w:val="0"/>
                <w:i/>
              </w:rPr>
            </m:ctrlPr>
          </m:fPr>
          <m:num>
            <m:r>
              <m:rPr/>
              <w:rPr>
                <w:rFonts w:ascii="Cambria Math" w:hAnsi="Cambria Math"/>
              </w:rPr>
              <m:t>a0+</m:t>
            </m:r>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2</m:t>
                    </m:r>
                    <m:ctrlPr>
                      <w:rPr>
                        <w:rFonts w:hint="eastAsia" w:ascii="Cambria Math" w:hAnsi="Cambria Math"/>
                        <w:b w:val="0"/>
                        <w:bCs w:val="0"/>
                        <w:i/>
                      </w:rPr>
                    </m:ctrlPr>
                  </m:sup>
                </m:sSup>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n</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n</m:t>
                    </m:r>
                    <m:ctrlPr>
                      <w:rPr>
                        <w:rFonts w:hint="eastAsia" w:ascii="Cambria Math" w:hAnsi="Cambria Math"/>
                        <w:b w:val="0"/>
                        <w:bCs w:val="0"/>
                        <w:i/>
                      </w:rPr>
                    </m:ctrlPr>
                  </m:sup>
                </m:sSup>
                <m:ctrlPr>
                  <w:rPr>
                    <w:rFonts w:hint="eastAsia" w:ascii="Cambria Math" w:hAnsi="Cambria Math"/>
                    <w:b w:val="0"/>
                    <w:bCs w:val="0"/>
                    <w:i/>
                  </w:rPr>
                </m:ctrlPr>
              </m:e>
            </m:func>
            <m:ctrlPr>
              <w:rPr>
                <w:rFonts w:hint="eastAsia" w:ascii="Cambria Math" w:hAnsi="Cambria Math"/>
                <w:b w:val="0"/>
                <w:bCs w:val="0"/>
                <w:i/>
              </w:rPr>
            </m:ctrlPr>
          </m:num>
          <m:den>
            <m:r>
              <m:rPr/>
              <w:rPr>
                <w:rFonts w:ascii="Cambria Math" w:hAnsi="Cambria Math"/>
              </w:rPr>
              <m:t>b0+</m:t>
            </m:r>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2</m:t>
                    </m:r>
                    <m:ctrlPr>
                      <w:rPr>
                        <w:rFonts w:hint="eastAsia" w:ascii="Cambria Math" w:hAnsi="Cambria Math"/>
                        <w:b w:val="0"/>
                        <w:bCs w:val="0"/>
                        <w:i/>
                      </w:rPr>
                    </m:ctrlPr>
                  </m:sup>
                </m:sSup>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n</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n</m:t>
                    </m:r>
                    <m:ctrlPr>
                      <w:rPr>
                        <w:rFonts w:hint="eastAsia" w:ascii="Cambria Math" w:hAnsi="Cambria Math"/>
                        <w:b w:val="0"/>
                        <w:bCs w:val="0"/>
                        <w:i/>
                      </w:rPr>
                    </m:ctrlPr>
                  </m:sup>
                </m:sSup>
                <m:ctrlPr>
                  <w:rPr>
                    <w:rFonts w:hint="eastAsia" w:ascii="Cambria Math" w:hAnsi="Cambria Math"/>
                    <w:b w:val="0"/>
                    <w:bCs w:val="0"/>
                    <w:i/>
                  </w:rPr>
                </m:ctrlPr>
              </m:e>
            </m:func>
            <m:ctrlPr>
              <w:rPr>
                <w:rFonts w:hint="eastAsia" w:ascii="Cambria Math" w:hAnsi="Cambria Math"/>
                <w:b w:val="0"/>
                <w:bCs w:val="0"/>
                <w:i/>
              </w:rPr>
            </m:ctrlPr>
          </m:den>
        </m:f>
      </m:oMath>
      <w:r>
        <w:rPr>
          <w:rFonts w:hint="eastAsia"/>
        </w:rPr>
        <w:tab/>
      </w:r>
      <w:r>
        <w:rPr>
          <w:rFonts w:hint="eastAsia" w:eastAsia="宋体"/>
          <w:b w:val="0"/>
          <w:bCs w:val="0"/>
        </w:rPr>
        <w:t>(S</w:t>
      </w:r>
      <w:r>
        <w:rPr>
          <w:rFonts w:hint="eastAsia"/>
          <w:b w:val="0"/>
          <w:bCs w:val="0"/>
        </w:rPr>
        <w:t>1.10</w:t>
      </w:r>
      <w:r>
        <w:rPr>
          <w:rFonts w:hint="eastAsia" w:eastAsia="宋体"/>
          <w:b w:val="0"/>
          <w:bCs w:val="0"/>
        </w:rPr>
        <w:t>)</w:t>
      </w:r>
    </w:p>
    <w:p w14:paraId="41F7C50A">
      <w:pPr>
        <w:ind w:firstLine="420"/>
      </w:pPr>
      <w:r>
        <w:t xml:space="preserve">where </w:t>
      </w:r>
      <w:r>
        <w:rPr>
          <w:rFonts w:ascii="Cambria Math" w:hAnsi="Cambria Math" w:cs="Cambria Math"/>
        </w:rPr>
        <w:t>𝑊</w:t>
      </w:r>
      <w:r>
        <w:rPr>
          <w:vertAlign w:val="subscript"/>
        </w:rPr>
        <w:t>1</w:t>
      </w:r>
      <w:r>
        <w:t>(</w:t>
      </w:r>
      <w:r>
        <w:rPr>
          <w:rFonts w:ascii="Cambria Math" w:hAnsi="Cambria Math" w:cs="Cambria Math"/>
        </w:rPr>
        <w:t>𝑠</w:t>
      </w:r>
      <w:r>
        <w:t xml:space="preserve">) and </w:t>
      </w:r>
      <w:r>
        <w:rPr>
          <w:rFonts w:ascii="Cambria Math" w:hAnsi="Cambria Math" w:cs="Cambria Math"/>
        </w:rPr>
        <w:t>𝑊</w:t>
      </w:r>
      <w:r>
        <w:rPr>
          <w:vertAlign w:val="subscript"/>
        </w:rPr>
        <w:t>2</w:t>
      </w:r>
      <w:r>
        <w:t>(</w:t>
      </w:r>
      <w:r>
        <w:rPr>
          <w:rFonts w:ascii="Cambria Math" w:hAnsi="Cambria Math" w:cs="Cambria Math"/>
        </w:rPr>
        <w:t>𝑠</w:t>
      </w:r>
      <w:r>
        <w:t>) denote the Laplace transforms of the input and output roughness profiles, respectively. The magnitude of the frequency response function is then given by:</w:t>
      </w:r>
    </w:p>
    <w:p w14:paraId="194C9853">
      <w:pPr>
        <w:pStyle w:val="21"/>
        <w:rPr>
          <w:b w:val="0"/>
          <w:bCs w:val="0"/>
        </w:rPr>
      </w:pPr>
      <w:r>
        <w:rPr>
          <w:rFonts w:hint="eastAsia"/>
          <w:b w:val="0"/>
          <w:bCs w:val="0"/>
        </w:rPr>
        <w:tab/>
      </w:r>
      <m:oMath>
        <m:d>
          <m:dPr>
            <m:begChr m:val="|"/>
            <m:endChr m:val="|"/>
            <m:ctrlPr>
              <w:rPr>
                <w:rFonts w:hint="eastAsia" w:ascii="Cambria Math" w:hAnsi="Cambria Math"/>
                <w:b w:val="0"/>
                <w:bCs w:val="0"/>
                <w:i/>
              </w:rPr>
            </m:ctrlPr>
          </m:dPr>
          <m:e>
            <m:r>
              <m:rPr/>
              <w:rPr>
                <w:rFonts w:ascii="Cambria Math" w:hAnsi="Cambria Math"/>
              </w:rPr>
              <m:t>H(w)</m:t>
            </m:r>
            <m:ctrlPr>
              <w:rPr>
                <w:rFonts w:hint="eastAsia" w:ascii="Cambria Math" w:hAnsi="Cambria Math"/>
                <w:b w:val="0"/>
                <w:bCs w:val="0"/>
                <w:i/>
              </w:rPr>
            </m:ctrlPr>
          </m:e>
        </m:d>
        <m:r>
          <m:rPr/>
          <w:rPr>
            <w:rFonts w:ascii="Cambria Math" w:hAnsi="Cambria Math"/>
          </w:rPr>
          <m:t>=G(jw)=</m:t>
        </m:r>
        <m:d>
          <m:dPr>
            <m:begChr m:val="|"/>
            <m:endChr m:val="|"/>
            <m:ctrlPr>
              <w:rPr>
                <w:rFonts w:hint="eastAsia" w:ascii="Cambria Math" w:hAnsi="Cambria Math"/>
                <w:b w:val="0"/>
                <w:bCs w:val="0"/>
                <w:i/>
              </w:rPr>
            </m:ctrlPr>
          </m:dPr>
          <m:e>
            <m:f>
              <m:fPr>
                <m:ctrlPr>
                  <w:rPr>
                    <w:rFonts w:hint="eastAsia" w:ascii="Cambria Math" w:hAnsi="Cambria Math"/>
                    <w:b w:val="0"/>
                    <w:bCs w:val="0"/>
                    <w:i/>
                  </w:rPr>
                </m:ctrlPr>
              </m:fPr>
              <m:num>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0</m:t>
                    </m:r>
                    <m:ctrlPr>
                      <w:rPr>
                        <w:rFonts w:hint="eastAsia" w:ascii="Cambria Math" w:hAnsi="Cambria Math"/>
                        <w:b w:val="0"/>
                        <w:bCs w:val="0"/>
                        <w:i/>
                      </w:rPr>
                    </m:ctrlPr>
                  </m:sub>
                </m:sSub>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2</m:t>
                        </m:r>
                        <m:ctrlPr>
                          <w:rPr>
                            <w:rFonts w:hint="eastAsia" w:ascii="Cambria Math" w:hAnsi="Cambria Math"/>
                            <w:b w:val="0"/>
                            <w:bCs w:val="0"/>
                            <w:i/>
                          </w:rPr>
                        </m:ctrlPr>
                      </m:sup>
                    </m:sSup>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a</m:t>
                    </m:r>
                    <m:ctrlPr>
                      <w:rPr>
                        <w:rFonts w:hint="eastAsia" w:ascii="Cambria Math" w:hAnsi="Cambria Math"/>
                        <w:b w:val="0"/>
                        <w:bCs w:val="0"/>
                        <w:i/>
                      </w:rPr>
                    </m:ctrlPr>
                  </m:e>
                  <m:sub>
                    <m:r>
                      <m:rPr/>
                      <w:rPr>
                        <w:rFonts w:ascii="Cambria Math" w:hAnsi="Cambria Math"/>
                      </w:rPr>
                      <m:t>n</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n</m:t>
                        </m:r>
                        <m:ctrlPr>
                          <w:rPr>
                            <w:rFonts w:hint="eastAsia" w:ascii="Cambria Math" w:hAnsi="Cambria Math"/>
                            <w:b w:val="0"/>
                            <w:bCs w:val="0"/>
                            <w:i/>
                          </w:rPr>
                        </m:ctrlPr>
                      </m:sup>
                    </m:sSup>
                    <m:ctrlPr>
                      <w:rPr>
                        <w:rFonts w:hint="eastAsia" w:ascii="Cambria Math" w:hAnsi="Cambria Math"/>
                        <w:b w:val="0"/>
                        <w:bCs w:val="0"/>
                        <w:i/>
                      </w:rPr>
                    </m:ctrlPr>
                  </m:e>
                </m:func>
                <m:ctrlPr>
                  <w:rPr>
                    <w:rFonts w:hint="eastAsia" w:ascii="Cambria Math" w:hAnsi="Cambria Math"/>
                    <w:b w:val="0"/>
                    <w:bCs w:val="0"/>
                    <w:i/>
                  </w:rPr>
                </m:ctrlPr>
              </m:num>
              <m:den>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0</m:t>
                    </m:r>
                    <m:ctrlPr>
                      <w:rPr>
                        <w:rFonts w:hint="eastAsia" w:ascii="Cambria Math" w:hAnsi="Cambria Math"/>
                        <w:b w:val="0"/>
                        <w:bCs w:val="0"/>
                        <w:i/>
                      </w:rPr>
                    </m:ctrlPr>
                  </m:sub>
                </m:sSub>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1</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r>
                      <m:rPr/>
                      <w:rPr>
                        <w:rFonts w:hint="eastAsia" w:ascii="Cambria Math" w:hAnsi="Cambria Math"/>
                      </w:rPr>
                      <m:t>)</m:t>
                    </m:r>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2</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2</m:t>
                        </m:r>
                        <m:ctrlPr>
                          <w:rPr>
                            <w:rFonts w:hint="eastAsia" w:ascii="Cambria Math" w:hAnsi="Cambria Math"/>
                            <w:b w:val="0"/>
                            <w:bCs w:val="0"/>
                            <w:i/>
                          </w:rPr>
                        </m:ctrlPr>
                      </m:sup>
                    </m:sSup>
                    <m:ctrlPr>
                      <w:rPr>
                        <w:rFonts w:hint="eastAsia" w:ascii="Cambria Math" w:hAnsi="Cambria Math"/>
                        <w:b w:val="0"/>
                        <w:bCs w:val="0"/>
                        <w:i/>
                      </w:rPr>
                    </m:ctrlPr>
                  </m:e>
                </m:func>
                <m:r>
                  <m:rPr/>
                  <w:rPr>
                    <w:rFonts w:hint="eastAsia" w:ascii="Cambria Math" w:hAnsi="Cambria Math"/>
                  </w:rPr>
                  <m:t>+⋯+</m:t>
                </m:r>
                <m:sSub>
                  <m:sSubPr>
                    <m:ctrlPr>
                      <w:rPr>
                        <w:rFonts w:hint="eastAsia" w:ascii="Cambria Math" w:hAnsi="Cambria Math"/>
                        <w:b w:val="0"/>
                        <w:bCs w:val="0"/>
                        <w:i/>
                      </w:rPr>
                    </m:ctrlPr>
                  </m:sSubPr>
                  <m:e>
                    <m:r>
                      <m:rPr/>
                      <w:rPr>
                        <w:rFonts w:ascii="Cambria Math" w:hAnsi="Cambria Math"/>
                      </w:rPr>
                      <m:t>b</m:t>
                    </m:r>
                    <m:ctrlPr>
                      <w:rPr>
                        <w:rFonts w:hint="eastAsia" w:ascii="Cambria Math" w:hAnsi="Cambria Math"/>
                        <w:b w:val="0"/>
                        <w:bCs w:val="0"/>
                        <w:i/>
                      </w:rPr>
                    </m:ctrlPr>
                  </m:e>
                  <m:sub>
                    <m:r>
                      <m:rPr/>
                      <w:rPr>
                        <w:rFonts w:ascii="Cambria Math" w:hAnsi="Cambria Math"/>
                      </w:rPr>
                      <m:t>n</m:t>
                    </m:r>
                    <m:ctrlPr>
                      <w:rPr>
                        <w:rFonts w:hint="eastAsia" w:ascii="Cambria Math" w:hAnsi="Cambria Math"/>
                        <w:b w:val="0"/>
                        <w:bCs w:val="0"/>
                        <w:i/>
                      </w:rPr>
                    </m:ctrlPr>
                  </m:sub>
                </m:sSub>
                <m:r>
                  <m:rPr/>
                  <w:rPr>
                    <w:rFonts w:hint="eastAsia" w:ascii="Cambria Math" w:hAnsi="Cambria Math"/>
                  </w:rPr>
                  <m:t>(</m:t>
                </m:r>
                <m:func>
                  <m:funcPr>
                    <m:ctrlPr>
                      <w:rPr>
                        <w:rFonts w:hint="eastAsia" w:ascii="Cambria Math" w:hAnsi="Cambria Math"/>
                        <w:b w:val="0"/>
                        <w:bCs w:val="0"/>
                        <w:i/>
                      </w:rPr>
                    </m:ctrlPr>
                  </m:funcPr>
                  <m:fName>
                    <m:r>
                      <m:rPr/>
                      <w:rPr>
                        <w:rFonts w:ascii="Cambria Math" w:hAnsi="Cambria Math"/>
                      </w:rPr>
                      <m:t>jw</m:t>
                    </m:r>
                    <m:ctrlPr>
                      <w:rPr>
                        <w:rFonts w:hint="eastAsia" w:ascii="Cambria Math" w:hAnsi="Cambria Math"/>
                        <w:b w:val="0"/>
                        <w:bCs w:val="0"/>
                        <w:i/>
                      </w:rPr>
                    </m:ctrlPr>
                  </m:fName>
                  <m:e>
                    <m:sSup>
                      <m:sSupPr>
                        <m:ctrlPr>
                          <w:rPr>
                            <w:rFonts w:hint="eastAsia" w:ascii="Cambria Math" w:hAnsi="Cambria Math"/>
                            <w:b w:val="0"/>
                            <w:bCs w:val="0"/>
                            <w:i/>
                          </w:rPr>
                        </m:ctrlPr>
                      </m:sSupPr>
                      <m:e>
                        <m:r>
                          <m:rPr/>
                          <w:rPr>
                            <w:rFonts w:hint="eastAsia" w:ascii="Cambria Math" w:hAnsi="Cambria Math"/>
                          </w:rPr>
                          <m:t>)</m:t>
                        </m:r>
                        <m:ctrlPr>
                          <w:rPr>
                            <w:rFonts w:hint="eastAsia" w:ascii="Cambria Math" w:hAnsi="Cambria Math"/>
                            <w:b w:val="0"/>
                            <w:bCs w:val="0"/>
                            <w:i/>
                          </w:rPr>
                        </m:ctrlPr>
                      </m:e>
                      <m:sup>
                        <m:r>
                          <m:rPr/>
                          <w:rPr>
                            <w:rFonts w:ascii="Cambria Math" w:hAnsi="Cambria Math"/>
                          </w:rPr>
                          <m:t>n</m:t>
                        </m:r>
                        <m:ctrlPr>
                          <w:rPr>
                            <w:rFonts w:hint="eastAsia" w:ascii="Cambria Math" w:hAnsi="Cambria Math"/>
                            <w:b w:val="0"/>
                            <w:bCs w:val="0"/>
                            <w:i/>
                          </w:rPr>
                        </m:ctrlPr>
                      </m:sup>
                    </m:sSup>
                    <m:ctrlPr>
                      <w:rPr>
                        <w:rFonts w:hint="eastAsia" w:ascii="Cambria Math" w:hAnsi="Cambria Math"/>
                        <w:b w:val="0"/>
                        <w:bCs w:val="0"/>
                        <w:i/>
                      </w:rPr>
                    </m:ctrlPr>
                  </m:e>
                </m:func>
                <m:ctrlPr>
                  <w:rPr>
                    <w:rFonts w:hint="eastAsia" w:ascii="Cambria Math" w:hAnsi="Cambria Math"/>
                    <w:b w:val="0"/>
                    <w:bCs w:val="0"/>
                    <w:i/>
                  </w:rPr>
                </m:ctrlPr>
              </m:den>
            </m:f>
            <m:ctrlPr>
              <w:rPr>
                <w:rFonts w:hint="eastAsia" w:ascii="Cambria Math" w:hAnsi="Cambria Math"/>
                <w:b w:val="0"/>
                <w:bCs w:val="0"/>
                <w:i/>
              </w:rPr>
            </m:ctrlPr>
          </m:e>
        </m:d>
      </m:oMath>
      <w:r>
        <w:rPr>
          <w:rFonts w:hint="eastAsia"/>
          <w:b w:val="0"/>
          <w:bCs w:val="0"/>
        </w:rPr>
        <w:tab/>
      </w:r>
      <w:r>
        <w:rPr>
          <w:rFonts w:hint="eastAsia" w:eastAsia="宋体"/>
          <w:b w:val="0"/>
          <w:bCs w:val="0"/>
        </w:rPr>
        <w:t>(S</w:t>
      </w:r>
      <w:r>
        <w:rPr>
          <w:rFonts w:hint="eastAsia"/>
          <w:b w:val="0"/>
          <w:bCs w:val="0"/>
        </w:rPr>
        <w:t>1.11</w:t>
      </w:r>
      <w:r>
        <w:rPr>
          <w:rFonts w:hint="eastAsia" w:eastAsia="宋体"/>
          <w:b w:val="0"/>
          <w:bCs w:val="0"/>
        </w:rPr>
        <w:t>)</w:t>
      </w:r>
    </w:p>
    <w:p w14:paraId="4DB191BA">
      <w:pPr>
        <w:ind w:firstLine="420"/>
      </w:pPr>
      <w:r>
        <w:t>where numerator and denominator coefficients were identified using a genetic algorithm. The objective function was defined as:</w:t>
      </w:r>
    </w:p>
    <w:p w14:paraId="1B531EEA">
      <w:pPr>
        <w:pStyle w:val="21"/>
        <w:rPr>
          <w:b w:val="0"/>
          <w:bCs w:val="0"/>
        </w:rPr>
      </w:pPr>
      <w:r>
        <w:rPr>
          <w:rFonts w:hint="eastAsia"/>
          <w:b w:val="0"/>
          <w:bCs w:val="0"/>
        </w:rPr>
        <w:tab/>
      </w:r>
      <m:oMath>
        <m:func>
          <m:funcPr>
            <m:ctrlPr>
              <w:rPr>
                <w:rFonts w:hint="eastAsia" w:ascii="Cambria Math" w:hAnsi="Cambria Math"/>
                <w:b w:val="0"/>
                <w:bCs w:val="0"/>
                <w:i/>
              </w:rPr>
            </m:ctrlPr>
          </m:funcPr>
          <m:fName>
            <m:r>
              <m:rPr/>
              <w:rPr>
                <w:rFonts w:ascii="Cambria Math" w:hAnsi="Cambria Math"/>
              </w:rPr>
              <m:t>min</m:t>
            </m:r>
            <m:ctrlPr>
              <w:rPr>
                <w:rFonts w:hint="eastAsia" w:ascii="Cambria Math" w:hAnsi="Cambria Math"/>
                <w:b w:val="0"/>
                <w:bCs w:val="0"/>
                <w:i/>
              </w:rPr>
            </m:ctrlPr>
          </m:fName>
          <m:e>
            <m:nary>
              <m:naryPr>
                <m:chr m:val="∑"/>
                <m:ctrlPr>
                  <w:rPr>
                    <w:rFonts w:hint="eastAsia" w:ascii="Cambria Math" w:hAnsi="Cambria Math"/>
                    <w:b w:val="0"/>
                    <w:bCs w:val="0"/>
                    <w:i/>
                  </w:rPr>
                </m:ctrlPr>
              </m:naryPr>
              <m:sub>
                <m:r>
                  <m:rPr/>
                  <w:rPr>
                    <w:rFonts w:ascii="Cambria Math" w:hAnsi="Cambria Math"/>
                  </w:rPr>
                  <m:t>i=0</m:t>
                </m:r>
                <m:ctrlPr>
                  <w:rPr>
                    <w:rFonts w:hint="eastAsia" w:ascii="Cambria Math" w:hAnsi="Cambria Math"/>
                    <w:b w:val="0"/>
                    <w:bCs w:val="0"/>
                    <w:i/>
                  </w:rPr>
                </m:ctrlPr>
              </m:sub>
              <m:sup>
                <m:r>
                  <m:rPr/>
                  <w:rPr>
                    <w:rFonts w:ascii="Cambria Math" w:hAnsi="Cambria Math"/>
                  </w:rPr>
                  <m:t>n</m:t>
                </m:r>
                <m:ctrlPr>
                  <w:rPr>
                    <w:rFonts w:hint="eastAsia" w:ascii="Cambria Math" w:hAnsi="Cambria Math"/>
                    <w:b w:val="0"/>
                    <w:bCs w:val="0"/>
                    <w:i/>
                  </w:rPr>
                </m:ctrlPr>
              </m:sup>
              <m:e>
                <m:r>
                  <m:rPr/>
                  <w:rPr>
                    <w:rFonts w:ascii="Cambria Math" w:hAnsi="Cambria Math"/>
                  </w:rPr>
                  <m:t>[|H(iw)−coh(iw)|]</m:t>
                </m:r>
                <m:ctrlPr>
                  <w:rPr>
                    <w:rFonts w:hint="eastAsia" w:ascii="Cambria Math" w:hAnsi="Cambria Math"/>
                    <w:b w:val="0"/>
                    <w:bCs w:val="0"/>
                    <w:i/>
                  </w:rPr>
                </m:ctrlPr>
              </m:e>
            </m:nary>
            <m:ctrlPr>
              <w:rPr>
                <w:rFonts w:hint="eastAsia" w:ascii="Cambria Math" w:hAnsi="Cambria Math"/>
                <w:b w:val="0"/>
                <w:bCs w:val="0"/>
                <w:i/>
              </w:rPr>
            </m:ctrlPr>
          </m:e>
        </m:func>
      </m:oMath>
      <w:r>
        <w:rPr>
          <w:rFonts w:hint="eastAsia"/>
          <w:b w:val="0"/>
          <w:bCs w:val="0"/>
        </w:rPr>
        <w:tab/>
      </w:r>
      <w:r>
        <w:rPr>
          <w:rFonts w:hint="eastAsia" w:eastAsia="宋体"/>
          <w:b w:val="0"/>
          <w:bCs w:val="0"/>
        </w:rPr>
        <w:t>(S</w:t>
      </w:r>
      <w:r>
        <w:rPr>
          <w:rFonts w:hint="eastAsia"/>
          <w:b w:val="0"/>
          <w:bCs w:val="0"/>
        </w:rPr>
        <w:t>1.12</w:t>
      </w:r>
      <w:r>
        <w:rPr>
          <w:rFonts w:hint="eastAsia" w:eastAsia="宋体"/>
          <w:b w:val="0"/>
          <w:bCs w:val="0"/>
        </w:rPr>
        <w:t>)</w:t>
      </w:r>
    </w:p>
    <w:p w14:paraId="357CC531">
      <w:pPr>
        <w:ind w:firstLine="420"/>
      </w:pPr>
      <w:r>
        <w:t>subject to:</w:t>
      </w:r>
    </w:p>
    <w:p w14:paraId="1D2AB647">
      <w:pPr>
        <w:pStyle w:val="21"/>
        <w:ind w:firstLine="482"/>
      </w:pPr>
      <w:r>
        <w:rPr>
          <w:rFonts w:hint="eastAsia"/>
        </w:rPr>
        <w:tab/>
      </w:r>
      <m:oMath>
        <m:r>
          <m:rPr/>
          <w:rPr>
            <w:rFonts w:ascii="Cambria Math" w:hAnsi="Cambria Math"/>
          </w:rPr>
          <m:t>|H(iw)−coh(iw)|&lt;ε  ε</m:t>
        </m:r>
        <m:r>
          <m:rPr/>
          <w:rPr>
            <w:rFonts w:ascii="Cambria Math" w:hAnsi="Cambria Math" w:eastAsia="宋体"/>
          </w:rPr>
          <m:t xml:space="preserve"> </m:t>
        </m:r>
        <m:r>
          <m:rPr/>
          <w:rPr>
            <w:rFonts w:ascii="Cambria Math" w:hAnsi="Cambria Math"/>
          </w:rPr>
          <m:t>is a small positive number</m:t>
        </m:r>
      </m:oMath>
      <w:r>
        <w:rPr>
          <w:rFonts w:hint="eastAsia"/>
        </w:rPr>
        <w:tab/>
      </w:r>
      <w:r>
        <w:rPr>
          <w:rFonts w:hint="eastAsia" w:eastAsia="宋体"/>
          <w:b w:val="0"/>
          <w:bCs w:val="0"/>
        </w:rPr>
        <w:t>(S</w:t>
      </w:r>
      <w:r>
        <w:rPr>
          <w:rFonts w:hint="eastAsia"/>
          <w:b w:val="0"/>
          <w:bCs w:val="0"/>
        </w:rPr>
        <w:t>1.13</w:t>
      </w:r>
      <w:r>
        <w:rPr>
          <w:rFonts w:hint="eastAsia" w:eastAsia="宋体"/>
          <w:b w:val="0"/>
          <w:bCs w:val="0"/>
        </w:rPr>
        <w:t>)</w:t>
      </w:r>
    </w:p>
    <w:p w14:paraId="2BC752BF">
      <w:pPr>
        <w:ind w:firstLine="420"/>
        <w:jc w:val="left"/>
      </w:pPr>
      <w:r>
        <w:t>As the coherence function accounts for wheel-track spacing, the reconstructed three-dimensional runway roughness model maintains general applicability</w:t>
      </w:r>
      <w:r>
        <w:rPr>
          <w:vertAlign w:val="superscript"/>
        </w:rPr>
        <w:fldChar w:fldCharType="begin"/>
      </w:r>
      <w:r>
        <w:rPr>
          <w:vertAlign w:val="superscript"/>
        </w:rPr>
        <w:instrText xml:space="preserve"> REF _Ref22248 \r \h </w:instrText>
      </w:r>
      <w:r>
        <w:rPr>
          <w:vertAlign w:val="superscript"/>
        </w:rPr>
        <w:fldChar w:fldCharType="separate"/>
      </w:r>
      <w:r>
        <w:rPr>
          <w:vertAlign w:val="superscript"/>
        </w:rPr>
        <w:t>2</w:t>
      </w:r>
      <w:r>
        <w:rPr>
          <w:vertAlign w:val="superscript"/>
        </w:rPr>
        <w:fldChar w:fldCharType="end"/>
      </w:r>
      <w:r>
        <w:t>.</w:t>
      </w:r>
    </w:p>
    <w:p w14:paraId="6266BA40">
      <w:pPr>
        <w:pStyle w:val="4"/>
        <w:ind w:firstLine="482"/>
      </w:pPr>
      <w:r>
        <w:t>1.2.3 Equivalent conversion from IRI to three-dimensional roughness</w:t>
      </w:r>
    </w:p>
    <w:p w14:paraId="79EE4DCA">
      <w:pPr>
        <w:ind w:firstLine="420"/>
      </w:pPr>
      <w:r>
        <w:t>At the national scale, historical and routine runway roughness data are predominantly reported in terms of the International Roughness Index (IRI). IRI is a one-dimensional index derived from longitudinal elevation profiles using a quarter-car model and has long served as the standard metric for pavement condition management.</w:t>
      </w:r>
    </w:p>
    <w:p w14:paraId="09F553A9">
      <w:pPr>
        <w:ind w:firstLine="420"/>
      </w:pPr>
      <w:r>
        <w:t>Although IRI does not explicitly contain spatial spectral information or transverse variability, it provides the only nationwide roughness dataset with consistent temporal coverage. An equivalent conversion between IRI and three-dimensional relative elevation fields was therefore established to integrate physical roughness mechanisms into national-scale emissions estimation.</w:t>
      </w:r>
    </w:p>
    <w:p w14:paraId="1BD01CC4">
      <w:pPr>
        <w:ind w:firstLine="420"/>
      </w:pPr>
      <w:r>
        <w:t>A conversion framework was adopted in which the three-dimensional spectral model serves as the physical basis, and IRI acts as the constraint variable. Specifically, the established three-dimensional PSD model was used to back-calculate the corresponding IRI values, thereby constructing a quantitative mapping between IRI and longitudinal PSD parameters. Representative spectral parameters consistent with target IRI levels were then selected according to pavement type and runway classification. Combined with the transverse coherence function, three-dimensional roughness fields satisfying the prescribed IRI condition were reconstructed.</w:t>
      </w:r>
    </w:p>
    <w:p w14:paraId="0B7A2CC0">
      <w:pPr>
        <w:ind w:firstLine="420"/>
      </w:pPr>
      <w:r>
        <w:t>(1) Mapping between IRI and longitudinal PSD</w:t>
      </w:r>
    </w:p>
    <w:p w14:paraId="40542DB6">
      <w:pPr>
        <w:ind w:firstLine="420"/>
      </w:pPr>
      <w:r>
        <w:t>The roughness index</w:t>
      </w:r>
      <w:r>
        <w:rPr>
          <w:rFonts w:hint="eastAsia"/>
        </w:rPr>
        <w:t xml:space="preserve"> </w:t>
      </w:r>
      <w:r>
        <w:t>C</w:t>
      </w:r>
      <w:r>
        <w:rPr>
          <w:rFonts w:hint="eastAsia" w:ascii="Cambria Math" w:hAnsi="Cambria Math" w:cs="Cambria Math"/>
        </w:rPr>
        <w:t xml:space="preserve"> </w:t>
      </w:r>
      <w:r>
        <w:t xml:space="preserve">characterizes the overall roughness level. Statistical analysis indicates a linear relationship between C and IRI for the same pavement type. The PSD shape parameters (α,ω) exhibit strong statistical stability within each pavement category. Accordingly, a single-variable mapping between IRI and PSD was constructed using C as the independent variable. Shape parameters were fixed at the modal values derived from measured datasets (Table </w:t>
      </w:r>
      <w:r>
        <w:rPr>
          <w:rFonts w:hint="eastAsia"/>
        </w:rPr>
        <w:t>S</w:t>
      </w:r>
      <w:r>
        <w:t>1.3).</w:t>
      </w:r>
    </w:p>
    <w:p w14:paraId="673AAC81">
      <w:pPr>
        <w:pStyle w:val="58"/>
        <w:rPr>
          <w:rFonts w:hint="default"/>
        </w:rPr>
      </w:pPr>
      <w:r>
        <w:t>Table S1.3. Fixed longitudinal PSD parameters</w:t>
      </w:r>
    </w:p>
    <w:tbl>
      <w:tblPr>
        <w:tblStyle w:val="15"/>
        <w:tblW w:w="467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46"/>
        <w:gridCol w:w="1868"/>
        <w:gridCol w:w="3661"/>
      </w:tblGrid>
      <w:tr w14:paraId="3426F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33" w:type="pct"/>
            <w:tcBorders>
              <w:top w:val="single" w:color="auto" w:sz="12" w:space="0"/>
              <w:bottom w:val="single" w:color="auto" w:sz="12" w:space="0"/>
            </w:tcBorders>
            <w:vAlign w:val="center"/>
          </w:tcPr>
          <w:p w14:paraId="104AD4B8">
            <w:pPr>
              <w:pStyle w:val="49"/>
            </w:pPr>
            <w:r>
              <w:t>Pavement type</w:t>
            </w:r>
          </w:p>
        </w:tc>
        <w:tc>
          <w:tcPr>
            <w:tcW w:w="1171" w:type="pct"/>
            <w:tcBorders>
              <w:top w:val="single" w:color="auto" w:sz="12" w:space="0"/>
              <w:bottom w:val="single" w:color="auto" w:sz="12" w:space="0"/>
            </w:tcBorders>
            <w:vAlign w:val="center"/>
          </w:tcPr>
          <w:p w14:paraId="54E1AF32">
            <w:pPr>
              <w:pStyle w:val="49"/>
            </w:pPr>
            <w:r>
              <w:t>Parameter</w:t>
            </w:r>
          </w:p>
        </w:tc>
        <w:tc>
          <w:tcPr>
            <w:tcW w:w="2295" w:type="pct"/>
            <w:tcBorders>
              <w:top w:val="single" w:color="auto" w:sz="12" w:space="0"/>
              <w:bottom w:val="single" w:color="auto" w:sz="12" w:space="0"/>
            </w:tcBorders>
            <w:vAlign w:val="center"/>
          </w:tcPr>
          <w:p w14:paraId="727BEA3D">
            <w:pPr>
              <w:pStyle w:val="49"/>
            </w:pPr>
            <w:r>
              <w:t>Value</w:t>
            </w:r>
          </w:p>
        </w:tc>
      </w:tr>
      <w:tr w14:paraId="719D2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33" w:type="pct"/>
            <w:vMerge w:val="restart"/>
            <w:tcBorders>
              <w:top w:val="single" w:color="auto" w:sz="12" w:space="0"/>
            </w:tcBorders>
            <w:vAlign w:val="center"/>
          </w:tcPr>
          <w:p w14:paraId="0936A6A3">
            <w:pPr>
              <w:pStyle w:val="49"/>
            </w:pPr>
            <w:r>
              <w:t>Asphalt</w:t>
            </w:r>
          </w:p>
        </w:tc>
        <w:tc>
          <w:tcPr>
            <w:tcW w:w="1171" w:type="pct"/>
            <w:tcBorders>
              <w:top w:val="single" w:color="auto" w:sz="12" w:space="0"/>
            </w:tcBorders>
            <w:vAlign w:val="center"/>
          </w:tcPr>
          <w:p w14:paraId="079AD946">
            <w:pPr>
              <w:pStyle w:val="49"/>
            </w:pPr>
            <w:r>
              <w:t>α</w:t>
            </w:r>
          </w:p>
        </w:tc>
        <w:tc>
          <w:tcPr>
            <w:tcW w:w="2295" w:type="pct"/>
            <w:tcBorders>
              <w:top w:val="single" w:color="auto" w:sz="12" w:space="0"/>
            </w:tcBorders>
            <w:vAlign w:val="center"/>
          </w:tcPr>
          <w:p w14:paraId="438D058B">
            <w:pPr>
              <w:pStyle w:val="49"/>
            </w:pPr>
            <w:r>
              <w:rPr>
                <w:rFonts w:hint="eastAsia"/>
              </w:rPr>
              <w:t>0.0009</w:t>
            </w:r>
          </w:p>
        </w:tc>
      </w:tr>
      <w:tr w14:paraId="5B01F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33" w:type="pct"/>
            <w:vMerge w:val="continue"/>
            <w:vAlign w:val="center"/>
          </w:tcPr>
          <w:p w14:paraId="5F41282C">
            <w:pPr>
              <w:pStyle w:val="49"/>
            </w:pPr>
          </w:p>
        </w:tc>
        <w:tc>
          <w:tcPr>
            <w:tcW w:w="1171" w:type="pct"/>
            <w:vAlign w:val="center"/>
          </w:tcPr>
          <w:p w14:paraId="2F5366D9">
            <w:pPr>
              <w:pStyle w:val="49"/>
            </w:pPr>
            <w:r>
              <w:t>ω</w:t>
            </w:r>
          </w:p>
        </w:tc>
        <w:tc>
          <w:tcPr>
            <w:tcW w:w="2295" w:type="pct"/>
            <w:vAlign w:val="center"/>
          </w:tcPr>
          <w:p w14:paraId="046888BB">
            <w:pPr>
              <w:pStyle w:val="49"/>
            </w:pPr>
            <w:r>
              <w:rPr>
                <w:rFonts w:hint="eastAsia"/>
              </w:rPr>
              <w:t>2.24</w:t>
            </w:r>
          </w:p>
        </w:tc>
      </w:tr>
      <w:tr w14:paraId="43436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33" w:type="pct"/>
            <w:vMerge w:val="restart"/>
            <w:vAlign w:val="center"/>
          </w:tcPr>
          <w:p w14:paraId="710703A1">
            <w:pPr>
              <w:pStyle w:val="49"/>
            </w:pPr>
            <w:r>
              <w:t>Concrete</w:t>
            </w:r>
          </w:p>
        </w:tc>
        <w:tc>
          <w:tcPr>
            <w:tcW w:w="1171" w:type="pct"/>
            <w:vAlign w:val="center"/>
          </w:tcPr>
          <w:p w14:paraId="3C9835F4">
            <w:pPr>
              <w:pStyle w:val="49"/>
            </w:pPr>
            <w:r>
              <w:t>α</w:t>
            </w:r>
          </w:p>
        </w:tc>
        <w:tc>
          <w:tcPr>
            <w:tcW w:w="2295" w:type="pct"/>
            <w:vAlign w:val="center"/>
          </w:tcPr>
          <w:p w14:paraId="6798C410">
            <w:pPr>
              <w:pStyle w:val="49"/>
            </w:pPr>
            <w:r>
              <w:rPr>
                <w:rFonts w:hint="eastAsia"/>
              </w:rPr>
              <w:t>0.04</w:t>
            </w:r>
          </w:p>
        </w:tc>
      </w:tr>
      <w:tr w14:paraId="537A85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33" w:type="pct"/>
            <w:vMerge w:val="continue"/>
            <w:vAlign w:val="center"/>
          </w:tcPr>
          <w:p w14:paraId="1142E79B">
            <w:pPr>
              <w:pStyle w:val="49"/>
            </w:pPr>
          </w:p>
        </w:tc>
        <w:tc>
          <w:tcPr>
            <w:tcW w:w="1171" w:type="pct"/>
            <w:vAlign w:val="center"/>
          </w:tcPr>
          <w:p w14:paraId="5404BDC7">
            <w:pPr>
              <w:pStyle w:val="49"/>
            </w:pPr>
            <w:r>
              <w:t>ω</w:t>
            </w:r>
            <w:r>
              <w:rPr>
                <w:vertAlign w:val="subscript"/>
              </w:rPr>
              <w:t>1</w:t>
            </w:r>
          </w:p>
        </w:tc>
        <w:tc>
          <w:tcPr>
            <w:tcW w:w="2295" w:type="pct"/>
            <w:vAlign w:val="center"/>
          </w:tcPr>
          <w:p w14:paraId="456E547E">
            <w:pPr>
              <w:pStyle w:val="49"/>
            </w:pPr>
            <w:r>
              <w:rPr>
                <w:rFonts w:hint="eastAsia"/>
              </w:rPr>
              <w:t>2.4</w:t>
            </w:r>
          </w:p>
        </w:tc>
      </w:tr>
      <w:tr w14:paraId="759F8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33" w:type="pct"/>
            <w:vMerge w:val="continue"/>
            <w:vAlign w:val="center"/>
          </w:tcPr>
          <w:p w14:paraId="0B17C2E9">
            <w:pPr>
              <w:pStyle w:val="49"/>
            </w:pPr>
          </w:p>
        </w:tc>
        <w:tc>
          <w:tcPr>
            <w:tcW w:w="1171" w:type="pct"/>
            <w:vAlign w:val="center"/>
          </w:tcPr>
          <w:p w14:paraId="1849DB5E">
            <w:pPr>
              <w:pStyle w:val="49"/>
            </w:pPr>
            <w:r>
              <w:t>ω</w:t>
            </w:r>
            <w:r>
              <w:rPr>
                <w:vertAlign w:val="subscript"/>
              </w:rPr>
              <w:t>2</w:t>
            </w:r>
          </w:p>
        </w:tc>
        <w:tc>
          <w:tcPr>
            <w:tcW w:w="2295" w:type="pct"/>
            <w:vAlign w:val="center"/>
          </w:tcPr>
          <w:p w14:paraId="45440632">
            <w:pPr>
              <w:pStyle w:val="49"/>
            </w:pPr>
            <w:r>
              <w:rPr>
                <w:rFonts w:hint="eastAsia"/>
              </w:rPr>
              <w:t>2.5</w:t>
            </w:r>
          </w:p>
        </w:tc>
      </w:tr>
    </w:tbl>
    <w:p w14:paraId="4C3BB79F">
      <w:pPr>
        <w:ind w:firstLine="0" w:firstLineChars="0"/>
      </w:pPr>
    </w:p>
    <w:p w14:paraId="544648D1">
      <w:pPr>
        <w:ind w:firstLine="420"/>
      </w:pPr>
      <w:r>
        <w:t>To establish the mapping between C and IRI, C was varied from 0.1 to 1.1 with increments of 0.1. A runway length of 1,400 m and an elevation sampling interval of 0.25 m were adopted. Longitudinal elevation profiles were reconstructed within the wavelength range 0.5–120 m using the discrete Fourier transform method described in Section 1.2. Each reconstructed elevation profile was processed in ProFAA to compute segmental IRI values over 100 m intervals and the mean IRI over the entire runway. Regression analysis between C and IRI yielded:</w:t>
      </w:r>
    </w:p>
    <w:p w14:paraId="0232B436">
      <w:pPr>
        <w:ind w:firstLine="420"/>
      </w:pPr>
    </w:p>
    <w:p w14:paraId="7029B789">
      <w:pPr>
        <w:pStyle w:val="21"/>
        <w:ind w:firstLine="482"/>
        <w:rPr>
          <w:b w:val="0"/>
          <w:lang w:val="fr-FR"/>
        </w:rPr>
      </w:pPr>
      <w:r>
        <w:rPr>
          <w:rFonts w:hint="eastAsia"/>
        </w:rPr>
        <w:tab/>
      </w:r>
      <m:oMath>
        <m:r>
          <m:rPr>
            <m:nor/>
          </m:rPr>
          <w:rPr>
            <w:rFonts w:hint="eastAsia"/>
            <w:b w:val="0"/>
            <w:i/>
            <w:lang w:val="fr-FR"/>
          </w:rPr>
          <m:t>IRI</m:t>
        </m:r>
        <m:r>
          <m:rPr/>
          <w:rPr>
            <w:rFonts w:hint="eastAsia" w:ascii="Cambria Math" w:hAnsi="Cambria Math"/>
            <w:lang w:val="fr-FR"/>
          </w:rPr>
          <m:t>=</m:t>
        </m:r>
        <m:r>
          <m:rPr/>
          <w:rPr>
            <w:rFonts w:ascii="Cambria Math" w:hAnsi="Cambria Math"/>
          </w:rPr>
          <m:t>5</m:t>
        </m:r>
        <m:r>
          <m:rPr/>
          <w:rPr>
            <w:rFonts w:hint="eastAsia" w:ascii="Cambria Math" w:hAnsi="Cambria Math"/>
            <w:lang w:val="fr-FR"/>
          </w:rPr>
          <m:t>.</m:t>
        </m:r>
        <m:r>
          <m:rPr/>
          <w:rPr>
            <w:rFonts w:ascii="Cambria Math" w:hAnsi="Cambria Math"/>
          </w:rPr>
          <m:t>324</m:t>
        </m:r>
        <m:sSup>
          <m:sSupPr>
            <m:ctrlPr>
              <w:rPr>
                <w:rFonts w:hint="eastAsia" w:ascii="Cambria Math" w:hAnsi="Cambria Math"/>
                <w:b w:val="0"/>
                <w:i/>
              </w:rPr>
            </m:ctrlPr>
          </m:sSupPr>
          <m:e>
            <m:r>
              <m:rPr/>
              <w:rPr>
                <w:rFonts w:ascii="Cambria Math" w:hAnsi="Cambria Math"/>
              </w:rPr>
              <m:t>C</m:t>
            </m:r>
            <m:ctrlPr>
              <w:rPr>
                <w:rFonts w:hint="eastAsia" w:ascii="Cambria Math" w:hAnsi="Cambria Math"/>
                <w:b w:val="0"/>
                <w:i/>
              </w:rPr>
            </m:ctrlPr>
          </m:e>
          <m:sup>
            <m:r>
              <m:rPr/>
              <w:rPr>
                <w:rFonts w:ascii="Cambria Math" w:hAnsi="Cambria Math"/>
              </w:rPr>
              <m:t>0</m:t>
            </m:r>
            <m:r>
              <m:rPr/>
              <w:rPr>
                <w:rFonts w:hint="eastAsia" w:ascii="Cambria Math" w:hAnsi="Cambria Math"/>
                <w:lang w:val="fr-FR"/>
              </w:rPr>
              <m:t>.</m:t>
            </m:r>
            <m:r>
              <m:rPr/>
              <w:rPr>
                <w:rFonts w:ascii="Cambria Math" w:hAnsi="Cambria Math"/>
              </w:rPr>
              <m:t>5</m:t>
            </m:r>
            <m:ctrlPr>
              <w:rPr>
                <w:rFonts w:hint="eastAsia" w:ascii="Cambria Math" w:hAnsi="Cambria Math"/>
                <w:b w:val="0"/>
                <w:i/>
              </w:rPr>
            </m:ctrlPr>
          </m:sup>
        </m:sSup>
      </m:oMath>
      <w:r>
        <w:rPr>
          <w:rFonts w:hint="eastAsia"/>
          <w:b w:val="0"/>
          <w:lang w:val="fr-FR"/>
        </w:rPr>
        <w:tab/>
      </w:r>
      <w:r>
        <w:rPr>
          <w:rFonts w:hint="eastAsia" w:eastAsia="宋体"/>
          <w:b w:val="0"/>
        </w:rPr>
        <w:t>(S</w:t>
      </w:r>
      <w:r>
        <w:rPr>
          <w:rFonts w:hint="eastAsia"/>
          <w:b w:val="0"/>
        </w:rPr>
        <w:t>1.</w:t>
      </w:r>
      <w:r>
        <w:rPr>
          <w:rFonts w:hint="eastAsia"/>
          <w:b w:val="0"/>
          <w:lang w:val="fr-FR"/>
        </w:rPr>
        <w:t>14</w:t>
      </w:r>
      <w:r>
        <w:rPr>
          <w:rFonts w:hint="eastAsia" w:eastAsia="宋体"/>
          <w:b w:val="0"/>
        </w:rPr>
        <w:t>)</w:t>
      </w:r>
    </w:p>
    <w:p w14:paraId="31941DEC">
      <w:pPr>
        <w:pStyle w:val="58"/>
        <w:rPr>
          <w:rFonts w:hint="default"/>
        </w:rPr>
      </w:pPr>
      <w:r>
        <w:drawing>
          <wp:inline distT="0" distB="0" distL="114300" distR="114300">
            <wp:extent cx="2554605" cy="2553970"/>
            <wp:effectExtent l="0" t="0" r="10795" b="1143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21"/>
                    <a:stretch>
                      <a:fillRect/>
                    </a:stretch>
                  </pic:blipFill>
                  <pic:spPr>
                    <a:xfrm>
                      <a:off x="0" y="0"/>
                      <a:ext cx="2554605" cy="2553970"/>
                    </a:xfrm>
                    <a:prstGeom prst="rect">
                      <a:avLst/>
                    </a:prstGeom>
                    <a:noFill/>
                    <a:ln>
                      <a:noFill/>
                    </a:ln>
                  </pic:spPr>
                </pic:pic>
              </a:graphicData>
            </a:graphic>
          </wp:inline>
        </w:drawing>
      </w:r>
    </w:p>
    <w:p w14:paraId="3C81485B">
      <w:pPr>
        <w:pStyle w:val="58"/>
        <w:rPr>
          <w:rFonts w:hint="default"/>
        </w:rPr>
      </w:pPr>
      <w:r>
        <w:t xml:space="preserve">Fig.S1.9. Regression between longitudinal PSD parameter </w:t>
      </w:r>
      <w:r>
        <w:rPr>
          <w:rFonts w:hint="default" w:ascii="Cambria Math" w:hAnsi="Cambria Math" w:cs="Cambria Math"/>
        </w:rPr>
        <w:t xml:space="preserve">𝐶 </w:t>
      </w:r>
      <w:r>
        <w:t>and IRI.</w:t>
      </w:r>
    </w:p>
    <w:p w14:paraId="388754EE">
      <w:pPr>
        <w:ind w:firstLine="420" w:firstLineChars="0"/>
      </w:pPr>
      <w:r>
        <w:t>(2) Three-dimensional roughness reconstruction under IRI constraint</w:t>
      </w:r>
    </w:p>
    <w:p w14:paraId="03D3DDE8">
      <w:pPr>
        <w:ind w:firstLine="420"/>
      </w:pPr>
      <w:r>
        <w:t>Given a target IRI value, the corresponding longitudinal PSD roughness parameter C is first determined using Eq.(S1.14). With fixed PSD shape parameters (Table</w:t>
      </w:r>
      <w:r>
        <w:rPr>
          <w:rFonts w:hint="eastAsia"/>
          <w:lang w:val="en-US" w:eastAsia="zh-CN"/>
        </w:rPr>
        <w:t xml:space="preserve"> </w:t>
      </w:r>
      <w:r>
        <w:t>S1.3), the complete longitudinal power spectral density is obtained. For transverse characteristics, the coherence function coh</w:t>
      </w:r>
      <w:r>
        <w:rPr>
          <w:rFonts w:hint="eastAsia"/>
          <w:vertAlign w:val="subscript"/>
        </w:rPr>
        <w:t>xy</w:t>
      </w:r>
      <w:r>
        <w:t xml:space="preserve"> captures the physical constraints imposed by pavement construction characteristics and wheel-track spacing. Fixed representative parameter values were adopted (Table S1.4).</w:t>
      </w:r>
    </w:p>
    <w:p w14:paraId="78EDE4A7">
      <w:pPr>
        <w:pStyle w:val="58"/>
        <w:rPr>
          <w:rFonts w:hint="default"/>
        </w:rPr>
      </w:pPr>
      <w:r>
        <w:t>Table S1.4. Fixed parameters of the transverse coherence model</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9"/>
        <w:gridCol w:w="1849"/>
        <w:gridCol w:w="2502"/>
        <w:gridCol w:w="2322"/>
      </w:tblGrid>
      <w:tr w14:paraId="520D2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85" w:type="pct"/>
            <w:vAlign w:val="center"/>
          </w:tcPr>
          <w:p w14:paraId="0AF3EB44">
            <w:pPr>
              <w:pStyle w:val="49"/>
            </w:pPr>
            <w:r>
              <w:t>Parameter</w:t>
            </w:r>
          </w:p>
        </w:tc>
        <w:tc>
          <w:tcPr>
            <w:tcW w:w="1085" w:type="pct"/>
            <w:tcBorders>
              <w:top w:val="single" w:color="auto" w:sz="12" w:space="0"/>
              <w:bottom w:val="single" w:color="auto" w:sz="4" w:space="0"/>
            </w:tcBorders>
            <w:vAlign w:val="center"/>
          </w:tcPr>
          <w:p w14:paraId="6FF966D8">
            <w:pPr>
              <w:pStyle w:val="49"/>
            </w:pPr>
            <w:r>
              <w:rPr>
                <w:rFonts w:hint="eastAsia"/>
              </w:rPr>
              <w:t>a</w:t>
            </w:r>
          </w:p>
        </w:tc>
        <w:tc>
          <w:tcPr>
            <w:tcW w:w="1468" w:type="pct"/>
            <w:tcBorders>
              <w:top w:val="single" w:color="auto" w:sz="12" w:space="0"/>
              <w:bottom w:val="single" w:color="auto" w:sz="4" w:space="0"/>
            </w:tcBorders>
            <w:vAlign w:val="center"/>
          </w:tcPr>
          <w:p w14:paraId="033308F7">
            <w:pPr>
              <w:pStyle w:val="49"/>
            </w:pPr>
            <w:r>
              <w:rPr>
                <w:rFonts w:hint="eastAsia"/>
              </w:rPr>
              <w:t>b</w:t>
            </w:r>
          </w:p>
        </w:tc>
        <w:tc>
          <w:tcPr>
            <w:tcW w:w="1362" w:type="pct"/>
            <w:tcBorders>
              <w:top w:val="single" w:color="auto" w:sz="12" w:space="0"/>
              <w:bottom w:val="single" w:color="auto" w:sz="4" w:space="0"/>
            </w:tcBorders>
            <w:vAlign w:val="center"/>
          </w:tcPr>
          <w:p w14:paraId="0ED8CD97">
            <w:pPr>
              <w:pStyle w:val="49"/>
            </w:pPr>
            <w:r>
              <w:rPr>
                <w:rFonts w:hint="eastAsia"/>
              </w:rPr>
              <w:t>c</w:t>
            </w:r>
          </w:p>
        </w:tc>
      </w:tr>
      <w:tr w14:paraId="0C9D1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85" w:type="pct"/>
            <w:vAlign w:val="center"/>
          </w:tcPr>
          <w:p w14:paraId="2C271FD0">
            <w:pPr>
              <w:pStyle w:val="49"/>
            </w:pPr>
            <w:r>
              <w:t>Value</w:t>
            </w:r>
          </w:p>
        </w:tc>
        <w:tc>
          <w:tcPr>
            <w:tcW w:w="1085" w:type="pct"/>
            <w:tcBorders>
              <w:top w:val="single" w:color="auto" w:sz="4" w:space="0"/>
            </w:tcBorders>
            <w:vAlign w:val="center"/>
          </w:tcPr>
          <w:p w14:paraId="3B5107F1">
            <w:pPr>
              <w:pStyle w:val="49"/>
            </w:pPr>
            <w:r>
              <w:rPr>
                <w:rFonts w:hint="eastAsia"/>
              </w:rPr>
              <w:t>0.85</w:t>
            </w:r>
          </w:p>
        </w:tc>
        <w:tc>
          <w:tcPr>
            <w:tcW w:w="1468" w:type="pct"/>
            <w:tcBorders>
              <w:top w:val="single" w:color="auto" w:sz="4" w:space="0"/>
            </w:tcBorders>
            <w:vAlign w:val="center"/>
          </w:tcPr>
          <w:p w14:paraId="363E89C4">
            <w:pPr>
              <w:pStyle w:val="49"/>
            </w:pPr>
            <w:r>
              <w:rPr>
                <w:rFonts w:hint="eastAsia"/>
              </w:rPr>
              <w:t>11.26</w:t>
            </w:r>
          </w:p>
        </w:tc>
        <w:tc>
          <w:tcPr>
            <w:tcW w:w="1362" w:type="pct"/>
            <w:tcBorders>
              <w:top w:val="single" w:color="auto" w:sz="4" w:space="0"/>
            </w:tcBorders>
            <w:vAlign w:val="center"/>
          </w:tcPr>
          <w:p w14:paraId="250E7FF2">
            <w:pPr>
              <w:pStyle w:val="49"/>
            </w:pPr>
            <w:r>
              <w:rPr>
                <w:rFonts w:hint="eastAsia"/>
              </w:rPr>
              <w:t>0.49</w:t>
            </w:r>
          </w:p>
        </w:tc>
      </w:tr>
    </w:tbl>
    <w:p w14:paraId="6A26710A">
      <w:pPr>
        <w:ind w:firstLine="420"/>
      </w:pPr>
    </w:p>
    <w:p w14:paraId="7723D933">
      <w:pPr>
        <w:ind w:firstLine="420" w:firstLineChars="0"/>
      </w:pPr>
      <w:r>
        <w:t>Based on the determined longitudinal PSD and transverse coherence function, the three-dimensional power spectral density matrix of the runway was constructed. The frequency-domain representation was then transformed into a spatial-domain three-dimensional elevation field using the reconstruction procedure described in Section 1.2, thereby generating an IRI-constrained three-dimensional runway roughness field.</w:t>
      </w:r>
    </w:p>
    <w:p w14:paraId="28416C29">
      <w:pPr>
        <w:pStyle w:val="4"/>
        <w:ind w:firstLine="482"/>
      </w:pPr>
      <w:r>
        <w:t>1.2.3 Pavement roughness data sources used in this study</w:t>
      </w:r>
    </w:p>
    <w:p w14:paraId="05D1BEED">
      <w:pPr>
        <w:ind w:firstLine="420" w:firstLineChars="0"/>
      </w:pPr>
      <w:r>
        <w:t xml:space="preserve">Pavement roughness data were compiled for approximately 80% of civil airports in China, including all 40 airports with annual passenger throughput exceeding 10 million. These airports account for approximately 90% of total national air traffic volume (Table </w:t>
      </w:r>
      <w:r>
        <w:rPr>
          <w:rFonts w:hint="eastAsia"/>
        </w:rPr>
        <w:t>S</w:t>
      </w:r>
      <w:r>
        <w:t>1.5). Due to data management regulations and archival practices, two primary data types were available: directly measured elevation profiles and International Roughness Index (IRI) records. In accordance with national airport pavement management standards, IRI serves as the recommended and routinely reported evaluation metric. Consequently, for most airports, long-term time series data are available in the form of IRI rather than raw elevation measurements. To ensure consistency across heterogeneous datasets, IRI values were converted into equivalent elevation-based roughness representations using the physically constrained mapping framework described in Section 1.2.3. For airports where both elevation and IRI data were available, the datasets were used for cross-validation and long-term trend analysis.</w:t>
      </w:r>
    </w:p>
    <w:p w14:paraId="6ECC0F8A">
      <w:pPr>
        <w:ind w:firstLine="420"/>
      </w:pPr>
      <w:r>
        <w:t>During multi-source data integration, high-resolution elevation datasets were adopted as the spatial reference baseline. Coordinate transformations and scale normalization were applied to achieve spatial alignment and maintain consistency in geometric accuracy and statistical properties across datasets. Due to data confidentiality constraints, the complete dataset cannot be publicly released. As a representative example, a 25-year roughness evolution dataset for Shanghai Hongqiao International Airport, covering multiple functional zones, is provided in Source Data 2.</w:t>
      </w:r>
    </w:p>
    <w:p w14:paraId="662DE567">
      <w:pPr>
        <w:ind w:firstLine="0" w:firstLineChars="0"/>
        <w:jc w:val="center"/>
      </w:pPr>
      <w:r>
        <w:t>Table</w:t>
      </w:r>
      <w:r>
        <w:rPr>
          <w:rFonts w:hint="eastAsia"/>
        </w:rPr>
        <w:t xml:space="preserve"> S</w:t>
      </w:r>
      <w:r>
        <w:t>1.5</w:t>
      </w:r>
      <w:r>
        <w:rPr>
          <w:rFonts w:hint="eastAsia"/>
        </w:rPr>
        <w:t>.</w:t>
      </w:r>
      <w:r>
        <w:t xml:space="preserve"> Summary of pavement roughness datasets across Chinese airports</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7"/>
        <w:gridCol w:w="1663"/>
        <w:gridCol w:w="1420"/>
        <w:gridCol w:w="1162"/>
        <w:gridCol w:w="1679"/>
        <w:gridCol w:w="1421"/>
      </w:tblGrid>
      <w:tr w14:paraId="11E72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77" w:type="dxa"/>
            <w:tcBorders>
              <w:top w:val="single" w:color="auto" w:sz="12" w:space="0"/>
              <w:left w:val="nil"/>
              <w:bottom w:val="single" w:color="auto" w:sz="12" w:space="0"/>
            </w:tcBorders>
            <w:shd w:val="clear" w:color="auto" w:fill="auto"/>
            <w:vAlign w:val="center"/>
          </w:tcPr>
          <w:p w14:paraId="3EAEB38C">
            <w:pPr>
              <w:pStyle w:val="49"/>
            </w:pPr>
            <w:r>
              <w:t>Airport ID</w:t>
            </w:r>
          </w:p>
        </w:tc>
        <w:tc>
          <w:tcPr>
            <w:tcW w:w="1663" w:type="dxa"/>
            <w:tcBorders>
              <w:top w:val="single" w:color="auto" w:sz="12" w:space="0"/>
              <w:bottom w:val="single" w:color="auto" w:sz="12" w:space="0"/>
            </w:tcBorders>
            <w:shd w:val="clear" w:color="auto" w:fill="auto"/>
            <w:vAlign w:val="center"/>
          </w:tcPr>
          <w:p w14:paraId="4DFA3117">
            <w:pPr>
              <w:pStyle w:val="49"/>
            </w:pPr>
            <w:r>
              <w:t>Pavement Roughness Type</w:t>
            </w:r>
          </w:p>
        </w:tc>
        <w:tc>
          <w:tcPr>
            <w:tcW w:w="1420" w:type="dxa"/>
            <w:tcBorders>
              <w:top w:val="single" w:color="auto" w:sz="12" w:space="0"/>
              <w:bottom w:val="single" w:color="auto" w:sz="12" w:space="0"/>
            </w:tcBorders>
            <w:shd w:val="clear" w:color="auto" w:fill="auto"/>
            <w:vAlign w:val="center"/>
          </w:tcPr>
          <w:p w14:paraId="0C31069E">
            <w:pPr>
              <w:pStyle w:val="49"/>
              <w:rPr>
                <w:szCs w:val="18"/>
              </w:rPr>
            </w:pPr>
            <w:r>
              <w:rPr>
                <w:szCs w:val="18"/>
              </w:rPr>
              <w:t>Data Collection Year</w:t>
            </w:r>
          </w:p>
        </w:tc>
        <w:tc>
          <w:tcPr>
            <w:tcW w:w="1162" w:type="dxa"/>
            <w:tcBorders>
              <w:top w:val="single" w:color="auto" w:sz="12" w:space="0"/>
              <w:bottom w:val="single" w:color="auto" w:sz="12" w:space="0"/>
            </w:tcBorders>
            <w:shd w:val="clear" w:color="auto" w:fill="auto"/>
            <w:vAlign w:val="center"/>
          </w:tcPr>
          <w:p w14:paraId="20AA39E8">
            <w:pPr>
              <w:pStyle w:val="49"/>
            </w:pPr>
            <w:r>
              <w:t>Airport ID</w:t>
            </w:r>
          </w:p>
        </w:tc>
        <w:tc>
          <w:tcPr>
            <w:tcW w:w="1679" w:type="dxa"/>
            <w:tcBorders>
              <w:top w:val="single" w:color="auto" w:sz="12" w:space="0"/>
              <w:bottom w:val="single" w:color="auto" w:sz="12" w:space="0"/>
            </w:tcBorders>
            <w:shd w:val="clear" w:color="auto" w:fill="auto"/>
            <w:vAlign w:val="center"/>
          </w:tcPr>
          <w:p w14:paraId="1AAE3570">
            <w:pPr>
              <w:pStyle w:val="49"/>
            </w:pPr>
            <w:r>
              <w:t>Pavement Roughness Type</w:t>
            </w:r>
          </w:p>
        </w:tc>
        <w:tc>
          <w:tcPr>
            <w:tcW w:w="1421" w:type="dxa"/>
            <w:tcBorders>
              <w:top w:val="single" w:color="auto" w:sz="12" w:space="0"/>
              <w:bottom w:val="single" w:color="auto" w:sz="12" w:space="0"/>
              <w:right w:val="nil"/>
            </w:tcBorders>
            <w:shd w:val="clear" w:color="auto" w:fill="auto"/>
            <w:vAlign w:val="center"/>
          </w:tcPr>
          <w:p w14:paraId="1EC61E90">
            <w:pPr>
              <w:pStyle w:val="49"/>
              <w:rPr>
                <w:szCs w:val="18"/>
              </w:rPr>
            </w:pPr>
            <w:r>
              <w:rPr>
                <w:szCs w:val="18"/>
              </w:rPr>
              <w:t>Data Collection Year</w:t>
            </w:r>
          </w:p>
        </w:tc>
      </w:tr>
      <w:tr w14:paraId="10692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top w:val="single" w:color="auto" w:sz="12" w:space="0"/>
              <w:left w:val="nil"/>
            </w:tcBorders>
            <w:shd w:val="clear" w:color="auto" w:fill="auto"/>
            <w:vAlign w:val="center"/>
          </w:tcPr>
          <w:p w14:paraId="45DC70D4">
            <w:pPr>
              <w:pStyle w:val="49"/>
            </w:pPr>
            <w:r>
              <w:t>1</w:t>
            </w:r>
          </w:p>
        </w:tc>
        <w:tc>
          <w:tcPr>
            <w:tcW w:w="1663" w:type="dxa"/>
            <w:tcBorders>
              <w:top w:val="single" w:color="auto" w:sz="12" w:space="0"/>
            </w:tcBorders>
            <w:shd w:val="clear" w:color="auto" w:fill="auto"/>
            <w:vAlign w:val="center"/>
          </w:tcPr>
          <w:p w14:paraId="7C2C8B1D">
            <w:pPr>
              <w:pStyle w:val="49"/>
            </w:pPr>
            <w:r>
              <w:t>IRI</w:t>
            </w:r>
          </w:p>
        </w:tc>
        <w:tc>
          <w:tcPr>
            <w:tcW w:w="1420" w:type="dxa"/>
            <w:tcBorders>
              <w:top w:val="single" w:color="auto" w:sz="12" w:space="0"/>
            </w:tcBorders>
            <w:shd w:val="clear" w:color="auto" w:fill="auto"/>
            <w:vAlign w:val="center"/>
          </w:tcPr>
          <w:p w14:paraId="35A03226">
            <w:pPr>
              <w:pStyle w:val="49"/>
            </w:pPr>
            <w:r>
              <w:t>2017</w:t>
            </w:r>
          </w:p>
        </w:tc>
        <w:tc>
          <w:tcPr>
            <w:tcW w:w="1162" w:type="dxa"/>
            <w:tcBorders>
              <w:top w:val="single" w:color="auto" w:sz="12" w:space="0"/>
            </w:tcBorders>
            <w:shd w:val="clear" w:color="auto" w:fill="auto"/>
            <w:vAlign w:val="center"/>
          </w:tcPr>
          <w:p w14:paraId="4523D93C">
            <w:pPr>
              <w:pStyle w:val="49"/>
            </w:pPr>
            <w:r>
              <w:t>110</w:t>
            </w:r>
          </w:p>
        </w:tc>
        <w:tc>
          <w:tcPr>
            <w:tcW w:w="1679" w:type="dxa"/>
            <w:tcBorders>
              <w:top w:val="single" w:color="auto" w:sz="12" w:space="0"/>
            </w:tcBorders>
            <w:shd w:val="clear" w:color="auto" w:fill="auto"/>
            <w:vAlign w:val="center"/>
          </w:tcPr>
          <w:p w14:paraId="1B4A8993">
            <w:pPr>
              <w:pStyle w:val="49"/>
            </w:pPr>
            <w:r>
              <w:t>IRI</w:t>
            </w:r>
          </w:p>
        </w:tc>
        <w:tc>
          <w:tcPr>
            <w:tcW w:w="1421" w:type="dxa"/>
            <w:tcBorders>
              <w:top w:val="single" w:color="auto" w:sz="12" w:space="0"/>
              <w:right w:val="nil"/>
            </w:tcBorders>
            <w:shd w:val="clear" w:color="auto" w:fill="auto"/>
            <w:vAlign w:val="center"/>
          </w:tcPr>
          <w:p w14:paraId="725B9405">
            <w:pPr>
              <w:pStyle w:val="49"/>
            </w:pPr>
            <w:r>
              <w:t>2015-2019</w:t>
            </w:r>
          </w:p>
        </w:tc>
      </w:tr>
      <w:tr w14:paraId="4DB63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112D69B">
            <w:pPr>
              <w:pStyle w:val="49"/>
            </w:pPr>
            <w:r>
              <w:t>2</w:t>
            </w:r>
          </w:p>
        </w:tc>
        <w:tc>
          <w:tcPr>
            <w:tcW w:w="1663" w:type="dxa"/>
            <w:shd w:val="clear" w:color="auto" w:fill="auto"/>
            <w:vAlign w:val="center"/>
          </w:tcPr>
          <w:p w14:paraId="096C479B">
            <w:pPr>
              <w:pStyle w:val="49"/>
            </w:pPr>
            <w:r>
              <w:t>IRI</w:t>
            </w:r>
          </w:p>
        </w:tc>
        <w:tc>
          <w:tcPr>
            <w:tcW w:w="1420" w:type="dxa"/>
            <w:shd w:val="clear" w:color="auto" w:fill="auto"/>
            <w:vAlign w:val="center"/>
          </w:tcPr>
          <w:p w14:paraId="58B44E54">
            <w:pPr>
              <w:pStyle w:val="49"/>
            </w:pPr>
            <w:r>
              <w:t>2019</w:t>
            </w:r>
          </w:p>
        </w:tc>
        <w:tc>
          <w:tcPr>
            <w:tcW w:w="1162" w:type="dxa"/>
            <w:shd w:val="clear" w:color="auto" w:fill="auto"/>
            <w:vAlign w:val="center"/>
          </w:tcPr>
          <w:p w14:paraId="7BA3942C">
            <w:pPr>
              <w:pStyle w:val="49"/>
            </w:pPr>
            <w:r>
              <w:t>111</w:t>
            </w:r>
          </w:p>
        </w:tc>
        <w:tc>
          <w:tcPr>
            <w:tcW w:w="1679" w:type="dxa"/>
            <w:shd w:val="clear" w:color="auto" w:fill="auto"/>
            <w:vAlign w:val="center"/>
          </w:tcPr>
          <w:p w14:paraId="353C5C5F">
            <w:pPr>
              <w:pStyle w:val="49"/>
            </w:pPr>
            <w:r>
              <w:t>Elevation Data</w:t>
            </w:r>
          </w:p>
        </w:tc>
        <w:tc>
          <w:tcPr>
            <w:tcW w:w="1421" w:type="dxa"/>
            <w:tcBorders>
              <w:right w:val="nil"/>
            </w:tcBorders>
            <w:shd w:val="clear" w:color="auto" w:fill="auto"/>
            <w:vAlign w:val="center"/>
          </w:tcPr>
          <w:p w14:paraId="10D1A3BA">
            <w:pPr>
              <w:pStyle w:val="49"/>
            </w:pPr>
            <w:r>
              <w:t>2017</w:t>
            </w:r>
          </w:p>
        </w:tc>
      </w:tr>
      <w:tr w14:paraId="6ECB7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95E7D9E">
            <w:pPr>
              <w:pStyle w:val="49"/>
            </w:pPr>
            <w:r>
              <w:t>3</w:t>
            </w:r>
          </w:p>
        </w:tc>
        <w:tc>
          <w:tcPr>
            <w:tcW w:w="1663" w:type="dxa"/>
            <w:shd w:val="clear" w:color="auto" w:fill="auto"/>
            <w:vAlign w:val="center"/>
          </w:tcPr>
          <w:p w14:paraId="25D2E696">
            <w:pPr>
              <w:pStyle w:val="49"/>
            </w:pPr>
            <w:r>
              <w:t>IRI</w:t>
            </w:r>
          </w:p>
        </w:tc>
        <w:tc>
          <w:tcPr>
            <w:tcW w:w="1420" w:type="dxa"/>
            <w:shd w:val="clear" w:color="auto" w:fill="auto"/>
            <w:vAlign w:val="center"/>
          </w:tcPr>
          <w:p w14:paraId="61DA672B">
            <w:pPr>
              <w:pStyle w:val="49"/>
            </w:pPr>
            <w:r>
              <w:t>2015-2023</w:t>
            </w:r>
          </w:p>
        </w:tc>
        <w:tc>
          <w:tcPr>
            <w:tcW w:w="1162" w:type="dxa"/>
            <w:shd w:val="clear" w:color="auto" w:fill="auto"/>
            <w:vAlign w:val="center"/>
          </w:tcPr>
          <w:p w14:paraId="7D4A25F1">
            <w:pPr>
              <w:pStyle w:val="49"/>
            </w:pPr>
            <w:r>
              <w:t>112</w:t>
            </w:r>
          </w:p>
        </w:tc>
        <w:tc>
          <w:tcPr>
            <w:tcW w:w="1679" w:type="dxa"/>
            <w:shd w:val="clear" w:color="auto" w:fill="auto"/>
            <w:vAlign w:val="center"/>
          </w:tcPr>
          <w:p w14:paraId="77DAF988">
            <w:pPr>
              <w:pStyle w:val="49"/>
            </w:pPr>
            <w:r>
              <w:t>IRI</w:t>
            </w:r>
          </w:p>
        </w:tc>
        <w:tc>
          <w:tcPr>
            <w:tcW w:w="1421" w:type="dxa"/>
            <w:tcBorders>
              <w:right w:val="nil"/>
            </w:tcBorders>
            <w:shd w:val="clear" w:color="auto" w:fill="auto"/>
            <w:vAlign w:val="center"/>
          </w:tcPr>
          <w:p w14:paraId="38600420">
            <w:pPr>
              <w:pStyle w:val="49"/>
            </w:pPr>
            <w:r>
              <w:t>2019</w:t>
            </w:r>
          </w:p>
        </w:tc>
      </w:tr>
      <w:tr w14:paraId="71954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A329F60">
            <w:pPr>
              <w:pStyle w:val="49"/>
            </w:pPr>
            <w:r>
              <w:t>4</w:t>
            </w:r>
          </w:p>
        </w:tc>
        <w:tc>
          <w:tcPr>
            <w:tcW w:w="1663" w:type="dxa"/>
            <w:shd w:val="clear" w:color="auto" w:fill="auto"/>
            <w:vAlign w:val="center"/>
          </w:tcPr>
          <w:p w14:paraId="0262C719">
            <w:pPr>
              <w:pStyle w:val="49"/>
            </w:pPr>
            <w:r>
              <w:t>Elevation Data</w:t>
            </w:r>
          </w:p>
        </w:tc>
        <w:tc>
          <w:tcPr>
            <w:tcW w:w="1420" w:type="dxa"/>
            <w:shd w:val="clear" w:color="auto" w:fill="auto"/>
            <w:vAlign w:val="center"/>
          </w:tcPr>
          <w:p w14:paraId="61A6FCE8">
            <w:pPr>
              <w:pStyle w:val="49"/>
            </w:pPr>
            <w:r>
              <w:t>2024</w:t>
            </w:r>
          </w:p>
        </w:tc>
        <w:tc>
          <w:tcPr>
            <w:tcW w:w="1162" w:type="dxa"/>
            <w:shd w:val="clear" w:color="auto" w:fill="auto"/>
            <w:vAlign w:val="center"/>
          </w:tcPr>
          <w:p w14:paraId="33805527">
            <w:pPr>
              <w:pStyle w:val="49"/>
            </w:pPr>
            <w:r>
              <w:t>113</w:t>
            </w:r>
          </w:p>
        </w:tc>
        <w:tc>
          <w:tcPr>
            <w:tcW w:w="1679" w:type="dxa"/>
            <w:shd w:val="clear" w:color="auto" w:fill="auto"/>
            <w:vAlign w:val="center"/>
          </w:tcPr>
          <w:p w14:paraId="13A8A427">
            <w:pPr>
              <w:pStyle w:val="49"/>
            </w:pPr>
            <w:r>
              <w:t>IRI</w:t>
            </w:r>
          </w:p>
        </w:tc>
        <w:tc>
          <w:tcPr>
            <w:tcW w:w="1421" w:type="dxa"/>
            <w:tcBorders>
              <w:right w:val="nil"/>
            </w:tcBorders>
            <w:shd w:val="clear" w:color="auto" w:fill="auto"/>
            <w:vAlign w:val="center"/>
          </w:tcPr>
          <w:p w14:paraId="465B7C51">
            <w:pPr>
              <w:pStyle w:val="49"/>
            </w:pPr>
            <w:r>
              <w:t>2020</w:t>
            </w:r>
          </w:p>
        </w:tc>
      </w:tr>
      <w:tr w14:paraId="521D9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802487F">
            <w:pPr>
              <w:pStyle w:val="49"/>
            </w:pPr>
            <w:r>
              <w:t>5</w:t>
            </w:r>
          </w:p>
        </w:tc>
        <w:tc>
          <w:tcPr>
            <w:tcW w:w="1663" w:type="dxa"/>
            <w:shd w:val="clear" w:color="auto" w:fill="auto"/>
            <w:vAlign w:val="center"/>
          </w:tcPr>
          <w:p w14:paraId="1CE96864">
            <w:pPr>
              <w:pStyle w:val="49"/>
            </w:pPr>
            <w:r>
              <w:t>IRI</w:t>
            </w:r>
          </w:p>
        </w:tc>
        <w:tc>
          <w:tcPr>
            <w:tcW w:w="1420" w:type="dxa"/>
            <w:shd w:val="clear" w:color="auto" w:fill="auto"/>
            <w:vAlign w:val="center"/>
          </w:tcPr>
          <w:p w14:paraId="2C8CE133">
            <w:pPr>
              <w:pStyle w:val="49"/>
            </w:pPr>
            <w:r>
              <w:t>2019</w:t>
            </w:r>
          </w:p>
        </w:tc>
        <w:tc>
          <w:tcPr>
            <w:tcW w:w="1162" w:type="dxa"/>
            <w:shd w:val="clear" w:color="auto" w:fill="auto"/>
            <w:vAlign w:val="center"/>
          </w:tcPr>
          <w:p w14:paraId="52A2A090">
            <w:pPr>
              <w:pStyle w:val="49"/>
            </w:pPr>
            <w:r>
              <w:t>114</w:t>
            </w:r>
          </w:p>
        </w:tc>
        <w:tc>
          <w:tcPr>
            <w:tcW w:w="1679" w:type="dxa"/>
            <w:shd w:val="clear" w:color="auto" w:fill="auto"/>
            <w:vAlign w:val="center"/>
          </w:tcPr>
          <w:p w14:paraId="6A9276A3">
            <w:pPr>
              <w:pStyle w:val="49"/>
            </w:pPr>
            <w:r>
              <w:t>IRI</w:t>
            </w:r>
          </w:p>
        </w:tc>
        <w:tc>
          <w:tcPr>
            <w:tcW w:w="1421" w:type="dxa"/>
            <w:tcBorders>
              <w:right w:val="nil"/>
            </w:tcBorders>
            <w:shd w:val="clear" w:color="auto" w:fill="auto"/>
            <w:vAlign w:val="center"/>
          </w:tcPr>
          <w:p w14:paraId="64F75C1B">
            <w:pPr>
              <w:pStyle w:val="49"/>
            </w:pPr>
            <w:r>
              <w:t>2018-2021</w:t>
            </w:r>
          </w:p>
        </w:tc>
      </w:tr>
      <w:tr w14:paraId="5BE56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B9B1D6F">
            <w:pPr>
              <w:pStyle w:val="49"/>
            </w:pPr>
            <w:r>
              <w:t>6</w:t>
            </w:r>
          </w:p>
        </w:tc>
        <w:tc>
          <w:tcPr>
            <w:tcW w:w="1663" w:type="dxa"/>
            <w:shd w:val="clear" w:color="auto" w:fill="auto"/>
            <w:vAlign w:val="center"/>
          </w:tcPr>
          <w:p w14:paraId="01743C88">
            <w:pPr>
              <w:pStyle w:val="49"/>
            </w:pPr>
            <w:r>
              <w:t>IRI</w:t>
            </w:r>
          </w:p>
        </w:tc>
        <w:tc>
          <w:tcPr>
            <w:tcW w:w="1420" w:type="dxa"/>
            <w:shd w:val="clear" w:color="auto" w:fill="auto"/>
            <w:vAlign w:val="center"/>
          </w:tcPr>
          <w:p w14:paraId="1F347A4D">
            <w:pPr>
              <w:pStyle w:val="49"/>
            </w:pPr>
            <w:r>
              <w:t>2017</w:t>
            </w:r>
          </w:p>
        </w:tc>
        <w:tc>
          <w:tcPr>
            <w:tcW w:w="1162" w:type="dxa"/>
            <w:shd w:val="clear" w:color="auto" w:fill="auto"/>
            <w:vAlign w:val="center"/>
          </w:tcPr>
          <w:p w14:paraId="7E3F3B39">
            <w:pPr>
              <w:pStyle w:val="49"/>
            </w:pPr>
            <w:r>
              <w:t>115</w:t>
            </w:r>
          </w:p>
        </w:tc>
        <w:tc>
          <w:tcPr>
            <w:tcW w:w="1679" w:type="dxa"/>
            <w:shd w:val="clear" w:color="auto" w:fill="auto"/>
            <w:vAlign w:val="center"/>
          </w:tcPr>
          <w:p w14:paraId="73FE7189">
            <w:pPr>
              <w:pStyle w:val="49"/>
            </w:pPr>
            <w:r>
              <w:t>Elevation Data</w:t>
            </w:r>
          </w:p>
        </w:tc>
        <w:tc>
          <w:tcPr>
            <w:tcW w:w="1421" w:type="dxa"/>
            <w:tcBorders>
              <w:right w:val="nil"/>
            </w:tcBorders>
            <w:shd w:val="clear" w:color="auto" w:fill="auto"/>
            <w:vAlign w:val="center"/>
          </w:tcPr>
          <w:p w14:paraId="19B612CA">
            <w:pPr>
              <w:pStyle w:val="49"/>
            </w:pPr>
            <w:r>
              <w:t>2009</w:t>
            </w:r>
          </w:p>
        </w:tc>
      </w:tr>
      <w:tr w14:paraId="194A6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4CEEED4">
            <w:pPr>
              <w:pStyle w:val="49"/>
            </w:pPr>
            <w:r>
              <w:t>7</w:t>
            </w:r>
          </w:p>
        </w:tc>
        <w:tc>
          <w:tcPr>
            <w:tcW w:w="1663" w:type="dxa"/>
            <w:shd w:val="clear" w:color="auto" w:fill="auto"/>
            <w:vAlign w:val="center"/>
          </w:tcPr>
          <w:p w14:paraId="016A4174">
            <w:pPr>
              <w:pStyle w:val="49"/>
            </w:pPr>
            <w:r>
              <w:t>Elevation Data</w:t>
            </w:r>
          </w:p>
        </w:tc>
        <w:tc>
          <w:tcPr>
            <w:tcW w:w="1420" w:type="dxa"/>
            <w:shd w:val="clear" w:color="auto" w:fill="auto"/>
            <w:vAlign w:val="center"/>
          </w:tcPr>
          <w:p w14:paraId="3E59D800">
            <w:pPr>
              <w:pStyle w:val="49"/>
            </w:pPr>
            <w:r>
              <w:t>2008-2019</w:t>
            </w:r>
          </w:p>
        </w:tc>
        <w:tc>
          <w:tcPr>
            <w:tcW w:w="1162" w:type="dxa"/>
            <w:shd w:val="clear" w:color="auto" w:fill="auto"/>
            <w:vAlign w:val="center"/>
          </w:tcPr>
          <w:p w14:paraId="5DAC9347">
            <w:pPr>
              <w:pStyle w:val="49"/>
            </w:pPr>
            <w:r>
              <w:t>116</w:t>
            </w:r>
          </w:p>
        </w:tc>
        <w:tc>
          <w:tcPr>
            <w:tcW w:w="1679" w:type="dxa"/>
            <w:shd w:val="clear" w:color="auto" w:fill="auto"/>
            <w:vAlign w:val="center"/>
          </w:tcPr>
          <w:p w14:paraId="2FF2A7D3">
            <w:pPr>
              <w:pStyle w:val="49"/>
            </w:pPr>
            <w:r>
              <w:t>Elevation Data</w:t>
            </w:r>
          </w:p>
        </w:tc>
        <w:tc>
          <w:tcPr>
            <w:tcW w:w="1421" w:type="dxa"/>
            <w:tcBorders>
              <w:right w:val="nil"/>
            </w:tcBorders>
            <w:shd w:val="clear" w:color="auto" w:fill="auto"/>
            <w:vAlign w:val="center"/>
          </w:tcPr>
          <w:p w14:paraId="44CA9126">
            <w:pPr>
              <w:pStyle w:val="49"/>
            </w:pPr>
            <w:r>
              <w:t>2013-2024</w:t>
            </w:r>
          </w:p>
        </w:tc>
      </w:tr>
      <w:tr w14:paraId="5310F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A099882">
            <w:pPr>
              <w:pStyle w:val="49"/>
            </w:pPr>
            <w:r>
              <w:t>8</w:t>
            </w:r>
          </w:p>
        </w:tc>
        <w:tc>
          <w:tcPr>
            <w:tcW w:w="1663" w:type="dxa"/>
            <w:shd w:val="clear" w:color="auto" w:fill="auto"/>
            <w:vAlign w:val="center"/>
          </w:tcPr>
          <w:p w14:paraId="0266F0FE">
            <w:pPr>
              <w:pStyle w:val="49"/>
            </w:pPr>
            <w:r>
              <w:t>IRI</w:t>
            </w:r>
          </w:p>
        </w:tc>
        <w:tc>
          <w:tcPr>
            <w:tcW w:w="1420" w:type="dxa"/>
            <w:shd w:val="clear" w:color="auto" w:fill="auto"/>
            <w:vAlign w:val="center"/>
          </w:tcPr>
          <w:p w14:paraId="4F4DF173">
            <w:pPr>
              <w:pStyle w:val="49"/>
            </w:pPr>
            <w:r>
              <w:t>2021</w:t>
            </w:r>
          </w:p>
        </w:tc>
        <w:tc>
          <w:tcPr>
            <w:tcW w:w="1162" w:type="dxa"/>
            <w:shd w:val="clear" w:color="auto" w:fill="auto"/>
            <w:vAlign w:val="center"/>
          </w:tcPr>
          <w:p w14:paraId="75F71A7E">
            <w:pPr>
              <w:pStyle w:val="49"/>
            </w:pPr>
            <w:r>
              <w:t>117</w:t>
            </w:r>
          </w:p>
        </w:tc>
        <w:tc>
          <w:tcPr>
            <w:tcW w:w="1679" w:type="dxa"/>
            <w:shd w:val="clear" w:color="auto" w:fill="auto"/>
            <w:vAlign w:val="center"/>
          </w:tcPr>
          <w:p w14:paraId="6456702B">
            <w:pPr>
              <w:pStyle w:val="49"/>
            </w:pPr>
            <w:r>
              <w:t>IRI</w:t>
            </w:r>
          </w:p>
        </w:tc>
        <w:tc>
          <w:tcPr>
            <w:tcW w:w="1421" w:type="dxa"/>
            <w:tcBorders>
              <w:right w:val="nil"/>
            </w:tcBorders>
            <w:shd w:val="clear" w:color="auto" w:fill="auto"/>
            <w:vAlign w:val="center"/>
          </w:tcPr>
          <w:p w14:paraId="7890EDDA">
            <w:pPr>
              <w:pStyle w:val="49"/>
            </w:pPr>
            <w:r>
              <w:t>2021</w:t>
            </w:r>
          </w:p>
        </w:tc>
      </w:tr>
      <w:tr w14:paraId="53551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D54944C">
            <w:pPr>
              <w:pStyle w:val="49"/>
            </w:pPr>
            <w:r>
              <w:t>9</w:t>
            </w:r>
          </w:p>
        </w:tc>
        <w:tc>
          <w:tcPr>
            <w:tcW w:w="1663" w:type="dxa"/>
            <w:shd w:val="clear" w:color="auto" w:fill="auto"/>
            <w:vAlign w:val="center"/>
          </w:tcPr>
          <w:p w14:paraId="7FFA45DB">
            <w:pPr>
              <w:pStyle w:val="49"/>
            </w:pPr>
            <w:r>
              <w:t>Elevation Data</w:t>
            </w:r>
          </w:p>
        </w:tc>
        <w:tc>
          <w:tcPr>
            <w:tcW w:w="1420" w:type="dxa"/>
            <w:shd w:val="clear" w:color="auto" w:fill="auto"/>
            <w:vAlign w:val="center"/>
          </w:tcPr>
          <w:p w14:paraId="422149C7">
            <w:pPr>
              <w:pStyle w:val="49"/>
            </w:pPr>
            <w:r>
              <w:t>2018-2021</w:t>
            </w:r>
          </w:p>
        </w:tc>
        <w:tc>
          <w:tcPr>
            <w:tcW w:w="1162" w:type="dxa"/>
            <w:shd w:val="clear" w:color="auto" w:fill="auto"/>
            <w:vAlign w:val="center"/>
          </w:tcPr>
          <w:p w14:paraId="52370312">
            <w:pPr>
              <w:pStyle w:val="49"/>
            </w:pPr>
            <w:r>
              <w:t>118</w:t>
            </w:r>
          </w:p>
        </w:tc>
        <w:tc>
          <w:tcPr>
            <w:tcW w:w="1679" w:type="dxa"/>
            <w:shd w:val="clear" w:color="auto" w:fill="auto"/>
            <w:vAlign w:val="center"/>
          </w:tcPr>
          <w:p w14:paraId="2440EBE4">
            <w:pPr>
              <w:pStyle w:val="49"/>
            </w:pPr>
            <w:r>
              <w:t>IRI</w:t>
            </w:r>
          </w:p>
        </w:tc>
        <w:tc>
          <w:tcPr>
            <w:tcW w:w="1421" w:type="dxa"/>
            <w:tcBorders>
              <w:right w:val="nil"/>
            </w:tcBorders>
            <w:shd w:val="clear" w:color="auto" w:fill="auto"/>
            <w:vAlign w:val="center"/>
          </w:tcPr>
          <w:p w14:paraId="218BE1FB">
            <w:pPr>
              <w:pStyle w:val="49"/>
            </w:pPr>
            <w:r>
              <w:t>2016</w:t>
            </w:r>
          </w:p>
        </w:tc>
      </w:tr>
      <w:tr w14:paraId="08076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A963A31">
            <w:pPr>
              <w:pStyle w:val="49"/>
            </w:pPr>
            <w:r>
              <w:t>10</w:t>
            </w:r>
          </w:p>
        </w:tc>
        <w:tc>
          <w:tcPr>
            <w:tcW w:w="1663" w:type="dxa"/>
            <w:shd w:val="clear" w:color="auto" w:fill="auto"/>
            <w:vAlign w:val="center"/>
          </w:tcPr>
          <w:p w14:paraId="4B1CE857">
            <w:pPr>
              <w:pStyle w:val="49"/>
            </w:pPr>
            <w:r>
              <w:t>IRI</w:t>
            </w:r>
          </w:p>
        </w:tc>
        <w:tc>
          <w:tcPr>
            <w:tcW w:w="1420" w:type="dxa"/>
            <w:shd w:val="clear" w:color="auto" w:fill="auto"/>
            <w:vAlign w:val="center"/>
          </w:tcPr>
          <w:p w14:paraId="3331A24C">
            <w:pPr>
              <w:pStyle w:val="49"/>
            </w:pPr>
            <w:r>
              <w:t>2016</w:t>
            </w:r>
          </w:p>
        </w:tc>
        <w:tc>
          <w:tcPr>
            <w:tcW w:w="1162" w:type="dxa"/>
            <w:shd w:val="clear" w:color="auto" w:fill="auto"/>
            <w:vAlign w:val="center"/>
          </w:tcPr>
          <w:p w14:paraId="6A7D15DF">
            <w:pPr>
              <w:pStyle w:val="49"/>
            </w:pPr>
            <w:r>
              <w:t>119</w:t>
            </w:r>
          </w:p>
        </w:tc>
        <w:tc>
          <w:tcPr>
            <w:tcW w:w="1679" w:type="dxa"/>
            <w:shd w:val="clear" w:color="auto" w:fill="auto"/>
            <w:vAlign w:val="center"/>
          </w:tcPr>
          <w:p w14:paraId="50A10D32">
            <w:pPr>
              <w:pStyle w:val="49"/>
            </w:pPr>
            <w:r>
              <w:t>IRI</w:t>
            </w:r>
          </w:p>
        </w:tc>
        <w:tc>
          <w:tcPr>
            <w:tcW w:w="1421" w:type="dxa"/>
            <w:tcBorders>
              <w:right w:val="nil"/>
            </w:tcBorders>
            <w:shd w:val="clear" w:color="auto" w:fill="auto"/>
            <w:vAlign w:val="center"/>
          </w:tcPr>
          <w:p w14:paraId="50387F3A">
            <w:pPr>
              <w:pStyle w:val="49"/>
            </w:pPr>
            <w:r>
              <w:t>2008-2018</w:t>
            </w:r>
          </w:p>
        </w:tc>
      </w:tr>
      <w:tr w14:paraId="7AF24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9581641">
            <w:pPr>
              <w:pStyle w:val="49"/>
            </w:pPr>
            <w:r>
              <w:t>11</w:t>
            </w:r>
          </w:p>
        </w:tc>
        <w:tc>
          <w:tcPr>
            <w:tcW w:w="1663" w:type="dxa"/>
            <w:shd w:val="clear" w:color="auto" w:fill="auto"/>
            <w:vAlign w:val="center"/>
          </w:tcPr>
          <w:p w14:paraId="1F9C15A2">
            <w:pPr>
              <w:pStyle w:val="49"/>
            </w:pPr>
            <w:r>
              <w:t>Elevation Data</w:t>
            </w:r>
          </w:p>
        </w:tc>
        <w:tc>
          <w:tcPr>
            <w:tcW w:w="1420" w:type="dxa"/>
            <w:shd w:val="clear" w:color="auto" w:fill="auto"/>
            <w:vAlign w:val="center"/>
          </w:tcPr>
          <w:p w14:paraId="2AE302D0">
            <w:pPr>
              <w:pStyle w:val="49"/>
            </w:pPr>
            <w:r>
              <w:t>2014</w:t>
            </w:r>
          </w:p>
        </w:tc>
        <w:tc>
          <w:tcPr>
            <w:tcW w:w="1162" w:type="dxa"/>
            <w:shd w:val="clear" w:color="auto" w:fill="auto"/>
            <w:vAlign w:val="center"/>
          </w:tcPr>
          <w:p w14:paraId="39B30C76">
            <w:pPr>
              <w:pStyle w:val="49"/>
            </w:pPr>
            <w:r>
              <w:t>120</w:t>
            </w:r>
          </w:p>
        </w:tc>
        <w:tc>
          <w:tcPr>
            <w:tcW w:w="1679" w:type="dxa"/>
            <w:shd w:val="clear" w:color="auto" w:fill="auto"/>
            <w:vAlign w:val="center"/>
          </w:tcPr>
          <w:p w14:paraId="56090501">
            <w:pPr>
              <w:pStyle w:val="49"/>
            </w:pPr>
            <w:r>
              <w:t>IRI</w:t>
            </w:r>
          </w:p>
        </w:tc>
        <w:tc>
          <w:tcPr>
            <w:tcW w:w="1421" w:type="dxa"/>
            <w:tcBorders>
              <w:right w:val="nil"/>
            </w:tcBorders>
            <w:shd w:val="clear" w:color="auto" w:fill="auto"/>
            <w:vAlign w:val="center"/>
          </w:tcPr>
          <w:p w14:paraId="63D5921B">
            <w:pPr>
              <w:pStyle w:val="49"/>
            </w:pPr>
            <w:r>
              <w:t>2022-2024</w:t>
            </w:r>
          </w:p>
        </w:tc>
      </w:tr>
      <w:tr w14:paraId="3C540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BF7416E">
            <w:pPr>
              <w:pStyle w:val="49"/>
            </w:pPr>
            <w:r>
              <w:t>12</w:t>
            </w:r>
          </w:p>
        </w:tc>
        <w:tc>
          <w:tcPr>
            <w:tcW w:w="1663" w:type="dxa"/>
            <w:shd w:val="clear" w:color="auto" w:fill="auto"/>
            <w:vAlign w:val="center"/>
          </w:tcPr>
          <w:p w14:paraId="6D74F751">
            <w:pPr>
              <w:pStyle w:val="49"/>
            </w:pPr>
            <w:r>
              <w:t>IRI</w:t>
            </w:r>
          </w:p>
        </w:tc>
        <w:tc>
          <w:tcPr>
            <w:tcW w:w="1420" w:type="dxa"/>
            <w:shd w:val="clear" w:color="auto" w:fill="auto"/>
            <w:vAlign w:val="center"/>
          </w:tcPr>
          <w:p w14:paraId="07209590">
            <w:pPr>
              <w:pStyle w:val="49"/>
            </w:pPr>
            <w:r>
              <w:t>2017-2024</w:t>
            </w:r>
          </w:p>
        </w:tc>
        <w:tc>
          <w:tcPr>
            <w:tcW w:w="1162" w:type="dxa"/>
            <w:shd w:val="clear" w:color="auto" w:fill="auto"/>
            <w:vAlign w:val="center"/>
          </w:tcPr>
          <w:p w14:paraId="7AD5CA61">
            <w:pPr>
              <w:pStyle w:val="49"/>
            </w:pPr>
            <w:r>
              <w:t>121</w:t>
            </w:r>
          </w:p>
        </w:tc>
        <w:tc>
          <w:tcPr>
            <w:tcW w:w="1679" w:type="dxa"/>
            <w:shd w:val="clear" w:color="auto" w:fill="auto"/>
            <w:vAlign w:val="center"/>
          </w:tcPr>
          <w:p w14:paraId="420DA629">
            <w:pPr>
              <w:pStyle w:val="49"/>
            </w:pPr>
            <w:r>
              <w:t>IRI</w:t>
            </w:r>
          </w:p>
        </w:tc>
        <w:tc>
          <w:tcPr>
            <w:tcW w:w="1421" w:type="dxa"/>
            <w:tcBorders>
              <w:right w:val="nil"/>
            </w:tcBorders>
            <w:shd w:val="clear" w:color="auto" w:fill="auto"/>
            <w:vAlign w:val="center"/>
          </w:tcPr>
          <w:p w14:paraId="0394F9BC">
            <w:pPr>
              <w:pStyle w:val="49"/>
            </w:pPr>
            <w:r>
              <w:t>2006</w:t>
            </w:r>
          </w:p>
        </w:tc>
      </w:tr>
      <w:tr w14:paraId="20F64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BD9271F">
            <w:pPr>
              <w:pStyle w:val="49"/>
            </w:pPr>
            <w:r>
              <w:t>13</w:t>
            </w:r>
          </w:p>
        </w:tc>
        <w:tc>
          <w:tcPr>
            <w:tcW w:w="1663" w:type="dxa"/>
            <w:shd w:val="clear" w:color="auto" w:fill="auto"/>
            <w:vAlign w:val="center"/>
          </w:tcPr>
          <w:p w14:paraId="70ABDC36">
            <w:pPr>
              <w:pStyle w:val="49"/>
            </w:pPr>
            <w:r>
              <w:t>IRI</w:t>
            </w:r>
          </w:p>
        </w:tc>
        <w:tc>
          <w:tcPr>
            <w:tcW w:w="1420" w:type="dxa"/>
            <w:shd w:val="clear" w:color="auto" w:fill="auto"/>
            <w:vAlign w:val="center"/>
          </w:tcPr>
          <w:p w14:paraId="53307A8E">
            <w:pPr>
              <w:pStyle w:val="49"/>
            </w:pPr>
            <w:r>
              <w:t>2009-2018</w:t>
            </w:r>
          </w:p>
        </w:tc>
        <w:tc>
          <w:tcPr>
            <w:tcW w:w="1162" w:type="dxa"/>
            <w:shd w:val="clear" w:color="auto" w:fill="auto"/>
            <w:vAlign w:val="center"/>
          </w:tcPr>
          <w:p w14:paraId="0F1F0034">
            <w:pPr>
              <w:pStyle w:val="49"/>
            </w:pPr>
            <w:r>
              <w:t>122</w:t>
            </w:r>
          </w:p>
        </w:tc>
        <w:tc>
          <w:tcPr>
            <w:tcW w:w="1679" w:type="dxa"/>
            <w:shd w:val="clear" w:color="auto" w:fill="auto"/>
            <w:vAlign w:val="center"/>
          </w:tcPr>
          <w:p w14:paraId="2E2901AF">
            <w:pPr>
              <w:pStyle w:val="49"/>
            </w:pPr>
            <w:r>
              <w:t>IRI</w:t>
            </w:r>
          </w:p>
        </w:tc>
        <w:tc>
          <w:tcPr>
            <w:tcW w:w="1421" w:type="dxa"/>
            <w:tcBorders>
              <w:right w:val="nil"/>
            </w:tcBorders>
            <w:shd w:val="clear" w:color="auto" w:fill="auto"/>
            <w:vAlign w:val="center"/>
          </w:tcPr>
          <w:p w14:paraId="6C81B61A">
            <w:pPr>
              <w:pStyle w:val="49"/>
            </w:pPr>
            <w:r>
              <w:t>2007</w:t>
            </w:r>
          </w:p>
        </w:tc>
      </w:tr>
      <w:tr w14:paraId="3319E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AB0E481">
            <w:pPr>
              <w:pStyle w:val="49"/>
            </w:pPr>
            <w:r>
              <w:t>14</w:t>
            </w:r>
          </w:p>
        </w:tc>
        <w:tc>
          <w:tcPr>
            <w:tcW w:w="1663" w:type="dxa"/>
            <w:shd w:val="clear" w:color="auto" w:fill="auto"/>
            <w:vAlign w:val="center"/>
          </w:tcPr>
          <w:p w14:paraId="791883A3">
            <w:pPr>
              <w:pStyle w:val="49"/>
            </w:pPr>
            <w:r>
              <w:t>IRI</w:t>
            </w:r>
          </w:p>
        </w:tc>
        <w:tc>
          <w:tcPr>
            <w:tcW w:w="1420" w:type="dxa"/>
            <w:shd w:val="clear" w:color="auto" w:fill="auto"/>
            <w:vAlign w:val="center"/>
          </w:tcPr>
          <w:p w14:paraId="6E1B1275">
            <w:pPr>
              <w:pStyle w:val="49"/>
            </w:pPr>
            <w:r>
              <w:t>2012</w:t>
            </w:r>
          </w:p>
        </w:tc>
        <w:tc>
          <w:tcPr>
            <w:tcW w:w="1162" w:type="dxa"/>
            <w:shd w:val="clear" w:color="auto" w:fill="auto"/>
            <w:vAlign w:val="center"/>
          </w:tcPr>
          <w:p w14:paraId="4BC1990A">
            <w:pPr>
              <w:pStyle w:val="49"/>
            </w:pPr>
            <w:r>
              <w:t>123</w:t>
            </w:r>
          </w:p>
        </w:tc>
        <w:tc>
          <w:tcPr>
            <w:tcW w:w="1679" w:type="dxa"/>
            <w:shd w:val="clear" w:color="auto" w:fill="auto"/>
            <w:vAlign w:val="center"/>
          </w:tcPr>
          <w:p w14:paraId="1EAF4811">
            <w:pPr>
              <w:pStyle w:val="49"/>
            </w:pPr>
            <w:r>
              <w:t>IRI</w:t>
            </w:r>
          </w:p>
        </w:tc>
        <w:tc>
          <w:tcPr>
            <w:tcW w:w="1421" w:type="dxa"/>
            <w:tcBorders>
              <w:right w:val="nil"/>
            </w:tcBorders>
            <w:shd w:val="clear" w:color="auto" w:fill="auto"/>
            <w:vAlign w:val="center"/>
          </w:tcPr>
          <w:p w14:paraId="1D542187">
            <w:pPr>
              <w:pStyle w:val="49"/>
            </w:pPr>
            <w:r>
              <w:t>2015</w:t>
            </w:r>
          </w:p>
        </w:tc>
      </w:tr>
      <w:tr w14:paraId="2B8C7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5B67B02">
            <w:pPr>
              <w:pStyle w:val="49"/>
            </w:pPr>
            <w:r>
              <w:t>15</w:t>
            </w:r>
          </w:p>
        </w:tc>
        <w:tc>
          <w:tcPr>
            <w:tcW w:w="1663" w:type="dxa"/>
            <w:shd w:val="clear" w:color="auto" w:fill="auto"/>
            <w:vAlign w:val="center"/>
          </w:tcPr>
          <w:p w14:paraId="0708D2B5">
            <w:pPr>
              <w:pStyle w:val="49"/>
            </w:pPr>
            <w:r>
              <w:t>IRI</w:t>
            </w:r>
          </w:p>
        </w:tc>
        <w:tc>
          <w:tcPr>
            <w:tcW w:w="1420" w:type="dxa"/>
            <w:shd w:val="clear" w:color="auto" w:fill="auto"/>
            <w:vAlign w:val="center"/>
          </w:tcPr>
          <w:p w14:paraId="4697DCC3">
            <w:pPr>
              <w:pStyle w:val="49"/>
            </w:pPr>
            <w:r>
              <w:t>2007</w:t>
            </w:r>
          </w:p>
        </w:tc>
        <w:tc>
          <w:tcPr>
            <w:tcW w:w="1162" w:type="dxa"/>
            <w:shd w:val="clear" w:color="auto" w:fill="auto"/>
            <w:vAlign w:val="center"/>
          </w:tcPr>
          <w:p w14:paraId="7D15BD06">
            <w:pPr>
              <w:pStyle w:val="49"/>
            </w:pPr>
            <w:r>
              <w:t>124</w:t>
            </w:r>
          </w:p>
        </w:tc>
        <w:tc>
          <w:tcPr>
            <w:tcW w:w="1679" w:type="dxa"/>
            <w:shd w:val="clear" w:color="auto" w:fill="auto"/>
            <w:vAlign w:val="center"/>
          </w:tcPr>
          <w:p w14:paraId="4C28398B">
            <w:pPr>
              <w:pStyle w:val="49"/>
            </w:pPr>
            <w:r>
              <w:t>IRI</w:t>
            </w:r>
          </w:p>
        </w:tc>
        <w:tc>
          <w:tcPr>
            <w:tcW w:w="1421" w:type="dxa"/>
            <w:tcBorders>
              <w:right w:val="nil"/>
            </w:tcBorders>
            <w:shd w:val="clear" w:color="auto" w:fill="auto"/>
            <w:vAlign w:val="center"/>
          </w:tcPr>
          <w:p w14:paraId="0F79F773">
            <w:pPr>
              <w:pStyle w:val="49"/>
            </w:pPr>
            <w:r>
              <w:t>2020</w:t>
            </w:r>
          </w:p>
        </w:tc>
      </w:tr>
      <w:tr w14:paraId="1E70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01C69C1">
            <w:pPr>
              <w:pStyle w:val="49"/>
            </w:pPr>
            <w:r>
              <w:t>16</w:t>
            </w:r>
          </w:p>
        </w:tc>
        <w:tc>
          <w:tcPr>
            <w:tcW w:w="1663" w:type="dxa"/>
            <w:shd w:val="clear" w:color="auto" w:fill="auto"/>
            <w:vAlign w:val="center"/>
          </w:tcPr>
          <w:p w14:paraId="506BBFC1">
            <w:pPr>
              <w:pStyle w:val="49"/>
            </w:pPr>
            <w:r>
              <w:t>Elevation Data、IRI</w:t>
            </w:r>
          </w:p>
        </w:tc>
        <w:tc>
          <w:tcPr>
            <w:tcW w:w="1420" w:type="dxa"/>
            <w:shd w:val="clear" w:color="auto" w:fill="auto"/>
            <w:vAlign w:val="center"/>
          </w:tcPr>
          <w:p w14:paraId="6E2FFCC6">
            <w:pPr>
              <w:pStyle w:val="49"/>
            </w:pPr>
            <w:r>
              <w:t>2019</w:t>
            </w:r>
          </w:p>
        </w:tc>
        <w:tc>
          <w:tcPr>
            <w:tcW w:w="1162" w:type="dxa"/>
            <w:shd w:val="clear" w:color="auto" w:fill="auto"/>
            <w:vAlign w:val="center"/>
          </w:tcPr>
          <w:p w14:paraId="23B12DA7">
            <w:pPr>
              <w:pStyle w:val="49"/>
            </w:pPr>
            <w:r>
              <w:t>125</w:t>
            </w:r>
          </w:p>
        </w:tc>
        <w:tc>
          <w:tcPr>
            <w:tcW w:w="1679" w:type="dxa"/>
            <w:shd w:val="clear" w:color="auto" w:fill="auto"/>
            <w:vAlign w:val="center"/>
          </w:tcPr>
          <w:p w14:paraId="74729E63">
            <w:pPr>
              <w:pStyle w:val="49"/>
            </w:pPr>
            <w:r>
              <w:t>IRI</w:t>
            </w:r>
          </w:p>
        </w:tc>
        <w:tc>
          <w:tcPr>
            <w:tcW w:w="1421" w:type="dxa"/>
            <w:tcBorders>
              <w:right w:val="nil"/>
            </w:tcBorders>
            <w:shd w:val="clear" w:color="auto" w:fill="auto"/>
            <w:vAlign w:val="center"/>
          </w:tcPr>
          <w:p w14:paraId="52D40644">
            <w:pPr>
              <w:pStyle w:val="49"/>
            </w:pPr>
            <w:r>
              <w:t>2019</w:t>
            </w:r>
          </w:p>
        </w:tc>
      </w:tr>
      <w:tr w14:paraId="01C3F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929B1B1">
            <w:pPr>
              <w:pStyle w:val="49"/>
            </w:pPr>
            <w:r>
              <w:t>17</w:t>
            </w:r>
          </w:p>
        </w:tc>
        <w:tc>
          <w:tcPr>
            <w:tcW w:w="1663" w:type="dxa"/>
            <w:shd w:val="clear" w:color="auto" w:fill="auto"/>
            <w:vAlign w:val="center"/>
          </w:tcPr>
          <w:p w14:paraId="4B9746CC">
            <w:pPr>
              <w:pStyle w:val="49"/>
            </w:pPr>
            <w:r>
              <w:t>Elevation Data、IRI</w:t>
            </w:r>
          </w:p>
        </w:tc>
        <w:tc>
          <w:tcPr>
            <w:tcW w:w="1420" w:type="dxa"/>
            <w:shd w:val="clear" w:color="auto" w:fill="auto"/>
            <w:vAlign w:val="center"/>
          </w:tcPr>
          <w:p w14:paraId="29ADECD2">
            <w:pPr>
              <w:pStyle w:val="49"/>
            </w:pPr>
            <w:r>
              <w:t>2009-2024</w:t>
            </w:r>
          </w:p>
        </w:tc>
        <w:tc>
          <w:tcPr>
            <w:tcW w:w="1162" w:type="dxa"/>
            <w:shd w:val="clear" w:color="auto" w:fill="auto"/>
            <w:vAlign w:val="center"/>
          </w:tcPr>
          <w:p w14:paraId="24736C8C">
            <w:pPr>
              <w:pStyle w:val="49"/>
            </w:pPr>
            <w:r>
              <w:t>126</w:t>
            </w:r>
          </w:p>
        </w:tc>
        <w:tc>
          <w:tcPr>
            <w:tcW w:w="1679" w:type="dxa"/>
            <w:shd w:val="clear" w:color="auto" w:fill="auto"/>
            <w:vAlign w:val="center"/>
          </w:tcPr>
          <w:p w14:paraId="2A13B561">
            <w:pPr>
              <w:pStyle w:val="49"/>
            </w:pPr>
            <w:r>
              <w:t>IRI</w:t>
            </w:r>
          </w:p>
        </w:tc>
        <w:tc>
          <w:tcPr>
            <w:tcW w:w="1421" w:type="dxa"/>
            <w:tcBorders>
              <w:right w:val="nil"/>
            </w:tcBorders>
            <w:shd w:val="clear" w:color="auto" w:fill="auto"/>
            <w:vAlign w:val="center"/>
          </w:tcPr>
          <w:p w14:paraId="235A0913">
            <w:pPr>
              <w:pStyle w:val="49"/>
            </w:pPr>
            <w:r>
              <w:t>1999-2024</w:t>
            </w:r>
          </w:p>
        </w:tc>
      </w:tr>
      <w:tr w14:paraId="090FB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23C436C">
            <w:pPr>
              <w:pStyle w:val="49"/>
            </w:pPr>
            <w:r>
              <w:t>18</w:t>
            </w:r>
          </w:p>
        </w:tc>
        <w:tc>
          <w:tcPr>
            <w:tcW w:w="1663" w:type="dxa"/>
            <w:shd w:val="clear" w:color="auto" w:fill="auto"/>
            <w:vAlign w:val="center"/>
          </w:tcPr>
          <w:p w14:paraId="30405446">
            <w:pPr>
              <w:pStyle w:val="49"/>
            </w:pPr>
            <w:r>
              <w:t>IRI</w:t>
            </w:r>
          </w:p>
        </w:tc>
        <w:tc>
          <w:tcPr>
            <w:tcW w:w="1420" w:type="dxa"/>
            <w:shd w:val="clear" w:color="auto" w:fill="auto"/>
            <w:vAlign w:val="center"/>
          </w:tcPr>
          <w:p w14:paraId="267FF276">
            <w:pPr>
              <w:pStyle w:val="49"/>
            </w:pPr>
            <w:r>
              <w:t>2011</w:t>
            </w:r>
          </w:p>
        </w:tc>
        <w:tc>
          <w:tcPr>
            <w:tcW w:w="1162" w:type="dxa"/>
            <w:shd w:val="clear" w:color="auto" w:fill="auto"/>
            <w:vAlign w:val="center"/>
          </w:tcPr>
          <w:p w14:paraId="3FD3D055">
            <w:pPr>
              <w:pStyle w:val="49"/>
            </w:pPr>
            <w:r>
              <w:t>127</w:t>
            </w:r>
          </w:p>
        </w:tc>
        <w:tc>
          <w:tcPr>
            <w:tcW w:w="1679" w:type="dxa"/>
            <w:shd w:val="clear" w:color="auto" w:fill="auto"/>
            <w:vAlign w:val="center"/>
          </w:tcPr>
          <w:p w14:paraId="790AAF4D">
            <w:pPr>
              <w:pStyle w:val="49"/>
            </w:pPr>
            <w:r>
              <w:t>IRI</w:t>
            </w:r>
          </w:p>
        </w:tc>
        <w:tc>
          <w:tcPr>
            <w:tcW w:w="1421" w:type="dxa"/>
            <w:tcBorders>
              <w:right w:val="nil"/>
            </w:tcBorders>
            <w:shd w:val="clear" w:color="auto" w:fill="auto"/>
            <w:vAlign w:val="center"/>
          </w:tcPr>
          <w:p w14:paraId="700A8F38">
            <w:pPr>
              <w:pStyle w:val="49"/>
            </w:pPr>
            <w:r>
              <w:t>2016</w:t>
            </w:r>
          </w:p>
        </w:tc>
      </w:tr>
      <w:tr w14:paraId="0B38A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EB4FE6D">
            <w:pPr>
              <w:pStyle w:val="49"/>
            </w:pPr>
            <w:r>
              <w:t>19</w:t>
            </w:r>
          </w:p>
        </w:tc>
        <w:tc>
          <w:tcPr>
            <w:tcW w:w="1663" w:type="dxa"/>
            <w:shd w:val="clear" w:color="auto" w:fill="auto"/>
            <w:vAlign w:val="center"/>
          </w:tcPr>
          <w:p w14:paraId="49BA8A2A">
            <w:pPr>
              <w:pStyle w:val="49"/>
            </w:pPr>
            <w:r>
              <w:t>Elevation Data</w:t>
            </w:r>
          </w:p>
        </w:tc>
        <w:tc>
          <w:tcPr>
            <w:tcW w:w="1420" w:type="dxa"/>
            <w:shd w:val="clear" w:color="auto" w:fill="auto"/>
            <w:vAlign w:val="center"/>
          </w:tcPr>
          <w:p w14:paraId="03DE43A4">
            <w:pPr>
              <w:pStyle w:val="49"/>
            </w:pPr>
            <w:r>
              <w:t>2007</w:t>
            </w:r>
          </w:p>
        </w:tc>
        <w:tc>
          <w:tcPr>
            <w:tcW w:w="1162" w:type="dxa"/>
            <w:shd w:val="clear" w:color="auto" w:fill="auto"/>
            <w:vAlign w:val="center"/>
          </w:tcPr>
          <w:p w14:paraId="705E8532">
            <w:pPr>
              <w:pStyle w:val="49"/>
            </w:pPr>
            <w:r>
              <w:t>128</w:t>
            </w:r>
          </w:p>
        </w:tc>
        <w:tc>
          <w:tcPr>
            <w:tcW w:w="1679" w:type="dxa"/>
            <w:shd w:val="clear" w:color="auto" w:fill="auto"/>
            <w:vAlign w:val="center"/>
          </w:tcPr>
          <w:p w14:paraId="054B2BA9">
            <w:pPr>
              <w:pStyle w:val="49"/>
            </w:pPr>
            <w:r>
              <w:t>IRI</w:t>
            </w:r>
          </w:p>
        </w:tc>
        <w:tc>
          <w:tcPr>
            <w:tcW w:w="1421" w:type="dxa"/>
            <w:tcBorders>
              <w:right w:val="nil"/>
            </w:tcBorders>
            <w:shd w:val="clear" w:color="auto" w:fill="auto"/>
            <w:vAlign w:val="center"/>
          </w:tcPr>
          <w:p w14:paraId="145C90D5">
            <w:pPr>
              <w:pStyle w:val="49"/>
            </w:pPr>
            <w:r>
              <w:t>2017</w:t>
            </w:r>
          </w:p>
        </w:tc>
      </w:tr>
      <w:tr w14:paraId="54EAC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46829B5">
            <w:pPr>
              <w:pStyle w:val="49"/>
            </w:pPr>
            <w:r>
              <w:t>20</w:t>
            </w:r>
          </w:p>
        </w:tc>
        <w:tc>
          <w:tcPr>
            <w:tcW w:w="1663" w:type="dxa"/>
            <w:shd w:val="clear" w:color="auto" w:fill="auto"/>
            <w:vAlign w:val="center"/>
          </w:tcPr>
          <w:p w14:paraId="01037DF7">
            <w:pPr>
              <w:pStyle w:val="49"/>
            </w:pPr>
            <w:r>
              <w:t>IRI</w:t>
            </w:r>
          </w:p>
        </w:tc>
        <w:tc>
          <w:tcPr>
            <w:tcW w:w="1420" w:type="dxa"/>
            <w:shd w:val="clear" w:color="auto" w:fill="auto"/>
            <w:vAlign w:val="center"/>
          </w:tcPr>
          <w:p w14:paraId="565E2C7A">
            <w:pPr>
              <w:pStyle w:val="49"/>
            </w:pPr>
            <w:r>
              <w:t>2010-2017</w:t>
            </w:r>
          </w:p>
        </w:tc>
        <w:tc>
          <w:tcPr>
            <w:tcW w:w="1162" w:type="dxa"/>
            <w:shd w:val="clear" w:color="auto" w:fill="auto"/>
            <w:vAlign w:val="center"/>
          </w:tcPr>
          <w:p w14:paraId="193EF6C0">
            <w:pPr>
              <w:pStyle w:val="49"/>
            </w:pPr>
            <w:r>
              <w:t>129</w:t>
            </w:r>
          </w:p>
        </w:tc>
        <w:tc>
          <w:tcPr>
            <w:tcW w:w="1679" w:type="dxa"/>
            <w:shd w:val="clear" w:color="auto" w:fill="auto"/>
            <w:vAlign w:val="center"/>
          </w:tcPr>
          <w:p w14:paraId="14B3D7E9">
            <w:pPr>
              <w:pStyle w:val="49"/>
            </w:pPr>
            <w:r>
              <w:t>Elevation Data、IRI</w:t>
            </w:r>
          </w:p>
        </w:tc>
        <w:tc>
          <w:tcPr>
            <w:tcW w:w="1421" w:type="dxa"/>
            <w:tcBorders>
              <w:right w:val="nil"/>
            </w:tcBorders>
            <w:shd w:val="clear" w:color="auto" w:fill="auto"/>
            <w:vAlign w:val="center"/>
          </w:tcPr>
          <w:p w14:paraId="447F2AF5">
            <w:pPr>
              <w:pStyle w:val="49"/>
            </w:pPr>
            <w:r>
              <w:t>2014</w:t>
            </w:r>
          </w:p>
        </w:tc>
      </w:tr>
      <w:tr w14:paraId="14A68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6DAD796">
            <w:pPr>
              <w:pStyle w:val="49"/>
            </w:pPr>
            <w:r>
              <w:t>21</w:t>
            </w:r>
          </w:p>
        </w:tc>
        <w:tc>
          <w:tcPr>
            <w:tcW w:w="1663" w:type="dxa"/>
            <w:shd w:val="clear" w:color="auto" w:fill="auto"/>
            <w:vAlign w:val="center"/>
          </w:tcPr>
          <w:p w14:paraId="44FF9491">
            <w:pPr>
              <w:pStyle w:val="49"/>
            </w:pPr>
            <w:r>
              <w:t>IRI</w:t>
            </w:r>
          </w:p>
        </w:tc>
        <w:tc>
          <w:tcPr>
            <w:tcW w:w="1420" w:type="dxa"/>
            <w:shd w:val="clear" w:color="auto" w:fill="auto"/>
            <w:vAlign w:val="center"/>
          </w:tcPr>
          <w:p w14:paraId="55612037">
            <w:pPr>
              <w:pStyle w:val="49"/>
            </w:pPr>
            <w:r>
              <w:t>2022</w:t>
            </w:r>
          </w:p>
        </w:tc>
        <w:tc>
          <w:tcPr>
            <w:tcW w:w="1162" w:type="dxa"/>
            <w:shd w:val="clear" w:color="auto" w:fill="auto"/>
            <w:vAlign w:val="center"/>
          </w:tcPr>
          <w:p w14:paraId="509D1A82">
            <w:pPr>
              <w:pStyle w:val="49"/>
            </w:pPr>
            <w:r>
              <w:t>130</w:t>
            </w:r>
          </w:p>
        </w:tc>
        <w:tc>
          <w:tcPr>
            <w:tcW w:w="1679" w:type="dxa"/>
            <w:shd w:val="clear" w:color="auto" w:fill="auto"/>
            <w:vAlign w:val="center"/>
          </w:tcPr>
          <w:p w14:paraId="560CBC4A">
            <w:pPr>
              <w:pStyle w:val="49"/>
            </w:pPr>
            <w:r>
              <w:t>Elevation Data</w:t>
            </w:r>
          </w:p>
        </w:tc>
        <w:tc>
          <w:tcPr>
            <w:tcW w:w="1421" w:type="dxa"/>
            <w:tcBorders>
              <w:right w:val="nil"/>
            </w:tcBorders>
            <w:shd w:val="clear" w:color="auto" w:fill="auto"/>
            <w:vAlign w:val="center"/>
          </w:tcPr>
          <w:p w14:paraId="6BD43E69">
            <w:pPr>
              <w:pStyle w:val="49"/>
            </w:pPr>
            <w:r>
              <w:t>2018</w:t>
            </w:r>
          </w:p>
        </w:tc>
      </w:tr>
      <w:tr w14:paraId="47C23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0961A74">
            <w:pPr>
              <w:pStyle w:val="49"/>
            </w:pPr>
            <w:r>
              <w:t>22</w:t>
            </w:r>
          </w:p>
        </w:tc>
        <w:tc>
          <w:tcPr>
            <w:tcW w:w="1663" w:type="dxa"/>
            <w:shd w:val="clear" w:color="auto" w:fill="auto"/>
            <w:vAlign w:val="center"/>
          </w:tcPr>
          <w:p w14:paraId="15AEBCE9">
            <w:pPr>
              <w:pStyle w:val="49"/>
            </w:pPr>
            <w:r>
              <w:t>IRI</w:t>
            </w:r>
          </w:p>
        </w:tc>
        <w:tc>
          <w:tcPr>
            <w:tcW w:w="1420" w:type="dxa"/>
            <w:shd w:val="clear" w:color="auto" w:fill="auto"/>
            <w:vAlign w:val="center"/>
          </w:tcPr>
          <w:p w14:paraId="7CD45A83">
            <w:pPr>
              <w:pStyle w:val="49"/>
            </w:pPr>
            <w:r>
              <w:t>2015</w:t>
            </w:r>
          </w:p>
        </w:tc>
        <w:tc>
          <w:tcPr>
            <w:tcW w:w="1162" w:type="dxa"/>
            <w:shd w:val="clear" w:color="auto" w:fill="auto"/>
            <w:vAlign w:val="center"/>
          </w:tcPr>
          <w:p w14:paraId="39E2F79D">
            <w:pPr>
              <w:pStyle w:val="49"/>
            </w:pPr>
            <w:r>
              <w:t>131</w:t>
            </w:r>
          </w:p>
        </w:tc>
        <w:tc>
          <w:tcPr>
            <w:tcW w:w="1679" w:type="dxa"/>
            <w:shd w:val="clear" w:color="auto" w:fill="auto"/>
            <w:vAlign w:val="center"/>
          </w:tcPr>
          <w:p w14:paraId="4909D39A">
            <w:pPr>
              <w:pStyle w:val="49"/>
            </w:pPr>
            <w:r>
              <w:t>IRI</w:t>
            </w:r>
          </w:p>
        </w:tc>
        <w:tc>
          <w:tcPr>
            <w:tcW w:w="1421" w:type="dxa"/>
            <w:tcBorders>
              <w:right w:val="nil"/>
            </w:tcBorders>
            <w:shd w:val="clear" w:color="auto" w:fill="auto"/>
            <w:vAlign w:val="center"/>
          </w:tcPr>
          <w:p w14:paraId="0945684D">
            <w:pPr>
              <w:pStyle w:val="49"/>
            </w:pPr>
            <w:r>
              <w:t>2021</w:t>
            </w:r>
          </w:p>
        </w:tc>
      </w:tr>
      <w:tr w14:paraId="7EA54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3721E22">
            <w:pPr>
              <w:pStyle w:val="49"/>
            </w:pPr>
            <w:r>
              <w:t>23</w:t>
            </w:r>
          </w:p>
        </w:tc>
        <w:tc>
          <w:tcPr>
            <w:tcW w:w="1663" w:type="dxa"/>
            <w:shd w:val="clear" w:color="auto" w:fill="auto"/>
            <w:vAlign w:val="center"/>
          </w:tcPr>
          <w:p w14:paraId="5A2F0961">
            <w:pPr>
              <w:pStyle w:val="49"/>
            </w:pPr>
            <w:r>
              <w:t>IRI</w:t>
            </w:r>
          </w:p>
        </w:tc>
        <w:tc>
          <w:tcPr>
            <w:tcW w:w="1420" w:type="dxa"/>
            <w:shd w:val="clear" w:color="auto" w:fill="auto"/>
            <w:vAlign w:val="center"/>
          </w:tcPr>
          <w:p w14:paraId="36D8588E">
            <w:pPr>
              <w:pStyle w:val="49"/>
            </w:pPr>
            <w:r>
              <w:t>2013</w:t>
            </w:r>
          </w:p>
        </w:tc>
        <w:tc>
          <w:tcPr>
            <w:tcW w:w="1162" w:type="dxa"/>
            <w:shd w:val="clear" w:color="auto" w:fill="auto"/>
            <w:vAlign w:val="center"/>
          </w:tcPr>
          <w:p w14:paraId="3A4EB336">
            <w:pPr>
              <w:pStyle w:val="49"/>
            </w:pPr>
            <w:r>
              <w:t>132</w:t>
            </w:r>
          </w:p>
        </w:tc>
        <w:tc>
          <w:tcPr>
            <w:tcW w:w="1679" w:type="dxa"/>
            <w:shd w:val="clear" w:color="auto" w:fill="auto"/>
            <w:vAlign w:val="center"/>
          </w:tcPr>
          <w:p w14:paraId="5F8B6F4E">
            <w:pPr>
              <w:pStyle w:val="49"/>
            </w:pPr>
            <w:r>
              <w:t>IRI</w:t>
            </w:r>
          </w:p>
        </w:tc>
        <w:tc>
          <w:tcPr>
            <w:tcW w:w="1421" w:type="dxa"/>
            <w:tcBorders>
              <w:right w:val="nil"/>
            </w:tcBorders>
            <w:shd w:val="clear" w:color="auto" w:fill="auto"/>
            <w:vAlign w:val="center"/>
          </w:tcPr>
          <w:p w14:paraId="0B501857">
            <w:pPr>
              <w:pStyle w:val="49"/>
            </w:pPr>
            <w:r>
              <w:t>2019-2021</w:t>
            </w:r>
          </w:p>
        </w:tc>
      </w:tr>
      <w:tr w14:paraId="5296C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A4572BC">
            <w:pPr>
              <w:pStyle w:val="49"/>
            </w:pPr>
            <w:r>
              <w:t>24</w:t>
            </w:r>
          </w:p>
        </w:tc>
        <w:tc>
          <w:tcPr>
            <w:tcW w:w="1663" w:type="dxa"/>
            <w:shd w:val="clear" w:color="auto" w:fill="auto"/>
            <w:vAlign w:val="center"/>
          </w:tcPr>
          <w:p w14:paraId="1F300587">
            <w:pPr>
              <w:pStyle w:val="49"/>
            </w:pPr>
            <w:r>
              <w:t>IRI</w:t>
            </w:r>
          </w:p>
        </w:tc>
        <w:tc>
          <w:tcPr>
            <w:tcW w:w="1420" w:type="dxa"/>
            <w:shd w:val="clear" w:color="auto" w:fill="auto"/>
            <w:vAlign w:val="center"/>
          </w:tcPr>
          <w:p w14:paraId="66AB69B6">
            <w:pPr>
              <w:pStyle w:val="49"/>
            </w:pPr>
            <w:r>
              <w:t>2014</w:t>
            </w:r>
          </w:p>
        </w:tc>
        <w:tc>
          <w:tcPr>
            <w:tcW w:w="1162" w:type="dxa"/>
            <w:shd w:val="clear" w:color="auto" w:fill="auto"/>
            <w:vAlign w:val="center"/>
          </w:tcPr>
          <w:p w14:paraId="36E62ABE">
            <w:pPr>
              <w:pStyle w:val="49"/>
            </w:pPr>
            <w:r>
              <w:t>133</w:t>
            </w:r>
          </w:p>
        </w:tc>
        <w:tc>
          <w:tcPr>
            <w:tcW w:w="1679" w:type="dxa"/>
            <w:shd w:val="clear" w:color="auto" w:fill="auto"/>
            <w:vAlign w:val="center"/>
          </w:tcPr>
          <w:p w14:paraId="6BB1AC13">
            <w:pPr>
              <w:pStyle w:val="49"/>
            </w:pPr>
            <w:r>
              <w:t>IRI</w:t>
            </w:r>
          </w:p>
        </w:tc>
        <w:tc>
          <w:tcPr>
            <w:tcW w:w="1421" w:type="dxa"/>
            <w:tcBorders>
              <w:right w:val="nil"/>
            </w:tcBorders>
            <w:shd w:val="clear" w:color="auto" w:fill="auto"/>
            <w:vAlign w:val="center"/>
          </w:tcPr>
          <w:p w14:paraId="5D1B99CE">
            <w:pPr>
              <w:pStyle w:val="49"/>
            </w:pPr>
            <w:r>
              <w:t>2012</w:t>
            </w:r>
          </w:p>
        </w:tc>
      </w:tr>
      <w:tr w14:paraId="70E3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19D9913">
            <w:pPr>
              <w:pStyle w:val="49"/>
            </w:pPr>
            <w:r>
              <w:t>25</w:t>
            </w:r>
          </w:p>
        </w:tc>
        <w:tc>
          <w:tcPr>
            <w:tcW w:w="1663" w:type="dxa"/>
            <w:shd w:val="clear" w:color="auto" w:fill="auto"/>
            <w:vAlign w:val="center"/>
          </w:tcPr>
          <w:p w14:paraId="6B98A571">
            <w:pPr>
              <w:pStyle w:val="49"/>
            </w:pPr>
            <w:r>
              <w:t>Elevation Data</w:t>
            </w:r>
          </w:p>
        </w:tc>
        <w:tc>
          <w:tcPr>
            <w:tcW w:w="1420" w:type="dxa"/>
            <w:shd w:val="clear" w:color="auto" w:fill="auto"/>
            <w:vAlign w:val="center"/>
          </w:tcPr>
          <w:p w14:paraId="6A088928">
            <w:pPr>
              <w:pStyle w:val="49"/>
            </w:pPr>
            <w:r>
              <w:t>2010</w:t>
            </w:r>
          </w:p>
        </w:tc>
        <w:tc>
          <w:tcPr>
            <w:tcW w:w="1162" w:type="dxa"/>
            <w:shd w:val="clear" w:color="auto" w:fill="auto"/>
            <w:vAlign w:val="center"/>
          </w:tcPr>
          <w:p w14:paraId="5C8FE019">
            <w:pPr>
              <w:pStyle w:val="49"/>
            </w:pPr>
            <w:r>
              <w:t>134</w:t>
            </w:r>
          </w:p>
        </w:tc>
        <w:tc>
          <w:tcPr>
            <w:tcW w:w="1679" w:type="dxa"/>
            <w:shd w:val="clear" w:color="auto" w:fill="auto"/>
            <w:vAlign w:val="center"/>
          </w:tcPr>
          <w:p w14:paraId="13BFC896">
            <w:pPr>
              <w:pStyle w:val="49"/>
            </w:pPr>
            <w:r>
              <w:t>IRI</w:t>
            </w:r>
          </w:p>
        </w:tc>
        <w:tc>
          <w:tcPr>
            <w:tcW w:w="1421" w:type="dxa"/>
            <w:tcBorders>
              <w:right w:val="nil"/>
            </w:tcBorders>
            <w:shd w:val="clear" w:color="auto" w:fill="auto"/>
            <w:vAlign w:val="center"/>
          </w:tcPr>
          <w:p w14:paraId="63AC03D8">
            <w:pPr>
              <w:pStyle w:val="49"/>
            </w:pPr>
            <w:r>
              <w:t>2020</w:t>
            </w:r>
          </w:p>
        </w:tc>
      </w:tr>
      <w:tr w14:paraId="49483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320FEC6">
            <w:pPr>
              <w:pStyle w:val="49"/>
            </w:pPr>
            <w:r>
              <w:t>26</w:t>
            </w:r>
          </w:p>
        </w:tc>
        <w:tc>
          <w:tcPr>
            <w:tcW w:w="1663" w:type="dxa"/>
            <w:shd w:val="clear" w:color="auto" w:fill="auto"/>
            <w:vAlign w:val="center"/>
          </w:tcPr>
          <w:p w14:paraId="61D942DE">
            <w:pPr>
              <w:pStyle w:val="49"/>
            </w:pPr>
            <w:r>
              <w:t>IRI</w:t>
            </w:r>
          </w:p>
        </w:tc>
        <w:tc>
          <w:tcPr>
            <w:tcW w:w="1420" w:type="dxa"/>
            <w:shd w:val="clear" w:color="auto" w:fill="auto"/>
            <w:vAlign w:val="center"/>
          </w:tcPr>
          <w:p w14:paraId="6FF145A7">
            <w:pPr>
              <w:pStyle w:val="49"/>
            </w:pPr>
            <w:r>
              <w:t>2009-2021</w:t>
            </w:r>
          </w:p>
        </w:tc>
        <w:tc>
          <w:tcPr>
            <w:tcW w:w="1162" w:type="dxa"/>
            <w:shd w:val="clear" w:color="auto" w:fill="auto"/>
            <w:vAlign w:val="center"/>
          </w:tcPr>
          <w:p w14:paraId="3766E1D6">
            <w:pPr>
              <w:pStyle w:val="49"/>
            </w:pPr>
            <w:r>
              <w:t>135</w:t>
            </w:r>
          </w:p>
        </w:tc>
        <w:tc>
          <w:tcPr>
            <w:tcW w:w="1679" w:type="dxa"/>
            <w:shd w:val="clear" w:color="auto" w:fill="auto"/>
            <w:vAlign w:val="center"/>
          </w:tcPr>
          <w:p w14:paraId="000E1B01">
            <w:pPr>
              <w:pStyle w:val="49"/>
            </w:pPr>
            <w:r>
              <w:t>IRI</w:t>
            </w:r>
          </w:p>
        </w:tc>
        <w:tc>
          <w:tcPr>
            <w:tcW w:w="1421" w:type="dxa"/>
            <w:tcBorders>
              <w:right w:val="nil"/>
            </w:tcBorders>
            <w:shd w:val="clear" w:color="auto" w:fill="auto"/>
            <w:vAlign w:val="center"/>
          </w:tcPr>
          <w:p w14:paraId="3D84417E">
            <w:pPr>
              <w:pStyle w:val="49"/>
            </w:pPr>
            <w:r>
              <w:t>2023</w:t>
            </w:r>
          </w:p>
        </w:tc>
      </w:tr>
      <w:tr w14:paraId="6B0CE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7B9C101">
            <w:pPr>
              <w:pStyle w:val="49"/>
            </w:pPr>
            <w:r>
              <w:t>27</w:t>
            </w:r>
          </w:p>
        </w:tc>
        <w:tc>
          <w:tcPr>
            <w:tcW w:w="1663" w:type="dxa"/>
            <w:shd w:val="clear" w:color="auto" w:fill="auto"/>
            <w:vAlign w:val="center"/>
          </w:tcPr>
          <w:p w14:paraId="5FB379C2">
            <w:pPr>
              <w:pStyle w:val="49"/>
            </w:pPr>
            <w:r>
              <w:t>IRI</w:t>
            </w:r>
          </w:p>
        </w:tc>
        <w:tc>
          <w:tcPr>
            <w:tcW w:w="1420" w:type="dxa"/>
            <w:shd w:val="clear" w:color="auto" w:fill="auto"/>
            <w:vAlign w:val="center"/>
          </w:tcPr>
          <w:p w14:paraId="4A8C5DBA">
            <w:pPr>
              <w:pStyle w:val="49"/>
            </w:pPr>
            <w:r>
              <w:t>2016</w:t>
            </w:r>
          </w:p>
        </w:tc>
        <w:tc>
          <w:tcPr>
            <w:tcW w:w="1162" w:type="dxa"/>
            <w:shd w:val="clear" w:color="auto" w:fill="auto"/>
            <w:vAlign w:val="center"/>
          </w:tcPr>
          <w:p w14:paraId="747045C7">
            <w:pPr>
              <w:pStyle w:val="49"/>
            </w:pPr>
            <w:r>
              <w:t>136</w:t>
            </w:r>
          </w:p>
        </w:tc>
        <w:tc>
          <w:tcPr>
            <w:tcW w:w="1679" w:type="dxa"/>
            <w:shd w:val="clear" w:color="auto" w:fill="auto"/>
            <w:vAlign w:val="center"/>
          </w:tcPr>
          <w:p w14:paraId="541FD6FB">
            <w:pPr>
              <w:pStyle w:val="49"/>
            </w:pPr>
            <w:r>
              <w:t>Elevation Data、IRI</w:t>
            </w:r>
          </w:p>
        </w:tc>
        <w:tc>
          <w:tcPr>
            <w:tcW w:w="1421" w:type="dxa"/>
            <w:tcBorders>
              <w:right w:val="nil"/>
            </w:tcBorders>
            <w:shd w:val="clear" w:color="auto" w:fill="auto"/>
            <w:vAlign w:val="center"/>
          </w:tcPr>
          <w:p w14:paraId="2BC2824F">
            <w:pPr>
              <w:pStyle w:val="49"/>
            </w:pPr>
            <w:r>
              <w:t>2019-2021</w:t>
            </w:r>
          </w:p>
        </w:tc>
      </w:tr>
      <w:tr w14:paraId="6FBE9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1E6ECF6">
            <w:pPr>
              <w:pStyle w:val="49"/>
            </w:pPr>
            <w:r>
              <w:t>28</w:t>
            </w:r>
          </w:p>
        </w:tc>
        <w:tc>
          <w:tcPr>
            <w:tcW w:w="1663" w:type="dxa"/>
            <w:shd w:val="clear" w:color="auto" w:fill="auto"/>
            <w:vAlign w:val="center"/>
          </w:tcPr>
          <w:p w14:paraId="575168CD">
            <w:pPr>
              <w:pStyle w:val="49"/>
            </w:pPr>
            <w:r>
              <w:t>IRI</w:t>
            </w:r>
          </w:p>
        </w:tc>
        <w:tc>
          <w:tcPr>
            <w:tcW w:w="1420" w:type="dxa"/>
            <w:shd w:val="clear" w:color="auto" w:fill="auto"/>
            <w:vAlign w:val="center"/>
          </w:tcPr>
          <w:p w14:paraId="29607A89">
            <w:pPr>
              <w:pStyle w:val="49"/>
            </w:pPr>
            <w:r>
              <w:t>2018</w:t>
            </w:r>
          </w:p>
        </w:tc>
        <w:tc>
          <w:tcPr>
            <w:tcW w:w="1162" w:type="dxa"/>
            <w:shd w:val="clear" w:color="auto" w:fill="auto"/>
            <w:vAlign w:val="center"/>
          </w:tcPr>
          <w:p w14:paraId="6534BD40">
            <w:pPr>
              <w:pStyle w:val="49"/>
            </w:pPr>
            <w:r>
              <w:t>137</w:t>
            </w:r>
          </w:p>
        </w:tc>
        <w:tc>
          <w:tcPr>
            <w:tcW w:w="1679" w:type="dxa"/>
            <w:shd w:val="clear" w:color="auto" w:fill="auto"/>
            <w:vAlign w:val="center"/>
          </w:tcPr>
          <w:p w14:paraId="024F5BD6">
            <w:pPr>
              <w:pStyle w:val="49"/>
            </w:pPr>
            <w:r>
              <w:t>IRI</w:t>
            </w:r>
          </w:p>
        </w:tc>
        <w:tc>
          <w:tcPr>
            <w:tcW w:w="1421" w:type="dxa"/>
            <w:tcBorders>
              <w:right w:val="nil"/>
            </w:tcBorders>
            <w:shd w:val="clear" w:color="auto" w:fill="auto"/>
            <w:vAlign w:val="center"/>
          </w:tcPr>
          <w:p w14:paraId="55984FD9">
            <w:pPr>
              <w:pStyle w:val="49"/>
            </w:pPr>
            <w:r>
              <w:t>2021</w:t>
            </w:r>
          </w:p>
        </w:tc>
      </w:tr>
      <w:tr w14:paraId="5CB81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F9DF79E">
            <w:pPr>
              <w:pStyle w:val="49"/>
            </w:pPr>
            <w:r>
              <w:t>29</w:t>
            </w:r>
          </w:p>
        </w:tc>
        <w:tc>
          <w:tcPr>
            <w:tcW w:w="1663" w:type="dxa"/>
            <w:shd w:val="clear" w:color="auto" w:fill="auto"/>
            <w:vAlign w:val="center"/>
          </w:tcPr>
          <w:p w14:paraId="747EC18C">
            <w:pPr>
              <w:pStyle w:val="49"/>
            </w:pPr>
            <w:r>
              <w:t>IRI</w:t>
            </w:r>
          </w:p>
        </w:tc>
        <w:tc>
          <w:tcPr>
            <w:tcW w:w="1420" w:type="dxa"/>
            <w:shd w:val="clear" w:color="auto" w:fill="auto"/>
            <w:vAlign w:val="center"/>
          </w:tcPr>
          <w:p w14:paraId="2491DE5C">
            <w:pPr>
              <w:pStyle w:val="49"/>
            </w:pPr>
            <w:r>
              <w:t>2002-2024</w:t>
            </w:r>
          </w:p>
        </w:tc>
        <w:tc>
          <w:tcPr>
            <w:tcW w:w="1162" w:type="dxa"/>
            <w:shd w:val="clear" w:color="auto" w:fill="auto"/>
            <w:vAlign w:val="center"/>
          </w:tcPr>
          <w:p w14:paraId="6314121B">
            <w:pPr>
              <w:pStyle w:val="49"/>
            </w:pPr>
            <w:r>
              <w:t>138</w:t>
            </w:r>
          </w:p>
        </w:tc>
        <w:tc>
          <w:tcPr>
            <w:tcW w:w="1679" w:type="dxa"/>
            <w:shd w:val="clear" w:color="auto" w:fill="auto"/>
            <w:vAlign w:val="center"/>
          </w:tcPr>
          <w:p w14:paraId="097D8E1C">
            <w:pPr>
              <w:pStyle w:val="49"/>
            </w:pPr>
            <w:r>
              <w:t>Elevation Data</w:t>
            </w:r>
          </w:p>
        </w:tc>
        <w:tc>
          <w:tcPr>
            <w:tcW w:w="1421" w:type="dxa"/>
            <w:tcBorders>
              <w:right w:val="nil"/>
            </w:tcBorders>
            <w:shd w:val="clear" w:color="auto" w:fill="auto"/>
            <w:vAlign w:val="center"/>
          </w:tcPr>
          <w:p w14:paraId="6E1B262D">
            <w:pPr>
              <w:pStyle w:val="49"/>
            </w:pPr>
            <w:r>
              <w:t>2001-2024</w:t>
            </w:r>
          </w:p>
        </w:tc>
      </w:tr>
      <w:tr w14:paraId="39309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0FE7822">
            <w:pPr>
              <w:pStyle w:val="49"/>
            </w:pPr>
            <w:r>
              <w:t>30</w:t>
            </w:r>
          </w:p>
        </w:tc>
        <w:tc>
          <w:tcPr>
            <w:tcW w:w="1663" w:type="dxa"/>
            <w:shd w:val="clear" w:color="auto" w:fill="auto"/>
            <w:vAlign w:val="center"/>
          </w:tcPr>
          <w:p w14:paraId="16153C41">
            <w:pPr>
              <w:pStyle w:val="49"/>
            </w:pPr>
            <w:r>
              <w:t>IRI</w:t>
            </w:r>
          </w:p>
        </w:tc>
        <w:tc>
          <w:tcPr>
            <w:tcW w:w="1420" w:type="dxa"/>
            <w:shd w:val="clear" w:color="auto" w:fill="auto"/>
            <w:vAlign w:val="center"/>
          </w:tcPr>
          <w:p w14:paraId="0BF80AFB">
            <w:pPr>
              <w:pStyle w:val="49"/>
            </w:pPr>
            <w:r>
              <w:t>2017-2019</w:t>
            </w:r>
          </w:p>
        </w:tc>
        <w:tc>
          <w:tcPr>
            <w:tcW w:w="1162" w:type="dxa"/>
            <w:shd w:val="clear" w:color="auto" w:fill="auto"/>
            <w:vAlign w:val="center"/>
          </w:tcPr>
          <w:p w14:paraId="3912F306">
            <w:pPr>
              <w:pStyle w:val="49"/>
            </w:pPr>
            <w:r>
              <w:t>139</w:t>
            </w:r>
          </w:p>
        </w:tc>
        <w:tc>
          <w:tcPr>
            <w:tcW w:w="1679" w:type="dxa"/>
            <w:shd w:val="clear" w:color="auto" w:fill="auto"/>
            <w:vAlign w:val="center"/>
          </w:tcPr>
          <w:p w14:paraId="00048AE2">
            <w:pPr>
              <w:pStyle w:val="49"/>
            </w:pPr>
            <w:r>
              <w:t>IRI</w:t>
            </w:r>
          </w:p>
        </w:tc>
        <w:tc>
          <w:tcPr>
            <w:tcW w:w="1421" w:type="dxa"/>
            <w:tcBorders>
              <w:right w:val="nil"/>
            </w:tcBorders>
            <w:shd w:val="clear" w:color="auto" w:fill="auto"/>
            <w:vAlign w:val="center"/>
          </w:tcPr>
          <w:p w14:paraId="3690703C">
            <w:pPr>
              <w:pStyle w:val="49"/>
            </w:pPr>
            <w:r>
              <w:t>1999-2021</w:t>
            </w:r>
          </w:p>
        </w:tc>
      </w:tr>
      <w:tr w14:paraId="1DCD4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6C63AFC">
            <w:pPr>
              <w:pStyle w:val="49"/>
            </w:pPr>
            <w:r>
              <w:t>31</w:t>
            </w:r>
          </w:p>
        </w:tc>
        <w:tc>
          <w:tcPr>
            <w:tcW w:w="1663" w:type="dxa"/>
            <w:shd w:val="clear" w:color="auto" w:fill="auto"/>
            <w:vAlign w:val="center"/>
          </w:tcPr>
          <w:p w14:paraId="20E17AB0">
            <w:pPr>
              <w:pStyle w:val="49"/>
            </w:pPr>
            <w:r>
              <w:t>IRI</w:t>
            </w:r>
          </w:p>
        </w:tc>
        <w:tc>
          <w:tcPr>
            <w:tcW w:w="1420" w:type="dxa"/>
            <w:shd w:val="clear" w:color="auto" w:fill="auto"/>
            <w:vAlign w:val="center"/>
          </w:tcPr>
          <w:p w14:paraId="7E2EE163">
            <w:pPr>
              <w:pStyle w:val="49"/>
            </w:pPr>
            <w:r>
              <w:t>2021</w:t>
            </w:r>
          </w:p>
        </w:tc>
        <w:tc>
          <w:tcPr>
            <w:tcW w:w="1162" w:type="dxa"/>
            <w:shd w:val="clear" w:color="auto" w:fill="auto"/>
            <w:vAlign w:val="center"/>
          </w:tcPr>
          <w:p w14:paraId="6E9519A0">
            <w:pPr>
              <w:pStyle w:val="49"/>
            </w:pPr>
            <w:r>
              <w:t>140</w:t>
            </w:r>
          </w:p>
        </w:tc>
        <w:tc>
          <w:tcPr>
            <w:tcW w:w="1679" w:type="dxa"/>
            <w:shd w:val="clear" w:color="auto" w:fill="auto"/>
            <w:vAlign w:val="center"/>
          </w:tcPr>
          <w:p w14:paraId="36087F04">
            <w:pPr>
              <w:pStyle w:val="49"/>
            </w:pPr>
            <w:r>
              <w:t>IRI</w:t>
            </w:r>
          </w:p>
        </w:tc>
        <w:tc>
          <w:tcPr>
            <w:tcW w:w="1421" w:type="dxa"/>
            <w:tcBorders>
              <w:right w:val="nil"/>
            </w:tcBorders>
            <w:shd w:val="clear" w:color="auto" w:fill="auto"/>
            <w:vAlign w:val="center"/>
          </w:tcPr>
          <w:p w14:paraId="3587162B">
            <w:pPr>
              <w:pStyle w:val="49"/>
            </w:pPr>
            <w:r>
              <w:t>2015</w:t>
            </w:r>
          </w:p>
        </w:tc>
      </w:tr>
      <w:tr w14:paraId="51D25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988247E">
            <w:pPr>
              <w:pStyle w:val="49"/>
            </w:pPr>
            <w:r>
              <w:t>32</w:t>
            </w:r>
          </w:p>
        </w:tc>
        <w:tc>
          <w:tcPr>
            <w:tcW w:w="1663" w:type="dxa"/>
            <w:shd w:val="clear" w:color="auto" w:fill="auto"/>
            <w:vAlign w:val="center"/>
          </w:tcPr>
          <w:p w14:paraId="39AD1B02">
            <w:pPr>
              <w:pStyle w:val="49"/>
            </w:pPr>
            <w:r>
              <w:t>Elevation Data、IRI</w:t>
            </w:r>
          </w:p>
        </w:tc>
        <w:tc>
          <w:tcPr>
            <w:tcW w:w="1420" w:type="dxa"/>
            <w:shd w:val="clear" w:color="auto" w:fill="auto"/>
            <w:vAlign w:val="center"/>
          </w:tcPr>
          <w:p w14:paraId="7E56E678">
            <w:pPr>
              <w:pStyle w:val="49"/>
            </w:pPr>
            <w:r>
              <w:t>2015-2019</w:t>
            </w:r>
          </w:p>
        </w:tc>
        <w:tc>
          <w:tcPr>
            <w:tcW w:w="1162" w:type="dxa"/>
            <w:shd w:val="clear" w:color="auto" w:fill="auto"/>
            <w:vAlign w:val="center"/>
          </w:tcPr>
          <w:p w14:paraId="1EBC8E9D">
            <w:pPr>
              <w:pStyle w:val="49"/>
            </w:pPr>
            <w:r>
              <w:t>141</w:t>
            </w:r>
          </w:p>
        </w:tc>
        <w:tc>
          <w:tcPr>
            <w:tcW w:w="1679" w:type="dxa"/>
            <w:shd w:val="clear" w:color="auto" w:fill="auto"/>
            <w:vAlign w:val="center"/>
          </w:tcPr>
          <w:p w14:paraId="7CF5CB05">
            <w:pPr>
              <w:pStyle w:val="49"/>
            </w:pPr>
            <w:r>
              <w:t>IRI</w:t>
            </w:r>
          </w:p>
        </w:tc>
        <w:tc>
          <w:tcPr>
            <w:tcW w:w="1421" w:type="dxa"/>
            <w:tcBorders>
              <w:right w:val="nil"/>
            </w:tcBorders>
            <w:shd w:val="clear" w:color="auto" w:fill="auto"/>
            <w:vAlign w:val="center"/>
          </w:tcPr>
          <w:p w14:paraId="5452BF70">
            <w:pPr>
              <w:pStyle w:val="49"/>
            </w:pPr>
            <w:r>
              <w:t>2018</w:t>
            </w:r>
          </w:p>
        </w:tc>
      </w:tr>
      <w:tr w14:paraId="444DF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47FB8C0">
            <w:pPr>
              <w:pStyle w:val="49"/>
            </w:pPr>
            <w:r>
              <w:t>33</w:t>
            </w:r>
          </w:p>
        </w:tc>
        <w:tc>
          <w:tcPr>
            <w:tcW w:w="1663" w:type="dxa"/>
            <w:shd w:val="clear" w:color="auto" w:fill="auto"/>
            <w:vAlign w:val="center"/>
          </w:tcPr>
          <w:p w14:paraId="75F02B95">
            <w:pPr>
              <w:pStyle w:val="49"/>
            </w:pPr>
            <w:r>
              <w:t>IRI</w:t>
            </w:r>
          </w:p>
        </w:tc>
        <w:tc>
          <w:tcPr>
            <w:tcW w:w="1420" w:type="dxa"/>
            <w:shd w:val="clear" w:color="auto" w:fill="auto"/>
            <w:vAlign w:val="center"/>
          </w:tcPr>
          <w:p w14:paraId="15B63188">
            <w:pPr>
              <w:pStyle w:val="49"/>
            </w:pPr>
            <w:r>
              <w:t>2024</w:t>
            </w:r>
          </w:p>
        </w:tc>
        <w:tc>
          <w:tcPr>
            <w:tcW w:w="1162" w:type="dxa"/>
            <w:shd w:val="clear" w:color="auto" w:fill="auto"/>
            <w:vAlign w:val="center"/>
          </w:tcPr>
          <w:p w14:paraId="6C2C76D0">
            <w:pPr>
              <w:pStyle w:val="49"/>
            </w:pPr>
            <w:r>
              <w:t>142</w:t>
            </w:r>
          </w:p>
        </w:tc>
        <w:tc>
          <w:tcPr>
            <w:tcW w:w="1679" w:type="dxa"/>
            <w:shd w:val="clear" w:color="auto" w:fill="auto"/>
            <w:vAlign w:val="center"/>
          </w:tcPr>
          <w:p w14:paraId="4759936B">
            <w:pPr>
              <w:pStyle w:val="49"/>
            </w:pPr>
            <w:r>
              <w:t>IRI</w:t>
            </w:r>
          </w:p>
        </w:tc>
        <w:tc>
          <w:tcPr>
            <w:tcW w:w="1421" w:type="dxa"/>
            <w:tcBorders>
              <w:right w:val="nil"/>
            </w:tcBorders>
            <w:shd w:val="clear" w:color="auto" w:fill="auto"/>
            <w:vAlign w:val="center"/>
          </w:tcPr>
          <w:p w14:paraId="0511BF00">
            <w:pPr>
              <w:pStyle w:val="49"/>
            </w:pPr>
            <w:r>
              <w:t>2014</w:t>
            </w:r>
          </w:p>
        </w:tc>
      </w:tr>
      <w:tr w14:paraId="773DB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875415F">
            <w:pPr>
              <w:pStyle w:val="49"/>
            </w:pPr>
            <w:r>
              <w:t>34</w:t>
            </w:r>
          </w:p>
        </w:tc>
        <w:tc>
          <w:tcPr>
            <w:tcW w:w="1663" w:type="dxa"/>
            <w:shd w:val="clear" w:color="auto" w:fill="auto"/>
            <w:vAlign w:val="center"/>
          </w:tcPr>
          <w:p w14:paraId="6696104D">
            <w:pPr>
              <w:pStyle w:val="49"/>
            </w:pPr>
            <w:r>
              <w:t>Elevation Data</w:t>
            </w:r>
          </w:p>
        </w:tc>
        <w:tc>
          <w:tcPr>
            <w:tcW w:w="1420" w:type="dxa"/>
            <w:shd w:val="clear" w:color="auto" w:fill="auto"/>
            <w:vAlign w:val="center"/>
          </w:tcPr>
          <w:p w14:paraId="73D16ED0">
            <w:pPr>
              <w:pStyle w:val="49"/>
            </w:pPr>
            <w:r>
              <w:t>2021</w:t>
            </w:r>
          </w:p>
        </w:tc>
        <w:tc>
          <w:tcPr>
            <w:tcW w:w="1162" w:type="dxa"/>
            <w:shd w:val="clear" w:color="auto" w:fill="auto"/>
            <w:vAlign w:val="center"/>
          </w:tcPr>
          <w:p w14:paraId="7FB14792">
            <w:pPr>
              <w:pStyle w:val="49"/>
            </w:pPr>
            <w:r>
              <w:t>144</w:t>
            </w:r>
          </w:p>
        </w:tc>
        <w:tc>
          <w:tcPr>
            <w:tcW w:w="1679" w:type="dxa"/>
            <w:shd w:val="clear" w:color="auto" w:fill="auto"/>
            <w:vAlign w:val="center"/>
          </w:tcPr>
          <w:p w14:paraId="2D08ED2A">
            <w:pPr>
              <w:pStyle w:val="49"/>
            </w:pPr>
            <w:r>
              <w:t>IRI</w:t>
            </w:r>
          </w:p>
        </w:tc>
        <w:tc>
          <w:tcPr>
            <w:tcW w:w="1421" w:type="dxa"/>
            <w:tcBorders>
              <w:right w:val="nil"/>
            </w:tcBorders>
            <w:shd w:val="clear" w:color="auto" w:fill="auto"/>
            <w:vAlign w:val="center"/>
          </w:tcPr>
          <w:p w14:paraId="43CDF247">
            <w:pPr>
              <w:pStyle w:val="49"/>
            </w:pPr>
            <w:r>
              <w:t>2002-2012</w:t>
            </w:r>
          </w:p>
        </w:tc>
      </w:tr>
      <w:tr w14:paraId="4D76F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4ACE225">
            <w:pPr>
              <w:pStyle w:val="49"/>
            </w:pPr>
            <w:r>
              <w:t>35</w:t>
            </w:r>
          </w:p>
        </w:tc>
        <w:tc>
          <w:tcPr>
            <w:tcW w:w="1663" w:type="dxa"/>
            <w:shd w:val="clear" w:color="auto" w:fill="auto"/>
            <w:vAlign w:val="center"/>
          </w:tcPr>
          <w:p w14:paraId="06DEF51C">
            <w:pPr>
              <w:pStyle w:val="49"/>
            </w:pPr>
            <w:r>
              <w:t>IRI</w:t>
            </w:r>
          </w:p>
        </w:tc>
        <w:tc>
          <w:tcPr>
            <w:tcW w:w="1420" w:type="dxa"/>
            <w:shd w:val="clear" w:color="auto" w:fill="auto"/>
            <w:vAlign w:val="center"/>
          </w:tcPr>
          <w:p w14:paraId="720A7724">
            <w:pPr>
              <w:pStyle w:val="49"/>
            </w:pPr>
            <w:r>
              <w:t>2023</w:t>
            </w:r>
          </w:p>
        </w:tc>
        <w:tc>
          <w:tcPr>
            <w:tcW w:w="1162" w:type="dxa"/>
            <w:shd w:val="clear" w:color="auto" w:fill="auto"/>
            <w:vAlign w:val="center"/>
          </w:tcPr>
          <w:p w14:paraId="548CEEDD">
            <w:pPr>
              <w:pStyle w:val="49"/>
            </w:pPr>
            <w:r>
              <w:t>145</w:t>
            </w:r>
          </w:p>
        </w:tc>
        <w:tc>
          <w:tcPr>
            <w:tcW w:w="1679" w:type="dxa"/>
            <w:shd w:val="clear" w:color="auto" w:fill="auto"/>
            <w:vAlign w:val="center"/>
          </w:tcPr>
          <w:p w14:paraId="3E38935D">
            <w:pPr>
              <w:pStyle w:val="49"/>
            </w:pPr>
            <w:r>
              <w:t>IRI</w:t>
            </w:r>
          </w:p>
        </w:tc>
        <w:tc>
          <w:tcPr>
            <w:tcW w:w="1421" w:type="dxa"/>
            <w:tcBorders>
              <w:right w:val="nil"/>
            </w:tcBorders>
            <w:shd w:val="clear" w:color="auto" w:fill="auto"/>
            <w:vAlign w:val="center"/>
          </w:tcPr>
          <w:p w14:paraId="24A75796">
            <w:pPr>
              <w:pStyle w:val="49"/>
            </w:pPr>
            <w:r>
              <w:t>2010-2022</w:t>
            </w:r>
          </w:p>
        </w:tc>
      </w:tr>
      <w:tr w14:paraId="54AB3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68D98FD">
            <w:pPr>
              <w:pStyle w:val="49"/>
            </w:pPr>
            <w:r>
              <w:t>36</w:t>
            </w:r>
          </w:p>
        </w:tc>
        <w:tc>
          <w:tcPr>
            <w:tcW w:w="1663" w:type="dxa"/>
            <w:shd w:val="clear" w:color="auto" w:fill="auto"/>
            <w:vAlign w:val="center"/>
          </w:tcPr>
          <w:p w14:paraId="0C8B98BD">
            <w:pPr>
              <w:pStyle w:val="49"/>
            </w:pPr>
            <w:r>
              <w:t>Elevation Data、IRI</w:t>
            </w:r>
          </w:p>
        </w:tc>
        <w:tc>
          <w:tcPr>
            <w:tcW w:w="1420" w:type="dxa"/>
            <w:shd w:val="clear" w:color="auto" w:fill="auto"/>
            <w:vAlign w:val="center"/>
          </w:tcPr>
          <w:p w14:paraId="262C8EB7">
            <w:pPr>
              <w:pStyle w:val="49"/>
            </w:pPr>
            <w:r>
              <w:t>2012</w:t>
            </w:r>
          </w:p>
        </w:tc>
        <w:tc>
          <w:tcPr>
            <w:tcW w:w="1162" w:type="dxa"/>
            <w:shd w:val="clear" w:color="auto" w:fill="auto"/>
            <w:vAlign w:val="center"/>
          </w:tcPr>
          <w:p w14:paraId="7C535D3B">
            <w:pPr>
              <w:pStyle w:val="49"/>
            </w:pPr>
            <w:r>
              <w:t>146</w:t>
            </w:r>
          </w:p>
        </w:tc>
        <w:tc>
          <w:tcPr>
            <w:tcW w:w="1679" w:type="dxa"/>
            <w:shd w:val="clear" w:color="auto" w:fill="auto"/>
            <w:vAlign w:val="center"/>
          </w:tcPr>
          <w:p w14:paraId="0A1171A8">
            <w:pPr>
              <w:pStyle w:val="49"/>
            </w:pPr>
            <w:r>
              <w:t>IRI</w:t>
            </w:r>
          </w:p>
        </w:tc>
        <w:tc>
          <w:tcPr>
            <w:tcW w:w="1421" w:type="dxa"/>
            <w:tcBorders>
              <w:right w:val="nil"/>
            </w:tcBorders>
            <w:shd w:val="clear" w:color="auto" w:fill="auto"/>
            <w:vAlign w:val="center"/>
          </w:tcPr>
          <w:p w14:paraId="3BE8DFE3">
            <w:pPr>
              <w:pStyle w:val="49"/>
            </w:pPr>
            <w:r>
              <w:t>2004-2008</w:t>
            </w:r>
          </w:p>
        </w:tc>
      </w:tr>
      <w:tr w14:paraId="1AECD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B460A48">
            <w:pPr>
              <w:pStyle w:val="49"/>
            </w:pPr>
            <w:r>
              <w:t>37</w:t>
            </w:r>
          </w:p>
        </w:tc>
        <w:tc>
          <w:tcPr>
            <w:tcW w:w="1663" w:type="dxa"/>
            <w:shd w:val="clear" w:color="auto" w:fill="auto"/>
            <w:vAlign w:val="center"/>
          </w:tcPr>
          <w:p w14:paraId="2B1A2863">
            <w:pPr>
              <w:pStyle w:val="49"/>
            </w:pPr>
            <w:r>
              <w:t>IRI</w:t>
            </w:r>
          </w:p>
        </w:tc>
        <w:tc>
          <w:tcPr>
            <w:tcW w:w="1420" w:type="dxa"/>
            <w:shd w:val="clear" w:color="auto" w:fill="auto"/>
            <w:vAlign w:val="center"/>
          </w:tcPr>
          <w:p w14:paraId="3B5D9A08">
            <w:pPr>
              <w:pStyle w:val="49"/>
            </w:pPr>
            <w:r>
              <w:t>2014</w:t>
            </w:r>
          </w:p>
        </w:tc>
        <w:tc>
          <w:tcPr>
            <w:tcW w:w="1162" w:type="dxa"/>
            <w:shd w:val="clear" w:color="auto" w:fill="auto"/>
            <w:vAlign w:val="center"/>
          </w:tcPr>
          <w:p w14:paraId="16AB1342">
            <w:pPr>
              <w:pStyle w:val="49"/>
            </w:pPr>
            <w:r>
              <w:t>147</w:t>
            </w:r>
          </w:p>
        </w:tc>
        <w:tc>
          <w:tcPr>
            <w:tcW w:w="1679" w:type="dxa"/>
            <w:shd w:val="clear" w:color="auto" w:fill="auto"/>
            <w:vAlign w:val="center"/>
          </w:tcPr>
          <w:p w14:paraId="5E832CBB">
            <w:pPr>
              <w:pStyle w:val="49"/>
            </w:pPr>
            <w:r>
              <w:t>IRI</w:t>
            </w:r>
          </w:p>
        </w:tc>
        <w:tc>
          <w:tcPr>
            <w:tcW w:w="1421" w:type="dxa"/>
            <w:tcBorders>
              <w:right w:val="nil"/>
            </w:tcBorders>
            <w:shd w:val="clear" w:color="auto" w:fill="auto"/>
            <w:vAlign w:val="center"/>
          </w:tcPr>
          <w:p w14:paraId="787AA634">
            <w:pPr>
              <w:pStyle w:val="49"/>
            </w:pPr>
            <w:r>
              <w:t>2006-2020</w:t>
            </w:r>
          </w:p>
        </w:tc>
      </w:tr>
      <w:tr w14:paraId="0F633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525AA45">
            <w:pPr>
              <w:pStyle w:val="49"/>
            </w:pPr>
            <w:r>
              <w:t>38</w:t>
            </w:r>
          </w:p>
        </w:tc>
        <w:tc>
          <w:tcPr>
            <w:tcW w:w="1663" w:type="dxa"/>
            <w:shd w:val="clear" w:color="auto" w:fill="auto"/>
            <w:vAlign w:val="center"/>
          </w:tcPr>
          <w:p w14:paraId="14301943">
            <w:pPr>
              <w:pStyle w:val="49"/>
            </w:pPr>
            <w:r>
              <w:t>IRI</w:t>
            </w:r>
          </w:p>
        </w:tc>
        <w:tc>
          <w:tcPr>
            <w:tcW w:w="1420" w:type="dxa"/>
            <w:shd w:val="clear" w:color="auto" w:fill="auto"/>
            <w:vAlign w:val="center"/>
          </w:tcPr>
          <w:p w14:paraId="02838AA2">
            <w:pPr>
              <w:pStyle w:val="49"/>
            </w:pPr>
            <w:r>
              <w:t>2023</w:t>
            </w:r>
          </w:p>
        </w:tc>
        <w:tc>
          <w:tcPr>
            <w:tcW w:w="1162" w:type="dxa"/>
            <w:shd w:val="clear" w:color="auto" w:fill="auto"/>
            <w:vAlign w:val="center"/>
          </w:tcPr>
          <w:p w14:paraId="0EA067C3">
            <w:pPr>
              <w:pStyle w:val="49"/>
            </w:pPr>
            <w:r>
              <w:t>148</w:t>
            </w:r>
          </w:p>
        </w:tc>
        <w:tc>
          <w:tcPr>
            <w:tcW w:w="1679" w:type="dxa"/>
            <w:shd w:val="clear" w:color="auto" w:fill="auto"/>
            <w:vAlign w:val="center"/>
          </w:tcPr>
          <w:p w14:paraId="0EEAC9EC">
            <w:pPr>
              <w:pStyle w:val="49"/>
            </w:pPr>
            <w:r>
              <w:t>IRI</w:t>
            </w:r>
          </w:p>
        </w:tc>
        <w:tc>
          <w:tcPr>
            <w:tcW w:w="1421" w:type="dxa"/>
            <w:tcBorders>
              <w:right w:val="nil"/>
            </w:tcBorders>
            <w:shd w:val="clear" w:color="auto" w:fill="auto"/>
            <w:vAlign w:val="center"/>
          </w:tcPr>
          <w:p w14:paraId="42095BFF">
            <w:pPr>
              <w:pStyle w:val="49"/>
            </w:pPr>
            <w:r>
              <w:t>2013-2024</w:t>
            </w:r>
          </w:p>
        </w:tc>
      </w:tr>
      <w:tr w14:paraId="4E6B6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96D26C6">
            <w:pPr>
              <w:pStyle w:val="49"/>
            </w:pPr>
            <w:r>
              <w:t>39</w:t>
            </w:r>
          </w:p>
        </w:tc>
        <w:tc>
          <w:tcPr>
            <w:tcW w:w="1663" w:type="dxa"/>
            <w:shd w:val="clear" w:color="auto" w:fill="auto"/>
            <w:vAlign w:val="center"/>
          </w:tcPr>
          <w:p w14:paraId="4C592328">
            <w:pPr>
              <w:pStyle w:val="49"/>
            </w:pPr>
            <w:r>
              <w:t>IRI</w:t>
            </w:r>
          </w:p>
        </w:tc>
        <w:tc>
          <w:tcPr>
            <w:tcW w:w="1420" w:type="dxa"/>
            <w:shd w:val="clear" w:color="auto" w:fill="auto"/>
            <w:vAlign w:val="center"/>
          </w:tcPr>
          <w:p w14:paraId="5692F14E">
            <w:pPr>
              <w:pStyle w:val="49"/>
            </w:pPr>
            <w:r>
              <w:t>2011-2021</w:t>
            </w:r>
          </w:p>
        </w:tc>
        <w:tc>
          <w:tcPr>
            <w:tcW w:w="1162" w:type="dxa"/>
            <w:shd w:val="clear" w:color="auto" w:fill="auto"/>
            <w:vAlign w:val="center"/>
          </w:tcPr>
          <w:p w14:paraId="4AB9156E">
            <w:pPr>
              <w:pStyle w:val="49"/>
            </w:pPr>
            <w:r>
              <w:t>149</w:t>
            </w:r>
          </w:p>
        </w:tc>
        <w:tc>
          <w:tcPr>
            <w:tcW w:w="1679" w:type="dxa"/>
            <w:shd w:val="clear" w:color="auto" w:fill="auto"/>
            <w:vAlign w:val="center"/>
          </w:tcPr>
          <w:p w14:paraId="7E2A9567">
            <w:pPr>
              <w:pStyle w:val="49"/>
            </w:pPr>
            <w:r>
              <w:t>IRI</w:t>
            </w:r>
          </w:p>
        </w:tc>
        <w:tc>
          <w:tcPr>
            <w:tcW w:w="1421" w:type="dxa"/>
            <w:tcBorders>
              <w:right w:val="nil"/>
            </w:tcBorders>
            <w:shd w:val="clear" w:color="auto" w:fill="auto"/>
            <w:vAlign w:val="center"/>
          </w:tcPr>
          <w:p w14:paraId="3DD0E985">
            <w:pPr>
              <w:pStyle w:val="49"/>
            </w:pPr>
            <w:r>
              <w:t>2000-2015</w:t>
            </w:r>
          </w:p>
        </w:tc>
      </w:tr>
      <w:tr w14:paraId="76633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FA5BAEF">
            <w:pPr>
              <w:pStyle w:val="49"/>
            </w:pPr>
            <w:r>
              <w:t>40</w:t>
            </w:r>
          </w:p>
        </w:tc>
        <w:tc>
          <w:tcPr>
            <w:tcW w:w="1663" w:type="dxa"/>
            <w:shd w:val="clear" w:color="auto" w:fill="auto"/>
            <w:vAlign w:val="center"/>
          </w:tcPr>
          <w:p w14:paraId="634154E2">
            <w:pPr>
              <w:pStyle w:val="49"/>
            </w:pPr>
            <w:r>
              <w:t>IRI</w:t>
            </w:r>
          </w:p>
        </w:tc>
        <w:tc>
          <w:tcPr>
            <w:tcW w:w="1420" w:type="dxa"/>
            <w:shd w:val="clear" w:color="auto" w:fill="auto"/>
            <w:vAlign w:val="center"/>
          </w:tcPr>
          <w:p w14:paraId="7C033F1D">
            <w:pPr>
              <w:pStyle w:val="49"/>
            </w:pPr>
            <w:r>
              <w:t>2018</w:t>
            </w:r>
          </w:p>
        </w:tc>
        <w:tc>
          <w:tcPr>
            <w:tcW w:w="1162" w:type="dxa"/>
            <w:shd w:val="clear" w:color="auto" w:fill="auto"/>
            <w:vAlign w:val="center"/>
          </w:tcPr>
          <w:p w14:paraId="0E6B29E0">
            <w:pPr>
              <w:pStyle w:val="49"/>
            </w:pPr>
            <w:r>
              <w:t>150</w:t>
            </w:r>
          </w:p>
        </w:tc>
        <w:tc>
          <w:tcPr>
            <w:tcW w:w="1679" w:type="dxa"/>
            <w:shd w:val="clear" w:color="auto" w:fill="auto"/>
            <w:vAlign w:val="center"/>
          </w:tcPr>
          <w:p w14:paraId="17535592">
            <w:pPr>
              <w:pStyle w:val="49"/>
            </w:pPr>
            <w:r>
              <w:t>IRI</w:t>
            </w:r>
          </w:p>
        </w:tc>
        <w:tc>
          <w:tcPr>
            <w:tcW w:w="1421" w:type="dxa"/>
            <w:tcBorders>
              <w:right w:val="nil"/>
            </w:tcBorders>
            <w:shd w:val="clear" w:color="auto" w:fill="auto"/>
            <w:vAlign w:val="center"/>
          </w:tcPr>
          <w:p w14:paraId="011684A1">
            <w:pPr>
              <w:pStyle w:val="49"/>
            </w:pPr>
            <w:r>
              <w:t>2001-2017</w:t>
            </w:r>
          </w:p>
        </w:tc>
      </w:tr>
      <w:tr w14:paraId="4E49C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1E0DFB2">
            <w:pPr>
              <w:pStyle w:val="49"/>
            </w:pPr>
            <w:r>
              <w:t>41</w:t>
            </w:r>
          </w:p>
        </w:tc>
        <w:tc>
          <w:tcPr>
            <w:tcW w:w="1663" w:type="dxa"/>
            <w:shd w:val="clear" w:color="auto" w:fill="auto"/>
            <w:vAlign w:val="center"/>
          </w:tcPr>
          <w:p w14:paraId="2BC556BF">
            <w:pPr>
              <w:pStyle w:val="49"/>
            </w:pPr>
            <w:r>
              <w:t>IRI</w:t>
            </w:r>
          </w:p>
        </w:tc>
        <w:tc>
          <w:tcPr>
            <w:tcW w:w="1420" w:type="dxa"/>
            <w:shd w:val="clear" w:color="auto" w:fill="auto"/>
            <w:vAlign w:val="center"/>
          </w:tcPr>
          <w:p w14:paraId="0F3719AF">
            <w:pPr>
              <w:pStyle w:val="49"/>
            </w:pPr>
            <w:r>
              <w:t>2019</w:t>
            </w:r>
          </w:p>
        </w:tc>
        <w:tc>
          <w:tcPr>
            <w:tcW w:w="1162" w:type="dxa"/>
            <w:shd w:val="clear" w:color="auto" w:fill="auto"/>
            <w:vAlign w:val="center"/>
          </w:tcPr>
          <w:p w14:paraId="11098D21">
            <w:pPr>
              <w:pStyle w:val="49"/>
            </w:pPr>
            <w:r>
              <w:t>151</w:t>
            </w:r>
          </w:p>
        </w:tc>
        <w:tc>
          <w:tcPr>
            <w:tcW w:w="1679" w:type="dxa"/>
            <w:shd w:val="clear" w:color="auto" w:fill="auto"/>
            <w:vAlign w:val="center"/>
          </w:tcPr>
          <w:p w14:paraId="2ECEC2D7">
            <w:pPr>
              <w:pStyle w:val="49"/>
            </w:pPr>
            <w:r>
              <w:t>Elevation Data、IRI</w:t>
            </w:r>
          </w:p>
        </w:tc>
        <w:tc>
          <w:tcPr>
            <w:tcW w:w="1421" w:type="dxa"/>
            <w:tcBorders>
              <w:right w:val="nil"/>
            </w:tcBorders>
            <w:shd w:val="clear" w:color="auto" w:fill="auto"/>
            <w:vAlign w:val="center"/>
          </w:tcPr>
          <w:p w14:paraId="01AABC3F">
            <w:pPr>
              <w:pStyle w:val="49"/>
            </w:pPr>
            <w:r>
              <w:t>2004-2018</w:t>
            </w:r>
          </w:p>
        </w:tc>
      </w:tr>
      <w:tr w14:paraId="71D34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49DFA60">
            <w:pPr>
              <w:pStyle w:val="49"/>
            </w:pPr>
            <w:r>
              <w:t>42</w:t>
            </w:r>
          </w:p>
        </w:tc>
        <w:tc>
          <w:tcPr>
            <w:tcW w:w="1663" w:type="dxa"/>
            <w:shd w:val="clear" w:color="auto" w:fill="auto"/>
            <w:vAlign w:val="center"/>
          </w:tcPr>
          <w:p w14:paraId="0F98DD26">
            <w:pPr>
              <w:pStyle w:val="49"/>
            </w:pPr>
            <w:r>
              <w:t>IRI</w:t>
            </w:r>
          </w:p>
        </w:tc>
        <w:tc>
          <w:tcPr>
            <w:tcW w:w="1420" w:type="dxa"/>
            <w:shd w:val="clear" w:color="auto" w:fill="auto"/>
            <w:vAlign w:val="center"/>
          </w:tcPr>
          <w:p w14:paraId="2F543785">
            <w:pPr>
              <w:pStyle w:val="49"/>
            </w:pPr>
            <w:r>
              <w:t>2023</w:t>
            </w:r>
          </w:p>
        </w:tc>
        <w:tc>
          <w:tcPr>
            <w:tcW w:w="1162" w:type="dxa"/>
            <w:shd w:val="clear" w:color="auto" w:fill="auto"/>
            <w:vAlign w:val="center"/>
          </w:tcPr>
          <w:p w14:paraId="395F585D">
            <w:pPr>
              <w:pStyle w:val="49"/>
            </w:pPr>
            <w:r>
              <w:t>152</w:t>
            </w:r>
          </w:p>
        </w:tc>
        <w:tc>
          <w:tcPr>
            <w:tcW w:w="1679" w:type="dxa"/>
            <w:shd w:val="clear" w:color="auto" w:fill="auto"/>
            <w:vAlign w:val="center"/>
          </w:tcPr>
          <w:p w14:paraId="2B016DCB">
            <w:pPr>
              <w:pStyle w:val="49"/>
            </w:pPr>
            <w:r>
              <w:t>IRI</w:t>
            </w:r>
          </w:p>
        </w:tc>
        <w:tc>
          <w:tcPr>
            <w:tcW w:w="1421" w:type="dxa"/>
            <w:tcBorders>
              <w:right w:val="nil"/>
            </w:tcBorders>
            <w:shd w:val="clear" w:color="auto" w:fill="auto"/>
            <w:vAlign w:val="center"/>
          </w:tcPr>
          <w:p w14:paraId="61ECD233">
            <w:pPr>
              <w:pStyle w:val="49"/>
            </w:pPr>
            <w:r>
              <w:t>2012-2023</w:t>
            </w:r>
          </w:p>
        </w:tc>
      </w:tr>
      <w:tr w14:paraId="1CAD7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F7E1C12">
            <w:pPr>
              <w:pStyle w:val="49"/>
            </w:pPr>
            <w:r>
              <w:t>43</w:t>
            </w:r>
          </w:p>
        </w:tc>
        <w:tc>
          <w:tcPr>
            <w:tcW w:w="1663" w:type="dxa"/>
            <w:shd w:val="clear" w:color="auto" w:fill="auto"/>
            <w:vAlign w:val="center"/>
          </w:tcPr>
          <w:p w14:paraId="317FA0CA">
            <w:pPr>
              <w:pStyle w:val="49"/>
            </w:pPr>
            <w:r>
              <w:t>IRI</w:t>
            </w:r>
          </w:p>
        </w:tc>
        <w:tc>
          <w:tcPr>
            <w:tcW w:w="1420" w:type="dxa"/>
            <w:shd w:val="clear" w:color="auto" w:fill="auto"/>
            <w:vAlign w:val="center"/>
          </w:tcPr>
          <w:p w14:paraId="6474811B">
            <w:pPr>
              <w:pStyle w:val="49"/>
            </w:pPr>
            <w:r>
              <w:t>2016</w:t>
            </w:r>
          </w:p>
        </w:tc>
        <w:tc>
          <w:tcPr>
            <w:tcW w:w="1162" w:type="dxa"/>
            <w:shd w:val="clear" w:color="auto" w:fill="auto"/>
            <w:vAlign w:val="center"/>
          </w:tcPr>
          <w:p w14:paraId="62E50FB0">
            <w:pPr>
              <w:pStyle w:val="49"/>
            </w:pPr>
            <w:r>
              <w:t>153</w:t>
            </w:r>
          </w:p>
        </w:tc>
        <w:tc>
          <w:tcPr>
            <w:tcW w:w="1679" w:type="dxa"/>
            <w:shd w:val="clear" w:color="auto" w:fill="auto"/>
            <w:vAlign w:val="center"/>
          </w:tcPr>
          <w:p w14:paraId="7E4B9693">
            <w:pPr>
              <w:pStyle w:val="49"/>
            </w:pPr>
            <w:r>
              <w:t>IRI</w:t>
            </w:r>
          </w:p>
        </w:tc>
        <w:tc>
          <w:tcPr>
            <w:tcW w:w="1421" w:type="dxa"/>
            <w:tcBorders>
              <w:right w:val="nil"/>
            </w:tcBorders>
            <w:shd w:val="clear" w:color="auto" w:fill="auto"/>
            <w:vAlign w:val="center"/>
          </w:tcPr>
          <w:p w14:paraId="1ABBA21B">
            <w:pPr>
              <w:pStyle w:val="49"/>
            </w:pPr>
            <w:r>
              <w:t>2000-2010</w:t>
            </w:r>
          </w:p>
        </w:tc>
      </w:tr>
      <w:tr w14:paraId="2BF3D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F7FD375">
            <w:pPr>
              <w:pStyle w:val="49"/>
            </w:pPr>
            <w:r>
              <w:t>44</w:t>
            </w:r>
          </w:p>
        </w:tc>
        <w:tc>
          <w:tcPr>
            <w:tcW w:w="1663" w:type="dxa"/>
            <w:shd w:val="clear" w:color="auto" w:fill="auto"/>
            <w:vAlign w:val="center"/>
          </w:tcPr>
          <w:p w14:paraId="3B9233E8">
            <w:pPr>
              <w:pStyle w:val="49"/>
            </w:pPr>
            <w:r>
              <w:t>IRI</w:t>
            </w:r>
          </w:p>
        </w:tc>
        <w:tc>
          <w:tcPr>
            <w:tcW w:w="1420" w:type="dxa"/>
            <w:shd w:val="clear" w:color="auto" w:fill="auto"/>
            <w:vAlign w:val="center"/>
          </w:tcPr>
          <w:p w14:paraId="741D1CCC">
            <w:pPr>
              <w:pStyle w:val="49"/>
            </w:pPr>
            <w:r>
              <w:t>2013</w:t>
            </w:r>
          </w:p>
        </w:tc>
        <w:tc>
          <w:tcPr>
            <w:tcW w:w="1162" w:type="dxa"/>
            <w:shd w:val="clear" w:color="auto" w:fill="auto"/>
            <w:vAlign w:val="center"/>
          </w:tcPr>
          <w:p w14:paraId="596109B7">
            <w:pPr>
              <w:pStyle w:val="49"/>
            </w:pPr>
            <w:r>
              <w:t>154</w:t>
            </w:r>
          </w:p>
        </w:tc>
        <w:tc>
          <w:tcPr>
            <w:tcW w:w="1679" w:type="dxa"/>
            <w:shd w:val="clear" w:color="auto" w:fill="auto"/>
            <w:vAlign w:val="center"/>
          </w:tcPr>
          <w:p w14:paraId="7938D0C7">
            <w:pPr>
              <w:pStyle w:val="49"/>
            </w:pPr>
            <w:r>
              <w:t>IRI</w:t>
            </w:r>
          </w:p>
        </w:tc>
        <w:tc>
          <w:tcPr>
            <w:tcW w:w="1421" w:type="dxa"/>
            <w:tcBorders>
              <w:right w:val="nil"/>
            </w:tcBorders>
            <w:shd w:val="clear" w:color="auto" w:fill="auto"/>
            <w:vAlign w:val="center"/>
          </w:tcPr>
          <w:p w14:paraId="69EE8C13">
            <w:pPr>
              <w:pStyle w:val="49"/>
            </w:pPr>
            <w:r>
              <w:t>2007-2021</w:t>
            </w:r>
          </w:p>
        </w:tc>
      </w:tr>
      <w:tr w14:paraId="0FB4A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4FC4841">
            <w:pPr>
              <w:pStyle w:val="49"/>
            </w:pPr>
            <w:r>
              <w:t>45</w:t>
            </w:r>
          </w:p>
        </w:tc>
        <w:tc>
          <w:tcPr>
            <w:tcW w:w="1663" w:type="dxa"/>
            <w:shd w:val="clear" w:color="auto" w:fill="auto"/>
            <w:vAlign w:val="center"/>
          </w:tcPr>
          <w:p w14:paraId="655B8346">
            <w:pPr>
              <w:pStyle w:val="49"/>
            </w:pPr>
            <w:r>
              <w:t>Elevation Data</w:t>
            </w:r>
          </w:p>
        </w:tc>
        <w:tc>
          <w:tcPr>
            <w:tcW w:w="1420" w:type="dxa"/>
            <w:shd w:val="clear" w:color="auto" w:fill="auto"/>
            <w:vAlign w:val="center"/>
          </w:tcPr>
          <w:p w14:paraId="0A337A7A">
            <w:pPr>
              <w:pStyle w:val="49"/>
            </w:pPr>
            <w:r>
              <w:t>2020-2024</w:t>
            </w:r>
          </w:p>
        </w:tc>
        <w:tc>
          <w:tcPr>
            <w:tcW w:w="1162" w:type="dxa"/>
            <w:shd w:val="clear" w:color="auto" w:fill="auto"/>
            <w:vAlign w:val="center"/>
          </w:tcPr>
          <w:p w14:paraId="140B3DC2">
            <w:pPr>
              <w:pStyle w:val="49"/>
            </w:pPr>
            <w:r>
              <w:t>155</w:t>
            </w:r>
          </w:p>
        </w:tc>
        <w:tc>
          <w:tcPr>
            <w:tcW w:w="1679" w:type="dxa"/>
            <w:shd w:val="clear" w:color="auto" w:fill="auto"/>
            <w:vAlign w:val="center"/>
          </w:tcPr>
          <w:p w14:paraId="2677B109">
            <w:pPr>
              <w:pStyle w:val="49"/>
            </w:pPr>
            <w:r>
              <w:t>IRI</w:t>
            </w:r>
          </w:p>
        </w:tc>
        <w:tc>
          <w:tcPr>
            <w:tcW w:w="1421" w:type="dxa"/>
            <w:tcBorders>
              <w:right w:val="nil"/>
            </w:tcBorders>
            <w:shd w:val="clear" w:color="auto" w:fill="auto"/>
            <w:vAlign w:val="center"/>
          </w:tcPr>
          <w:p w14:paraId="0F9E263C">
            <w:pPr>
              <w:pStyle w:val="49"/>
            </w:pPr>
            <w:r>
              <w:t>2005-2019</w:t>
            </w:r>
          </w:p>
        </w:tc>
      </w:tr>
      <w:tr w14:paraId="2E85C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745F59A">
            <w:pPr>
              <w:pStyle w:val="49"/>
            </w:pPr>
            <w:r>
              <w:t>46</w:t>
            </w:r>
          </w:p>
        </w:tc>
        <w:tc>
          <w:tcPr>
            <w:tcW w:w="1663" w:type="dxa"/>
            <w:shd w:val="clear" w:color="auto" w:fill="auto"/>
            <w:vAlign w:val="center"/>
          </w:tcPr>
          <w:p w14:paraId="0EA32994">
            <w:pPr>
              <w:pStyle w:val="49"/>
            </w:pPr>
            <w:r>
              <w:t>IRI</w:t>
            </w:r>
          </w:p>
        </w:tc>
        <w:tc>
          <w:tcPr>
            <w:tcW w:w="1420" w:type="dxa"/>
            <w:shd w:val="clear" w:color="auto" w:fill="auto"/>
            <w:vAlign w:val="center"/>
          </w:tcPr>
          <w:p w14:paraId="51C7F2AC">
            <w:pPr>
              <w:pStyle w:val="49"/>
            </w:pPr>
            <w:r>
              <w:t>2023</w:t>
            </w:r>
          </w:p>
        </w:tc>
        <w:tc>
          <w:tcPr>
            <w:tcW w:w="1162" w:type="dxa"/>
            <w:shd w:val="clear" w:color="auto" w:fill="auto"/>
            <w:vAlign w:val="center"/>
          </w:tcPr>
          <w:p w14:paraId="5D5D4EC1">
            <w:pPr>
              <w:pStyle w:val="49"/>
            </w:pPr>
            <w:r>
              <w:t>156</w:t>
            </w:r>
          </w:p>
        </w:tc>
        <w:tc>
          <w:tcPr>
            <w:tcW w:w="1679" w:type="dxa"/>
            <w:shd w:val="clear" w:color="auto" w:fill="auto"/>
            <w:vAlign w:val="center"/>
          </w:tcPr>
          <w:p w14:paraId="632631F9">
            <w:pPr>
              <w:pStyle w:val="49"/>
            </w:pPr>
            <w:r>
              <w:t>IRI</w:t>
            </w:r>
          </w:p>
        </w:tc>
        <w:tc>
          <w:tcPr>
            <w:tcW w:w="1421" w:type="dxa"/>
            <w:tcBorders>
              <w:right w:val="nil"/>
            </w:tcBorders>
            <w:shd w:val="clear" w:color="auto" w:fill="auto"/>
            <w:vAlign w:val="center"/>
          </w:tcPr>
          <w:p w14:paraId="0A2C7EBB">
            <w:pPr>
              <w:pStyle w:val="49"/>
            </w:pPr>
            <w:r>
              <w:t>2003-2014</w:t>
            </w:r>
          </w:p>
        </w:tc>
      </w:tr>
      <w:tr w14:paraId="6FF34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3134A3F">
            <w:pPr>
              <w:pStyle w:val="49"/>
            </w:pPr>
            <w:r>
              <w:t>47</w:t>
            </w:r>
          </w:p>
        </w:tc>
        <w:tc>
          <w:tcPr>
            <w:tcW w:w="1663" w:type="dxa"/>
            <w:shd w:val="clear" w:color="auto" w:fill="auto"/>
            <w:vAlign w:val="center"/>
          </w:tcPr>
          <w:p w14:paraId="5C32F1BC">
            <w:pPr>
              <w:pStyle w:val="49"/>
            </w:pPr>
            <w:r>
              <w:t>IRI</w:t>
            </w:r>
          </w:p>
        </w:tc>
        <w:tc>
          <w:tcPr>
            <w:tcW w:w="1420" w:type="dxa"/>
            <w:shd w:val="clear" w:color="auto" w:fill="auto"/>
            <w:vAlign w:val="center"/>
          </w:tcPr>
          <w:p w14:paraId="293269E0">
            <w:pPr>
              <w:pStyle w:val="49"/>
            </w:pPr>
            <w:r>
              <w:t>2018</w:t>
            </w:r>
          </w:p>
        </w:tc>
        <w:tc>
          <w:tcPr>
            <w:tcW w:w="1162" w:type="dxa"/>
            <w:shd w:val="clear" w:color="auto" w:fill="auto"/>
            <w:vAlign w:val="center"/>
          </w:tcPr>
          <w:p w14:paraId="3FB88E02">
            <w:pPr>
              <w:pStyle w:val="49"/>
            </w:pPr>
            <w:r>
              <w:t>157</w:t>
            </w:r>
          </w:p>
        </w:tc>
        <w:tc>
          <w:tcPr>
            <w:tcW w:w="1679" w:type="dxa"/>
            <w:shd w:val="clear" w:color="auto" w:fill="auto"/>
            <w:vAlign w:val="center"/>
          </w:tcPr>
          <w:p w14:paraId="7136F4E4">
            <w:pPr>
              <w:pStyle w:val="49"/>
            </w:pPr>
            <w:r>
              <w:t>IRI</w:t>
            </w:r>
          </w:p>
        </w:tc>
        <w:tc>
          <w:tcPr>
            <w:tcW w:w="1421" w:type="dxa"/>
            <w:tcBorders>
              <w:right w:val="nil"/>
            </w:tcBorders>
            <w:shd w:val="clear" w:color="auto" w:fill="auto"/>
            <w:vAlign w:val="center"/>
          </w:tcPr>
          <w:p w14:paraId="6F61F5C6">
            <w:pPr>
              <w:pStyle w:val="49"/>
            </w:pPr>
            <w:r>
              <w:t>2002-2016</w:t>
            </w:r>
          </w:p>
        </w:tc>
      </w:tr>
      <w:tr w14:paraId="025B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1E0C715">
            <w:pPr>
              <w:pStyle w:val="49"/>
            </w:pPr>
            <w:r>
              <w:t>48</w:t>
            </w:r>
          </w:p>
        </w:tc>
        <w:tc>
          <w:tcPr>
            <w:tcW w:w="1663" w:type="dxa"/>
            <w:shd w:val="clear" w:color="auto" w:fill="auto"/>
            <w:vAlign w:val="center"/>
          </w:tcPr>
          <w:p w14:paraId="341221DF">
            <w:pPr>
              <w:pStyle w:val="49"/>
            </w:pPr>
            <w:r>
              <w:t>IRI</w:t>
            </w:r>
          </w:p>
        </w:tc>
        <w:tc>
          <w:tcPr>
            <w:tcW w:w="1420" w:type="dxa"/>
            <w:shd w:val="clear" w:color="auto" w:fill="auto"/>
            <w:vAlign w:val="center"/>
          </w:tcPr>
          <w:p w14:paraId="5414B563">
            <w:pPr>
              <w:pStyle w:val="49"/>
            </w:pPr>
            <w:r>
              <w:t>2015</w:t>
            </w:r>
          </w:p>
        </w:tc>
        <w:tc>
          <w:tcPr>
            <w:tcW w:w="1162" w:type="dxa"/>
            <w:shd w:val="clear" w:color="auto" w:fill="auto"/>
            <w:vAlign w:val="center"/>
          </w:tcPr>
          <w:p w14:paraId="1E41EF35">
            <w:pPr>
              <w:pStyle w:val="49"/>
            </w:pPr>
            <w:r>
              <w:t>158</w:t>
            </w:r>
          </w:p>
        </w:tc>
        <w:tc>
          <w:tcPr>
            <w:tcW w:w="1679" w:type="dxa"/>
            <w:shd w:val="clear" w:color="auto" w:fill="auto"/>
            <w:vAlign w:val="center"/>
          </w:tcPr>
          <w:p w14:paraId="22DC804A">
            <w:pPr>
              <w:pStyle w:val="49"/>
            </w:pPr>
            <w:r>
              <w:t>IRI</w:t>
            </w:r>
          </w:p>
        </w:tc>
        <w:tc>
          <w:tcPr>
            <w:tcW w:w="1421" w:type="dxa"/>
            <w:tcBorders>
              <w:right w:val="nil"/>
            </w:tcBorders>
            <w:shd w:val="clear" w:color="auto" w:fill="auto"/>
            <w:vAlign w:val="center"/>
          </w:tcPr>
          <w:p w14:paraId="30B5859A">
            <w:pPr>
              <w:pStyle w:val="49"/>
            </w:pPr>
            <w:r>
              <w:t>2011-2024</w:t>
            </w:r>
          </w:p>
        </w:tc>
      </w:tr>
      <w:tr w14:paraId="45BF4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2EB3CD1">
            <w:pPr>
              <w:pStyle w:val="49"/>
            </w:pPr>
            <w:r>
              <w:t>49</w:t>
            </w:r>
          </w:p>
        </w:tc>
        <w:tc>
          <w:tcPr>
            <w:tcW w:w="1663" w:type="dxa"/>
            <w:shd w:val="clear" w:color="auto" w:fill="auto"/>
            <w:vAlign w:val="center"/>
          </w:tcPr>
          <w:p w14:paraId="70A395E2">
            <w:pPr>
              <w:pStyle w:val="49"/>
            </w:pPr>
            <w:r>
              <w:t>Elevation Data</w:t>
            </w:r>
          </w:p>
        </w:tc>
        <w:tc>
          <w:tcPr>
            <w:tcW w:w="1420" w:type="dxa"/>
            <w:shd w:val="clear" w:color="auto" w:fill="auto"/>
            <w:vAlign w:val="center"/>
          </w:tcPr>
          <w:p w14:paraId="5B719F0D">
            <w:pPr>
              <w:pStyle w:val="49"/>
            </w:pPr>
            <w:r>
              <w:t>2013-2024</w:t>
            </w:r>
          </w:p>
        </w:tc>
        <w:tc>
          <w:tcPr>
            <w:tcW w:w="1162" w:type="dxa"/>
            <w:shd w:val="clear" w:color="auto" w:fill="auto"/>
            <w:vAlign w:val="center"/>
          </w:tcPr>
          <w:p w14:paraId="0C56D7C9">
            <w:pPr>
              <w:pStyle w:val="49"/>
            </w:pPr>
            <w:r>
              <w:t>159</w:t>
            </w:r>
          </w:p>
        </w:tc>
        <w:tc>
          <w:tcPr>
            <w:tcW w:w="1679" w:type="dxa"/>
            <w:shd w:val="clear" w:color="auto" w:fill="auto"/>
            <w:vAlign w:val="center"/>
          </w:tcPr>
          <w:p w14:paraId="54AE1A67">
            <w:pPr>
              <w:pStyle w:val="49"/>
            </w:pPr>
            <w:r>
              <w:t>IRI</w:t>
            </w:r>
          </w:p>
        </w:tc>
        <w:tc>
          <w:tcPr>
            <w:tcW w:w="1421" w:type="dxa"/>
            <w:tcBorders>
              <w:right w:val="nil"/>
            </w:tcBorders>
            <w:shd w:val="clear" w:color="auto" w:fill="auto"/>
            <w:vAlign w:val="center"/>
          </w:tcPr>
          <w:p w14:paraId="338052C1">
            <w:pPr>
              <w:pStyle w:val="49"/>
            </w:pPr>
            <w:r>
              <w:t>2001-2013</w:t>
            </w:r>
          </w:p>
        </w:tc>
      </w:tr>
      <w:tr w14:paraId="54CE0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5453A64">
            <w:pPr>
              <w:pStyle w:val="49"/>
            </w:pPr>
            <w:r>
              <w:t>50</w:t>
            </w:r>
          </w:p>
        </w:tc>
        <w:tc>
          <w:tcPr>
            <w:tcW w:w="1663" w:type="dxa"/>
            <w:shd w:val="clear" w:color="auto" w:fill="auto"/>
            <w:vAlign w:val="center"/>
          </w:tcPr>
          <w:p w14:paraId="6F41471D">
            <w:pPr>
              <w:pStyle w:val="49"/>
            </w:pPr>
            <w:r>
              <w:t>IRI</w:t>
            </w:r>
          </w:p>
        </w:tc>
        <w:tc>
          <w:tcPr>
            <w:tcW w:w="1420" w:type="dxa"/>
            <w:shd w:val="clear" w:color="auto" w:fill="auto"/>
            <w:vAlign w:val="center"/>
          </w:tcPr>
          <w:p w14:paraId="0D65E604">
            <w:pPr>
              <w:pStyle w:val="49"/>
            </w:pPr>
            <w:r>
              <w:t>2020-2024</w:t>
            </w:r>
          </w:p>
        </w:tc>
        <w:tc>
          <w:tcPr>
            <w:tcW w:w="1162" w:type="dxa"/>
            <w:shd w:val="clear" w:color="auto" w:fill="auto"/>
            <w:vAlign w:val="center"/>
          </w:tcPr>
          <w:p w14:paraId="7CB65346">
            <w:pPr>
              <w:pStyle w:val="49"/>
            </w:pPr>
            <w:r>
              <w:t>160</w:t>
            </w:r>
          </w:p>
        </w:tc>
        <w:tc>
          <w:tcPr>
            <w:tcW w:w="1679" w:type="dxa"/>
            <w:shd w:val="clear" w:color="auto" w:fill="auto"/>
            <w:vAlign w:val="center"/>
          </w:tcPr>
          <w:p w14:paraId="71712120">
            <w:pPr>
              <w:pStyle w:val="49"/>
            </w:pPr>
            <w:r>
              <w:t>Elevation Data、IRI</w:t>
            </w:r>
          </w:p>
        </w:tc>
        <w:tc>
          <w:tcPr>
            <w:tcW w:w="1421" w:type="dxa"/>
            <w:tcBorders>
              <w:right w:val="nil"/>
            </w:tcBorders>
            <w:shd w:val="clear" w:color="auto" w:fill="auto"/>
            <w:vAlign w:val="center"/>
          </w:tcPr>
          <w:p w14:paraId="2D69D3CD">
            <w:pPr>
              <w:pStyle w:val="49"/>
            </w:pPr>
            <w:r>
              <w:t>2008-2022</w:t>
            </w:r>
          </w:p>
        </w:tc>
      </w:tr>
      <w:tr w14:paraId="0127C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0783402">
            <w:pPr>
              <w:pStyle w:val="49"/>
            </w:pPr>
            <w:r>
              <w:t>51</w:t>
            </w:r>
          </w:p>
        </w:tc>
        <w:tc>
          <w:tcPr>
            <w:tcW w:w="1663" w:type="dxa"/>
            <w:shd w:val="clear" w:color="auto" w:fill="auto"/>
            <w:vAlign w:val="center"/>
          </w:tcPr>
          <w:p w14:paraId="5894032E">
            <w:pPr>
              <w:pStyle w:val="49"/>
            </w:pPr>
            <w:r>
              <w:t>IRI</w:t>
            </w:r>
          </w:p>
        </w:tc>
        <w:tc>
          <w:tcPr>
            <w:tcW w:w="1420" w:type="dxa"/>
            <w:shd w:val="clear" w:color="auto" w:fill="auto"/>
            <w:vAlign w:val="center"/>
          </w:tcPr>
          <w:p w14:paraId="10C5E3EF">
            <w:pPr>
              <w:pStyle w:val="49"/>
            </w:pPr>
            <w:r>
              <w:t>2017-2021</w:t>
            </w:r>
          </w:p>
        </w:tc>
        <w:tc>
          <w:tcPr>
            <w:tcW w:w="1162" w:type="dxa"/>
            <w:shd w:val="clear" w:color="auto" w:fill="auto"/>
            <w:vAlign w:val="center"/>
          </w:tcPr>
          <w:p w14:paraId="5E5CDA7D">
            <w:pPr>
              <w:pStyle w:val="49"/>
            </w:pPr>
            <w:r>
              <w:t>161</w:t>
            </w:r>
          </w:p>
        </w:tc>
        <w:tc>
          <w:tcPr>
            <w:tcW w:w="1679" w:type="dxa"/>
            <w:shd w:val="clear" w:color="auto" w:fill="auto"/>
            <w:vAlign w:val="center"/>
          </w:tcPr>
          <w:p w14:paraId="67478ECE">
            <w:pPr>
              <w:pStyle w:val="49"/>
            </w:pPr>
            <w:r>
              <w:t>IRI</w:t>
            </w:r>
          </w:p>
        </w:tc>
        <w:tc>
          <w:tcPr>
            <w:tcW w:w="1421" w:type="dxa"/>
            <w:tcBorders>
              <w:right w:val="nil"/>
            </w:tcBorders>
            <w:shd w:val="clear" w:color="auto" w:fill="auto"/>
            <w:vAlign w:val="center"/>
          </w:tcPr>
          <w:p w14:paraId="6BBF82C4">
            <w:pPr>
              <w:pStyle w:val="49"/>
            </w:pPr>
            <w:r>
              <w:t>2004-2017</w:t>
            </w:r>
          </w:p>
        </w:tc>
      </w:tr>
      <w:tr w14:paraId="316D6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7184FB8">
            <w:pPr>
              <w:pStyle w:val="49"/>
            </w:pPr>
            <w:r>
              <w:t>52</w:t>
            </w:r>
          </w:p>
        </w:tc>
        <w:tc>
          <w:tcPr>
            <w:tcW w:w="1663" w:type="dxa"/>
            <w:shd w:val="clear" w:color="auto" w:fill="auto"/>
            <w:vAlign w:val="center"/>
          </w:tcPr>
          <w:p w14:paraId="69CD274C">
            <w:pPr>
              <w:pStyle w:val="49"/>
            </w:pPr>
            <w:r>
              <w:t>IRI</w:t>
            </w:r>
          </w:p>
        </w:tc>
        <w:tc>
          <w:tcPr>
            <w:tcW w:w="1420" w:type="dxa"/>
            <w:shd w:val="clear" w:color="auto" w:fill="auto"/>
            <w:vAlign w:val="center"/>
          </w:tcPr>
          <w:p w14:paraId="117C0417">
            <w:pPr>
              <w:pStyle w:val="49"/>
            </w:pPr>
            <w:r>
              <w:t>2024</w:t>
            </w:r>
          </w:p>
        </w:tc>
        <w:tc>
          <w:tcPr>
            <w:tcW w:w="1162" w:type="dxa"/>
            <w:shd w:val="clear" w:color="auto" w:fill="auto"/>
            <w:vAlign w:val="center"/>
          </w:tcPr>
          <w:p w14:paraId="70BBF415">
            <w:pPr>
              <w:pStyle w:val="49"/>
            </w:pPr>
            <w:r>
              <w:t>162</w:t>
            </w:r>
          </w:p>
        </w:tc>
        <w:tc>
          <w:tcPr>
            <w:tcW w:w="1679" w:type="dxa"/>
            <w:shd w:val="clear" w:color="auto" w:fill="auto"/>
            <w:vAlign w:val="center"/>
          </w:tcPr>
          <w:p w14:paraId="041A4D22">
            <w:pPr>
              <w:pStyle w:val="49"/>
            </w:pPr>
            <w:r>
              <w:t>IRI</w:t>
            </w:r>
          </w:p>
        </w:tc>
        <w:tc>
          <w:tcPr>
            <w:tcW w:w="1421" w:type="dxa"/>
            <w:tcBorders>
              <w:right w:val="nil"/>
            </w:tcBorders>
            <w:shd w:val="clear" w:color="auto" w:fill="auto"/>
            <w:vAlign w:val="center"/>
          </w:tcPr>
          <w:p w14:paraId="0D8DFCFB">
            <w:pPr>
              <w:pStyle w:val="49"/>
            </w:pPr>
            <w:r>
              <w:t>2010-2023</w:t>
            </w:r>
          </w:p>
        </w:tc>
      </w:tr>
      <w:tr w14:paraId="32029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0B69DE4">
            <w:pPr>
              <w:pStyle w:val="49"/>
            </w:pPr>
            <w:r>
              <w:t>53</w:t>
            </w:r>
          </w:p>
        </w:tc>
        <w:tc>
          <w:tcPr>
            <w:tcW w:w="1663" w:type="dxa"/>
            <w:shd w:val="clear" w:color="auto" w:fill="auto"/>
            <w:vAlign w:val="center"/>
          </w:tcPr>
          <w:p w14:paraId="75CD9128">
            <w:pPr>
              <w:pStyle w:val="49"/>
            </w:pPr>
            <w:r>
              <w:t>Elevation Data</w:t>
            </w:r>
          </w:p>
        </w:tc>
        <w:tc>
          <w:tcPr>
            <w:tcW w:w="1420" w:type="dxa"/>
            <w:shd w:val="clear" w:color="auto" w:fill="auto"/>
            <w:vAlign w:val="center"/>
          </w:tcPr>
          <w:p w14:paraId="5D36F953">
            <w:pPr>
              <w:pStyle w:val="49"/>
            </w:pPr>
            <w:r>
              <w:t>2013</w:t>
            </w:r>
          </w:p>
        </w:tc>
        <w:tc>
          <w:tcPr>
            <w:tcW w:w="1162" w:type="dxa"/>
            <w:shd w:val="clear" w:color="auto" w:fill="auto"/>
            <w:vAlign w:val="center"/>
          </w:tcPr>
          <w:p w14:paraId="452BC400">
            <w:pPr>
              <w:pStyle w:val="49"/>
            </w:pPr>
            <w:r>
              <w:t>163</w:t>
            </w:r>
          </w:p>
        </w:tc>
        <w:tc>
          <w:tcPr>
            <w:tcW w:w="1679" w:type="dxa"/>
            <w:shd w:val="clear" w:color="auto" w:fill="auto"/>
            <w:vAlign w:val="center"/>
          </w:tcPr>
          <w:p w14:paraId="27141253">
            <w:pPr>
              <w:pStyle w:val="49"/>
            </w:pPr>
            <w:r>
              <w:t>IRI</w:t>
            </w:r>
          </w:p>
        </w:tc>
        <w:tc>
          <w:tcPr>
            <w:tcW w:w="1421" w:type="dxa"/>
            <w:tcBorders>
              <w:right w:val="nil"/>
            </w:tcBorders>
            <w:shd w:val="clear" w:color="auto" w:fill="auto"/>
            <w:vAlign w:val="center"/>
          </w:tcPr>
          <w:p w14:paraId="53FD4F0B">
            <w:pPr>
              <w:pStyle w:val="49"/>
            </w:pPr>
            <w:r>
              <w:t>2003-2011</w:t>
            </w:r>
          </w:p>
        </w:tc>
      </w:tr>
      <w:tr w14:paraId="0220D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0ED89F9">
            <w:pPr>
              <w:pStyle w:val="49"/>
            </w:pPr>
            <w:r>
              <w:t>54</w:t>
            </w:r>
          </w:p>
        </w:tc>
        <w:tc>
          <w:tcPr>
            <w:tcW w:w="1663" w:type="dxa"/>
            <w:shd w:val="clear" w:color="auto" w:fill="auto"/>
            <w:vAlign w:val="center"/>
          </w:tcPr>
          <w:p w14:paraId="64563D72">
            <w:pPr>
              <w:pStyle w:val="49"/>
            </w:pPr>
            <w:r>
              <w:t>IRI</w:t>
            </w:r>
          </w:p>
        </w:tc>
        <w:tc>
          <w:tcPr>
            <w:tcW w:w="1420" w:type="dxa"/>
            <w:shd w:val="clear" w:color="auto" w:fill="auto"/>
            <w:vAlign w:val="center"/>
          </w:tcPr>
          <w:p w14:paraId="24F67762">
            <w:pPr>
              <w:pStyle w:val="49"/>
            </w:pPr>
            <w:r>
              <w:t>2017</w:t>
            </w:r>
          </w:p>
        </w:tc>
        <w:tc>
          <w:tcPr>
            <w:tcW w:w="1162" w:type="dxa"/>
            <w:shd w:val="clear" w:color="auto" w:fill="auto"/>
            <w:vAlign w:val="center"/>
          </w:tcPr>
          <w:p w14:paraId="189C6221">
            <w:pPr>
              <w:pStyle w:val="49"/>
            </w:pPr>
            <w:r>
              <w:t>164</w:t>
            </w:r>
          </w:p>
        </w:tc>
        <w:tc>
          <w:tcPr>
            <w:tcW w:w="1679" w:type="dxa"/>
            <w:shd w:val="clear" w:color="auto" w:fill="auto"/>
            <w:vAlign w:val="center"/>
          </w:tcPr>
          <w:p w14:paraId="489D91FC">
            <w:pPr>
              <w:pStyle w:val="49"/>
            </w:pPr>
            <w:r>
              <w:t>IRI</w:t>
            </w:r>
          </w:p>
        </w:tc>
        <w:tc>
          <w:tcPr>
            <w:tcW w:w="1421" w:type="dxa"/>
            <w:tcBorders>
              <w:right w:val="nil"/>
            </w:tcBorders>
            <w:shd w:val="clear" w:color="auto" w:fill="auto"/>
            <w:vAlign w:val="center"/>
          </w:tcPr>
          <w:p w14:paraId="66B41977">
            <w:pPr>
              <w:pStyle w:val="49"/>
            </w:pPr>
            <w:r>
              <w:t>2003-2018</w:t>
            </w:r>
          </w:p>
        </w:tc>
      </w:tr>
      <w:tr w14:paraId="4D664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7DB4CA9">
            <w:pPr>
              <w:pStyle w:val="49"/>
            </w:pPr>
            <w:r>
              <w:t>55</w:t>
            </w:r>
          </w:p>
        </w:tc>
        <w:tc>
          <w:tcPr>
            <w:tcW w:w="1663" w:type="dxa"/>
            <w:shd w:val="clear" w:color="auto" w:fill="auto"/>
            <w:vAlign w:val="center"/>
          </w:tcPr>
          <w:p w14:paraId="04F69145">
            <w:pPr>
              <w:pStyle w:val="49"/>
            </w:pPr>
            <w:r>
              <w:t>IRI</w:t>
            </w:r>
          </w:p>
        </w:tc>
        <w:tc>
          <w:tcPr>
            <w:tcW w:w="1420" w:type="dxa"/>
            <w:shd w:val="clear" w:color="auto" w:fill="auto"/>
            <w:vAlign w:val="center"/>
          </w:tcPr>
          <w:p w14:paraId="7C0723CA">
            <w:pPr>
              <w:pStyle w:val="49"/>
            </w:pPr>
            <w:r>
              <w:t>2015</w:t>
            </w:r>
          </w:p>
        </w:tc>
        <w:tc>
          <w:tcPr>
            <w:tcW w:w="1162" w:type="dxa"/>
            <w:shd w:val="clear" w:color="auto" w:fill="auto"/>
            <w:vAlign w:val="center"/>
          </w:tcPr>
          <w:p w14:paraId="00A37084">
            <w:pPr>
              <w:pStyle w:val="49"/>
            </w:pPr>
            <w:r>
              <w:t>165</w:t>
            </w:r>
          </w:p>
        </w:tc>
        <w:tc>
          <w:tcPr>
            <w:tcW w:w="1679" w:type="dxa"/>
            <w:shd w:val="clear" w:color="auto" w:fill="auto"/>
            <w:vAlign w:val="center"/>
          </w:tcPr>
          <w:p w14:paraId="012593EE">
            <w:pPr>
              <w:pStyle w:val="49"/>
            </w:pPr>
            <w:r>
              <w:t>IRI</w:t>
            </w:r>
          </w:p>
        </w:tc>
        <w:tc>
          <w:tcPr>
            <w:tcW w:w="1421" w:type="dxa"/>
            <w:tcBorders>
              <w:right w:val="nil"/>
            </w:tcBorders>
            <w:shd w:val="clear" w:color="auto" w:fill="auto"/>
            <w:vAlign w:val="center"/>
          </w:tcPr>
          <w:p w14:paraId="48508D3F">
            <w:pPr>
              <w:pStyle w:val="49"/>
            </w:pPr>
            <w:r>
              <w:t>2006-2020</w:t>
            </w:r>
          </w:p>
        </w:tc>
      </w:tr>
      <w:tr w14:paraId="7DA56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65F8B03">
            <w:pPr>
              <w:pStyle w:val="49"/>
            </w:pPr>
            <w:r>
              <w:t>56</w:t>
            </w:r>
          </w:p>
        </w:tc>
        <w:tc>
          <w:tcPr>
            <w:tcW w:w="1663" w:type="dxa"/>
            <w:shd w:val="clear" w:color="auto" w:fill="auto"/>
            <w:vAlign w:val="center"/>
          </w:tcPr>
          <w:p w14:paraId="030DCEE8">
            <w:pPr>
              <w:pStyle w:val="49"/>
            </w:pPr>
            <w:r>
              <w:t>IRI</w:t>
            </w:r>
          </w:p>
        </w:tc>
        <w:tc>
          <w:tcPr>
            <w:tcW w:w="1420" w:type="dxa"/>
            <w:shd w:val="clear" w:color="auto" w:fill="auto"/>
            <w:vAlign w:val="center"/>
          </w:tcPr>
          <w:p w14:paraId="4955A42B">
            <w:pPr>
              <w:pStyle w:val="49"/>
            </w:pPr>
            <w:r>
              <w:t>2016-2018</w:t>
            </w:r>
          </w:p>
        </w:tc>
        <w:tc>
          <w:tcPr>
            <w:tcW w:w="1162" w:type="dxa"/>
            <w:shd w:val="clear" w:color="auto" w:fill="auto"/>
            <w:vAlign w:val="center"/>
          </w:tcPr>
          <w:p w14:paraId="0348106E">
            <w:pPr>
              <w:pStyle w:val="49"/>
            </w:pPr>
            <w:r>
              <w:t>166</w:t>
            </w:r>
          </w:p>
        </w:tc>
        <w:tc>
          <w:tcPr>
            <w:tcW w:w="1679" w:type="dxa"/>
            <w:shd w:val="clear" w:color="auto" w:fill="auto"/>
            <w:vAlign w:val="center"/>
          </w:tcPr>
          <w:p w14:paraId="580F015A">
            <w:pPr>
              <w:pStyle w:val="49"/>
            </w:pPr>
            <w:r>
              <w:t>IRI</w:t>
            </w:r>
          </w:p>
        </w:tc>
        <w:tc>
          <w:tcPr>
            <w:tcW w:w="1421" w:type="dxa"/>
            <w:tcBorders>
              <w:right w:val="nil"/>
            </w:tcBorders>
            <w:shd w:val="clear" w:color="auto" w:fill="auto"/>
            <w:vAlign w:val="center"/>
          </w:tcPr>
          <w:p w14:paraId="1ED73DE6">
            <w:pPr>
              <w:pStyle w:val="49"/>
            </w:pPr>
            <w:r>
              <w:t>2005-2016</w:t>
            </w:r>
          </w:p>
        </w:tc>
      </w:tr>
      <w:tr w14:paraId="24D42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348983F">
            <w:pPr>
              <w:pStyle w:val="49"/>
            </w:pPr>
            <w:r>
              <w:t>57</w:t>
            </w:r>
          </w:p>
        </w:tc>
        <w:tc>
          <w:tcPr>
            <w:tcW w:w="1663" w:type="dxa"/>
            <w:shd w:val="clear" w:color="auto" w:fill="auto"/>
            <w:vAlign w:val="center"/>
          </w:tcPr>
          <w:p w14:paraId="42D9C2FE">
            <w:pPr>
              <w:pStyle w:val="49"/>
            </w:pPr>
            <w:r>
              <w:t>IRI</w:t>
            </w:r>
          </w:p>
        </w:tc>
        <w:tc>
          <w:tcPr>
            <w:tcW w:w="1420" w:type="dxa"/>
            <w:shd w:val="clear" w:color="auto" w:fill="auto"/>
            <w:vAlign w:val="center"/>
          </w:tcPr>
          <w:p w14:paraId="584C5350">
            <w:pPr>
              <w:pStyle w:val="49"/>
            </w:pPr>
            <w:r>
              <w:t>2014</w:t>
            </w:r>
          </w:p>
        </w:tc>
        <w:tc>
          <w:tcPr>
            <w:tcW w:w="1162" w:type="dxa"/>
            <w:shd w:val="clear" w:color="auto" w:fill="auto"/>
            <w:vAlign w:val="center"/>
          </w:tcPr>
          <w:p w14:paraId="234B1AD0">
            <w:pPr>
              <w:pStyle w:val="49"/>
            </w:pPr>
            <w:r>
              <w:t>167</w:t>
            </w:r>
          </w:p>
        </w:tc>
        <w:tc>
          <w:tcPr>
            <w:tcW w:w="1679" w:type="dxa"/>
            <w:shd w:val="clear" w:color="auto" w:fill="auto"/>
            <w:vAlign w:val="center"/>
          </w:tcPr>
          <w:p w14:paraId="608B781A">
            <w:pPr>
              <w:pStyle w:val="49"/>
            </w:pPr>
            <w:r>
              <w:t>IRI</w:t>
            </w:r>
          </w:p>
        </w:tc>
        <w:tc>
          <w:tcPr>
            <w:tcW w:w="1421" w:type="dxa"/>
            <w:tcBorders>
              <w:right w:val="nil"/>
            </w:tcBorders>
            <w:shd w:val="clear" w:color="auto" w:fill="auto"/>
            <w:vAlign w:val="center"/>
          </w:tcPr>
          <w:p w14:paraId="13EA658F">
            <w:pPr>
              <w:pStyle w:val="49"/>
            </w:pPr>
            <w:r>
              <w:t>2009-2022</w:t>
            </w:r>
          </w:p>
        </w:tc>
      </w:tr>
      <w:tr w14:paraId="16D55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23BCDE5">
            <w:pPr>
              <w:pStyle w:val="49"/>
            </w:pPr>
            <w:r>
              <w:t>58</w:t>
            </w:r>
          </w:p>
        </w:tc>
        <w:tc>
          <w:tcPr>
            <w:tcW w:w="1663" w:type="dxa"/>
            <w:shd w:val="clear" w:color="auto" w:fill="auto"/>
            <w:vAlign w:val="center"/>
          </w:tcPr>
          <w:p w14:paraId="7BF6D191">
            <w:pPr>
              <w:pStyle w:val="49"/>
            </w:pPr>
            <w:r>
              <w:t>IRI</w:t>
            </w:r>
          </w:p>
        </w:tc>
        <w:tc>
          <w:tcPr>
            <w:tcW w:w="1420" w:type="dxa"/>
            <w:shd w:val="clear" w:color="auto" w:fill="auto"/>
            <w:vAlign w:val="center"/>
          </w:tcPr>
          <w:p w14:paraId="3D85985F">
            <w:pPr>
              <w:pStyle w:val="49"/>
            </w:pPr>
            <w:r>
              <w:t>2012-2023</w:t>
            </w:r>
          </w:p>
        </w:tc>
        <w:tc>
          <w:tcPr>
            <w:tcW w:w="1162" w:type="dxa"/>
            <w:shd w:val="clear" w:color="auto" w:fill="auto"/>
            <w:vAlign w:val="center"/>
          </w:tcPr>
          <w:p w14:paraId="1249CB1F">
            <w:pPr>
              <w:pStyle w:val="49"/>
            </w:pPr>
            <w:r>
              <w:t>168</w:t>
            </w:r>
          </w:p>
        </w:tc>
        <w:tc>
          <w:tcPr>
            <w:tcW w:w="1679" w:type="dxa"/>
            <w:shd w:val="clear" w:color="auto" w:fill="auto"/>
            <w:vAlign w:val="center"/>
          </w:tcPr>
          <w:p w14:paraId="691C56BF">
            <w:pPr>
              <w:pStyle w:val="49"/>
            </w:pPr>
            <w:r>
              <w:t>IRI</w:t>
            </w:r>
          </w:p>
        </w:tc>
        <w:tc>
          <w:tcPr>
            <w:tcW w:w="1421" w:type="dxa"/>
            <w:tcBorders>
              <w:right w:val="nil"/>
            </w:tcBorders>
            <w:shd w:val="clear" w:color="auto" w:fill="auto"/>
            <w:vAlign w:val="center"/>
          </w:tcPr>
          <w:p w14:paraId="75D545D1">
            <w:pPr>
              <w:pStyle w:val="49"/>
            </w:pPr>
            <w:r>
              <w:t>2002-2015</w:t>
            </w:r>
          </w:p>
        </w:tc>
      </w:tr>
      <w:tr w14:paraId="29783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A0B6FD1">
            <w:pPr>
              <w:pStyle w:val="49"/>
            </w:pPr>
            <w:r>
              <w:t>59</w:t>
            </w:r>
          </w:p>
        </w:tc>
        <w:tc>
          <w:tcPr>
            <w:tcW w:w="1663" w:type="dxa"/>
            <w:shd w:val="clear" w:color="auto" w:fill="auto"/>
            <w:vAlign w:val="center"/>
          </w:tcPr>
          <w:p w14:paraId="711FD214">
            <w:pPr>
              <w:pStyle w:val="49"/>
            </w:pPr>
            <w:r>
              <w:t>Elevation Data</w:t>
            </w:r>
          </w:p>
        </w:tc>
        <w:tc>
          <w:tcPr>
            <w:tcW w:w="1420" w:type="dxa"/>
            <w:shd w:val="clear" w:color="auto" w:fill="auto"/>
            <w:vAlign w:val="center"/>
          </w:tcPr>
          <w:p w14:paraId="545D5781">
            <w:pPr>
              <w:pStyle w:val="49"/>
            </w:pPr>
            <w:r>
              <w:t>2018</w:t>
            </w:r>
          </w:p>
        </w:tc>
        <w:tc>
          <w:tcPr>
            <w:tcW w:w="1162" w:type="dxa"/>
            <w:shd w:val="clear" w:color="auto" w:fill="auto"/>
            <w:vAlign w:val="center"/>
          </w:tcPr>
          <w:p w14:paraId="3E5D9B7B">
            <w:pPr>
              <w:pStyle w:val="49"/>
            </w:pPr>
            <w:r>
              <w:t>169</w:t>
            </w:r>
          </w:p>
        </w:tc>
        <w:tc>
          <w:tcPr>
            <w:tcW w:w="1679" w:type="dxa"/>
            <w:shd w:val="clear" w:color="auto" w:fill="auto"/>
            <w:vAlign w:val="center"/>
          </w:tcPr>
          <w:p w14:paraId="3AF9DF80">
            <w:pPr>
              <w:pStyle w:val="49"/>
            </w:pPr>
            <w:r>
              <w:t>Elevation Data</w:t>
            </w:r>
          </w:p>
        </w:tc>
        <w:tc>
          <w:tcPr>
            <w:tcW w:w="1421" w:type="dxa"/>
            <w:tcBorders>
              <w:right w:val="nil"/>
            </w:tcBorders>
            <w:shd w:val="clear" w:color="auto" w:fill="auto"/>
            <w:vAlign w:val="center"/>
          </w:tcPr>
          <w:p w14:paraId="39BBA8A8">
            <w:pPr>
              <w:pStyle w:val="49"/>
            </w:pPr>
            <w:r>
              <w:t>2001-2014</w:t>
            </w:r>
          </w:p>
        </w:tc>
      </w:tr>
      <w:tr w14:paraId="45565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F131798">
            <w:pPr>
              <w:pStyle w:val="49"/>
            </w:pPr>
            <w:r>
              <w:t>60</w:t>
            </w:r>
          </w:p>
        </w:tc>
        <w:tc>
          <w:tcPr>
            <w:tcW w:w="1663" w:type="dxa"/>
            <w:shd w:val="clear" w:color="auto" w:fill="auto"/>
            <w:vAlign w:val="center"/>
          </w:tcPr>
          <w:p w14:paraId="7C962367">
            <w:pPr>
              <w:pStyle w:val="49"/>
            </w:pPr>
            <w:r>
              <w:t>IRI</w:t>
            </w:r>
          </w:p>
        </w:tc>
        <w:tc>
          <w:tcPr>
            <w:tcW w:w="1420" w:type="dxa"/>
            <w:shd w:val="clear" w:color="auto" w:fill="auto"/>
            <w:vAlign w:val="center"/>
          </w:tcPr>
          <w:p w14:paraId="61A8A7EA">
            <w:pPr>
              <w:pStyle w:val="49"/>
            </w:pPr>
            <w:r>
              <w:t>2011-2023</w:t>
            </w:r>
          </w:p>
        </w:tc>
        <w:tc>
          <w:tcPr>
            <w:tcW w:w="1162" w:type="dxa"/>
            <w:shd w:val="clear" w:color="auto" w:fill="auto"/>
            <w:vAlign w:val="center"/>
          </w:tcPr>
          <w:p w14:paraId="70A71BAE">
            <w:pPr>
              <w:pStyle w:val="49"/>
            </w:pPr>
            <w:r>
              <w:t>170</w:t>
            </w:r>
          </w:p>
        </w:tc>
        <w:tc>
          <w:tcPr>
            <w:tcW w:w="1679" w:type="dxa"/>
            <w:shd w:val="clear" w:color="auto" w:fill="auto"/>
            <w:vAlign w:val="center"/>
          </w:tcPr>
          <w:p w14:paraId="1F452568">
            <w:pPr>
              <w:pStyle w:val="49"/>
            </w:pPr>
            <w:r>
              <w:t>Elevation Data</w:t>
            </w:r>
          </w:p>
        </w:tc>
        <w:tc>
          <w:tcPr>
            <w:tcW w:w="1421" w:type="dxa"/>
            <w:tcBorders>
              <w:right w:val="nil"/>
            </w:tcBorders>
            <w:shd w:val="clear" w:color="auto" w:fill="auto"/>
            <w:vAlign w:val="center"/>
          </w:tcPr>
          <w:p w14:paraId="5283AE53">
            <w:pPr>
              <w:pStyle w:val="49"/>
            </w:pPr>
            <w:r>
              <w:t>2001-2009</w:t>
            </w:r>
          </w:p>
        </w:tc>
      </w:tr>
      <w:tr w14:paraId="06BCF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75C7867">
            <w:pPr>
              <w:pStyle w:val="49"/>
            </w:pPr>
            <w:r>
              <w:t>61</w:t>
            </w:r>
          </w:p>
        </w:tc>
        <w:tc>
          <w:tcPr>
            <w:tcW w:w="1663" w:type="dxa"/>
            <w:shd w:val="clear" w:color="auto" w:fill="auto"/>
            <w:vAlign w:val="center"/>
          </w:tcPr>
          <w:p w14:paraId="7CAD637E">
            <w:pPr>
              <w:pStyle w:val="49"/>
            </w:pPr>
            <w:r>
              <w:t>IRI</w:t>
            </w:r>
          </w:p>
        </w:tc>
        <w:tc>
          <w:tcPr>
            <w:tcW w:w="1420" w:type="dxa"/>
            <w:shd w:val="clear" w:color="auto" w:fill="auto"/>
            <w:vAlign w:val="center"/>
          </w:tcPr>
          <w:p w14:paraId="43522211">
            <w:pPr>
              <w:pStyle w:val="49"/>
            </w:pPr>
            <w:r>
              <w:t>2020</w:t>
            </w:r>
          </w:p>
        </w:tc>
        <w:tc>
          <w:tcPr>
            <w:tcW w:w="1162" w:type="dxa"/>
            <w:shd w:val="clear" w:color="auto" w:fill="auto"/>
            <w:vAlign w:val="center"/>
          </w:tcPr>
          <w:p w14:paraId="00D7AECD">
            <w:pPr>
              <w:pStyle w:val="49"/>
            </w:pPr>
            <w:r>
              <w:t>171</w:t>
            </w:r>
          </w:p>
        </w:tc>
        <w:tc>
          <w:tcPr>
            <w:tcW w:w="1679" w:type="dxa"/>
            <w:shd w:val="clear" w:color="auto" w:fill="auto"/>
            <w:vAlign w:val="center"/>
          </w:tcPr>
          <w:p w14:paraId="12606B3D">
            <w:pPr>
              <w:pStyle w:val="49"/>
            </w:pPr>
            <w:r>
              <w:t>Elevation Data</w:t>
            </w:r>
          </w:p>
        </w:tc>
        <w:tc>
          <w:tcPr>
            <w:tcW w:w="1421" w:type="dxa"/>
            <w:tcBorders>
              <w:right w:val="nil"/>
            </w:tcBorders>
            <w:shd w:val="clear" w:color="auto" w:fill="auto"/>
            <w:vAlign w:val="center"/>
          </w:tcPr>
          <w:p w14:paraId="071CBEC6">
            <w:pPr>
              <w:pStyle w:val="49"/>
            </w:pPr>
            <w:r>
              <w:t>2005-2018</w:t>
            </w:r>
          </w:p>
        </w:tc>
      </w:tr>
      <w:tr w14:paraId="4C5E9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9A0F4E5">
            <w:pPr>
              <w:pStyle w:val="49"/>
            </w:pPr>
            <w:r>
              <w:t>62</w:t>
            </w:r>
          </w:p>
        </w:tc>
        <w:tc>
          <w:tcPr>
            <w:tcW w:w="1663" w:type="dxa"/>
            <w:shd w:val="clear" w:color="auto" w:fill="auto"/>
            <w:vAlign w:val="center"/>
          </w:tcPr>
          <w:p w14:paraId="5A1E1427">
            <w:pPr>
              <w:pStyle w:val="49"/>
            </w:pPr>
            <w:r>
              <w:t>IRI</w:t>
            </w:r>
          </w:p>
        </w:tc>
        <w:tc>
          <w:tcPr>
            <w:tcW w:w="1420" w:type="dxa"/>
            <w:shd w:val="clear" w:color="auto" w:fill="auto"/>
            <w:vAlign w:val="center"/>
          </w:tcPr>
          <w:p w14:paraId="7F399023">
            <w:pPr>
              <w:pStyle w:val="49"/>
            </w:pPr>
            <w:r>
              <w:t>2017</w:t>
            </w:r>
          </w:p>
        </w:tc>
        <w:tc>
          <w:tcPr>
            <w:tcW w:w="1162" w:type="dxa"/>
            <w:shd w:val="clear" w:color="auto" w:fill="auto"/>
            <w:vAlign w:val="center"/>
          </w:tcPr>
          <w:p w14:paraId="5240E993">
            <w:pPr>
              <w:pStyle w:val="49"/>
            </w:pPr>
            <w:r>
              <w:t>172</w:t>
            </w:r>
          </w:p>
        </w:tc>
        <w:tc>
          <w:tcPr>
            <w:tcW w:w="1679" w:type="dxa"/>
            <w:shd w:val="clear" w:color="auto" w:fill="auto"/>
            <w:vAlign w:val="center"/>
          </w:tcPr>
          <w:p w14:paraId="4B186B0B">
            <w:pPr>
              <w:pStyle w:val="49"/>
            </w:pPr>
            <w:r>
              <w:t>IRI</w:t>
            </w:r>
          </w:p>
        </w:tc>
        <w:tc>
          <w:tcPr>
            <w:tcW w:w="1421" w:type="dxa"/>
            <w:tcBorders>
              <w:right w:val="nil"/>
            </w:tcBorders>
            <w:shd w:val="clear" w:color="auto" w:fill="auto"/>
            <w:vAlign w:val="center"/>
          </w:tcPr>
          <w:p w14:paraId="2731B9DD">
            <w:pPr>
              <w:pStyle w:val="49"/>
            </w:pPr>
            <w:r>
              <w:t>2007-2021</w:t>
            </w:r>
          </w:p>
        </w:tc>
      </w:tr>
      <w:tr w14:paraId="1EE5D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31F14DD">
            <w:pPr>
              <w:pStyle w:val="49"/>
            </w:pPr>
            <w:r>
              <w:t>63</w:t>
            </w:r>
          </w:p>
        </w:tc>
        <w:tc>
          <w:tcPr>
            <w:tcW w:w="1663" w:type="dxa"/>
            <w:shd w:val="clear" w:color="auto" w:fill="auto"/>
            <w:vAlign w:val="center"/>
          </w:tcPr>
          <w:p w14:paraId="125491A9">
            <w:pPr>
              <w:pStyle w:val="49"/>
            </w:pPr>
            <w:r>
              <w:t>IRI</w:t>
            </w:r>
          </w:p>
        </w:tc>
        <w:tc>
          <w:tcPr>
            <w:tcW w:w="1420" w:type="dxa"/>
            <w:shd w:val="clear" w:color="auto" w:fill="auto"/>
            <w:vAlign w:val="center"/>
          </w:tcPr>
          <w:p w14:paraId="3FA40B05">
            <w:pPr>
              <w:pStyle w:val="49"/>
            </w:pPr>
            <w:r>
              <w:t>2010</w:t>
            </w:r>
          </w:p>
        </w:tc>
        <w:tc>
          <w:tcPr>
            <w:tcW w:w="1162" w:type="dxa"/>
            <w:shd w:val="clear" w:color="auto" w:fill="auto"/>
            <w:vAlign w:val="center"/>
          </w:tcPr>
          <w:p w14:paraId="43EE7538">
            <w:pPr>
              <w:pStyle w:val="49"/>
            </w:pPr>
            <w:r>
              <w:t>173</w:t>
            </w:r>
          </w:p>
        </w:tc>
        <w:tc>
          <w:tcPr>
            <w:tcW w:w="1679" w:type="dxa"/>
            <w:shd w:val="clear" w:color="auto" w:fill="auto"/>
            <w:vAlign w:val="center"/>
          </w:tcPr>
          <w:p w14:paraId="7713D49C">
            <w:pPr>
              <w:pStyle w:val="49"/>
            </w:pPr>
            <w:r>
              <w:t>IRI</w:t>
            </w:r>
          </w:p>
        </w:tc>
        <w:tc>
          <w:tcPr>
            <w:tcW w:w="1421" w:type="dxa"/>
            <w:tcBorders>
              <w:right w:val="nil"/>
            </w:tcBorders>
            <w:shd w:val="clear" w:color="auto" w:fill="auto"/>
            <w:vAlign w:val="center"/>
          </w:tcPr>
          <w:p w14:paraId="777F9913">
            <w:pPr>
              <w:pStyle w:val="49"/>
            </w:pPr>
            <w:r>
              <w:t>2007-2012</w:t>
            </w:r>
          </w:p>
        </w:tc>
      </w:tr>
      <w:tr w14:paraId="03FFE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BC97445">
            <w:pPr>
              <w:pStyle w:val="49"/>
            </w:pPr>
            <w:r>
              <w:t>64</w:t>
            </w:r>
          </w:p>
        </w:tc>
        <w:tc>
          <w:tcPr>
            <w:tcW w:w="1663" w:type="dxa"/>
            <w:shd w:val="clear" w:color="auto" w:fill="auto"/>
            <w:vAlign w:val="center"/>
          </w:tcPr>
          <w:p w14:paraId="445C7AEA">
            <w:pPr>
              <w:pStyle w:val="49"/>
            </w:pPr>
            <w:r>
              <w:t>IRI</w:t>
            </w:r>
          </w:p>
        </w:tc>
        <w:tc>
          <w:tcPr>
            <w:tcW w:w="1420" w:type="dxa"/>
            <w:shd w:val="clear" w:color="auto" w:fill="auto"/>
            <w:vAlign w:val="center"/>
          </w:tcPr>
          <w:p w14:paraId="56C9238E">
            <w:pPr>
              <w:pStyle w:val="49"/>
            </w:pPr>
            <w:r>
              <w:t>2019</w:t>
            </w:r>
          </w:p>
        </w:tc>
        <w:tc>
          <w:tcPr>
            <w:tcW w:w="1162" w:type="dxa"/>
            <w:shd w:val="clear" w:color="auto" w:fill="auto"/>
            <w:vAlign w:val="center"/>
          </w:tcPr>
          <w:p w14:paraId="48102F66">
            <w:pPr>
              <w:pStyle w:val="49"/>
            </w:pPr>
            <w:r>
              <w:t>174</w:t>
            </w:r>
          </w:p>
        </w:tc>
        <w:tc>
          <w:tcPr>
            <w:tcW w:w="1679" w:type="dxa"/>
            <w:shd w:val="clear" w:color="auto" w:fill="auto"/>
            <w:vAlign w:val="center"/>
          </w:tcPr>
          <w:p w14:paraId="4CF21CAB">
            <w:pPr>
              <w:pStyle w:val="49"/>
            </w:pPr>
            <w:r>
              <w:t>IRI</w:t>
            </w:r>
          </w:p>
        </w:tc>
        <w:tc>
          <w:tcPr>
            <w:tcW w:w="1421" w:type="dxa"/>
            <w:tcBorders>
              <w:right w:val="nil"/>
            </w:tcBorders>
            <w:shd w:val="clear" w:color="auto" w:fill="auto"/>
            <w:vAlign w:val="center"/>
          </w:tcPr>
          <w:p w14:paraId="343500CC">
            <w:pPr>
              <w:pStyle w:val="49"/>
            </w:pPr>
            <w:r>
              <w:t>2011-2024</w:t>
            </w:r>
          </w:p>
        </w:tc>
      </w:tr>
      <w:tr w14:paraId="127CB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C12EDC2">
            <w:pPr>
              <w:pStyle w:val="49"/>
            </w:pPr>
            <w:r>
              <w:t>65</w:t>
            </w:r>
          </w:p>
        </w:tc>
        <w:tc>
          <w:tcPr>
            <w:tcW w:w="1663" w:type="dxa"/>
            <w:shd w:val="clear" w:color="auto" w:fill="auto"/>
            <w:vAlign w:val="center"/>
          </w:tcPr>
          <w:p w14:paraId="575C1068">
            <w:pPr>
              <w:pStyle w:val="49"/>
            </w:pPr>
            <w:r>
              <w:t>IRI</w:t>
            </w:r>
          </w:p>
        </w:tc>
        <w:tc>
          <w:tcPr>
            <w:tcW w:w="1420" w:type="dxa"/>
            <w:shd w:val="clear" w:color="auto" w:fill="auto"/>
            <w:vAlign w:val="center"/>
          </w:tcPr>
          <w:p w14:paraId="604D7423">
            <w:pPr>
              <w:pStyle w:val="49"/>
            </w:pPr>
            <w:r>
              <w:t>2007</w:t>
            </w:r>
          </w:p>
        </w:tc>
        <w:tc>
          <w:tcPr>
            <w:tcW w:w="1162" w:type="dxa"/>
            <w:shd w:val="clear" w:color="auto" w:fill="auto"/>
            <w:vAlign w:val="center"/>
          </w:tcPr>
          <w:p w14:paraId="44C85D08">
            <w:pPr>
              <w:pStyle w:val="49"/>
            </w:pPr>
            <w:r>
              <w:t>175</w:t>
            </w:r>
          </w:p>
        </w:tc>
        <w:tc>
          <w:tcPr>
            <w:tcW w:w="1679" w:type="dxa"/>
            <w:shd w:val="clear" w:color="auto" w:fill="auto"/>
            <w:vAlign w:val="center"/>
          </w:tcPr>
          <w:p w14:paraId="2B603EC2">
            <w:pPr>
              <w:pStyle w:val="49"/>
            </w:pPr>
            <w:r>
              <w:t>IRI</w:t>
            </w:r>
          </w:p>
        </w:tc>
        <w:tc>
          <w:tcPr>
            <w:tcW w:w="1421" w:type="dxa"/>
            <w:tcBorders>
              <w:right w:val="nil"/>
            </w:tcBorders>
            <w:shd w:val="clear" w:color="auto" w:fill="auto"/>
            <w:vAlign w:val="center"/>
          </w:tcPr>
          <w:p w14:paraId="1ACC8005">
            <w:pPr>
              <w:pStyle w:val="49"/>
            </w:pPr>
            <w:r>
              <w:t>2004-2019</w:t>
            </w:r>
          </w:p>
        </w:tc>
      </w:tr>
      <w:tr w14:paraId="137A3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B9B16B0">
            <w:pPr>
              <w:pStyle w:val="49"/>
            </w:pPr>
            <w:r>
              <w:t>66</w:t>
            </w:r>
          </w:p>
        </w:tc>
        <w:tc>
          <w:tcPr>
            <w:tcW w:w="1663" w:type="dxa"/>
            <w:shd w:val="clear" w:color="auto" w:fill="auto"/>
            <w:vAlign w:val="center"/>
          </w:tcPr>
          <w:p w14:paraId="7E402EB8">
            <w:pPr>
              <w:pStyle w:val="49"/>
            </w:pPr>
            <w:r>
              <w:t>IRI</w:t>
            </w:r>
          </w:p>
        </w:tc>
        <w:tc>
          <w:tcPr>
            <w:tcW w:w="1420" w:type="dxa"/>
            <w:shd w:val="clear" w:color="auto" w:fill="auto"/>
            <w:vAlign w:val="center"/>
          </w:tcPr>
          <w:p w14:paraId="3687C002">
            <w:pPr>
              <w:pStyle w:val="49"/>
            </w:pPr>
            <w:r>
              <w:t>2016</w:t>
            </w:r>
          </w:p>
        </w:tc>
        <w:tc>
          <w:tcPr>
            <w:tcW w:w="1162" w:type="dxa"/>
            <w:shd w:val="clear" w:color="auto" w:fill="auto"/>
            <w:vAlign w:val="center"/>
          </w:tcPr>
          <w:p w14:paraId="417A0945">
            <w:pPr>
              <w:pStyle w:val="49"/>
            </w:pPr>
            <w:r>
              <w:t>176</w:t>
            </w:r>
          </w:p>
        </w:tc>
        <w:tc>
          <w:tcPr>
            <w:tcW w:w="1679" w:type="dxa"/>
            <w:shd w:val="clear" w:color="auto" w:fill="auto"/>
            <w:vAlign w:val="center"/>
          </w:tcPr>
          <w:p w14:paraId="10047E11">
            <w:pPr>
              <w:pStyle w:val="49"/>
            </w:pPr>
            <w:r>
              <w:t>IRI</w:t>
            </w:r>
          </w:p>
        </w:tc>
        <w:tc>
          <w:tcPr>
            <w:tcW w:w="1421" w:type="dxa"/>
            <w:tcBorders>
              <w:right w:val="nil"/>
            </w:tcBorders>
            <w:shd w:val="clear" w:color="auto" w:fill="auto"/>
            <w:vAlign w:val="center"/>
          </w:tcPr>
          <w:p w14:paraId="207CFAE7">
            <w:pPr>
              <w:pStyle w:val="49"/>
            </w:pPr>
            <w:r>
              <w:t>2001-2010</w:t>
            </w:r>
          </w:p>
        </w:tc>
      </w:tr>
      <w:tr w14:paraId="19A74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5DECFE2">
            <w:pPr>
              <w:pStyle w:val="49"/>
            </w:pPr>
            <w:r>
              <w:t>67</w:t>
            </w:r>
          </w:p>
        </w:tc>
        <w:tc>
          <w:tcPr>
            <w:tcW w:w="1663" w:type="dxa"/>
            <w:shd w:val="clear" w:color="auto" w:fill="auto"/>
            <w:vAlign w:val="center"/>
          </w:tcPr>
          <w:p w14:paraId="68D8C95D">
            <w:pPr>
              <w:pStyle w:val="49"/>
            </w:pPr>
            <w:r>
              <w:t>IRI</w:t>
            </w:r>
          </w:p>
        </w:tc>
        <w:tc>
          <w:tcPr>
            <w:tcW w:w="1420" w:type="dxa"/>
            <w:shd w:val="clear" w:color="auto" w:fill="auto"/>
            <w:vAlign w:val="center"/>
          </w:tcPr>
          <w:p w14:paraId="6FF04673">
            <w:pPr>
              <w:pStyle w:val="49"/>
            </w:pPr>
            <w:r>
              <w:t>2021</w:t>
            </w:r>
          </w:p>
        </w:tc>
        <w:tc>
          <w:tcPr>
            <w:tcW w:w="1162" w:type="dxa"/>
            <w:shd w:val="clear" w:color="auto" w:fill="auto"/>
            <w:vAlign w:val="center"/>
          </w:tcPr>
          <w:p w14:paraId="4DF3418C">
            <w:pPr>
              <w:pStyle w:val="49"/>
            </w:pPr>
            <w:r>
              <w:t>177</w:t>
            </w:r>
          </w:p>
        </w:tc>
        <w:tc>
          <w:tcPr>
            <w:tcW w:w="1679" w:type="dxa"/>
            <w:shd w:val="clear" w:color="auto" w:fill="auto"/>
            <w:vAlign w:val="center"/>
          </w:tcPr>
          <w:p w14:paraId="7EC11381">
            <w:pPr>
              <w:pStyle w:val="49"/>
            </w:pPr>
            <w:r>
              <w:t>Elevation Data</w:t>
            </w:r>
          </w:p>
        </w:tc>
        <w:tc>
          <w:tcPr>
            <w:tcW w:w="1421" w:type="dxa"/>
            <w:tcBorders>
              <w:right w:val="nil"/>
            </w:tcBorders>
            <w:shd w:val="clear" w:color="auto" w:fill="auto"/>
            <w:vAlign w:val="center"/>
          </w:tcPr>
          <w:p w14:paraId="18C817A8">
            <w:pPr>
              <w:pStyle w:val="49"/>
            </w:pPr>
            <w:r>
              <w:t>2003-2017</w:t>
            </w:r>
          </w:p>
        </w:tc>
      </w:tr>
      <w:tr w14:paraId="5D3B1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3AB46F1">
            <w:pPr>
              <w:pStyle w:val="49"/>
            </w:pPr>
            <w:r>
              <w:t>68</w:t>
            </w:r>
          </w:p>
        </w:tc>
        <w:tc>
          <w:tcPr>
            <w:tcW w:w="1663" w:type="dxa"/>
            <w:shd w:val="clear" w:color="auto" w:fill="auto"/>
            <w:vAlign w:val="center"/>
          </w:tcPr>
          <w:p w14:paraId="3624EC8F">
            <w:pPr>
              <w:pStyle w:val="49"/>
            </w:pPr>
            <w:r>
              <w:t>IRI</w:t>
            </w:r>
          </w:p>
        </w:tc>
        <w:tc>
          <w:tcPr>
            <w:tcW w:w="1420" w:type="dxa"/>
            <w:shd w:val="clear" w:color="auto" w:fill="auto"/>
            <w:vAlign w:val="center"/>
          </w:tcPr>
          <w:p w14:paraId="1677E843">
            <w:pPr>
              <w:pStyle w:val="49"/>
            </w:pPr>
            <w:r>
              <w:t>2015</w:t>
            </w:r>
          </w:p>
        </w:tc>
        <w:tc>
          <w:tcPr>
            <w:tcW w:w="1162" w:type="dxa"/>
            <w:shd w:val="clear" w:color="auto" w:fill="auto"/>
            <w:vAlign w:val="center"/>
          </w:tcPr>
          <w:p w14:paraId="570F96FC">
            <w:pPr>
              <w:pStyle w:val="49"/>
            </w:pPr>
            <w:r>
              <w:t>178</w:t>
            </w:r>
          </w:p>
        </w:tc>
        <w:tc>
          <w:tcPr>
            <w:tcW w:w="1679" w:type="dxa"/>
            <w:shd w:val="clear" w:color="auto" w:fill="auto"/>
            <w:vAlign w:val="center"/>
          </w:tcPr>
          <w:p w14:paraId="5B2C7908">
            <w:pPr>
              <w:pStyle w:val="49"/>
            </w:pPr>
            <w:r>
              <w:t>Elevation Data</w:t>
            </w:r>
          </w:p>
        </w:tc>
        <w:tc>
          <w:tcPr>
            <w:tcW w:w="1421" w:type="dxa"/>
            <w:tcBorders>
              <w:right w:val="nil"/>
            </w:tcBorders>
            <w:shd w:val="clear" w:color="auto" w:fill="auto"/>
            <w:vAlign w:val="center"/>
          </w:tcPr>
          <w:p w14:paraId="2F464FD1">
            <w:pPr>
              <w:pStyle w:val="49"/>
            </w:pPr>
            <w:r>
              <w:t>2008-2021</w:t>
            </w:r>
          </w:p>
        </w:tc>
      </w:tr>
      <w:tr w14:paraId="49FD9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51C6A1D">
            <w:pPr>
              <w:pStyle w:val="49"/>
            </w:pPr>
            <w:r>
              <w:t>69</w:t>
            </w:r>
          </w:p>
        </w:tc>
        <w:tc>
          <w:tcPr>
            <w:tcW w:w="1663" w:type="dxa"/>
            <w:shd w:val="clear" w:color="auto" w:fill="auto"/>
            <w:vAlign w:val="center"/>
          </w:tcPr>
          <w:p w14:paraId="6807BE00">
            <w:pPr>
              <w:pStyle w:val="49"/>
            </w:pPr>
            <w:r>
              <w:t>Elevation Data</w:t>
            </w:r>
          </w:p>
        </w:tc>
        <w:tc>
          <w:tcPr>
            <w:tcW w:w="1420" w:type="dxa"/>
            <w:shd w:val="clear" w:color="auto" w:fill="auto"/>
            <w:vAlign w:val="center"/>
          </w:tcPr>
          <w:p w14:paraId="791B2A6C">
            <w:pPr>
              <w:pStyle w:val="49"/>
            </w:pPr>
            <w:r>
              <w:t>2022</w:t>
            </w:r>
          </w:p>
        </w:tc>
        <w:tc>
          <w:tcPr>
            <w:tcW w:w="1162" w:type="dxa"/>
            <w:shd w:val="clear" w:color="auto" w:fill="auto"/>
            <w:vAlign w:val="center"/>
          </w:tcPr>
          <w:p w14:paraId="5E8B6881">
            <w:pPr>
              <w:pStyle w:val="49"/>
            </w:pPr>
            <w:r>
              <w:t>179</w:t>
            </w:r>
          </w:p>
        </w:tc>
        <w:tc>
          <w:tcPr>
            <w:tcW w:w="1679" w:type="dxa"/>
            <w:shd w:val="clear" w:color="auto" w:fill="auto"/>
            <w:vAlign w:val="center"/>
          </w:tcPr>
          <w:p w14:paraId="7D178527">
            <w:pPr>
              <w:pStyle w:val="49"/>
            </w:pPr>
            <w:r>
              <w:t>IRI</w:t>
            </w:r>
          </w:p>
        </w:tc>
        <w:tc>
          <w:tcPr>
            <w:tcW w:w="1421" w:type="dxa"/>
            <w:tcBorders>
              <w:right w:val="nil"/>
            </w:tcBorders>
            <w:shd w:val="clear" w:color="auto" w:fill="auto"/>
            <w:vAlign w:val="center"/>
          </w:tcPr>
          <w:p w14:paraId="0FC661E7">
            <w:pPr>
              <w:pStyle w:val="49"/>
            </w:pPr>
            <w:r>
              <w:t>2006-2020</w:t>
            </w:r>
          </w:p>
        </w:tc>
      </w:tr>
      <w:tr w14:paraId="417E8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602B767">
            <w:pPr>
              <w:pStyle w:val="49"/>
            </w:pPr>
            <w:r>
              <w:t>70</w:t>
            </w:r>
          </w:p>
        </w:tc>
        <w:tc>
          <w:tcPr>
            <w:tcW w:w="1663" w:type="dxa"/>
            <w:shd w:val="clear" w:color="auto" w:fill="auto"/>
            <w:vAlign w:val="center"/>
          </w:tcPr>
          <w:p w14:paraId="784BCE80">
            <w:pPr>
              <w:pStyle w:val="49"/>
            </w:pPr>
            <w:r>
              <w:t>IRI</w:t>
            </w:r>
          </w:p>
        </w:tc>
        <w:tc>
          <w:tcPr>
            <w:tcW w:w="1420" w:type="dxa"/>
            <w:shd w:val="clear" w:color="auto" w:fill="auto"/>
            <w:vAlign w:val="center"/>
          </w:tcPr>
          <w:p w14:paraId="60DACF9A">
            <w:pPr>
              <w:pStyle w:val="49"/>
            </w:pPr>
            <w:r>
              <w:t>2014</w:t>
            </w:r>
          </w:p>
        </w:tc>
        <w:tc>
          <w:tcPr>
            <w:tcW w:w="1162" w:type="dxa"/>
            <w:shd w:val="clear" w:color="auto" w:fill="auto"/>
            <w:vAlign w:val="center"/>
          </w:tcPr>
          <w:p w14:paraId="79A9EAD5">
            <w:pPr>
              <w:pStyle w:val="49"/>
            </w:pPr>
            <w:r>
              <w:t>180</w:t>
            </w:r>
          </w:p>
        </w:tc>
        <w:tc>
          <w:tcPr>
            <w:tcW w:w="1679" w:type="dxa"/>
            <w:shd w:val="clear" w:color="auto" w:fill="auto"/>
            <w:vAlign w:val="center"/>
          </w:tcPr>
          <w:p w14:paraId="0CC61736">
            <w:pPr>
              <w:pStyle w:val="49"/>
            </w:pPr>
            <w:r>
              <w:t>IRI</w:t>
            </w:r>
          </w:p>
        </w:tc>
        <w:tc>
          <w:tcPr>
            <w:tcW w:w="1421" w:type="dxa"/>
            <w:tcBorders>
              <w:right w:val="nil"/>
            </w:tcBorders>
            <w:shd w:val="clear" w:color="auto" w:fill="auto"/>
            <w:vAlign w:val="center"/>
          </w:tcPr>
          <w:p w14:paraId="6EA37762">
            <w:pPr>
              <w:pStyle w:val="49"/>
            </w:pPr>
            <w:r>
              <w:t>2001-2015</w:t>
            </w:r>
          </w:p>
        </w:tc>
      </w:tr>
      <w:tr w14:paraId="63B40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2CA24CD">
            <w:pPr>
              <w:pStyle w:val="49"/>
            </w:pPr>
            <w:r>
              <w:t>71</w:t>
            </w:r>
          </w:p>
        </w:tc>
        <w:tc>
          <w:tcPr>
            <w:tcW w:w="1663" w:type="dxa"/>
            <w:shd w:val="clear" w:color="auto" w:fill="auto"/>
            <w:vAlign w:val="center"/>
          </w:tcPr>
          <w:p w14:paraId="3B3C6107">
            <w:pPr>
              <w:pStyle w:val="49"/>
            </w:pPr>
            <w:r>
              <w:t>IRI</w:t>
            </w:r>
          </w:p>
        </w:tc>
        <w:tc>
          <w:tcPr>
            <w:tcW w:w="1420" w:type="dxa"/>
            <w:shd w:val="clear" w:color="auto" w:fill="auto"/>
            <w:vAlign w:val="center"/>
          </w:tcPr>
          <w:p w14:paraId="624D50E3">
            <w:pPr>
              <w:pStyle w:val="49"/>
            </w:pPr>
            <w:r>
              <w:t>2005-2018</w:t>
            </w:r>
          </w:p>
        </w:tc>
        <w:tc>
          <w:tcPr>
            <w:tcW w:w="1162" w:type="dxa"/>
            <w:shd w:val="clear" w:color="auto" w:fill="auto"/>
            <w:vAlign w:val="center"/>
          </w:tcPr>
          <w:p w14:paraId="3F1E0825">
            <w:pPr>
              <w:pStyle w:val="49"/>
            </w:pPr>
            <w:r>
              <w:t>181</w:t>
            </w:r>
          </w:p>
        </w:tc>
        <w:tc>
          <w:tcPr>
            <w:tcW w:w="1679" w:type="dxa"/>
            <w:shd w:val="clear" w:color="auto" w:fill="auto"/>
            <w:vAlign w:val="center"/>
          </w:tcPr>
          <w:p w14:paraId="17078D1C">
            <w:pPr>
              <w:pStyle w:val="49"/>
            </w:pPr>
            <w:r>
              <w:t>IRI</w:t>
            </w:r>
          </w:p>
        </w:tc>
        <w:tc>
          <w:tcPr>
            <w:tcW w:w="1421" w:type="dxa"/>
            <w:tcBorders>
              <w:right w:val="nil"/>
            </w:tcBorders>
            <w:shd w:val="clear" w:color="auto" w:fill="auto"/>
            <w:vAlign w:val="center"/>
          </w:tcPr>
          <w:p w14:paraId="67735486">
            <w:pPr>
              <w:pStyle w:val="49"/>
            </w:pPr>
            <w:r>
              <w:t>2013-2024</w:t>
            </w:r>
          </w:p>
        </w:tc>
      </w:tr>
      <w:tr w14:paraId="6AA12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46BBC2D">
            <w:pPr>
              <w:pStyle w:val="49"/>
            </w:pPr>
            <w:r>
              <w:t>72</w:t>
            </w:r>
          </w:p>
        </w:tc>
        <w:tc>
          <w:tcPr>
            <w:tcW w:w="1663" w:type="dxa"/>
            <w:shd w:val="clear" w:color="auto" w:fill="auto"/>
            <w:vAlign w:val="center"/>
          </w:tcPr>
          <w:p w14:paraId="240558BD">
            <w:pPr>
              <w:pStyle w:val="49"/>
            </w:pPr>
            <w:r>
              <w:t>IRI</w:t>
            </w:r>
          </w:p>
        </w:tc>
        <w:tc>
          <w:tcPr>
            <w:tcW w:w="1420" w:type="dxa"/>
            <w:shd w:val="clear" w:color="auto" w:fill="auto"/>
            <w:vAlign w:val="center"/>
          </w:tcPr>
          <w:p w14:paraId="779A0FA9">
            <w:pPr>
              <w:pStyle w:val="49"/>
            </w:pPr>
            <w:r>
              <w:t>2006</w:t>
            </w:r>
          </w:p>
        </w:tc>
        <w:tc>
          <w:tcPr>
            <w:tcW w:w="1162" w:type="dxa"/>
            <w:shd w:val="clear" w:color="auto" w:fill="auto"/>
            <w:vAlign w:val="center"/>
          </w:tcPr>
          <w:p w14:paraId="1B5136B0">
            <w:pPr>
              <w:pStyle w:val="49"/>
            </w:pPr>
            <w:r>
              <w:t>182</w:t>
            </w:r>
          </w:p>
        </w:tc>
        <w:tc>
          <w:tcPr>
            <w:tcW w:w="1679" w:type="dxa"/>
            <w:shd w:val="clear" w:color="auto" w:fill="auto"/>
            <w:vAlign w:val="center"/>
          </w:tcPr>
          <w:p w14:paraId="2573580F">
            <w:pPr>
              <w:pStyle w:val="49"/>
            </w:pPr>
            <w:r>
              <w:t>IRI</w:t>
            </w:r>
          </w:p>
        </w:tc>
        <w:tc>
          <w:tcPr>
            <w:tcW w:w="1421" w:type="dxa"/>
            <w:tcBorders>
              <w:right w:val="nil"/>
            </w:tcBorders>
            <w:shd w:val="clear" w:color="auto" w:fill="auto"/>
            <w:vAlign w:val="center"/>
          </w:tcPr>
          <w:p w14:paraId="67529BF1">
            <w:pPr>
              <w:pStyle w:val="49"/>
            </w:pPr>
            <w:r>
              <w:t>2002-2016</w:t>
            </w:r>
          </w:p>
        </w:tc>
      </w:tr>
      <w:tr w14:paraId="2C794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F731489">
            <w:pPr>
              <w:pStyle w:val="49"/>
            </w:pPr>
            <w:r>
              <w:t>73</w:t>
            </w:r>
          </w:p>
        </w:tc>
        <w:tc>
          <w:tcPr>
            <w:tcW w:w="1663" w:type="dxa"/>
            <w:shd w:val="clear" w:color="auto" w:fill="auto"/>
            <w:vAlign w:val="center"/>
          </w:tcPr>
          <w:p w14:paraId="5D511A33">
            <w:pPr>
              <w:pStyle w:val="49"/>
            </w:pPr>
            <w:r>
              <w:t>IRI</w:t>
            </w:r>
          </w:p>
        </w:tc>
        <w:tc>
          <w:tcPr>
            <w:tcW w:w="1420" w:type="dxa"/>
            <w:shd w:val="clear" w:color="auto" w:fill="auto"/>
            <w:vAlign w:val="center"/>
          </w:tcPr>
          <w:p w14:paraId="3BD4B45C">
            <w:pPr>
              <w:pStyle w:val="49"/>
            </w:pPr>
            <w:r>
              <w:t>2006-2022</w:t>
            </w:r>
          </w:p>
        </w:tc>
        <w:tc>
          <w:tcPr>
            <w:tcW w:w="1162" w:type="dxa"/>
            <w:shd w:val="clear" w:color="auto" w:fill="auto"/>
            <w:vAlign w:val="center"/>
          </w:tcPr>
          <w:p w14:paraId="62A3AF85">
            <w:pPr>
              <w:pStyle w:val="49"/>
            </w:pPr>
            <w:r>
              <w:t>183</w:t>
            </w:r>
          </w:p>
        </w:tc>
        <w:tc>
          <w:tcPr>
            <w:tcW w:w="1679" w:type="dxa"/>
            <w:shd w:val="clear" w:color="auto" w:fill="auto"/>
            <w:vAlign w:val="center"/>
          </w:tcPr>
          <w:p w14:paraId="29B9CFDF">
            <w:pPr>
              <w:pStyle w:val="49"/>
            </w:pPr>
            <w:r>
              <w:t>IRI</w:t>
            </w:r>
          </w:p>
        </w:tc>
        <w:tc>
          <w:tcPr>
            <w:tcW w:w="1421" w:type="dxa"/>
            <w:tcBorders>
              <w:right w:val="nil"/>
            </w:tcBorders>
            <w:shd w:val="clear" w:color="auto" w:fill="auto"/>
            <w:vAlign w:val="center"/>
          </w:tcPr>
          <w:p w14:paraId="4404C7EE">
            <w:pPr>
              <w:pStyle w:val="49"/>
            </w:pPr>
            <w:r>
              <w:t>2005-2018</w:t>
            </w:r>
          </w:p>
        </w:tc>
      </w:tr>
      <w:tr w14:paraId="63E9E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06D15E2">
            <w:pPr>
              <w:pStyle w:val="49"/>
            </w:pPr>
            <w:r>
              <w:t>74</w:t>
            </w:r>
          </w:p>
        </w:tc>
        <w:tc>
          <w:tcPr>
            <w:tcW w:w="1663" w:type="dxa"/>
            <w:shd w:val="clear" w:color="auto" w:fill="auto"/>
            <w:vAlign w:val="center"/>
          </w:tcPr>
          <w:p w14:paraId="35C641EC">
            <w:pPr>
              <w:pStyle w:val="49"/>
            </w:pPr>
            <w:r>
              <w:t>IRI</w:t>
            </w:r>
          </w:p>
        </w:tc>
        <w:tc>
          <w:tcPr>
            <w:tcW w:w="1420" w:type="dxa"/>
            <w:shd w:val="clear" w:color="auto" w:fill="auto"/>
            <w:vAlign w:val="center"/>
          </w:tcPr>
          <w:p w14:paraId="3FA9CFCD">
            <w:pPr>
              <w:pStyle w:val="49"/>
            </w:pPr>
            <w:r>
              <w:t>2007-2019</w:t>
            </w:r>
          </w:p>
        </w:tc>
        <w:tc>
          <w:tcPr>
            <w:tcW w:w="1162" w:type="dxa"/>
            <w:shd w:val="clear" w:color="auto" w:fill="auto"/>
            <w:vAlign w:val="center"/>
          </w:tcPr>
          <w:p w14:paraId="1149BE9D">
            <w:pPr>
              <w:pStyle w:val="49"/>
            </w:pPr>
            <w:r>
              <w:t>184</w:t>
            </w:r>
          </w:p>
        </w:tc>
        <w:tc>
          <w:tcPr>
            <w:tcW w:w="1679" w:type="dxa"/>
            <w:shd w:val="clear" w:color="auto" w:fill="auto"/>
            <w:vAlign w:val="center"/>
          </w:tcPr>
          <w:p w14:paraId="79417686">
            <w:pPr>
              <w:pStyle w:val="49"/>
            </w:pPr>
            <w:r>
              <w:t>IRI</w:t>
            </w:r>
          </w:p>
        </w:tc>
        <w:tc>
          <w:tcPr>
            <w:tcW w:w="1421" w:type="dxa"/>
            <w:tcBorders>
              <w:right w:val="nil"/>
            </w:tcBorders>
            <w:shd w:val="clear" w:color="auto" w:fill="auto"/>
            <w:vAlign w:val="center"/>
          </w:tcPr>
          <w:p w14:paraId="27CC199B">
            <w:pPr>
              <w:pStyle w:val="49"/>
            </w:pPr>
            <w:r>
              <w:t>1999-2011</w:t>
            </w:r>
          </w:p>
        </w:tc>
      </w:tr>
      <w:tr w14:paraId="3401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8C88051">
            <w:pPr>
              <w:pStyle w:val="49"/>
            </w:pPr>
            <w:r>
              <w:t>75</w:t>
            </w:r>
          </w:p>
        </w:tc>
        <w:tc>
          <w:tcPr>
            <w:tcW w:w="1663" w:type="dxa"/>
            <w:shd w:val="clear" w:color="auto" w:fill="auto"/>
            <w:vAlign w:val="center"/>
          </w:tcPr>
          <w:p w14:paraId="0C48209A">
            <w:pPr>
              <w:pStyle w:val="49"/>
            </w:pPr>
            <w:r>
              <w:t>IRI</w:t>
            </w:r>
          </w:p>
        </w:tc>
        <w:tc>
          <w:tcPr>
            <w:tcW w:w="1420" w:type="dxa"/>
            <w:shd w:val="clear" w:color="auto" w:fill="auto"/>
            <w:vAlign w:val="center"/>
          </w:tcPr>
          <w:p w14:paraId="2321413B">
            <w:pPr>
              <w:pStyle w:val="49"/>
            </w:pPr>
            <w:r>
              <w:t>2018</w:t>
            </w:r>
          </w:p>
        </w:tc>
        <w:tc>
          <w:tcPr>
            <w:tcW w:w="1162" w:type="dxa"/>
            <w:shd w:val="clear" w:color="auto" w:fill="auto"/>
            <w:vAlign w:val="center"/>
          </w:tcPr>
          <w:p w14:paraId="39930196">
            <w:pPr>
              <w:pStyle w:val="49"/>
            </w:pPr>
            <w:r>
              <w:t>185</w:t>
            </w:r>
          </w:p>
        </w:tc>
        <w:tc>
          <w:tcPr>
            <w:tcW w:w="1679" w:type="dxa"/>
            <w:shd w:val="clear" w:color="auto" w:fill="auto"/>
            <w:vAlign w:val="center"/>
          </w:tcPr>
          <w:p w14:paraId="03C67C50">
            <w:pPr>
              <w:pStyle w:val="49"/>
            </w:pPr>
            <w:r>
              <w:t>Elevation Data</w:t>
            </w:r>
          </w:p>
        </w:tc>
        <w:tc>
          <w:tcPr>
            <w:tcW w:w="1421" w:type="dxa"/>
            <w:tcBorders>
              <w:right w:val="nil"/>
            </w:tcBorders>
            <w:shd w:val="clear" w:color="auto" w:fill="auto"/>
            <w:vAlign w:val="center"/>
          </w:tcPr>
          <w:p w14:paraId="4D5CE32C">
            <w:pPr>
              <w:pStyle w:val="49"/>
            </w:pPr>
            <w:r>
              <w:t>2004-2019</w:t>
            </w:r>
          </w:p>
        </w:tc>
      </w:tr>
      <w:tr w14:paraId="2D7DF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2C83C56">
            <w:pPr>
              <w:pStyle w:val="49"/>
            </w:pPr>
            <w:r>
              <w:t>76</w:t>
            </w:r>
          </w:p>
        </w:tc>
        <w:tc>
          <w:tcPr>
            <w:tcW w:w="1663" w:type="dxa"/>
            <w:shd w:val="clear" w:color="auto" w:fill="auto"/>
            <w:vAlign w:val="center"/>
          </w:tcPr>
          <w:p w14:paraId="6B7237ED">
            <w:pPr>
              <w:pStyle w:val="49"/>
            </w:pPr>
            <w:r>
              <w:t>IRI</w:t>
            </w:r>
          </w:p>
        </w:tc>
        <w:tc>
          <w:tcPr>
            <w:tcW w:w="1420" w:type="dxa"/>
            <w:shd w:val="clear" w:color="auto" w:fill="auto"/>
            <w:vAlign w:val="center"/>
          </w:tcPr>
          <w:p w14:paraId="777856AA">
            <w:pPr>
              <w:pStyle w:val="49"/>
            </w:pPr>
            <w:r>
              <w:t>2013</w:t>
            </w:r>
          </w:p>
        </w:tc>
        <w:tc>
          <w:tcPr>
            <w:tcW w:w="1162" w:type="dxa"/>
            <w:shd w:val="clear" w:color="auto" w:fill="auto"/>
            <w:vAlign w:val="center"/>
          </w:tcPr>
          <w:p w14:paraId="016249EC">
            <w:pPr>
              <w:pStyle w:val="49"/>
            </w:pPr>
            <w:r>
              <w:t>186</w:t>
            </w:r>
          </w:p>
        </w:tc>
        <w:tc>
          <w:tcPr>
            <w:tcW w:w="1679" w:type="dxa"/>
            <w:shd w:val="clear" w:color="auto" w:fill="auto"/>
            <w:vAlign w:val="center"/>
          </w:tcPr>
          <w:p w14:paraId="56529498">
            <w:pPr>
              <w:pStyle w:val="49"/>
            </w:pPr>
            <w:r>
              <w:t>IRI</w:t>
            </w:r>
          </w:p>
        </w:tc>
        <w:tc>
          <w:tcPr>
            <w:tcW w:w="1421" w:type="dxa"/>
            <w:tcBorders>
              <w:right w:val="nil"/>
            </w:tcBorders>
            <w:shd w:val="clear" w:color="auto" w:fill="auto"/>
            <w:vAlign w:val="center"/>
          </w:tcPr>
          <w:p w14:paraId="716D26FF">
            <w:pPr>
              <w:pStyle w:val="49"/>
            </w:pPr>
            <w:r>
              <w:t>2010-2023</w:t>
            </w:r>
          </w:p>
        </w:tc>
      </w:tr>
      <w:tr w14:paraId="365AD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923162A">
            <w:pPr>
              <w:pStyle w:val="49"/>
            </w:pPr>
            <w:r>
              <w:t>77</w:t>
            </w:r>
          </w:p>
        </w:tc>
        <w:tc>
          <w:tcPr>
            <w:tcW w:w="1663" w:type="dxa"/>
            <w:shd w:val="clear" w:color="auto" w:fill="auto"/>
            <w:vAlign w:val="center"/>
          </w:tcPr>
          <w:p w14:paraId="329BA403">
            <w:pPr>
              <w:pStyle w:val="49"/>
            </w:pPr>
            <w:r>
              <w:t>IRI</w:t>
            </w:r>
          </w:p>
        </w:tc>
        <w:tc>
          <w:tcPr>
            <w:tcW w:w="1420" w:type="dxa"/>
            <w:shd w:val="clear" w:color="auto" w:fill="auto"/>
            <w:vAlign w:val="center"/>
          </w:tcPr>
          <w:p w14:paraId="2A7AB5F6">
            <w:pPr>
              <w:pStyle w:val="49"/>
            </w:pPr>
            <w:r>
              <w:t>2020</w:t>
            </w:r>
          </w:p>
        </w:tc>
        <w:tc>
          <w:tcPr>
            <w:tcW w:w="1162" w:type="dxa"/>
            <w:shd w:val="clear" w:color="auto" w:fill="auto"/>
            <w:vAlign w:val="center"/>
          </w:tcPr>
          <w:p w14:paraId="6CB3ACFF">
            <w:pPr>
              <w:pStyle w:val="49"/>
            </w:pPr>
            <w:r>
              <w:t>187</w:t>
            </w:r>
          </w:p>
        </w:tc>
        <w:tc>
          <w:tcPr>
            <w:tcW w:w="1679" w:type="dxa"/>
            <w:shd w:val="clear" w:color="auto" w:fill="auto"/>
            <w:vAlign w:val="center"/>
          </w:tcPr>
          <w:p w14:paraId="458DF21D">
            <w:pPr>
              <w:pStyle w:val="49"/>
            </w:pPr>
            <w:r>
              <w:t>IRI</w:t>
            </w:r>
          </w:p>
        </w:tc>
        <w:tc>
          <w:tcPr>
            <w:tcW w:w="1421" w:type="dxa"/>
            <w:tcBorders>
              <w:right w:val="nil"/>
            </w:tcBorders>
            <w:shd w:val="clear" w:color="auto" w:fill="auto"/>
            <w:vAlign w:val="center"/>
          </w:tcPr>
          <w:p w14:paraId="5AD74E59">
            <w:pPr>
              <w:pStyle w:val="49"/>
            </w:pPr>
            <w:r>
              <w:t>2000-2014</w:t>
            </w:r>
          </w:p>
        </w:tc>
      </w:tr>
      <w:tr w14:paraId="5C3B4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5067181">
            <w:pPr>
              <w:pStyle w:val="49"/>
            </w:pPr>
            <w:r>
              <w:t>78</w:t>
            </w:r>
          </w:p>
        </w:tc>
        <w:tc>
          <w:tcPr>
            <w:tcW w:w="1663" w:type="dxa"/>
            <w:shd w:val="clear" w:color="auto" w:fill="auto"/>
            <w:vAlign w:val="center"/>
          </w:tcPr>
          <w:p w14:paraId="056211DE">
            <w:pPr>
              <w:pStyle w:val="49"/>
            </w:pPr>
            <w:r>
              <w:t>IRI</w:t>
            </w:r>
          </w:p>
        </w:tc>
        <w:tc>
          <w:tcPr>
            <w:tcW w:w="1420" w:type="dxa"/>
            <w:shd w:val="clear" w:color="auto" w:fill="auto"/>
            <w:vAlign w:val="center"/>
          </w:tcPr>
          <w:p w14:paraId="3D6DCB16">
            <w:pPr>
              <w:pStyle w:val="49"/>
            </w:pPr>
            <w:r>
              <w:t>2019</w:t>
            </w:r>
          </w:p>
        </w:tc>
        <w:tc>
          <w:tcPr>
            <w:tcW w:w="1162" w:type="dxa"/>
            <w:shd w:val="clear" w:color="auto" w:fill="auto"/>
            <w:vAlign w:val="center"/>
          </w:tcPr>
          <w:p w14:paraId="02979E8A">
            <w:pPr>
              <w:pStyle w:val="49"/>
            </w:pPr>
            <w:r>
              <w:t>188</w:t>
            </w:r>
          </w:p>
        </w:tc>
        <w:tc>
          <w:tcPr>
            <w:tcW w:w="1679" w:type="dxa"/>
            <w:shd w:val="clear" w:color="auto" w:fill="auto"/>
            <w:vAlign w:val="center"/>
          </w:tcPr>
          <w:p w14:paraId="1204989C">
            <w:pPr>
              <w:pStyle w:val="49"/>
            </w:pPr>
            <w:r>
              <w:t>IRI</w:t>
            </w:r>
          </w:p>
        </w:tc>
        <w:tc>
          <w:tcPr>
            <w:tcW w:w="1421" w:type="dxa"/>
            <w:tcBorders>
              <w:right w:val="nil"/>
            </w:tcBorders>
            <w:shd w:val="clear" w:color="auto" w:fill="auto"/>
            <w:vAlign w:val="center"/>
          </w:tcPr>
          <w:p w14:paraId="4EFF06B0">
            <w:pPr>
              <w:pStyle w:val="49"/>
            </w:pPr>
            <w:r>
              <w:t>2007-2021</w:t>
            </w:r>
          </w:p>
        </w:tc>
      </w:tr>
      <w:tr w14:paraId="0A444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DCE0262">
            <w:pPr>
              <w:pStyle w:val="49"/>
            </w:pPr>
            <w:r>
              <w:t>79</w:t>
            </w:r>
          </w:p>
        </w:tc>
        <w:tc>
          <w:tcPr>
            <w:tcW w:w="1663" w:type="dxa"/>
            <w:shd w:val="clear" w:color="auto" w:fill="auto"/>
            <w:vAlign w:val="center"/>
          </w:tcPr>
          <w:p w14:paraId="5129D730">
            <w:pPr>
              <w:pStyle w:val="49"/>
            </w:pPr>
            <w:r>
              <w:t>IRI</w:t>
            </w:r>
          </w:p>
        </w:tc>
        <w:tc>
          <w:tcPr>
            <w:tcW w:w="1420" w:type="dxa"/>
            <w:shd w:val="clear" w:color="auto" w:fill="auto"/>
            <w:vAlign w:val="center"/>
          </w:tcPr>
          <w:p w14:paraId="59DEABC1">
            <w:pPr>
              <w:pStyle w:val="49"/>
            </w:pPr>
            <w:r>
              <w:t>2012</w:t>
            </w:r>
          </w:p>
        </w:tc>
        <w:tc>
          <w:tcPr>
            <w:tcW w:w="1162" w:type="dxa"/>
            <w:shd w:val="clear" w:color="auto" w:fill="auto"/>
            <w:vAlign w:val="center"/>
          </w:tcPr>
          <w:p w14:paraId="4CCC237A">
            <w:pPr>
              <w:pStyle w:val="49"/>
            </w:pPr>
            <w:r>
              <w:t>189</w:t>
            </w:r>
          </w:p>
        </w:tc>
        <w:tc>
          <w:tcPr>
            <w:tcW w:w="1679" w:type="dxa"/>
            <w:shd w:val="clear" w:color="auto" w:fill="auto"/>
            <w:vAlign w:val="center"/>
          </w:tcPr>
          <w:p w14:paraId="532CA3A9">
            <w:pPr>
              <w:pStyle w:val="49"/>
            </w:pPr>
            <w:r>
              <w:t>IRI</w:t>
            </w:r>
          </w:p>
        </w:tc>
        <w:tc>
          <w:tcPr>
            <w:tcW w:w="1421" w:type="dxa"/>
            <w:tcBorders>
              <w:right w:val="nil"/>
            </w:tcBorders>
            <w:shd w:val="clear" w:color="auto" w:fill="auto"/>
            <w:vAlign w:val="center"/>
          </w:tcPr>
          <w:p w14:paraId="0B2A6E5C">
            <w:pPr>
              <w:pStyle w:val="49"/>
            </w:pPr>
            <w:r>
              <w:t>2003-2017</w:t>
            </w:r>
          </w:p>
        </w:tc>
      </w:tr>
      <w:tr w14:paraId="67ADD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3321841">
            <w:pPr>
              <w:pStyle w:val="49"/>
            </w:pPr>
            <w:r>
              <w:t>80</w:t>
            </w:r>
          </w:p>
        </w:tc>
        <w:tc>
          <w:tcPr>
            <w:tcW w:w="1663" w:type="dxa"/>
            <w:shd w:val="clear" w:color="auto" w:fill="auto"/>
            <w:vAlign w:val="center"/>
          </w:tcPr>
          <w:p w14:paraId="1B9DFA64">
            <w:pPr>
              <w:pStyle w:val="49"/>
            </w:pPr>
            <w:r>
              <w:t>Elevation Data</w:t>
            </w:r>
          </w:p>
        </w:tc>
        <w:tc>
          <w:tcPr>
            <w:tcW w:w="1420" w:type="dxa"/>
            <w:shd w:val="clear" w:color="auto" w:fill="auto"/>
            <w:vAlign w:val="center"/>
          </w:tcPr>
          <w:p w14:paraId="037A6979">
            <w:pPr>
              <w:pStyle w:val="49"/>
            </w:pPr>
            <w:r>
              <w:t>2006</w:t>
            </w:r>
          </w:p>
        </w:tc>
        <w:tc>
          <w:tcPr>
            <w:tcW w:w="1162" w:type="dxa"/>
            <w:shd w:val="clear" w:color="auto" w:fill="auto"/>
            <w:vAlign w:val="center"/>
          </w:tcPr>
          <w:p w14:paraId="11153F6B">
            <w:pPr>
              <w:pStyle w:val="49"/>
            </w:pPr>
            <w:r>
              <w:t>190</w:t>
            </w:r>
          </w:p>
        </w:tc>
        <w:tc>
          <w:tcPr>
            <w:tcW w:w="1679" w:type="dxa"/>
            <w:shd w:val="clear" w:color="auto" w:fill="auto"/>
            <w:vAlign w:val="center"/>
          </w:tcPr>
          <w:p w14:paraId="180CE64D">
            <w:pPr>
              <w:pStyle w:val="49"/>
            </w:pPr>
            <w:r>
              <w:t>IRI</w:t>
            </w:r>
          </w:p>
        </w:tc>
        <w:tc>
          <w:tcPr>
            <w:tcW w:w="1421" w:type="dxa"/>
            <w:tcBorders>
              <w:right w:val="nil"/>
            </w:tcBorders>
            <w:shd w:val="clear" w:color="auto" w:fill="auto"/>
            <w:vAlign w:val="center"/>
          </w:tcPr>
          <w:p w14:paraId="6A22FBBB">
            <w:pPr>
              <w:pStyle w:val="49"/>
            </w:pPr>
            <w:r>
              <w:t>2008-2022</w:t>
            </w:r>
          </w:p>
        </w:tc>
      </w:tr>
      <w:tr w14:paraId="5224F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DBED104">
            <w:pPr>
              <w:pStyle w:val="49"/>
            </w:pPr>
            <w:r>
              <w:t>81</w:t>
            </w:r>
          </w:p>
        </w:tc>
        <w:tc>
          <w:tcPr>
            <w:tcW w:w="1663" w:type="dxa"/>
            <w:shd w:val="clear" w:color="auto" w:fill="auto"/>
            <w:vAlign w:val="center"/>
          </w:tcPr>
          <w:p w14:paraId="25DBDC20">
            <w:pPr>
              <w:pStyle w:val="49"/>
            </w:pPr>
            <w:r>
              <w:t>IRI</w:t>
            </w:r>
          </w:p>
        </w:tc>
        <w:tc>
          <w:tcPr>
            <w:tcW w:w="1420" w:type="dxa"/>
            <w:shd w:val="clear" w:color="auto" w:fill="auto"/>
            <w:vAlign w:val="center"/>
          </w:tcPr>
          <w:p w14:paraId="52988BAF">
            <w:pPr>
              <w:pStyle w:val="49"/>
            </w:pPr>
            <w:r>
              <w:t>2016</w:t>
            </w:r>
          </w:p>
        </w:tc>
        <w:tc>
          <w:tcPr>
            <w:tcW w:w="1162" w:type="dxa"/>
            <w:shd w:val="clear" w:color="auto" w:fill="auto"/>
            <w:vAlign w:val="center"/>
          </w:tcPr>
          <w:p w14:paraId="25A4085E">
            <w:pPr>
              <w:pStyle w:val="49"/>
            </w:pPr>
            <w:r>
              <w:t>191</w:t>
            </w:r>
          </w:p>
        </w:tc>
        <w:tc>
          <w:tcPr>
            <w:tcW w:w="1679" w:type="dxa"/>
            <w:shd w:val="clear" w:color="auto" w:fill="auto"/>
            <w:vAlign w:val="center"/>
          </w:tcPr>
          <w:p w14:paraId="29584179">
            <w:pPr>
              <w:pStyle w:val="49"/>
            </w:pPr>
            <w:r>
              <w:t>IRI</w:t>
            </w:r>
          </w:p>
        </w:tc>
        <w:tc>
          <w:tcPr>
            <w:tcW w:w="1421" w:type="dxa"/>
            <w:tcBorders>
              <w:right w:val="nil"/>
            </w:tcBorders>
            <w:shd w:val="clear" w:color="auto" w:fill="auto"/>
            <w:vAlign w:val="center"/>
          </w:tcPr>
          <w:p w14:paraId="73C9B12C">
            <w:pPr>
              <w:pStyle w:val="49"/>
            </w:pPr>
            <w:r>
              <w:t>2001-2012</w:t>
            </w:r>
          </w:p>
        </w:tc>
      </w:tr>
      <w:tr w14:paraId="7DA96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66D1AAC">
            <w:pPr>
              <w:pStyle w:val="49"/>
            </w:pPr>
            <w:r>
              <w:t>82</w:t>
            </w:r>
          </w:p>
        </w:tc>
        <w:tc>
          <w:tcPr>
            <w:tcW w:w="1663" w:type="dxa"/>
            <w:shd w:val="clear" w:color="auto" w:fill="auto"/>
            <w:vAlign w:val="center"/>
          </w:tcPr>
          <w:p w14:paraId="63175C99">
            <w:pPr>
              <w:pStyle w:val="49"/>
            </w:pPr>
            <w:r>
              <w:t>IRI</w:t>
            </w:r>
          </w:p>
        </w:tc>
        <w:tc>
          <w:tcPr>
            <w:tcW w:w="1420" w:type="dxa"/>
            <w:shd w:val="clear" w:color="auto" w:fill="auto"/>
            <w:vAlign w:val="center"/>
          </w:tcPr>
          <w:p w14:paraId="75EF153E">
            <w:pPr>
              <w:pStyle w:val="49"/>
            </w:pPr>
            <w:r>
              <w:t>2015</w:t>
            </w:r>
          </w:p>
        </w:tc>
        <w:tc>
          <w:tcPr>
            <w:tcW w:w="1162" w:type="dxa"/>
            <w:shd w:val="clear" w:color="auto" w:fill="auto"/>
            <w:vAlign w:val="center"/>
          </w:tcPr>
          <w:p w14:paraId="1CBF8838">
            <w:pPr>
              <w:pStyle w:val="49"/>
            </w:pPr>
            <w:r>
              <w:t>192</w:t>
            </w:r>
          </w:p>
        </w:tc>
        <w:tc>
          <w:tcPr>
            <w:tcW w:w="1679" w:type="dxa"/>
            <w:shd w:val="clear" w:color="auto" w:fill="auto"/>
            <w:vAlign w:val="center"/>
          </w:tcPr>
          <w:p w14:paraId="59A55202">
            <w:pPr>
              <w:pStyle w:val="49"/>
            </w:pPr>
            <w:r>
              <w:t>IRI</w:t>
            </w:r>
          </w:p>
        </w:tc>
        <w:tc>
          <w:tcPr>
            <w:tcW w:w="1421" w:type="dxa"/>
            <w:tcBorders>
              <w:right w:val="nil"/>
            </w:tcBorders>
            <w:shd w:val="clear" w:color="auto" w:fill="auto"/>
            <w:vAlign w:val="center"/>
          </w:tcPr>
          <w:p w14:paraId="17D9180C">
            <w:pPr>
              <w:pStyle w:val="49"/>
            </w:pPr>
            <w:r>
              <w:t>2011-2024</w:t>
            </w:r>
          </w:p>
        </w:tc>
      </w:tr>
      <w:tr w14:paraId="7ADD0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076E8030">
            <w:pPr>
              <w:pStyle w:val="49"/>
            </w:pPr>
            <w:r>
              <w:t>83</w:t>
            </w:r>
          </w:p>
        </w:tc>
        <w:tc>
          <w:tcPr>
            <w:tcW w:w="1663" w:type="dxa"/>
            <w:shd w:val="clear" w:color="auto" w:fill="auto"/>
            <w:vAlign w:val="center"/>
          </w:tcPr>
          <w:p w14:paraId="7DBCC6C5">
            <w:pPr>
              <w:pStyle w:val="49"/>
            </w:pPr>
            <w:r>
              <w:t>IRI</w:t>
            </w:r>
          </w:p>
        </w:tc>
        <w:tc>
          <w:tcPr>
            <w:tcW w:w="1420" w:type="dxa"/>
            <w:shd w:val="clear" w:color="auto" w:fill="auto"/>
            <w:vAlign w:val="center"/>
          </w:tcPr>
          <w:p w14:paraId="57C6CF8A">
            <w:pPr>
              <w:pStyle w:val="49"/>
            </w:pPr>
            <w:r>
              <w:t>2022</w:t>
            </w:r>
          </w:p>
        </w:tc>
        <w:tc>
          <w:tcPr>
            <w:tcW w:w="1162" w:type="dxa"/>
            <w:shd w:val="clear" w:color="auto" w:fill="auto"/>
            <w:vAlign w:val="center"/>
          </w:tcPr>
          <w:p w14:paraId="05102105">
            <w:pPr>
              <w:pStyle w:val="49"/>
            </w:pPr>
            <w:r>
              <w:t>193</w:t>
            </w:r>
          </w:p>
        </w:tc>
        <w:tc>
          <w:tcPr>
            <w:tcW w:w="1679" w:type="dxa"/>
            <w:shd w:val="clear" w:color="auto" w:fill="auto"/>
            <w:vAlign w:val="center"/>
          </w:tcPr>
          <w:p w14:paraId="065AD3E3">
            <w:pPr>
              <w:pStyle w:val="49"/>
            </w:pPr>
            <w:r>
              <w:t>IRI</w:t>
            </w:r>
          </w:p>
        </w:tc>
        <w:tc>
          <w:tcPr>
            <w:tcW w:w="1421" w:type="dxa"/>
            <w:tcBorders>
              <w:right w:val="nil"/>
            </w:tcBorders>
            <w:shd w:val="clear" w:color="auto" w:fill="auto"/>
            <w:vAlign w:val="center"/>
          </w:tcPr>
          <w:p w14:paraId="1BA5ACAC">
            <w:pPr>
              <w:pStyle w:val="49"/>
            </w:pPr>
            <w:r>
              <w:t>2005-2019</w:t>
            </w:r>
          </w:p>
        </w:tc>
      </w:tr>
      <w:tr w14:paraId="0408A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A223825">
            <w:pPr>
              <w:pStyle w:val="49"/>
            </w:pPr>
            <w:r>
              <w:t>84</w:t>
            </w:r>
          </w:p>
        </w:tc>
        <w:tc>
          <w:tcPr>
            <w:tcW w:w="1663" w:type="dxa"/>
            <w:shd w:val="clear" w:color="auto" w:fill="auto"/>
            <w:vAlign w:val="center"/>
          </w:tcPr>
          <w:p w14:paraId="2F5D2C53">
            <w:pPr>
              <w:pStyle w:val="49"/>
            </w:pPr>
            <w:r>
              <w:t>IRI</w:t>
            </w:r>
          </w:p>
        </w:tc>
        <w:tc>
          <w:tcPr>
            <w:tcW w:w="1420" w:type="dxa"/>
            <w:shd w:val="clear" w:color="auto" w:fill="auto"/>
            <w:vAlign w:val="center"/>
          </w:tcPr>
          <w:p w14:paraId="0391CE98">
            <w:pPr>
              <w:pStyle w:val="49"/>
            </w:pPr>
            <w:r>
              <w:t>2021</w:t>
            </w:r>
          </w:p>
        </w:tc>
        <w:tc>
          <w:tcPr>
            <w:tcW w:w="1162" w:type="dxa"/>
            <w:shd w:val="clear" w:color="auto" w:fill="auto"/>
            <w:vAlign w:val="center"/>
          </w:tcPr>
          <w:p w14:paraId="020364C1">
            <w:pPr>
              <w:pStyle w:val="49"/>
            </w:pPr>
            <w:r>
              <w:t>194</w:t>
            </w:r>
          </w:p>
        </w:tc>
        <w:tc>
          <w:tcPr>
            <w:tcW w:w="1679" w:type="dxa"/>
            <w:shd w:val="clear" w:color="auto" w:fill="auto"/>
            <w:vAlign w:val="center"/>
          </w:tcPr>
          <w:p w14:paraId="34BA855E">
            <w:pPr>
              <w:pStyle w:val="49"/>
            </w:pPr>
            <w:r>
              <w:t>IRI</w:t>
            </w:r>
          </w:p>
        </w:tc>
        <w:tc>
          <w:tcPr>
            <w:tcW w:w="1421" w:type="dxa"/>
            <w:tcBorders>
              <w:right w:val="nil"/>
            </w:tcBorders>
            <w:shd w:val="clear" w:color="auto" w:fill="auto"/>
            <w:vAlign w:val="center"/>
          </w:tcPr>
          <w:p w14:paraId="781AB600">
            <w:pPr>
              <w:pStyle w:val="49"/>
            </w:pPr>
            <w:r>
              <w:t>2002-2013</w:t>
            </w:r>
          </w:p>
        </w:tc>
      </w:tr>
      <w:tr w14:paraId="67533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981F795">
            <w:pPr>
              <w:pStyle w:val="49"/>
            </w:pPr>
            <w:r>
              <w:t>85</w:t>
            </w:r>
          </w:p>
        </w:tc>
        <w:tc>
          <w:tcPr>
            <w:tcW w:w="1663" w:type="dxa"/>
            <w:shd w:val="clear" w:color="auto" w:fill="auto"/>
            <w:vAlign w:val="center"/>
          </w:tcPr>
          <w:p w14:paraId="6BE7FFF2">
            <w:pPr>
              <w:pStyle w:val="49"/>
            </w:pPr>
            <w:r>
              <w:t>IRI</w:t>
            </w:r>
          </w:p>
        </w:tc>
        <w:tc>
          <w:tcPr>
            <w:tcW w:w="1420" w:type="dxa"/>
            <w:shd w:val="clear" w:color="auto" w:fill="auto"/>
            <w:vAlign w:val="center"/>
          </w:tcPr>
          <w:p w14:paraId="6C2E4C6A">
            <w:pPr>
              <w:pStyle w:val="49"/>
            </w:pPr>
            <w:r>
              <w:t>2008-2018</w:t>
            </w:r>
          </w:p>
        </w:tc>
        <w:tc>
          <w:tcPr>
            <w:tcW w:w="1162" w:type="dxa"/>
            <w:shd w:val="clear" w:color="auto" w:fill="auto"/>
            <w:vAlign w:val="center"/>
          </w:tcPr>
          <w:p w14:paraId="5BB7CF2B">
            <w:pPr>
              <w:pStyle w:val="49"/>
            </w:pPr>
            <w:r>
              <w:t>195</w:t>
            </w:r>
          </w:p>
        </w:tc>
        <w:tc>
          <w:tcPr>
            <w:tcW w:w="1679" w:type="dxa"/>
            <w:shd w:val="clear" w:color="auto" w:fill="auto"/>
            <w:vAlign w:val="center"/>
          </w:tcPr>
          <w:p w14:paraId="3B39F1CE">
            <w:pPr>
              <w:pStyle w:val="49"/>
            </w:pPr>
            <w:r>
              <w:t>IRI</w:t>
            </w:r>
          </w:p>
        </w:tc>
        <w:tc>
          <w:tcPr>
            <w:tcW w:w="1421" w:type="dxa"/>
            <w:tcBorders>
              <w:right w:val="nil"/>
            </w:tcBorders>
            <w:shd w:val="clear" w:color="auto" w:fill="auto"/>
            <w:vAlign w:val="center"/>
          </w:tcPr>
          <w:p w14:paraId="2D64D509">
            <w:pPr>
              <w:pStyle w:val="49"/>
            </w:pPr>
            <w:r>
              <w:t>2002-2016</w:t>
            </w:r>
          </w:p>
        </w:tc>
      </w:tr>
      <w:tr w14:paraId="7094A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AE52907">
            <w:pPr>
              <w:pStyle w:val="49"/>
            </w:pPr>
            <w:r>
              <w:t>86</w:t>
            </w:r>
          </w:p>
        </w:tc>
        <w:tc>
          <w:tcPr>
            <w:tcW w:w="1663" w:type="dxa"/>
            <w:shd w:val="clear" w:color="auto" w:fill="auto"/>
            <w:vAlign w:val="center"/>
          </w:tcPr>
          <w:p w14:paraId="480B70B6">
            <w:pPr>
              <w:pStyle w:val="49"/>
            </w:pPr>
            <w:r>
              <w:t>IRI</w:t>
            </w:r>
          </w:p>
        </w:tc>
        <w:tc>
          <w:tcPr>
            <w:tcW w:w="1420" w:type="dxa"/>
            <w:shd w:val="clear" w:color="auto" w:fill="auto"/>
            <w:vAlign w:val="center"/>
          </w:tcPr>
          <w:p w14:paraId="5C037573">
            <w:pPr>
              <w:pStyle w:val="49"/>
            </w:pPr>
            <w:r>
              <w:t>2011</w:t>
            </w:r>
          </w:p>
        </w:tc>
        <w:tc>
          <w:tcPr>
            <w:tcW w:w="1162" w:type="dxa"/>
            <w:shd w:val="clear" w:color="auto" w:fill="auto"/>
            <w:vAlign w:val="center"/>
          </w:tcPr>
          <w:p w14:paraId="691FA7D9">
            <w:pPr>
              <w:pStyle w:val="49"/>
            </w:pPr>
            <w:r>
              <w:t>196</w:t>
            </w:r>
          </w:p>
        </w:tc>
        <w:tc>
          <w:tcPr>
            <w:tcW w:w="1679" w:type="dxa"/>
            <w:shd w:val="clear" w:color="auto" w:fill="auto"/>
            <w:vAlign w:val="center"/>
          </w:tcPr>
          <w:p w14:paraId="630601B2">
            <w:pPr>
              <w:pStyle w:val="49"/>
            </w:pPr>
            <w:r>
              <w:t>IRI</w:t>
            </w:r>
          </w:p>
        </w:tc>
        <w:tc>
          <w:tcPr>
            <w:tcW w:w="1421" w:type="dxa"/>
            <w:tcBorders>
              <w:right w:val="nil"/>
            </w:tcBorders>
            <w:shd w:val="clear" w:color="auto" w:fill="auto"/>
            <w:vAlign w:val="center"/>
          </w:tcPr>
          <w:p w14:paraId="063E1246">
            <w:pPr>
              <w:pStyle w:val="49"/>
            </w:pPr>
            <w:r>
              <w:t>2009-2022</w:t>
            </w:r>
          </w:p>
        </w:tc>
      </w:tr>
      <w:tr w14:paraId="46EFB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FA2E28D">
            <w:pPr>
              <w:pStyle w:val="49"/>
            </w:pPr>
            <w:r>
              <w:t>87</w:t>
            </w:r>
          </w:p>
        </w:tc>
        <w:tc>
          <w:tcPr>
            <w:tcW w:w="1663" w:type="dxa"/>
            <w:shd w:val="clear" w:color="auto" w:fill="auto"/>
            <w:vAlign w:val="center"/>
          </w:tcPr>
          <w:p w14:paraId="0D33D86B">
            <w:pPr>
              <w:pStyle w:val="49"/>
            </w:pPr>
            <w:r>
              <w:t>IRI</w:t>
            </w:r>
          </w:p>
        </w:tc>
        <w:tc>
          <w:tcPr>
            <w:tcW w:w="1420" w:type="dxa"/>
            <w:shd w:val="clear" w:color="auto" w:fill="auto"/>
            <w:vAlign w:val="center"/>
          </w:tcPr>
          <w:p w14:paraId="74F4EF21">
            <w:pPr>
              <w:pStyle w:val="49"/>
            </w:pPr>
            <w:r>
              <w:t>2017</w:t>
            </w:r>
          </w:p>
        </w:tc>
        <w:tc>
          <w:tcPr>
            <w:tcW w:w="1162" w:type="dxa"/>
            <w:shd w:val="clear" w:color="auto" w:fill="auto"/>
            <w:vAlign w:val="center"/>
          </w:tcPr>
          <w:p w14:paraId="0BF358F9">
            <w:pPr>
              <w:pStyle w:val="49"/>
            </w:pPr>
            <w:r>
              <w:t>197</w:t>
            </w:r>
          </w:p>
        </w:tc>
        <w:tc>
          <w:tcPr>
            <w:tcW w:w="1679" w:type="dxa"/>
            <w:shd w:val="clear" w:color="auto" w:fill="auto"/>
            <w:vAlign w:val="center"/>
          </w:tcPr>
          <w:p w14:paraId="29658E3B">
            <w:pPr>
              <w:pStyle w:val="49"/>
            </w:pPr>
            <w:r>
              <w:t>IRI</w:t>
            </w:r>
          </w:p>
        </w:tc>
        <w:tc>
          <w:tcPr>
            <w:tcW w:w="1421" w:type="dxa"/>
            <w:tcBorders>
              <w:right w:val="nil"/>
            </w:tcBorders>
            <w:shd w:val="clear" w:color="auto" w:fill="auto"/>
            <w:vAlign w:val="center"/>
          </w:tcPr>
          <w:p w14:paraId="563D046B">
            <w:pPr>
              <w:pStyle w:val="49"/>
            </w:pPr>
            <w:r>
              <w:t>2000-2010</w:t>
            </w:r>
          </w:p>
        </w:tc>
      </w:tr>
      <w:tr w14:paraId="730FC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E36BAEC">
            <w:pPr>
              <w:pStyle w:val="49"/>
            </w:pPr>
            <w:r>
              <w:t>88</w:t>
            </w:r>
          </w:p>
        </w:tc>
        <w:tc>
          <w:tcPr>
            <w:tcW w:w="1663" w:type="dxa"/>
            <w:shd w:val="clear" w:color="auto" w:fill="auto"/>
            <w:vAlign w:val="center"/>
          </w:tcPr>
          <w:p w14:paraId="40925AD1">
            <w:pPr>
              <w:pStyle w:val="49"/>
            </w:pPr>
            <w:r>
              <w:t>Elevation Data</w:t>
            </w:r>
          </w:p>
        </w:tc>
        <w:tc>
          <w:tcPr>
            <w:tcW w:w="1420" w:type="dxa"/>
            <w:shd w:val="clear" w:color="auto" w:fill="auto"/>
            <w:vAlign w:val="center"/>
          </w:tcPr>
          <w:p w14:paraId="189FF4A2">
            <w:pPr>
              <w:pStyle w:val="49"/>
            </w:pPr>
            <w:r>
              <w:t>2007</w:t>
            </w:r>
          </w:p>
        </w:tc>
        <w:tc>
          <w:tcPr>
            <w:tcW w:w="1162" w:type="dxa"/>
            <w:shd w:val="clear" w:color="auto" w:fill="auto"/>
            <w:vAlign w:val="center"/>
          </w:tcPr>
          <w:p w14:paraId="7A2A8227">
            <w:pPr>
              <w:pStyle w:val="49"/>
            </w:pPr>
            <w:r>
              <w:t>198</w:t>
            </w:r>
          </w:p>
        </w:tc>
        <w:tc>
          <w:tcPr>
            <w:tcW w:w="1679" w:type="dxa"/>
            <w:shd w:val="clear" w:color="auto" w:fill="auto"/>
            <w:vAlign w:val="center"/>
          </w:tcPr>
          <w:p w14:paraId="57B44997">
            <w:pPr>
              <w:pStyle w:val="49"/>
            </w:pPr>
            <w:r>
              <w:t>IRI</w:t>
            </w:r>
          </w:p>
        </w:tc>
        <w:tc>
          <w:tcPr>
            <w:tcW w:w="1421" w:type="dxa"/>
            <w:tcBorders>
              <w:right w:val="nil"/>
            </w:tcBorders>
            <w:shd w:val="clear" w:color="auto" w:fill="auto"/>
            <w:vAlign w:val="center"/>
          </w:tcPr>
          <w:p w14:paraId="3E80FE37">
            <w:pPr>
              <w:pStyle w:val="49"/>
            </w:pPr>
            <w:r>
              <w:t>2004-2018</w:t>
            </w:r>
          </w:p>
        </w:tc>
      </w:tr>
      <w:tr w14:paraId="6C054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18E31D1">
            <w:pPr>
              <w:pStyle w:val="49"/>
            </w:pPr>
            <w:r>
              <w:t>89</w:t>
            </w:r>
          </w:p>
        </w:tc>
        <w:tc>
          <w:tcPr>
            <w:tcW w:w="1663" w:type="dxa"/>
            <w:shd w:val="clear" w:color="auto" w:fill="auto"/>
            <w:vAlign w:val="center"/>
          </w:tcPr>
          <w:p w14:paraId="1182BDC5">
            <w:pPr>
              <w:pStyle w:val="49"/>
            </w:pPr>
            <w:r>
              <w:t>IRI</w:t>
            </w:r>
          </w:p>
        </w:tc>
        <w:tc>
          <w:tcPr>
            <w:tcW w:w="1420" w:type="dxa"/>
            <w:shd w:val="clear" w:color="auto" w:fill="auto"/>
            <w:vAlign w:val="center"/>
          </w:tcPr>
          <w:p w14:paraId="2842B69F">
            <w:pPr>
              <w:pStyle w:val="49"/>
            </w:pPr>
            <w:r>
              <w:t>2006</w:t>
            </w:r>
          </w:p>
        </w:tc>
        <w:tc>
          <w:tcPr>
            <w:tcW w:w="1162" w:type="dxa"/>
            <w:shd w:val="clear" w:color="auto" w:fill="auto"/>
            <w:vAlign w:val="center"/>
          </w:tcPr>
          <w:p w14:paraId="452F2FD4">
            <w:pPr>
              <w:pStyle w:val="49"/>
            </w:pPr>
            <w:r>
              <w:t>199</w:t>
            </w:r>
          </w:p>
        </w:tc>
        <w:tc>
          <w:tcPr>
            <w:tcW w:w="1679" w:type="dxa"/>
            <w:shd w:val="clear" w:color="auto" w:fill="auto"/>
            <w:vAlign w:val="center"/>
          </w:tcPr>
          <w:p w14:paraId="0F1E7B70">
            <w:pPr>
              <w:pStyle w:val="49"/>
            </w:pPr>
            <w:r>
              <w:t>IRI</w:t>
            </w:r>
          </w:p>
        </w:tc>
        <w:tc>
          <w:tcPr>
            <w:tcW w:w="1421" w:type="dxa"/>
            <w:tcBorders>
              <w:right w:val="nil"/>
            </w:tcBorders>
            <w:shd w:val="clear" w:color="auto" w:fill="auto"/>
            <w:vAlign w:val="center"/>
          </w:tcPr>
          <w:p w14:paraId="7A7DA2DA">
            <w:pPr>
              <w:pStyle w:val="49"/>
            </w:pPr>
            <w:r>
              <w:t>2007-2021</w:t>
            </w:r>
          </w:p>
        </w:tc>
      </w:tr>
      <w:tr w14:paraId="61EF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F52D322">
            <w:pPr>
              <w:pStyle w:val="49"/>
            </w:pPr>
            <w:r>
              <w:t>90</w:t>
            </w:r>
          </w:p>
        </w:tc>
        <w:tc>
          <w:tcPr>
            <w:tcW w:w="1663" w:type="dxa"/>
            <w:shd w:val="clear" w:color="auto" w:fill="auto"/>
            <w:vAlign w:val="center"/>
          </w:tcPr>
          <w:p w14:paraId="459D7D25">
            <w:pPr>
              <w:pStyle w:val="49"/>
            </w:pPr>
            <w:r>
              <w:t>IRI</w:t>
            </w:r>
          </w:p>
        </w:tc>
        <w:tc>
          <w:tcPr>
            <w:tcW w:w="1420" w:type="dxa"/>
            <w:shd w:val="clear" w:color="auto" w:fill="auto"/>
            <w:vAlign w:val="center"/>
          </w:tcPr>
          <w:p w14:paraId="3D8D0606">
            <w:pPr>
              <w:pStyle w:val="49"/>
            </w:pPr>
            <w:r>
              <w:t>2014</w:t>
            </w:r>
          </w:p>
        </w:tc>
        <w:tc>
          <w:tcPr>
            <w:tcW w:w="1162" w:type="dxa"/>
            <w:shd w:val="clear" w:color="auto" w:fill="auto"/>
            <w:vAlign w:val="center"/>
          </w:tcPr>
          <w:p w14:paraId="45D2CCE7">
            <w:pPr>
              <w:pStyle w:val="49"/>
            </w:pPr>
            <w:r>
              <w:t>200</w:t>
            </w:r>
          </w:p>
        </w:tc>
        <w:tc>
          <w:tcPr>
            <w:tcW w:w="1679" w:type="dxa"/>
            <w:shd w:val="clear" w:color="auto" w:fill="auto"/>
            <w:vAlign w:val="center"/>
          </w:tcPr>
          <w:p w14:paraId="18B40934">
            <w:pPr>
              <w:pStyle w:val="49"/>
            </w:pPr>
            <w:r>
              <w:t>IRI</w:t>
            </w:r>
          </w:p>
        </w:tc>
        <w:tc>
          <w:tcPr>
            <w:tcW w:w="1421" w:type="dxa"/>
            <w:tcBorders>
              <w:right w:val="nil"/>
            </w:tcBorders>
            <w:shd w:val="clear" w:color="auto" w:fill="auto"/>
            <w:vAlign w:val="center"/>
          </w:tcPr>
          <w:p w14:paraId="07FCB0E6">
            <w:pPr>
              <w:pStyle w:val="49"/>
            </w:pPr>
            <w:r>
              <w:t>2012-2023</w:t>
            </w:r>
          </w:p>
        </w:tc>
      </w:tr>
      <w:tr w14:paraId="5B6F6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775B15D7">
            <w:pPr>
              <w:pStyle w:val="49"/>
            </w:pPr>
            <w:r>
              <w:t>91</w:t>
            </w:r>
          </w:p>
        </w:tc>
        <w:tc>
          <w:tcPr>
            <w:tcW w:w="1663" w:type="dxa"/>
            <w:shd w:val="clear" w:color="auto" w:fill="auto"/>
            <w:vAlign w:val="center"/>
          </w:tcPr>
          <w:p w14:paraId="53A16D5F">
            <w:pPr>
              <w:pStyle w:val="49"/>
            </w:pPr>
            <w:r>
              <w:t>IRI</w:t>
            </w:r>
          </w:p>
        </w:tc>
        <w:tc>
          <w:tcPr>
            <w:tcW w:w="1420" w:type="dxa"/>
            <w:shd w:val="clear" w:color="auto" w:fill="auto"/>
            <w:vAlign w:val="center"/>
          </w:tcPr>
          <w:p w14:paraId="02F54F33">
            <w:pPr>
              <w:pStyle w:val="49"/>
            </w:pPr>
            <w:r>
              <w:t>2020</w:t>
            </w:r>
          </w:p>
        </w:tc>
        <w:tc>
          <w:tcPr>
            <w:tcW w:w="1162" w:type="dxa"/>
            <w:shd w:val="clear" w:color="auto" w:fill="auto"/>
            <w:vAlign w:val="center"/>
          </w:tcPr>
          <w:p w14:paraId="044D1C1F">
            <w:pPr>
              <w:pStyle w:val="49"/>
            </w:pPr>
            <w:r>
              <w:t>201</w:t>
            </w:r>
          </w:p>
        </w:tc>
        <w:tc>
          <w:tcPr>
            <w:tcW w:w="1679" w:type="dxa"/>
            <w:shd w:val="clear" w:color="auto" w:fill="auto"/>
            <w:vAlign w:val="center"/>
          </w:tcPr>
          <w:p w14:paraId="48367833">
            <w:pPr>
              <w:pStyle w:val="49"/>
            </w:pPr>
            <w:r>
              <w:t>IRI</w:t>
            </w:r>
          </w:p>
        </w:tc>
        <w:tc>
          <w:tcPr>
            <w:tcW w:w="1421" w:type="dxa"/>
            <w:tcBorders>
              <w:right w:val="nil"/>
            </w:tcBorders>
            <w:shd w:val="clear" w:color="auto" w:fill="auto"/>
            <w:vAlign w:val="center"/>
          </w:tcPr>
          <w:p w14:paraId="1264AFFF">
            <w:pPr>
              <w:pStyle w:val="49"/>
            </w:pPr>
            <w:r>
              <w:t>2000-2011</w:t>
            </w:r>
          </w:p>
        </w:tc>
      </w:tr>
      <w:tr w14:paraId="3019F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69D2C77">
            <w:pPr>
              <w:pStyle w:val="49"/>
            </w:pPr>
            <w:r>
              <w:t>92</w:t>
            </w:r>
          </w:p>
        </w:tc>
        <w:tc>
          <w:tcPr>
            <w:tcW w:w="1663" w:type="dxa"/>
            <w:shd w:val="clear" w:color="auto" w:fill="auto"/>
            <w:vAlign w:val="center"/>
          </w:tcPr>
          <w:p w14:paraId="1F52466C">
            <w:pPr>
              <w:pStyle w:val="49"/>
            </w:pPr>
            <w:r>
              <w:t>IRI</w:t>
            </w:r>
          </w:p>
        </w:tc>
        <w:tc>
          <w:tcPr>
            <w:tcW w:w="1420" w:type="dxa"/>
            <w:shd w:val="clear" w:color="auto" w:fill="auto"/>
            <w:vAlign w:val="center"/>
          </w:tcPr>
          <w:p w14:paraId="4B0BF7F0">
            <w:pPr>
              <w:pStyle w:val="49"/>
            </w:pPr>
            <w:r>
              <w:t>2018-2021</w:t>
            </w:r>
          </w:p>
        </w:tc>
        <w:tc>
          <w:tcPr>
            <w:tcW w:w="1162" w:type="dxa"/>
            <w:shd w:val="clear" w:color="auto" w:fill="auto"/>
            <w:vAlign w:val="center"/>
          </w:tcPr>
          <w:p w14:paraId="66F04924">
            <w:pPr>
              <w:pStyle w:val="49"/>
            </w:pPr>
            <w:r>
              <w:t>202</w:t>
            </w:r>
          </w:p>
        </w:tc>
        <w:tc>
          <w:tcPr>
            <w:tcW w:w="1679" w:type="dxa"/>
            <w:shd w:val="clear" w:color="auto" w:fill="auto"/>
            <w:vAlign w:val="center"/>
          </w:tcPr>
          <w:p w14:paraId="2A5D05AD">
            <w:pPr>
              <w:pStyle w:val="49"/>
            </w:pPr>
            <w:r>
              <w:t>IRI</w:t>
            </w:r>
          </w:p>
        </w:tc>
        <w:tc>
          <w:tcPr>
            <w:tcW w:w="1421" w:type="dxa"/>
            <w:tcBorders>
              <w:right w:val="nil"/>
            </w:tcBorders>
            <w:shd w:val="clear" w:color="auto" w:fill="auto"/>
            <w:vAlign w:val="center"/>
          </w:tcPr>
          <w:p w14:paraId="17AB1523">
            <w:pPr>
              <w:pStyle w:val="49"/>
            </w:pPr>
            <w:r>
              <w:t>2003-2019</w:t>
            </w:r>
          </w:p>
        </w:tc>
      </w:tr>
      <w:tr w14:paraId="73D01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8C39ED3">
            <w:pPr>
              <w:pStyle w:val="49"/>
            </w:pPr>
            <w:r>
              <w:t>93</w:t>
            </w:r>
          </w:p>
        </w:tc>
        <w:tc>
          <w:tcPr>
            <w:tcW w:w="1663" w:type="dxa"/>
            <w:shd w:val="clear" w:color="auto" w:fill="auto"/>
            <w:vAlign w:val="center"/>
          </w:tcPr>
          <w:p w14:paraId="5CC549C9">
            <w:pPr>
              <w:pStyle w:val="49"/>
            </w:pPr>
            <w:r>
              <w:t>IRI</w:t>
            </w:r>
          </w:p>
        </w:tc>
        <w:tc>
          <w:tcPr>
            <w:tcW w:w="1420" w:type="dxa"/>
            <w:shd w:val="clear" w:color="auto" w:fill="auto"/>
            <w:vAlign w:val="center"/>
          </w:tcPr>
          <w:p w14:paraId="66A31360">
            <w:pPr>
              <w:pStyle w:val="49"/>
            </w:pPr>
            <w:r>
              <w:t>2019</w:t>
            </w:r>
          </w:p>
        </w:tc>
        <w:tc>
          <w:tcPr>
            <w:tcW w:w="1162" w:type="dxa"/>
            <w:shd w:val="clear" w:color="auto" w:fill="auto"/>
            <w:vAlign w:val="center"/>
          </w:tcPr>
          <w:p w14:paraId="6EC67FEF">
            <w:pPr>
              <w:pStyle w:val="49"/>
            </w:pPr>
            <w:r>
              <w:t>203</w:t>
            </w:r>
          </w:p>
        </w:tc>
        <w:tc>
          <w:tcPr>
            <w:tcW w:w="1679" w:type="dxa"/>
            <w:shd w:val="clear" w:color="auto" w:fill="auto"/>
            <w:vAlign w:val="center"/>
          </w:tcPr>
          <w:p w14:paraId="4B8F7DA2">
            <w:pPr>
              <w:pStyle w:val="49"/>
            </w:pPr>
            <w:r>
              <w:t>IRI</w:t>
            </w:r>
          </w:p>
        </w:tc>
        <w:tc>
          <w:tcPr>
            <w:tcW w:w="1421" w:type="dxa"/>
            <w:tcBorders>
              <w:right w:val="nil"/>
            </w:tcBorders>
            <w:shd w:val="clear" w:color="auto" w:fill="auto"/>
            <w:vAlign w:val="center"/>
          </w:tcPr>
          <w:p w14:paraId="5D1CEB31">
            <w:pPr>
              <w:pStyle w:val="49"/>
            </w:pPr>
            <w:r>
              <w:t>2006-2020</w:t>
            </w:r>
          </w:p>
        </w:tc>
      </w:tr>
      <w:tr w14:paraId="30E5E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E82E93D">
            <w:pPr>
              <w:pStyle w:val="49"/>
            </w:pPr>
            <w:r>
              <w:t>94</w:t>
            </w:r>
          </w:p>
        </w:tc>
        <w:tc>
          <w:tcPr>
            <w:tcW w:w="1663" w:type="dxa"/>
            <w:shd w:val="clear" w:color="auto" w:fill="auto"/>
            <w:vAlign w:val="center"/>
          </w:tcPr>
          <w:p w14:paraId="73D53B0E">
            <w:pPr>
              <w:pStyle w:val="49"/>
            </w:pPr>
            <w:r>
              <w:t>IRI</w:t>
            </w:r>
          </w:p>
        </w:tc>
        <w:tc>
          <w:tcPr>
            <w:tcW w:w="1420" w:type="dxa"/>
            <w:shd w:val="clear" w:color="auto" w:fill="auto"/>
            <w:vAlign w:val="center"/>
          </w:tcPr>
          <w:p w14:paraId="1CA42F38">
            <w:pPr>
              <w:pStyle w:val="49"/>
            </w:pPr>
            <w:r>
              <w:t>2022</w:t>
            </w:r>
          </w:p>
        </w:tc>
        <w:tc>
          <w:tcPr>
            <w:tcW w:w="1162" w:type="dxa"/>
            <w:shd w:val="clear" w:color="auto" w:fill="auto"/>
            <w:vAlign w:val="center"/>
          </w:tcPr>
          <w:p w14:paraId="7FD8CABF">
            <w:pPr>
              <w:pStyle w:val="49"/>
            </w:pPr>
            <w:r>
              <w:t>204</w:t>
            </w:r>
          </w:p>
        </w:tc>
        <w:tc>
          <w:tcPr>
            <w:tcW w:w="1679" w:type="dxa"/>
            <w:shd w:val="clear" w:color="auto" w:fill="auto"/>
            <w:vAlign w:val="center"/>
          </w:tcPr>
          <w:p w14:paraId="6FE1CEAF">
            <w:pPr>
              <w:pStyle w:val="49"/>
            </w:pPr>
            <w:r>
              <w:t>IRI</w:t>
            </w:r>
          </w:p>
        </w:tc>
        <w:tc>
          <w:tcPr>
            <w:tcW w:w="1421" w:type="dxa"/>
            <w:tcBorders>
              <w:right w:val="nil"/>
            </w:tcBorders>
            <w:shd w:val="clear" w:color="auto" w:fill="auto"/>
            <w:vAlign w:val="center"/>
          </w:tcPr>
          <w:p w14:paraId="2D6D6969">
            <w:pPr>
              <w:pStyle w:val="49"/>
            </w:pPr>
            <w:r>
              <w:t>2001-2015</w:t>
            </w:r>
          </w:p>
        </w:tc>
      </w:tr>
      <w:tr w14:paraId="17621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E32E648">
            <w:pPr>
              <w:pStyle w:val="49"/>
            </w:pPr>
            <w:r>
              <w:t>95</w:t>
            </w:r>
          </w:p>
        </w:tc>
        <w:tc>
          <w:tcPr>
            <w:tcW w:w="1663" w:type="dxa"/>
            <w:shd w:val="clear" w:color="auto" w:fill="auto"/>
            <w:vAlign w:val="center"/>
          </w:tcPr>
          <w:p w14:paraId="102073FC">
            <w:pPr>
              <w:pStyle w:val="49"/>
            </w:pPr>
            <w:r>
              <w:t>IRI</w:t>
            </w:r>
          </w:p>
        </w:tc>
        <w:tc>
          <w:tcPr>
            <w:tcW w:w="1420" w:type="dxa"/>
            <w:shd w:val="clear" w:color="auto" w:fill="auto"/>
            <w:vAlign w:val="center"/>
          </w:tcPr>
          <w:p w14:paraId="37760BEC">
            <w:pPr>
              <w:pStyle w:val="49"/>
            </w:pPr>
            <w:r>
              <w:t>2013</w:t>
            </w:r>
          </w:p>
        </w:tc>
        <w:tc>
          <w:tcPr>
            <w:tcW w:w="1162" w:type="dxa"/>
            <w:shd w:val="clear" w:color="auto" w:fill="auto"/>
            <w:vAlign w:val="center"/>
          </w:tcPr>
          <w:p w14:paraId="4FD66488">
            <w:pPr>
              <w:pStyle w:val="49"/>
            </w:pPr>
            <w:r>
              <w:t>205</w:t>
            </w:r>
          </w:p>
        </w:tc>
        <w:tc>
          <w:tcPr>
            <w:tcW w:w="1679" w:type="dxa"/>
            <w:shd w:val="clear" w:color="auto" w:fill="auto"/>
            <w:vAlign w:val="center"/>
          </w:tcPr>
          <w:p w14:paraId="479AAD48">
            <w:pPr>
              <w:pStyle w:val="49"/>
            </w:pPr>
            <w:r>
              <w:t>IRI</w:t>
            </w:r>
          </w:p>
        </w:tc>
        <w:tc>
          <w:tcPr>
            <w:tcW w:w="1421" w:type="dxa"/>
            <w:tcBorders>
              <w:right w:val="nil"/>
            </w:tcBorders>
            <w:shd w:val="clear" w:color="auto" w:fill="auto"/>
            <w:vAlign w:val="center"/>
          </w:tcPr>
          <w:p w14:paraId="1E8B08F2">
            <w:pPr>
              <w:pStyle w:val="49"/>
            </w:pPr>
            <w:r>
              <w:t>2008-2022</w:t>
            </w:r>
          </w:p>
        </w:tc>
      </w:tr>
      <w:tr w14:paraId="31E51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626C0DB">
            <w:pPr>
              <w:pStyle w:val="49"/>
            </w:pPr>
            <w:r>
              <w:t>96</w:t>
            </w:r>
          </w:p>
        </w:tc>
        <w:tc>
          <w:tcPr>
            <w:tcW w:w="1663" w:type="dxa"/>
            <w:shd w:val="clear" w:color="auto" w:fill="auto"/>
            <w:vAlign w:val="center"/>
          </w:tcPr>
          <w:p w14:paraId="2F5A66E2">
            <w:pPr>
              <w:pStyle w:val="49"/>
            </w:pPr>
            <w:r>
              <w:t>Elevation Data</w:t>
            </w:r>
          </w:p>
        </w:tc>
        <w:tc>
          <w:tcPr>
            <w:tcW w:w="1420" w:type="dxa"/>
            <w:shd w:val="clear" w:color="auto" w:fill="auto"/>
            <w:vAlign w:val="center"/>
          </w:tcPr>
          <w:p w14:paraId="759DC63E">
            <w:pPr>
              <w:pStyle w:val="49"/>
            </w:pPr>
            <w:r>
              <w:t>2010-2019</w:t>
            </w:r>
          </w:p>
        </w:tc>
        <w:tc>
          <w:tcPr>
            <w:tcW w:w="1162" w:type="dxa"/>
            <w:shd w:val="clear" w:color="auto" w:fill="auto"/>
            <w:vAlign w:val="center"/>
          </w:tcPr>
          <w:p w14:paraId="1C647C10">
            <w:pPr>
              <w:pStyle w:val="49"/>
            </w:pPr>
            <w:r>
              <w:t>206</w:t>
            </w:r>
          </w:p>
        </w:tc>
        <w:tc>
          <w:tcPr>
            <w:tcW w:w="1679" w:type="dxa"/>
            <w:shd w:val="clear" w:color="auto" w:fill="auto"/>
            <w:vAlign w:val="center"/>
          </w:tcPr>
          <w:p w14:paraId="099B0C89">
            <w:pPr>
              <w:pStyle w:val="49"/>
            </w:pPr>
            <w:r>
              <w:t>IRI</w:t>
            </w:r>
          </w:p>
        </w:tc>
        <w:tc>
          <w:tcPr>
            <w:tcW w:w="1421" w:type="dxa"/>
            <w:tcBorders>
              <w:right w:val="nil"/>
            </w:tcBorders>
            <w:shd w:val="clear" w:color="auto" w:fill="auto"/>
            <w:vAlign w:val="center"/>
          </w:tcPr>
          <w:p w14:paraId="12819425">
            <w:pPr>
              <w:pStyle w:val="49"/>
            </w:pPr>
            <w:r>
              <w:t>2001-2017</w:t>
            </w:r>
          </w:p>
        </w:tc>
      </w:tr>
      <w:tr w14:paraId="65C3C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4870EBCE">
            <w:pPr>
              <w:pStyle w:val="49"/>
            </w:pPr>
            <w:r>
              <w:t>97</w:t>
            </w:r>
          </w:p>
        </w:tc>
        <w:tc>
          <w:tcPr>
            <w:tcW w:w="1663" w:type="dxa"/>
            <w:shd w:val="clear" w:color="auto" w:fill="auto"/>
            <w:vAlign w:val="center"/>
          </w:tcPr>
          <w:p w14:paraId="64E5B3B6">
            <w:pPr>
              <w:pStyle w:val="49"/>
            </w:pPr>
            <w:r>
              <w:t>IRI</w:t>
            </w:r>
          </w:p>
        </w:tc>
        <w:tc>
          <w:tcPr>
            <w:tcW w:w="1420" w:type="dxa"/>
            <w:shd w:val="clear" w:color="auto" w:fill="auto"/>
            <w:vAlign w:val="center"/>
          </w:tcPr>
          <w:p w14:paraId="7F5E8288">
            <w:pPr>
              <w:pStyle w:val="49"/>
            </w:pPr>
            <w:r>
              <w:t>2009-2022</w:t>
            </w:r>
          </w:p>
        </w:tc>
        <w:tc>
          <w:tcPr>
            <w:tcW w:w="1162" w:type="dxa"/>
            <w:shd w:val="clear" w:color="auto" w:fill="auto"/>
            <w:vAlign w:val="center"/>
          </w:tcPr>
          <w:p w14:paraId="2D7B9334">
            <w:pPr>
              <w:pStyle w:val="49"/>
            </w:pPr>
            <w:r>
              <w:t>207</w:t>
            </w:r>
          </w:p>
        </w:tc>
        <w:tc>
          <w:tcPr>
            <w:tcW w:w="1679" w:type="dxa"/>
            <w:shd w:val="clear" w:color="auto" w:fill="auto"/>
            <w:vAlign w:val="center"/>
          </w:tcPr>
          <w:p w14:paraId="45F7DF59">
            <w:pPr>
              <w:pStyle w:val="49"/>
            </w:pPr>
            <w:r>
              <w:t>IRI</w:t>
            </w:r>
          </w:p>
        </w:tc>
        <w:tc>
          <w:tcPr>
            <w:tcW w:w="1421" w:type="dxa"/>
            <w:tcBorders>
              <w:right w:val="nil"/>
            </w:tcBorders>
            <w:shd w:val="clear" w:color="auto" w:fill="auto"/>
            <w:vAlign w:val="center"/>
          </w:tcPr>
          <w:p w14:paraId="7F9792E6">
            <w:pPr>
              <w:pStyle w:val="49"/>
            </w:pPr>
            <w:r>
              <w:t>2010-2023</w:t>
            </w:r>
          </w:p>
        </w:tc>
      </w:tr>
      <w:tr w14:paraId="45E9C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0892421">
            <w:pPr>
              <w:pStyle w:val="49"/>
            </w:pPr>
            <w:r>
              <w:t>98</w:t>
            </w:r>
          </w:p>
        </w:tc>
        <w:tc>
          <w:tcPr>
            <w:tcW w:w="1663" w:type="dxa"/>
            <w:shd w:val="clear" w:color="auto" w:fill="auto"/>
            <w:vAlign w:val="center"/>
          </w:tcPr>
          <w:p w14:paraId="709EA08A">
            <w:pPr>
              <w:pStyle w:val="49"/>
            </w:pPr>
            <w:r>
              <w:t>IRI</w:t>
            </w:r>
          </w:p>
        </w:tc>
        <w:tc>
          <w:tcPr>
            <w:tcW w:w="1420" w:type="dxa"/>
            <w:shd w:val="clear" w:color="auto" w:fill="auto"/>
            <w:vAlign w:val="center"/>
          </w:tcPr>
          <w:p w14:paraId="095C9A89">
            <w:pPr>
              <w:pStyle w:val="49"/>
            </w:pPr>
            <w:r>
              <w:t>2016</w:t>
            </w:r>
          </w:p>
        </w:tc>
        <w:tc>
          <w:tcPr>
            <w:tcW w:w="1162" w:type="dxa"/>
            <w:shd w:val="clear" w:color="auto" w:fill="auto"/>
            <w:vAlign w:val="center"/>
          </w:tcPr>
          <w:p w14:paraId="1E7F015B">
            <w:pPr>
              <w:pStyle w:val="49"/>
            </w:pPr>
            <w:r>
              <w:t>208</w:t>
            </w:r>
          </w:p>
        </w:tc>
        <w:tc>
          <w:tcPr>
            <w:tcW w:w="1679" w:type="dxa"/>
            <w:shd w:val="clear" w:color="auto" w:fill="auto"/>
            <w:vAlign w:val="center"/>
          </w:tcPr>
          <w:p w14:paraId="1CCA4D5E">
            <w:pPr>
              <w:pStyle w:val="49"/>
            </w:pPr>
            <w:r>
              <w:t>IRI</w:t>
            </w:r>
          </w:p>
        </w:tc>
        <w:tc>
          <w:tcPr>
            <w:tcW w:w="1421" w:type="dxa"/>
            <w:tcBorders>
              <w:right w:val="nil"/>
            </w:tcBorders>
            <w:shd w:val="clear" w:color="auto" w:fill="auto"/>
            <w:vAlign w:val="center"/>
          </w:tcPr>
          <w:p w14:paraId="263CC2E0">
            <w:pPr>
              <w:pStyle w:val="49"/>
            </w:pPr>
            <w:r>
              <w:t>2006-2012</w:t>
            </w:r>
          </w:p>
        </w:tc>
      </w:tr>
      <w:tr w14:paraId="15891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C619300">
            <w:pPr>
              <w:pStyle w:val="49"/>
            </w:pPr>
            <w:r>
              <w:t>99</w:t>
            </w:r>
          </w:p>
        </w:tc>
        <w:tc>
          <w:tcPr>
            <w:tcW w:w="1663" w:type="dxa"/>
            <w:shd w:val="clear" w:color="auto" w:fill="auto"/>
            <w:vAlign w:val="center"/>
          </w:tcPr>
          <w:p w14:paraId="49567CA9">
            <w:pPr>
              <w:pStyle w:val="49"/>
            </w:pPr>
            <w:r>
              <w:t>IRI</w:t>
            </w:r>
          </w:p>
        </w:tc>
        <w:tc>
          <w:tcPr>
            <w:tcW w:w="1420" w:type="dxa"/>
            <w:shd w:val="clear" w:color="auto" w:fill="auto"/>
            <w:vAlign w:val="center"/>
          </w:tcPr>
          <w:p w14:paraId="41CE4579">
            <w:pPr>
              <w:pStyle w:val="49"/>
            </w:pPr>
            <w:r>
              <w:t>2021</w:t>
            </w:r>
          </w:p>
        </w:tc>
        <w:tc>
          <w:tcPr>
            <w:tcW w:w="1162" w:type="dxa"/>
            <w:shd w:val="clear" w:color="auto" w:fill="auto"/>
            <w:vAlign w:val="center"/>
          </w:tcPr>
          <w:p w14:paraId="030849C3">
            <w:pPr>
              <w:pStyle w:val="49"/>
            </w:pPr>
            <w:r>
              <w:t>209</w:t>
            </w:r>
          </w:p>
        </w:tc>
        <w:tc>
          <w:tcPr>
            <w:tcW w:w="1679" w:type="dxa"/>
            <w:shd w:val="clear" w:color="auto" w:fill="auto"/>
            <w:vAlign w:val="center"/>
          </w:tcPr>
          <w:p w14:paraId="15BAC93D">
            <w:pPr>
              <w:pStyle w:val="49"/>
            </w:pPr>
            <w:r>
              <w:t>IRI</w:t>
            </w:r>
          </w:p>
        </w:tc>
        <w:tc>
          <w:tcPr>
            <w:tcW w:w="1421" w:type="dxa"/>
            <w:tcBorders>
              <w:right w:val="nil"/>
            </w:tcBorders>
            <w:shd w:val="clear" w:color="auto" w:fill="auto"/>
            <w:vAlign w:val="center"/>
          </w:tcPr>
          <w:p w14:paraId="3E02F354">
            <w:pPr>
              <w:pStyle w:val="49"/>
            </w:pPr>
            <w:r>
              <w:t>2005-2018</w:t>
            </w:r>
          </w:p>
        </w:tc>
      </w:tr>
      <w:tr w14:paraId="2D007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2FB56735">
            <w:pPr>
              <w:pStyle w:val="49"/>
            </w:pPr>
            <w:r>
              <w:t>100</w:t>
            </w:r>
          </w:p>
        </w:tc>
        <w:tc>
          <w:tcPr>
            <w:tcW w:w="1663" w:type="dxa"/>
            <w:shd w:val="clear" w:color="auto" w:fill="auto"/>
            <w:vAlign w:val="center"/>
          </w:tcPr>
          <w:p w14:paraId="0A9E9FFF">
            <w:pPr>
              <w:pStyle w:val="49"/>
            </w:pPr>
            <w:r>
              <w:t>IRI</w:t>
            </w:r>
          </w:p>
        </w:tc>
        <w:tc>
          <w:tcPr>
            <w:tcW w:w="1420" w:type="dxa"/>
            <w:shd w:val="clear" w:color="auto" w:fill="auto"/>
            <w:vAlign w:val="center"/>
          </w:tcPr>
          <w:p w14:paraId="657BC868">
            <w:pPr>
              <w:pStyle w:val="49"/>
            </w:pPr>
            <w:r>
              <w:t>2015</w:t>
            </w:r>
          </w:p>
        </w:tc>
        <w:tc>
          <w:tcPr>
            <w:tcW w:w="1162" w:type="dxa"/>
            <w:shd w:val="clear" w:color="auto" w:fill="auto"/>
            <w:vAlign w:val="center"/>
          </w:tcPr>
          <w:p w14:paraId="35AF45E0">
            <w:pPr>
              <w:pStyle w:val="49"/>
            </w:pPr>
            <w:r>
              <w:t>210</w:t>
            </w:r>
          </w:p>
        </w:tc>
        <w:tc>
          <w:tcPr>
            <w:tcW w:w="1679" w:type="dxa"/>
            <w:shd w:val="clear" w:color="auto" w:fill="auto"/>
            <w:vAlign w:val="center"/>
          </w:tcPr>
          <w:p w14:paraId="58AF3AFC">
            <w:pPr>
              <w:pStyle w:val="49"/>
            </w:pPr>
            <w:r>
              <w:t>IRI</w:t>
            </w:r>
          </w:p>
        </w:tc>
        <w:tc>
          <w:tcPr>
            <w:tcW w:w="1421" w:type="dxa"/>
            <w:tcBorders>
              <w:right w:val="nil"/>
            </w:tcBorders>
            <w:shd w:val="clear" w:color="auto" w:fill="auto"/>
            <w:vAlign w:val="center"/>
          </w:tcPr>
          <w:p w14:paraId="0F9A6ECD">
            <w:pPr>
              <w:pStyle w:val="49"/>
            </w:pPr>
            <w:r>
              <w:t>2009-2021</w:t>
            </w:r>
          </w:p>
        </w:tc>
      </w:tr>
      <w:tr w14:paraId="21A6C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114575F">
            <w:pPr>
              <w:pStyle w:val="49"/>
            </w:pPr>
            <w:r>
              <w:t>101</w:t>
            </w:r>
          </w:p>
        </w:tc>
        <w:tc>
          <w:tcPr>
            <w:tcW w:w="1663" w:type="dxa"/>
            <w:shd w:val="clear" w:color="auto" w:fill="auto"/>
            <w:vAlign w:val="center"/>
          </w:tcPr>
          <w:p w14:paraId="251FB9ED">
            <w:pPr>
              <w:pStyle w:val="49"/>
            </w:pPr>
            <w:r>
              <w:t>IRI</w:t>
            </w:r>
          </w:p>
        </w:tc>
        <w:tc>
          <w:tcPr>
            <w:tcW w:w="1420" w:type="dxa"/>
            <w:shd w:val="clear" w:color="auto" w:fill="auto"/>
            <w:vAlign w:val="center"/>
          </w:tcPr>
          <w:p w14:paraId="360019BE">
            <w:pPr>
              <w:pStyle w:val="49"/>
            </w:pPr>
            <w:r>
              <w:t>2017</w:t>
            </w:r>
          </w:p>
        </w:tc>
        <w:tc>
          <w:tcPr>
            <w:tcW w:w="1162" w:type="dxa"/>
            <w:shd w:val="clear" w:color="auto" w:fill="auto"/>
            <w:vAlign w:val="center"/>
          </w:tcPr>
          <w:p w14:paraId="3CA4BAF2">
            <w:pPr>
              <w:pStyle w:val="49"/>
            </w:pPr>
            <w:r>
              <w:t>211</w:t>
            </w:r>
          </w:p>
        </w:tc>
        <w:tc>
          <w:tcPr>
            <w:tcW w:w="1679" w:type="dxa"/>
            <w:shd w:val="clear" w:color="auto" w:fill="auto"/>
            <w:vAlign w:val="center"/>
          </w:tcPr>
          <w:p w14:paraId="6CDDC69A">
            <w:pPr>
              <w:pStyle w:val="49"/>
            </w:pPr>
            <w:r>
              <w:t>IRI</w:t>
            </w:r>
          </w:p>
        </w:tc>
        <w:tc>
          <w:tcPr>
            <w:tcW w:w="1421" w:type="dxa"/>
            <w:tcBorders>
              <w:right w:val="nil"/>
            </w:tcBorders>
            <w:shd w:val="clear" w:color="auto" w:fill="auto"/>
            <w:vAlign w:val="center"/>
          </w:tcPr>
          <w:p w14:paraId="23A5844A">
            <w:pPr>
              <w:pStyle w:val="49"/>
            </w:pPr>
            <w:r>
              <w:t>2008-2014</w:t>
            </w:r>
          </w:p>
        </w:tc>
      </w:tr>
      <w:tr w14:paraId="43784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0C47C3C">
            <w:pPr>
              <w:pStyle w:val="49"/>
            </w:pPr>
            <w:r>
              <w:t>102</w:t>
            </w:r>
          </w:p>
        </w:tc>
        <w:tc>
          <w:tcPr>
            <w:tcW w:w="1663" w:type="dxa"/>
            <w:shd w:val="clear" w:color="auto" w:fill="auto"/>
            <w:vAlign w:val="center"/>
          </w:tcPr>
          <w:p w14:paraId="69B2DFBD">
            <w:pPr>
              <w:pStyle w:val="49"/>
            </w:pPr>
            <w:r>
              <w:t>Elevation Data、IRI</w:t>
            </w:r>
          </w:p>
        </w:tc>
        <w:tc>
          <w:tcPr>
            <w:tcW w:w="1420" w:type="dxa"/>
            <w:shd w:val="clear" w:color="auto" w:fill="auto"/>
            <w:vAlign w:val="center"/>
          </w:tcPr>
          <w:p w14:paraId="2591870A">
            <w:pPr>
              <w:pStyle w:val="49"/>
            </w:pPr>
            <w:r>
              <w:t>2020</w:t>
            </w:r>
          </w:p>
        </w:tc>
        <w:tc>
          <w:tcPr>
            <w:tcW w:w="1162" w:type="dxa"/>
            <w:shd w:val="clear" w:color="auto" w:fill="auto"/>
            <w:vAlign w:val="center"/>
          </w:tcPr>
          <w:p w14:paraId="218F2DC6">
            <w:pPr>
              <w:pStyle w:val="49"/>
            </w:pPr>
            <w:r>
              <w:t>212</w:t>
            </w:r>
          </w:p>
        </w:tc>
        <w:tc>
          <w:tcPr>
            <w:tcW w:w="1679" w:type="dxa"/>
            <w:shd w:val="clear" w:color="auto" w:fill="auto"/>
            <w:vAlign w:val="center"/>
          </w:tcPr>
          <w:p w14:paraId="51E8DD2C">
            <w:pPr>
              <w:pStyle w:val="49"/>
            </w:pPr>
            <w:r>
              <w:t>IRI</w:t>
            </w:r>
          </w:p>
        </w:tc>
        <w:tc>
          <w:tcPr>
            <w:tcW w:w="1421" w:type="dxa"/>
            <w:tcBorders>
              <w:right w:val="nil"/>
            </w:tcBorders>
            <w:shd w:val="clear" w:color="auto" w:fill="auto"/>
            <w:vAlign w:val="center"/>
          </w:tcPr>
          <w:p w14:paraId="3AD10B02">
            <w:pPr>
              <w:pStyle w:val="49"/>
            </w:pPr>
            <w:r>
              <w:t>2002-2016</w:t>
            </w:r>
          </w:p>
        </w:tc>
      </w:tr>
      <w:tr w14:paraId="7E4A6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176F0BAF">
            <w:pPr>
              <w:pStyle w:val="49"/>
            </w:pPr>
            <w:r>
              <w:t>103</w:t>
            </w:r>
          </w:p>
        </w:tc>
        <w:tc>
          <w:tcPr>
            <w:tcW w:w="1663" w:type="dxa"/>
            <w:shd w:val="clear" w:color="auto" w:fill="auto"/>
            <w:vAlign w:val="center"/>
          </w:tcPr>
          <w:p w14:paraId="4CAFE48A">
            <w:pPr>
              <w:pStyle w:val="49"/>
            </w:pPr>
            <w:r>
              <w:t>IRI</w:t>
            </w:r>
          </w:p>
        </w:tc>
        <w:tc>
          <w:tcPr>
            <w:tcW w:w="1420" w:type="dxa"/>
            <w:shd w:val="clear" w:color="auto" w:fill="auto"/>
            <w:vAlign w:val="center"/>
          </w:tcPr>
          <w:p w14:paraId="44756F6C">
            <w:pPr>
              <w:pStyle w:val="49"/>
            </w:pPr>
            <w:r>
              <w:t>2014</w:t>
            </w:r>
          </w:p>
        </w:tc>
        <w:tc>
          <w:tcPr>
            <w:tcW w:w="1162" w:type="dxa"/>
            <w:shd w:val="clear" w:color="auto" w:fill="auto"/>
            <w:vAlign w:val="center"/>
          </w:tcPr>
          <w:p w14:paraId="432088EE">
            <w:pPr>
              <w:pStyle w:val="49"/>
            </w:pPr>
            <w:r>
              <w:t>213</w:t>
            </w:r>
          </w:p>
        </w:tc>
        <w:tc>
          <w:tcPr>
            <w:tcW w:w="1679" w:type="dxa"/>
            <w:shd w:val="clear" w:color="auto" w:fill="auto"/>
            <w:vAlign w:val="center"/>
          </w:tcPr>
          <w:p w14:paraId="79F080DE">
            <w:pPr>
              <w:pStyle w:val="49"/>
            </w:pPr>
            <w:r>
              <w:t>IRI</w:t>
            </w:r>
          </w:p>
        </w:tc>
        <w:tc>
          <w:tcPr>
            <w:tcW w:w="1421" w:type="dxa"/>
            <w:tcBorders>
              <w:right w:val="nil"/>
            </w:tcBorders>
            <w:shd w:val="clear" w:color="auto" w:fill="auto"/>
            <w:vAlign w:val="center"/>
          </w:tcPr>
          <w:p w14:paraId="38289C0F">
            <w:pPr>
              <w:pStyle w:val="49"/>
            </w:pPr>
            <w:r>
              <w:t>2007-2020</w:t>
            </w:r>
          </w:p>
        </w:tc>
      </w:tr>
      <w:tr w14:paraId="6239A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D2DBA89">
            <w:pPr>
              <w:pStyle w:val="49"/>
            </w:pPr>
            <w:r>
              <w:t>104</w:t>
            </w:r>
          </w:p>
        </w:tc>
        <w:tc>
          <w:tcPr>
            <w:tcW w:w="1663" w:type="dxa"/>
            <w:shd w:val="clear" w:color="auto" w:fill="auto"/>
            <w:vAlign w:val="center"/>
          </w:tcPr>
          <w:p w14:paraId="42BA8B6D">
            <w:pPr>
              <w:pStyle w:val="49"/>
            </w:pPr>
            <w:r>
              <w:t>IRI</w:t>
            </w:r>
          </w:p>
        </w:tc>
        <w:tc>
          <w:tcPr>
            <w:tcW w:w="1420" w:type="dxa"/>
            <w:shd w:val="clear" w:color="auto" w:fill="auto"/>
            <w:vAlign w:val="center"/>
          </w:tcPr>
          <w:p w14:paraId="58D8A2DC">
            <w:pPr>
              <w:pStyle w:val="49"/>
            </w:pPr>
            <w:r>
              <w:t>2014</w:t>
            </w:r>
          </w:p>
        </w:tc>
        <w:tc>
          <w:tcPr>
            <w:tcW w:w="1162" w:type="dxa"/>
            <w:shd w:val="clear" w:color="auto" w:fill="auto"/>
            <w:vAlign w:val="center"/>
          </w:tcPr>
          <w:p w14:paraId="08C2F284">
            <w:pPr>
              <w:pStyle w:val="49"/>
            </w:pPr>
            <w:r>
              <w:t>214</w:t>
            </w:r>
          </w:p>
        </w:tc>
        <w:tc>
          <w:tcPr>
            <w:tcW w:w="1679" w:type="dxa"/>
            <w:shd w:val="clear" w:color="auto" w:fill="auto"/>
            <w:vAlign w:val="center"/>
          </w:tcPr>
          <w:p w14:paraId="563C04C2">
            <w:pPr>
              <w:pStyle w:val="49"/>
            </w:pPr>
            <w:r>
              <w:t>IRI</w:t>
            </w:r>
          </w:p>
        </w:tc>
        <w:tc>
          <w:tcPr>
            <w:tcW w:w="1421" w:type="dxa"/>
            <w:tcBorders>
              <w:right w:val="nil"/>
            </w:tcBorders>
            <w:shd w:val="clear" w:color="auto" w:fill="auto"/>
            <w:vAlign w:val="center"/>
          </w:tcPr>
          <w:p w14:paraId="210CB5AA">
            <w:pPr>
              <w:pStyle w:val="49"/>
            </w:pPr>
            <w:r>
              <w:t>2005-2011</w:t>
            </w:r>
          </w:p>
        </w:tc>
      </w:tr>
      <w:tr w14:paraId="7A646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55D7D3A9">
            <w:pPr>
              <w:pStyle w:val="49"/>
            </w:pPr>
            <w:r>
              <w:t>105</w:t>
            </w:r>
          </w:p>
        </w:tc>
        <w:tc>
          <w:tcPr>
            <w:tcW w:w="1663" w:type="dxa"/>
            <w:shd w:val="clear" w:color="auto" w:fill="auto"/>
            <w:vAlign w:val="center"/>
          </w:tcPr>
          <w:p w14:paraId="7EF48EE4">
            <w:pPr>
              <w:pStyle w:val="49"/>
            </w:pPr>
            <w:r>
              <w:t>IRI</w:t>
            </w:r>
          </w:p>
        </w:tc>
        <w:tc>
          <w:tcPr>
            <w:tcW w:w="1420" w:type="dxa"/>
            <w:shd w:val="clear" w:color="auto" w:fill="auto"/>
            <w:vAlign w:val="center"/>
          </w:tcPr>
          <w:p w14:paraId="7C06816D">
            <w:pPr>
              <w:pStyle w:val="49"/>
            </w:pPr>
            <w:r>
              <w:t>2014-2017</w:t>
            </w:r>
          </w:p>
        </w:tc>
        <w:tc>
          <w:tcPr>
            <w:tcW w:w="1162" w:type="dxa"/>
            <w:shd w:val="clear" w:color="auto" w:fill="auto"/>
            <w:vAlign w:val="center"/>
          </w:tcPr>
          <w:p w14:paraId="4FB8CC29">
            <w:pPr>
              <w:pStyle w:val="49"/>
            </w:pPr>
            <w:r>
              <w:t>215</w:t>
            </w:r>
          </w:p>
        </w:tc>
        <w:tc>
          <w:tcPr>
            <w:tcW w:w="1679" w:type="dxa"/>
            <w:shd w:val="clear" w:color="auto" w:fill="auto"/>
            <w:vAlign w:val="center"/>
          </w:tcPr>
          <w:p w14:paraId="1AFAA7FC">
            <w:pPr>
              <w:pStyle w:val="49"/>
            </w:pPr>
            <w:r>
              <w:t>IRI</w:t>
            </w:r>
          </w:p>
        </w:tc>
        <w:tc>
          <w:tcPr>
            <w:tcW w:w="1421" w:type="dxa"/>
            <w:tcBorders>
              <w:right w:val="nil"/>
            </w:tcBorders>
            <w:shd w:val="clear" w:color="auto" w:fill="auto"/>
            <w:vAlign w:val="center"/>
          </w:tcPr>
          <w:p w14:paraId="3D99018A">
            <w:pPr>
              <w:pStyle w:val="49"/>
            </w:pPr>
            <w:r>
              <w:t>2004-2019</w:t>
            </w:r>
          </w:p>
        </w:tc>
      </w:tr>
      <w:tr w14:paraId="2E074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DF3D03C">
            <w:pPr>
              <w:pStyle w:val="49"/>
            </w:pPr>
            <w:r>
              <w:t>106</w:t>
            </w:r>
          </w:p>
        </w:tc>
        <w:tc>
          <w:tcPr>
            <w:tcW w:w="1663" w:type="dxa"/>
            <w:shd w:val="clear" w:color="auto" w:fill="auto"/>
            <w:vAlign w:val="center"/>
          </w:tcPr>
          <w:p w14:paraId="4B481779">
            <w:pPr>
              <w:pStyle w:val="49"/>
            </w:pPr>
            <w:r>
              <w:t>IRI</w:t>
            </w:r>
          </w:p>
        </w:tc>
        <w:tc>
          <w:tcPr>
            <w:tcW w:w="1420" w:type="dxa"/>
            <w:shd w:val="clear" w:color="auto" w:fill="auto"/>
            <w:vAlign w:val="center"/>
          </w:tcPr>
          <w:p w14:paraId="22C3DC62">
            <w:pPr>
              <w:pStyle w:val="49"/>
            </w:pPr>
            <w:r>
              <w:t>2016</w:t>
            </w:r>
          </w:p>
        </w:tc>
        <w:tc>
          <w:tcPr>
            <w:tcW w:w="1162" w:type="dxa"/>
            <w:shd w:val="clear" w:color="auto" w:fill="auto"/>
            <w:vAlign w:val="center"/>
          </w:tcPr>
          <w:p w14:paraId="0D9982B1">
            <w:pPr>
              <w:pStyle w:val="49"/>
            </w:pPr>
            <w:r>
              <w:t>216</w:t>
            </w:r>
          </w:p>
        </w:tc>
        <w:tc>
          <w:tcPr>
            <w:tcW w:w="1679" w:type="dxa"/>
            <w:shd w:val="clear" w:color="auto" w:fill="auto"/>
            <w:vAlign w:val="center"/>
          </w:tcPr>
          <w:p w14:paraId="39E2AA58">
            <w:pPr>
              <w:pStyle w:val="49"/>
            </w:pPr>
            <w:r>
              <w:t>IRI</w:t>
            </w:r>
          </w:p>
        </w:tc>
        <w:tc>
          <w:tcPr>
            <w:tcW w:w="1421" w:type="dxa"/>
            <w:tcBorders>
              <w:right w:val="nil"/>
            </w:tcBorders>
            <w:shd w:val="clear" w:color="auto" w:fill="auto"/>
            <w:vAlign w:val="center"/>
          </w:tcPr>
          <w:p w14:paraId="41CCCE64">
            <w:pPr>
              <w:pStyle w:val="49"/>
            </w:pPr>
            <w:r>
              <w:t>2011-2024</w:t>
            </w:r>
          </w:p>
        </w:tc>
      </w:tr>
      <w:tr w14:paraId="243F5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6863D210">
            <w:pPr>
              <w:pStyle w:val="49"/>
            </w:pPr>
            <w:r>
              <w:t>107</w:t>
            </w:r>
          </w:p>
        </w:tc>
        <w:tc>
          <w:tcPr>
            <w:tcW w:w="1663" w:type="dxa"/>
            <w:shd w:val="clear" w:color="auto" w:fill="auto"/>
            <w:vAlign w:val="center"/>
          </w:tcPr>
          <w:p w14:paraId="0B65E940">
            <w:pPr>
              <w:pStyle w:val="49"/>
            </w:pPr>
            <w:r>
              <w:t>Elevation Data</w:t>
            </w:r>
          </w:p>
        </w:tc>
        <w:tc>
          <w:tcPr>
            <w:tcW w:w="1420" w:type="dxa"/>
            <w:shd w:val="clear" w:color="auto" w:fill="auto"/>
            <w:vAlign w:val="center"/>
          </w:tcPr>
          <w:p w14:paraId="4F99773C">
            <w:pPr>
              <w:pStyle w:val="49"/>
            </w:pPr>
            <w:r>
              <w:t>2012</w:t>
            </w:r>
          </w:p>
        </w:tc>
        <w:tc>
          <w:tcPr>
            <w:tcW w:w="1162" w:type="dxa"/>
            <w:shd w:val="clear" w:color="auto" w:fill="auto"/>
            <w:vAlign w:val="center"/>
          </w:tcPr>
          <w:p w14:paraId="74C90EA4">
            <w:pPr>
              <w:pStyle w:val="49"/>
            </w:pPr>
            <w:r>
              <w:t>217</w:t>
            </w:r>
          </w:p>
        </w:tc>
        <w:tc>
          <w:tcPr>
            <w:tcW w:w="1679" w:type="dxa"/>
            <w:shd w:val="clear" w:color="auto" w:fill="auto"/>
            <w:vAlign w:val="center"/>
          </w:tcPr>
          <w:p w14:paraId="1AA3716F">
            <w:pPr>
              <w:pStyle w:val="49"/>
            </w:pPr>
            <w:r>
              <w:t>Elevation Data</w:t>
            </w:r>
          </w:p>
        </w:tc>
        <w:tc>
          <w:tcPr>
            <w:tcW w:w="1421" w:type="dxa"/>
            <w:tcBorders>
              <w:right w:val="nil"/>
            </w:tcBorders>
            <w:shd w:val="clear" w:color="auto" w:fill="auto"/>
            <w:vAlign w:val="center"/>
          </w:tcPr>
          <w:p w14:paraId="2B9FF670">
            <w:pPr>
              <w:pStyle w:val="49"/>
            </w:pPr>
            <w:r>
              <w:t>2003-2018</w:t>
            </w:r>
          </w:p>
        </w:tc>
      </w:tr>
      <w:tr w14:paraId="02FF7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tcBorders>
            <w:shd w:val="clear" w:color="auto" w:fill="auto"/>
            <w:vAlign w:val="center"/>
          </w:tcPr>
          <w:p w14:paraId="3DBDAF16">
            <w:pPr>
              <w:pStyle w:val="49"/>
            </w:pPr>
            <w:r>
              <w:t>108</w:t>
            </w:r>
          </w:p>
        </w:tc>
        <w:tc>
          <w:tcPr>
            <w:tcW w:w="1663" w:type="dxa"/>
            <w:shd w:val="clear" w:color="auto" w:fill="auto"/>
            <w:vAlign w:val="center"/>
          </w:tcPr>
          <w:p w14:paraId="435F4A1D">
            <w:pPr>
              <w:pStyle w:val="49"/>
            </w:pPr>
            <w:r>
              <w:t>IRI</w:t>
            </w:r>
          </w:p>
        </w:tc>
        <w:tc>
          <w:tcPr>
            <w:tcW w:w="1420" w:type="dxa"/>
            <w:shd w:val="clear" w:color="auto" w:fill="auto"/>
            <w:vAlign w:val="center"/>
          </w:tcPr>
          <w:p w14:paraId="7970B2E8">
            <w:pPr>
              <w:pStyle w:val="49"/>
            </w:pPr>
            <w:r>
              <w:t>2010</w:t>
            </w:r>
          </w:p>
        </w:tc>
        <w:tc>
          <w:tcPr>
            <w:tcW w:w="1162" w:type="dxa"/>
            <w:shd w:val="clear" w:color="auto" w:fill="auto"/>
            <w:vAlign w:val="center"/>
          </w:tcPr>
          <w:p w14:paraId="5C49BBE5">
            <w:pPr>
              <w:pStyle w:val="49"/>
            </w:pPr>
            <w:r>
              <w:t>218</w:t>
            </w:r>
          </w:p>
        </w:tc>
        <w:tc>
          <w:tcPr>
            <w:tcW w:w="1679" w:type="dxa"/>
            <w:shd w:val="clear" w:color="auto" w:fill="auto"/>
            <w:vAlign w:val="center"/>
          </w:tcPr>
          <w:p w14:paraId="6FE05A5E">
            <w:pPr>
              <w:pStyle w:val="49"/>
            </w:pPr>
            <w:r>
              <w:t>IRI</w:t>
            </w:r>
          </w:p>
        </w:tc>
        <w:tc>
          <w:tcPr>
            <w:tcW w:w="1421" w:type="dxa"/>
            <w:tcBorders>
              <w:right w:val="nil"/>
            </w:tcBorders>
            <w:shd w:val="clear" w:color="auto" w:fill="auto"/>
            <w:vAlign w:val="center"/>
          </w:tcPr>
          <w:p w14:paraId="00AC5F58">
            <w:pPr>
              <w:pStyle w:val="49"/>
            </w:pPr>
            <w:r>
              <w:t>2006-2022</w:t>
            </w:r>
          </w:p>
        </w:tc>
      </w:tr>
      <w:tr w14:paraId="489B2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7" w:type="dxa"/>
            <w:tcBorders>
              <w:left w:val="nil"/>
              <w:bottom w:val="single" w:color="000000" w:sz="12" w:space="0"/>
            </w:tcBorders>
            <w:shd w:val="clear" w:color="auto" w:fill="auto"/>
            <w:vAlign w:val="center"/>
          </w:tcPr>
          <w:p w14:paraId="752F8601">
            <w:pPr>
              <w:pStyle w:val="49"/>
            </w:pPr>
            <w:r>
              <w:t>109</w:t>
            </w:r>
          </w:p>
        </w:tc>
        <w:tc>
          <w:tcPr>
            <w:tcW w:w="1663" w:type="dxa"/>
            <w:tcBorders>
              <w:bottom w:val="single" w:color="000000" w:sz="12" w:space="0"/>
            </w:tcBorders>
            <w:shd w:val="clear" w:color="auto" w:fill="auto"/>
            <w:vAlign w:val="center"/>
          </w:tcPr>
          <w:p w14:paraId="74B3CAAA">
            <w:pPr>
              <w:pStyle w:val="49"/>
            </w:pPr>
            <w:r>
              <w:t>IRI</w:t>
            </w:r>
          </w:p>
        </w:tc>
        <w:tc>
          <w:tcPr>
            <w:tcW w:w="1420" w:type="dxa"/>
            <w:tcBorders>
              <w:bottom w:val="single" w:color="000000" w:sz="12" w:space="0"/>
            </w:tcBorders>
            <w:shd w:val="clear" w:color="auto" w:fill="auto"/>
            <w:vAlign w:val="center"/>
          </w:tcPr>
          <w:p w14:paraId="66923140">
            <w:pPr>
              <w:pStyle w:val="49"/>
            </w:pPr>
            <w:r>
              <w:t>2018-2020</w:t>
            </w:r>
          </w:p>
        </w:tc>
        <w:tc>
          <w:tcPr>
            <w:tcW w:w="1162" w:type="dxa"/>
            <w:tcBorders>
              <w:bottom w:val="single" w:color="000000" w:sz="12" w:space="0"/>
            </w:tcBorders>
          </w:tcPr>
          <w:p w14:paraId="70A731D2">
            <w:pPr>
              <w:ind w:firstLine="420"/>
              <w:jc w:val="center"/>
            </w:pPr>
          </w:p>
        </w:tc>
        <w:tc>
          <w:tcPr>
            <w:tcW w:w="1679" w:type="dxa"/>
            <w:tcBorders>
              <w:bottom w:val="single" w:color="000000" w:sz="12" w:space="0"/>
            </w:tcBorders>
          </w:tcPr>
          <w:p w14:paraId="1230BCE6">
            <w:pPr>
              <w:ind w:firstLine="420"/>
              <w:jc w:val="center"/>
            </w:pPr>
          </w:p>
        </w:tc>
        <w:tc>
          <w:tcPr>
            <w:tcW w:w="1421" w:type="dxa"/>
            <w:tcBorders>
              <w:bottom w:val="single" w:color="000000" w:sz="12" w:space="0"/>
              <w:right w:val="nil"/>
            </w:tcBorders>
          </w:tcPr>
          <w:p w14:paraId="68084083">
            <w:pPr>
              <w:ind w:firstLine="420"/>
              <w:jc w:val="center"/>
            </w:pPr>
          </w:p>
        </w:tc>
      </w:tr>
    </w:tbl>
    <w:p w14:paraId="71F42F07">
      <w:pPr>
        <w:ind w:firstLine="0" w:firstLineChars="0"/>
        <w:rPr>
          <w:rFonts w:ascii="宋体" w:hAnsi="宋体"/>
          <w:szCs w:val="24"/>
        </w:rPr>
      </w:pPr>
    </w:p>
    <w:p w14:paraId="28417E99">
      <w:pPr>
        <w:pStyle w:val="3"/>
        <w:ind w:firstLine="482"/>
      </w:pPr>
      <w:r>
        <w:t>1.3 Structural parameters for different runway classifications</w:t>
      </w:r>
    </w:p>
    <w:p w14:paraId="765E92B6">
      <w:pPr>
        <w:ind w:firstLine="420"/>
      </w:pPr>
      <w:r>
        <w:t>Runway classification in civil aviation is defined according to aircraft wingspan and operational requirements and includes categories 4C, 4D, 4E and 4F. In coupled aircraft–runway simulations of taxiing-induced carbon emissions, representative structural material parameters were specified for each runway class. The structural model includes surface layer, base layer and subgrade. For each layer, Young’s modulus (</w:t>
      </w:r>
      <w:r>
        <w:rPr>
          <w:rFonts w:ascii="Cambria Math" w:hAnsi="Cambria Math" w:cs="Cambria Math"/>
        </w:rPr>
        <w:t>𝐸</w:t>
      </w:r>
      <w:r>
        <w:t>), density (</w:t>
      </w:r>
      <w:r>
        <w:rPr>
          <w:rFonts w:ascii="Cambria Math" w:hAnsi="Cambria Math" w:cs="Cambria Math"/>
        </w:rPr>
        <w:t>𝜌</w:t>
      </w:r>
      <w:r>
        <w:t>), Poisson’s ratio (</w:t>
      </w:r>
      <w:r>
        <w:rPr>
          <w:rFonts w:ascii="Cambria Math" w:hAnsi="Cambria Math" w:cs="Cambria Math"/>
        </w:rPr>
        <w:t>𝜇</w:t>
      </w:r>
      <w:r>
        <w:t>), and Rayleigh damping coefficients (α,</w:t>
      </w:r>
      <w:r>
        <w:rPr>
          <w:rFonts w:ascii="Cambria Math" w:hAnsi="Cambria Math" w:cs="Cambria Math"/>
        </w:rPr>
        <w:t>𝛽</w:t>
      </w:r>
      <w:r>
        <w:t>) were defined.</w:t>
      </w:r>
    </w:p>
    <w:p w14:paraId="14F5A7CE">
      <w:pPr>
        <w:ind w:firstLine="420"/>
      </w:pPr>
      <w:r>
        <w:t>Across runway classifications, material types remain comparable; differences in parameter values primarily reflect structural design adjustments required to accommodate different aircraft loading levels. Higher classifications (4E and 4F) are designed for larger aircraft with higher wheel loads, resulting in correspondingly increased structural stiffness and load-bearing capacity relative to 4C runways.</w:t>
      </w:r>
    </w:p>
    <w:p w14:paraId="16D238AD">
      <w:pPr>
        <w:ind w:firstLine="420"/>
      </w:pPr>
      <w:r>
        <w:t>Rayleigh damping coefficients do not follow a mandatory classification-based standard. Their values were selected based on national civil airport pavement design specifications (MH/T 5004–2010) and published experimental studies. The mass-proportional coefficient (</w:t>
      </w:r>
      <w:r>
        <w:rPr>
          <w:rFonts w:ascii="Cambria Math" w:hAnsi="Cambria Math" w:cs="Cambria Math"/>
        </w:rPr>
        <w:t>𝛼</w:t>
      </w:r>
      <w:r>
        <w:t>) was determined with reference to the fundamental natural frequency of the pavement structure, while the stiffness-proportional coefficient (</w:t>
      </w:r>
      <w:r>
        <w:rPr>
          <w:rFonts w:ascii="Cambria Math" w:hAnsi="Cambria Math" w:cs="Cambria Math"/>
        </w:rPr>
        <w:t>𝛽</w:t>
      </w:r>
      <w:r>
        <w:t>) was calibrated according to measured material damping ratios.</w:t>
      </w:r>
    </w:p>
    <w:p w14:paraId="1A57E2A4">
      <w:pPr>
        <w:ind w:firstLine="420"/>
        <w:jc w:val="center"/>
      </w:pPr>
      <w:r>
        <w:t xml:space="preserve">Table </w:t>
      </w:r>
      <w:r>
        <w:rPr>
          <w:rFonts w:hint="eastAsia"/>
        </w:rPr>
        <w:t>S</w:t>
      </w:r>
      <w:r>
        <w:t>1.6</w:t>
      </w:r>
      <w:r>
        <w:rPr>
          <w:rFonts w:hint="eastAsia"/>
        </w:rPr>
        <w:t>.</w:t>
      </w:r>
      <w:r>
        <w:t xml:space="preserve"> Representative structural material parameters for different runway classifications</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1666"/>
        <w:gridCol w:w="2572"/>
        <w:gridCol w:w="1378"/>
        <w:gridCol w:w="1417"/>
      </w:tblGrid>
      <w:tr w14:paraId="215EF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top w:val="single" w:color="000000" w:sz="12" w:space="0"/>
              <w:left w:val="nil"/>
              <w:bottom w:val="single" w:color="000000" w:sz="12" w:space="0"/>
            </w:tcBorders>
            <w:vAlign w:val="center"/>
          </w:tcPr>
          <w:p w14:paraId="527F04A6">
            <w:pPr>
              <w:pStyle w:val="49"/>
              <w:bidi w:val="0"/>
            </w:pPr>
            <w:r>
              <w:t>Structural Layer</w:t>
            </w:r>
          </w:p>
        </w:tc>
        <w:tc>
          <w:tcPr>
            <w:tcW w:w="1666" w:type="dxa"/>
            <w:tcBorders>
              <w:top w:val="single" w:color="000000" w:sz="12" w:space="0"/>
              <w:bottom w:val="single" w:color="000000" w:sz="12" w:space="0"/>
            </w:tcBorders>
            <w:vAlign w:val="center"/>
          </w:tcPr>
          <w:p w14:paraId="2334E110">
            <w:pPr>
              <w:pStyle w:val="49"/>
              <w:bidi w:val="0"/>
            </w:pPr>
            <w:r>
              <w:t>Material Type</w:t>
            </w:r>
          </w:p>
        </w:tc>
        <w:tc>
          <w:tcPr>
            <w:tcW w:w="2572" w:type="dxa"/>
            <w:tcBorders>
              <w:top w:val="single" w:color="000000" w:sz="12" w:space="0"/>
              <w:bottom w:val="single" w:color="000000" w:sz="12" w:space="0"/>
            </w:tcBorders>
            <w:vAlign w:val="center"/>
          </w:tcPr>
          <w:p w14:paraId="2B8281CD">
            <w:pPr>
              <w:pStyle w:val="49"/>
              <w:bidi w:val="0"/>
            </w:pPr>
            <w:r>
              <w:t>Parameter</w:t>
            </w:r>
          </w:p>
        </w:tc>
        <w:tc>
          <w:tcPr>
            <w:tcW w:w="1378" w:type="dxa"/>
            <w:tcBorders>
              <w:top w:val="single" w:color="000000" w:sz="12" w:space="0"/>
              <w:bottom w:val="single" w:color="000000" w:sz="12" w:space="0"/>
            </w:tcBorders>
            <w:vAlign w:val="center"/>
          </w:tcPr>
          <w:p w14:paraId="1D795960">
            <w:pPr>
              <w:pStyle w:val="49"/>
              <w:bidi w:val="0"/>
            </w:pPr>
            <w:r>
              <w:t>4C/4D Class Airports</w:t>
            </w:r>
          </w:p>
        </w:tc>
        <w:tc>
          <w:tcPr>
            <w:tcW w:w="1417" w:type="dxa"/>
            <w:tcBorders>
              <w:top w:val="single" w:color="000000" w:sz="12" w:space="0"/>
              <w:bottom w:val="single" w:color="000000" w:sz="12" w:space="0"/>
              <w:right w:val="nil"/>
            </w:tcBorders>
            <w:vAlign w:val="center"/>
          </w:tcPr>
          <w:p w14:paraId="37573711">
            <w:pPr>
              <w:pStyle w:val="49"/>
              <w:bidi w:val="0"/>
            </w:pPr>
            <w:r>
              <w:t>4E/4F Class Airports</w:t>
            </w:r>
          </w:p>
        </w:tc>
      </w:tr>
      <w:tr w14:paraId="0413B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top w:val="single" w:color="000000" w:sz="12" w:space="0"/>
              <w:left w:val="nil"/>
            </w:tcBorders>
            <w:vAlign w:val="center"/>
          </w:tcPr>
          <w:p w14:paraId="65625A74">
            <w:pPr>
              <w:pStyle w:val="49"/>
              <w:bidi w:val="0"/>
            </w:pPr>
            <w:r>
              <w:t>Surface Layer</w:t>
            </w:r>
          </w:p>
        </w:tc>
        <w:tc>
          <w:tcPr>
            <w:tcW w:w="1666" w:type="dxa"/>
            <w:tcBorders>
              <w:top w:val="single" w:color="000000" w:sz="12" w:space="0"/>
            </w:tcBorders>
            <w:vAlign w:val="center"/>
          </w:tcPr>
          <w:p w14:paraId="5213470B">
            <w:pPr>
              <w:pStyle w:val="49"/>
              <w:bidi w:val="0"/>
            </w:pPr>
            <w:r>
              <w:t>Cement Concrete</w:t>
            </w:r>
          </w:p>
        </w:tc>
        <w:tc>
          <w:tcPr>
            <w:tcW w:w="2572" w:type="dxa"/>
            <w:tcBorders>
              <w:top w:val="single" w:color="000000" w:sz="12" w:space="0"/>
            </w:tcBorders>
            <w:vAlign w:val="center"/>
          </w:tcPr>
          <w:p w14:paraId="3C29ADCB">
            <w:pPr>
              <w:pStyle w:val="49"/>
              <w:bidi w:val="0"/>
            </w:pPr>
            <w:r>
              <w:t>Young’s Modulus (MPa)</w:t>
            </w:r>
          </w:p>
        </w:tc>
        <w:tc>
          <w:tcPr>
            <w:tcW w:w="1378" w:type="dxa"/>
            <w:tcBorders>
              <w:top w:val="single" w:color="000000" w:sz="12" w:space="0"/>
            </w:tcBorders>
            <w:vAlign w:val="center"/>
          </w:tcPr>
          <w:p w14:paraId="15143EF0">
            <w:pPr>
              <w:pStyle w:val="49"/>
              <w:bidi w:val="0"/>
            </w:pPr>
            <w:r>
              <w:t>36000 - 37000</w:t>
            </w:r>
          </w:p>
        </w:tc>
        <w:tc>
          <w:tcPr>
            <w:tcW w:w="1417" w:type="dxa"/>
            <w:tcBorders>
              <w:top w:val="single" w:color="000000" w:sz="12" w:space="0"/>
              <w:right w:val="nil"/>
            </w:tcBorders>
            <w:vAlign w:val="center"/>
          </w:tcPr>
          <w:p w14:paraId="457F6684">
            <w:pPr>
              <w:pStyle w:val="49"/>
              <w:bidi w:val="0"/>
            </w:pPr>
            <w:r>
              <w:t>37000 - 38000</w:t>
            </w:r>
          </w:p>
        </w:tc>
      </w:tr>
      <w:tr w14:paraId="48871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02DAB793">
            <w:pPr>
              <w:pStyle w:val="49"/>
              <w:bidi w:val="0"/>
            </w:pPr>
          </w:p>
        </w:tc>
        <w:tc>
          <w:tcPr>
            <w:tcW w:w="1666" w:type="dxa"/>
            <w:vAlign w:val="center"/>
          </w:tcPr>
          <w:p w14:paraId="51AC5847">
            <w:pPr>
              <w:pStyle w:val="49"/>
              <w:bidi w:val="0"/>
            </w:pPr>
          </w:p>
        </w:tc>
        <w:tc>
          <w:tcPr>
            <w:tcW w:w="2572" w:type="dxa"/>
            <w:shd w:val="clear" w:color="auto" w:fill="auto"/>
            <w:vAlign w:val="center"/>
          </w:tcPr>
          <w:p w14:paraId="50AB7216">
            <w:pPr>
              <w:pStyle w:val="49"/>
              <w:bidi w:val="0"/>
            </w:pPr>
            <w:r>
              <w:t>Density (kg/m³)</w:t>
            </w:r>
          </w:p>
        </w:tc>
        <w:tc>
          <w:tcPr>
            <w:tcW w:w="1378" w:type="dxa"/>
            <w:shd w:val="clear" w:color="auto" w:fill="auto"/>
            <w:vAlign w:val="center"/>
          </w:tcPr>
          <w:p w14:paraId="3FB6ACA7">
            <w:pPr>
              <w:pStyle w:val="49"/>
              <w:bidi w:val="0"/>
            </w:pPr>
            <w:r>
              <w:t>2400 - 2500</w:t>
            </w:r>
          </w:p>
        </w:tc>
        <w:tc>
          <w:tcPr>
            <w:tcW w:w="1417" w:type="dxa"/>
            <w:tcBorders>
              <w:right w:val="nil"/>
            </w:tcBorders>
            <w:shd w:val="clear" w:color="auto" w:fill="auto"/>
            <w:vAlign w:val="center"/>
          </w:tcPr>
          <w:p w14:paraId="085D92DE">
            <w:pPr>
              <w:pStyle w:val="49"/>
              <w:bidi w:val="0"/>
            </w:pPr>
            <w:r>
              <w:t>2500</w:t>
            </w:r>
          </w:p>
        </w:tc>
      </w:tr>
      <w:tr w14:paraId="67509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194BEDF2">
            <w:pPr>
              <w:pStyle w:val="49"/>
              <w:bidi w:val="0"/>
            </w:pPr>
          </w:p>
        </w:tc>
        <w:tc>
          <w:tcPr>
            <w:tcW w:w="1666" w:type="dxa"/>
            <w:vAlign w:val="center"/>
          </w:tcPr>
          <w:p w14:paraId="580C1F28">
            <w:pPr>
              <w:pStyle w:val="49"/>
              <w:bidi w:val="0"/>
            </w:pPr>
          </w:p>
        </w:tc>
        <w:tc>
          <w:tcPr>
            <w:tcW w:w="2572" w:type="dxa"/>
            <w:shd w:val="clear" w:color="auto" w:fill="auto"/>
            <w:vAlign w:val="center"/>
          </w:tcPr>
          <w:p w14:paraId="4E138E31">
            <w:pPr>
              <w:pStyle w:val="49"/>
              <w:bidi w:val="0"/>
            </w:pPr>
            <w:r>
              <w:t>Poisson’s Ratio</w:t>
            </w:r>
          </w:p>
        </w:tc>
        <w:tc>
          <w:tcPr>
            <w:tcW w:w="1378" w:type="dxa"/>
            <w:shd w:val="clear" w:color="auto" w:fill="auto"/>
            <w:vAlign w:val="center"/>
          </w:tcPr>
          <w:p w14:paraId="037A12E4">
            <w:pPr>
              <w:pStyle w:val="49"/>
              <w:bidi w:val="0"/>
            </w:pPr>
            <w:r>
              <w:t>0.15</w:t>
            </w:r>
          </w:p>
        </w:tc>
        <w:tc>
          <w:tcPr>
            <w:tcW w:w="1417" w:type="dxa"/>
            <w:tcBorders>
              <w:right w:val="nil"/>
            </w:tcBorders>
            <w:shd w:val="clear" w:color="auto" w:fill="auto"/>
            <w:vAlign w:val="center"/>
          </w:tcPr>
          <w:p w14:paraId="01A43D03">
            <w:pPr>
              <w:pStyle w:val="49"/>
              <w:bidi w:val="0"/>
            </w:pPr>
            <w:r>
              <w:t>0.15</w:t>
            </w:r>
          </w:p>
        </w:tc>
      </w:tr>
      <w:tr w14:paraId="49198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0B975199">
            <w:pPr>
              <w:pStyle w:val="49"/>
              <w:bidi w:val="0"/>
            </w:pPr>
          </w:p>
        </w:tc>
        <w:tc>
          <w:tcPr>
            <w:tcW w:w="1666" w:type="dxa"/>
            <w:vAlign w:val="center"/>
          </w:tcPr>
          <w:p w14:paraId="25D65FA4">
            <w:pPr>
              <w:pStyle w:val="49"/>
              <w:bidi w:val="0"/>
            </w:pPr>
          </w:p>
        </w:tc>
        <w:tc>
          <w:tcPr>
            <w:tcW w:w="2572" w:type="dxa"/>
            <w:shd w:val="clear" w:color="auto" w:fill="auto"/>
            <w:vAlign w:val="center"/>
          </w:tcPr>
          <w:p w14:paraId="78131F5B">
            <w:pPr>
              <w:pStyle w:val="49"/>
              <w:bidi w:val="0"/>
            </w:pPr>
            <w:r>
              <w:t>Rayleigh Damping</w:t>
            </w:r>
          </w:p>
          <w:p w14:paraId="2A3E0E25">
            <w:pPr>
              <w:pStyle w:val="49"/>
              <w:bidi w:val="0"/>
            </w:pPr>
            <w:r>
              <w:t>α(s</w:t>
            </w:r>
            <w:r>
              <w:rPr>
                <w:vertAlign w:val="superscript"/>
              </w:rPr>
              <w:t>-1</w:t>
            </w:r>
            <w:r>
              <w:t>)</w:t>
            </w:r>
          </w:p>
        </w:tc>
        <w:tc>
          <w:tcPr>
            <w:tcW w:w="1378" w:type="dxa"/>
            <w:shd w:val="clear" w:color="auto" w:fill="auto"/>
            <w:vAlign w:val="center"/>
          </w:tcPr>
          <w:p w14:paraId="5A919B82">
            <w:pPr>
              <w:pStyle w:val="49"/>
              <w:bidi w:val="0"/>
            </w:pPr>
            <w:r>
              <w:t>13.09</w:t>
            </w:r>
          </w:p>
        </w:tc>
        <w:tc>
          <w:tcPr>
            <w:tcW w:w="1417" w:type="dxa"/>
            <w:tcBorders>
              <w:right w:val="nil"/>
            </w:tcBorders>
            <w:shd w:val="clear" w:color="auto" w:fill="auto"/>
            <w:vAlign w:val="center"/>
          </w:tcPr>
          <w:p w14:paraId="65A697A5">
            <w:pPr>
              <w:pStyle w:val="49"/>
              <w:bidi w:val="0"/>
            </w:pPr>
            <w:r>
              <w:t>13.09 - 15</w:t>
            </w:r>
          </w:p>
        </w:tc>
      </w:tr>
      <w:tr w14:paraId="1AC0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481B18BE">
            <w:pPr>
              <w:pStyle w:val="49"/>
              <w:bidi w:val="0"/>
            </w:pPr>
          </w:p>
        </w:tc>
        <w:tc>
          <w:tcPr>
            <w:tcW w:w="1666" w:type="dxa"/>
            <w:vAlign w:val="center"/>
          </w:tcPr>
          <w:p w14:paraId="24BEAE39">
            <w:pPr>
              <w:pStyle w:val="49"/>
              <w:bidi w:val="0"/>
            </w:pPr>
          </w:p>
        </w:tc>
        <w:tc>
          <w:tcPr>
            <w:tcW w:w="2572" w:type="dxa"/>
            <w:vAlign w:val="center"/>
          </w:tcPr>
          <w:p w14:paraId="6FD77BAF">
            <w:pPr>
              <w:pStyle w:val="49"/>
              <w:bidi w:val="0"/>
            </w:pPr>
            <w:r>
              <w:t>Rayleigh Damping β (s)</w:t>
            </w:r>
          </w:p>
        </w:tc>
        <w:tc>
          <w:tcPr>
            <w:tcW w:w="1378" w:type="dxa"/>
            <w:vAlign w:val="center"/>
          </w:tcPr>
          <w:p w14:paraId="65094FB1">
            <w:pPr>
              <w:pStyle w:val="49"/>
              <w:bidi w:val="0"/>
            </w:pPr>
            <w:r>
              <w:t>0.00019</w:t>
            </w:r>
          </w:p>
        </w:tc>
        <w:tc>
          <w:tcPr>
            <w:tcW w:w="1417" w:type="dxa"/>
            <w:tcBorders>
              <w:right w:val="nil"/>
            </w:tcBorders>
            <w:vAlign w:val="center"/>
          </w:tcPr>
          <w:p w14:paraId="372529F4">
            <w:pPr>
              <w:pStyle w:val="49"/>
              <w:bidi w:val="0"/>
            </w:pPr>
            <w:r>
              <w:t>0.00015 - 0.00019</w:t>
            </w:r>
          </w:p>
        </w:tc>
      </w:tr>
      <w:tr w14:paraId="049D2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72752F2C">
            <w:pPr>
              <w:pStyle w:val="49"/>
              <w:bidi w:val="0"/>
            </w:pPr>
          </w:p>
        </w:tc>
        <w:tc>
          <w:tcPr>
            <w:tcW w:w="1666" w:type="dxa"/>
            <w:shd w:val="clear" w:color="auto" w:fill="auto"/>
            <w:vAlign w:val="center"/>
          </w:tcPr>
          <w:p w14:paraId="4D374B8A">
            <w:pPr>
              <w:pStyle w:val="49"/>
              <w:bidi w:val="0"/>
            </w:pPr>
            <w:r>
              <w:t>Modified Asphalt Concrete</w:t>
            </w:r>
          </w:p>
        </w:tc>
        <w:tc>
          <w:tcPr>
            <w:tcW w:w="2572" w:type="dxa"/>
            <w:shd w:val="clear" w:color="auto" w:fill="auto"/>
            <w:vAlign w:val="center"/>
          </w:tcPr>
          <w:p w14:paraId="251BCF5A">
            <w:pPr>
              <w:pStyle w:val="49"/>
              <w:bidi w:val="0"/>
            </w:pPr>
            <w:r>
              <w:t>Young’s Modulus (MPa)</w:t>
            </w:r>
          </w:p>
        </w:tc>
        <w:tc>
          <w:tcPr>
            <w:tcW w:w="1378" w:type="dxa"/>
            <w:shd w:val="clear" w:color="auto" w:fill="auto"/>
            <w:vAlign w:val="center"/>
          </w:tcPr>
          <w:p w14:paraId="7D7AC8E7">
            <w:pPr>
              <w:pStyle w:val="49"/>
              <w:bidi w:val="0"/>
            </w:pPr>
            <w:r>
              <w:t>1200 - 1800</w:t>
            </w:r>
          </w:p>
        </w:tc>
        <w:tc>
          <w:tcPr>
            <w:tcW w:w="1417" w:type="dxa"/>
            <w:tcBorders>
              <w:right w:val="nil"/>
            </w:tcBorders>
            <w:shd w:val="clear" w:color="auto" w:fill="auto"/>
            <w:vAlign w:val="center"/>
          </w:tcPr>
          <w:p w14:paraId="378C32C9">
            <w:pPr>
              <w:pStyle w:val="49"/>
              <w:bidi w:val="0"/>
            </w:pPr>
            <w:r>
              <w:t>1500 - 2000</w:t>
            </w:r>
          </w:p>
        </w:tc>
      </w:tr>
      <w:tr w14:paraId="26894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317A979F">
            <w:pPr>
              <w:pStyle w:val="49"/>
              <w:bidi w:val="0"/>
            </w:pPr>
          </w:p>
        </w:tc>
        <w:tc>
          <w:tcPr>
            <w:tcW w:w="1666" w:type="dxa"/>
            <w:vAlign w:val="center"/>
          </w:tcPr>
          <w:p w14:paraId="47D9C220">
            <w:pPr>
              <w:pStyle w:val="49"/>
              <w:bidi w:val="0"/>
            </w:pPr>
          </w:p>
        </w:tc>
        <w:tc>
          <w:tcPr>
            <w:tcW w:w="2572" w:type="dxa"/>
            <w:shd w:val="clear" w:color="auto" w:fill="auto"/>
            <w:vAlign w:val="center"/>
          </w:tcPr>
          <w:p w14:paraId="31007359">
            <w:pPr>
              <w:pStyle w:val="49"/>
              <w:bidi w:val="0"/>
            </w:pPr>
            <w:r>
              <w:t>Density (kg/m³)</w:t>
            </w:r>
          </w:p>
        </w:tc>
        <w:tc>
          <w:tcPr>
            <w:tcW w:w="1378" w:type="dxa"/>
            <w:shd w:val="clear" w:color="auto" w:fill="auto"/>
            <w:vAlign w:val="center"/>
          </w:tcPr>
          <w:p w14:paraId="749E8591">
            <w:pPr>
              <w:pStyle w:val="49"/>
              <w:bidi w:val="0"/>
            </w:pPr>
            <w:r>
              <w:t>2300 - 2400</w:t>
            </w:r>
          </w:p>
        </w:tc>
        <w:tc>
          <w:tcPr>
            <w:tcW w:w="1417" w:type="dxa"/>
            <w:tcBorders>
              <w:right w:val="nil"/>
            </w:tcBorders>
            <w:shd w:val="clear" w:color="auto" w:fill="auto"/>
            <w:vAlign w:val="center"/>
          </w:tcPr>
          <w:p w14:paraId="236CCD1A">
            <w:pPr>
              <w:pStyle w:val="49"/>
              <w:bidi w:val="0"/>
            </w:pPr>
            <w:r>
              <w:t>2350 - 2400</w:t>
            </w:r>
          </w:p>
        </w:tc>
      </w:tr>
      <w:tr w14:paraId="7C4E3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3D3F48A8">
            <w:pPr>
              <w:pStyle w:val="49"/>
              <w:bidi w:val="0"/>
            </w:pPr>
          </w:p>
        </w:tc>
        <w:tc>
          <w:tcPr>
            <w:tcW w:w="1666" w:type="dxa"/>
            <w:vAlign w:val="center"/>
          </w:tcPr>
          <w:p w14:paraId="746FDD63">
            <w:pPr>
              <w:pStyle w:val="49"/>
              <w:bidi w:val="0"/>
            </w:pPr>
          </w:p>
        </w:tc>
        <w:tc>
          <w:tcPr>
            <w:tcW w:w="2572" w:type="dxa"/>
            <w:shd w:val="clear" w:color="auto" w:fill="auto"/>
            <w:vAlign w:val="center"/>
          </w:tcPr>
          <w:p w14:paraId="76D33743">
            <w:pPr>
              <w:pStyle w:val="49"/>
              <w:bidi w:val="0"/>
            </w:pPr>
            <w:r>
              <w:t>Poisson’s Ratio</w:t>
            </w:r>
          </w:p>
        </w:tc>
        <w:tc>
          <w:tcPr>
            <w:tcW w:w="1378" w:type="dxa"/>
            <w:shd w:val="clear" w:color="auto" w:fill="auto"/>
            <w:vAlign w:val="center"/>
          </w:tcPr>
          <w:p w14:paraId="56BFD226">
            <w:pPr>
              <w:pStyle w:val="49"/>
              <w:bidi w:val="0"/>
            </w:pPr>
            <w:r>
              <w:t>0.2 - 0.25</w:t>
            </w:r>
          </w:p>
        </w:tc>
        <w:tc>
          <w:tcPr>
            <w:tcW w:w="1417" w:type="dxa"/>
            <w:tcBorders>
              <w:right w:val="nil"/>
            </w:tcBorders>
            <w:shd w:val="clear" w:color="auto" w:fill="auto"/>
            <w:vAlign w:val="center"/>
          </w:tcPr>
          <w:p w14:paraId="522CD924">
            <w:pPr>
              <w:pStyle w:val="49"/>
              <w:bidi w:val="0"/>
            </w:pPr>
            <w:r>
              <w:t>0.2 - 0.25</w:t>
            </w:r>
          </w:p>
        </w:tc>
      </w:tr>
      <w:tr w14:paraId="378DD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70772DD1">
            <w:pPr>
              <w:pStyle w:val="49"/>
              <w:bidi w:val="0"/>
            </w:pPr>
          </w:p>
        </w:tc>
        <w:tc>
          <w:tcPr>
            <w:tcW w:w="1666" w:type="dxa"/>
            <w:vAlign w:val="center"/>
          </w:tcPr>
          <w:p w14:paraId="5F913AB5">
            <w:pPr>
              <w:pStyle w:val="49"/>
              <w:bidi w:val="0"/>
            </w:pPr>
          </w:p>
        </w:tc>
        <w:tc>
          <w:tcPr>
            <w:tcW w:w="2572" w:type="dxa"/>
            <w:shd w:val="clear" w:color="auto" w:fill="auto"/>
            <w:vAlign w:val="center"/>
          </w:tcPr>
          <w:p w14:paraId="0B0F25EB">
            <w:pPr>
              <w:pStyle w:val="49"/>
              <w:bidi w:val="0"/>
            </w:pPr>
            <w:r>
              <w:t>Rayleigh Damping</w:t>
            </w:r>
          </w:p>
          <w:p w14:paraId="687250CD">
            <w:pPr>
              <w:pStyle w:val="49"/>
              <w:bidi w:val="0"/>
            </w:pPr>
            <w:r>
              <w:t>α (s</w:t>
            </w:r>
            <w:r>
              <w:rPr>
                <w:vertAlign w:val="superscript"/>
              </w:rPr>
              <w:t>-1</w:t>
            </w:r>
            <w:r>
              <w:t>)</w:t>
            </w:r>
          </w:p>
        </w:tc>
        <w:tc>
          <w:tcPr>
            <w:tcW w:w="1378" w:type="dxa"/>
            <w:shd w:val="clear" w:color="auto" w:fill="auto"/>
            <w:vAlign w:val="center"/>
          </w:tcPr>
          <w:p w14:paraId="562C016F">
            <w:pPr>
              <w:pStyle w:val="49"/>
              <w:bidi w:val="0"/>
            </w:pPr>
            <w:r>
              <w:t>8-12</w:t>
            </w:r>
          </w:p>
        </w:tc>
        <w:tc>
          <w:tcPr>
            <w:tcW w:w="1417" w:type="dxa"/>
            <w:tcBorders>
              <w:right w:val="nil"/>
            </w:tcBorders>
            <w:shd w:val="clear" w:color="auto" w:fill="auto"/>
            <w:vAlign w:val="center"/>
          </w:tcPr>
          <w:p w14:paraId="07168F4F">
            <w:pPr>
              <w:pStyle w:val="49"/>
              <w:bidi w:val="0"/>
            </w:pPr>
            <w:r>
              <w:t>10-14</w:t>
            </w:r>
          </w:p>
        </w:tc>
      </w:tr>
      <w:tr w14:paraId="63418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753CD830">
            <w:pPr>
              <w:pStyle w:val="49"/>
              <w:bidi w:val="0"/>
            </w:pPr>
          </w:p>
        </w:tc>
        <w:tc>
          <w:tcPr>
            <w:tcW w:w="1666" w:type="dxa"/>
            <w:vAlign w:val="center"/>
          </w:tcPr>
          <w:p w14:paraId="432CEC81">
            <w:pPr>
              <w:pStyle w:val="49"/>
              <w:bidi w:val="0"/>
            </w:pPr>
          </w:p>
        </w:tc>
        <w:tc>
          <w:tcPr>
            <w:tcW w:w="2572" w:type="dxa"/>
            <w:shd w:val="clear" w:color="auto" w:fill="auto"/>
            <w:vAlign w:val="center"/>
          </w:tcPr>
          <w:p w14:paraId="32F78378">
            <w:pPr>
              <w:pStyle w:val="49"/>
              <w:bidi w:val="0"/>
            </w:pPr>
            <w:r>
              <w:t>Rayleigh Damping β (s)</w:t>
            </w:r>
          </w:p>
        </w:tc>
        <w:tc>
          <w:tcPr>
            <w:tcW w:w="1378" w:type="dxa"/>
            <w:shd w:val="clear" w:color="auto" w:fill="auto"/>
            <w:vAlign w:val="center"/>
          </w:tcPr>
          <w:p w14:paraId="799FAB1E">
            <w:pPr>
              <w:pStyle w:val="49"/>
              <w:bidi w:val="0"/>
            </w:pPr>
            <w:r>
              <w:t>0.0003 - 0.0005</w:t>
            </w:r>
          </w:p>
        </w:tc>
        <w:tc>
          <w:tcPr>
            <w:tcW w:w="1417" w:type="dxa"/>
            <w:tcBorders>
              <w:right w:val="nil"/>
            </w:tcBorders>
            <w:shd w:val="clear" w:color="auto" w:fill="auto"/>
            <w:vAlign w:val="center"/>
          </w:tcPr>
          <w:p w14:paraId="1029F6C1">
            <w:pPr>
              <w:pStyle w:val="49"/>
              <w:bidi w:val="0"/>
            </w:pPr>
            <w:r>
              <w:t>0.0002 - 0.0004</w:t>
            </w:r>
          </w:p>
        </w:tc>
      </w:tr>
      <w:tr w14:paraId="4227A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67173A61">
            <w:pPr>
              <w:pStyle w:val="49"/>
              <w:bidi w:val="0"/>
            </w:pPr>
            <w:r>
              <w:t>Base Layer</w:t>
            </w:r>
          </w:p>
        </w:tc>
        <w:tc>
          <w:tcPr>
            <w:tcW w:w="1666" w:type="dxa"/>
            <w:vAlign w:val="center"/>
          </w:tcPr>
          <w:p w14:paraId="2B816113">
            <w:pPr>
              <w:pStyle w:val="49"/>
              <w:bidi w:val="0"/>
            </w:pPr>
            <w:r>
              <w:t>Cement-Stabilized Macadam</w:t>
            </w:r>
          </w:p>
        </w:tc>
        <w:tc>
          <w:tcPr>
            <w:tcW w:w="2572" w:type="dxa"/>
            <w:vAlign w:val="center"/>
          </w:tcPr>
          <w:p w14:paraId="62EACE23">
            <w:pPr>
              <w:pStyle w:val="49"/>
              <w:bidi w:val="0"/>
            </w:pPr>
            <w:r>
              <w:t>Young’s Modulus (MPa)</w:t>
            </w:r>
          </w:p>
        </w:tc>
        <w:tc>
          <w:tcPr>
            <w:tcW w:w="1378" w:type="dxa"/>
            <w:vAlign w:val="center"/>
          </w:tcPr>
          <w:p w14:paraId="44C94200">
            <w:pPr>
              <w:pStyle w:val="49"/>
              <w:bidi w:val="0"/>
            </w:pPr>
            <w:r>
              <w:t>1200 - 1500</w:t>
            </w:r>
          </w:p>
        </w:tc>
        <w:tc>
          <w:tcPr>
            <w:tcW w:w="1417" w:type="dxa"/>
            <w:tcBorders>
              <w:right w:val="nil"/>
            </w:tcBorders>
            <w:vAlign w:val="center"/>
          </w:tcPr>
          <w:p w14:paraId="5CCBBE18">
            <w:pPr>
              <w:pStyle w:val="49"/>
              <w:bidi w:val="0"/>
            </w:pPr>
            <w:r>
              <w:t>1500 - 1800</w:t>
            </w:r>
          </w:p>
        </w:tc>
      </w:tr>
      <w:tr w14:paraId="141ED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4A1E1E8F">
            <w:pPr>
              <w:pStyle w:val="49"/>
              <w:bidi w:val="0"/>
            </w:pPr>
            <w:r>
              <w:t>Density (kg/m³)</w:t>
            </w:r>
          </w:p>
        </w:tc>
        <w:tc>
          <w:tcPr>
            <w:tcW w:w="1666" w:type="dxa"/>
            <w:vAlign w:val="center"/>
          </w:tcPr>
          <w:p w14:paraId="615EEB81">
            <w:pPr>
              <w:pStyle w:val="49"/>
              <w:bidi w:val="0"/>
            </w:pPr>
            <w:r>
              <w:t>1900 - 2000</w:t>
            </w:r>
          </w:p>
        </w:tc>
        <w:tc>
          <w:tcPr>
            <w:tcW w:w="2572" w:type="dxa"/>
            <w:shd w:val="clear" w:color="auto" w:fill="auto"/>
            <w:vAlign w:val="center"/>
          </w:tcPr>
          <w:p w14:paraId="02E998F1">
            <w:pPr>
              <w:pStyle w:val="49"/>
              <w:bidi w:val="0"/>
            </w:pPr>
            <w:r>
              <w:t>Density (kg/m³)</w:t>
            </w:r>
          </w:p>
        </w:tc>
        <w:tc>
          <w:tcPr>
            <w:tcW w:w="1378" w:type="dxa"/>
            <w:shd w:val="clear" w:color="auto" w:fill="auto"/>
            <w:vAlign w:val="center"/>
          </w:tcPr>
          <w:p w14:paraId="46ED047D">
            <w:pPr>
              <w:pStyle w:val="49"/>
              <w:bidi w:val="0"/>
            </w:pPr>
            <w:r>
              <w:t>1900 - 2000</w:t>
            </w:r>
          </w:p>
        </w:tc>
        <w:tc>
          <w:tcPr>
            <w:tcW w:w="1417" w:type="dxa"/>
            <w:tcBorders>
              <w:right w:val="nil"/>
            </w:tcBorders>
            <w:shd w:val="clear" w:color="auto" w:fill="auto"/>
            <w:vAlign w:val="center"/>
          </w:tcPr>
          <w:p w14:paraId="10187C21">
            <w:pPr>
              <w:pStyle w:val="49"/>
              <w:bidi w:val="0"/>
            </w:pPr>
            <w:r>
              <w:t>2000 - 2100</w:t>
            </w:r>
          </w:p>
        </w:tc>
      </w:tr>
      <w:tr w14:paraId="26AC6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2E69CE0F">
            <w:pPr>
              <w:pStyle w:val="49"/>
              <w:bidi w:val="0"/>
            </w:pPr>
          </w:p>
        </w:tc>
        <w:tc>
          <w:tcPr>
            <w:tcW w:w="1666" w:type="dxa"/>
            <w:vAlign w:val="center"/>
          </w:tcPr>
          <w:p w14:paraId="0DE3360D">
            <w:pPr>
              <w:pStyle w:val="49"/>
              <w:bidi w:val="0"/>
            </w:pPr>
          </w:p>
        </w:tc>
        <w:tc>
          <w:tcPr>
            <w:tcW w:w="2572" w:type="dxa"/>
            <w:shd w:val="clear" w:color="auto" w:fill="auto"/>
            <w:vAlign w:val="center"/>
          </w:tcPr>
          <w:p w14:paraId="3A22A3C1">
            <w:pPr>
              <w:pStyle w:val="49"/>
              <w:bidi w:val="0"/>
            </w:pPr>
            <w:r>
              <w:t>Poisson’s Ratio</w:t>
            </w:r>
          </w:p>
        </w:tc>
        <w:tc>
          <w:tcPr>
            <w:tcW w:w="1378" w:type="dxa"/>
            <w:shd w:val="clear" w:color="auto" w:fill="auto"/>
            <w:vAlign w:val="center"/>
          </w:tcPr>
          <w:p w14:paraId="61644872">
            <w:pPr>
              <w:pStyle w:val="49"/>
              <w:bidi w:val="0"/>
            </w:pPr>
            <w:r>
              <w:t>0.25</w:t>
            </w:r>
          </w:p>
        </w:tc>
        <w:tc>
          <w:tcPr>
            <w:tcW w:w="1417" w:type="dxa"/>
            <w:tcBorders>
              <w:right w:val="nil"/>
            </w:tcBorders>
            <w:shd w:val="clear" w:color="auto" w:fill="auto"/>
            <w:vAlign w:val="center"/>
          </w:tcPr>
          <w:p w14:paraId="45BDE44A">
            <w:pPr>
              <w:pStyle w:val="49"/>
              <w:bidi w:val="0"/>
            </w:pPr>
            <w:r>
              <w:t>0.25</w:t>
            </w:r>
          </w:p>
        </w:tc>
      </w:tr>
      <w:tr w14:paraId="4361B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345EADF2">
            <w:pPr>
              <w:pStyle w:val="49"/>
              <w:bidi w:val="0"/>
            </w:pPr>
          </w:p>
        </w:tc>
        <w:tc>
          <w:tcPr>
            <w:tcW w:w="1666" w:type="dxa"/>
            <w:vAlign w:val="center"/>
          </w:tcPr>
          <w:p w14:paraId="11A751AE">
            <w:pPr>
              <w:pStyle w:val="49"/>
              <w:bidi w:val="0"/>
            </w:pPr>
          </w:p>
        </w:tc>
        <w:tc>
          <w:tcPr>
            <w:tcW w:w="2572" w:type="dxa"/>
            <w:shd w:val="clear" w:color="auto" w:fill="auto"/>
            <w:vAlign w:val="center"/>
          </w:tcPr>
          <w:p w14:paraId="5B4949BA">
            <w:pPr>
              <w:pStyle w:val="49"/>
              <w:bidi w:val="0"/>
            </w:pPr>
            <w:r>
              <w:t>Rayleigh Damping α</w:t>
            </w:r>
            <w:r>
              <w:rPr>
                <w:rFonts w:hint="eastAsia"/>
                <w:lang w:val="en-US" w:eastAsia="zh-CN"/>
              </w:rPr>
              <w:t xml:space="preserve"> </w:t>
            </w:r>
            <w:r>
              <w:t>(s</w:t>
            </w:r>
            <w:r>
              <w:rPr>
                <w:vertAlign w:val="superscript"/>
              </w:rPr>
              <w:t>-1</w:t>
            </w:r>
            <w:r>
              <w:t>)</w:t>
            </w:r>
          </w:p>
        </w:tc>
        <w:tc>
          <w:tcPr>
            <w:tcW w:w="1378" w:type="dxa"/>
            <w:shd w:val="clear" w:color="auto" w:fill="auto"/>
            <w:vAlign w:val="center"/>
          </w:tcPr>
          <w:p w14:paraId="1F501231">
            <w:pPr>
              <w:pStyle w:val="49"/>
              <w:bidi w:val="0"/>
            </w:pPr>
            <w:r>
              <w:t>5-8</w:t>
            </w:r>
          </w:p>
        </w:tc>
        <w:tc>
          <w:tcPr>
            <w:tcW w:w="1417" w:type="dxa"/>
            <w:tcBorders>
              <w:right w:val="nil"/>
            </w:tcBorders>
            <w:shd w:val="clear" w:color="auto" w:fill="auto"/>
            <w:vAlign w:val="center"/>
          </w:tcPr>
          <w:p w14:paraId="003B33A8">
            <w:pPr>
              <w:pStyle w:val="49"/>
              <w:bidi w:val="0"/>
            </w:pPr>
            <w:r>
              <w:t>7-10</w:t>
            </w:r>
          </w:p>
        </w:tc>
      </w:tr>
      <w:tr w14:paraId="71F45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50EB78A0">
            <w:pPr>
              <w:pStyle w:val="49"/>
              <w:bidi w:val="0"/>
            </w:pPr>
          </w:p>
        </w:tc>
        <w:tc>
          <w:tcPr>
            <w:tcW w:w="1666" w:type="dxa"/>
            <w:vAlign w:val="center"/>
          </w:tcPr>
          <w:p w14:paraId="756FFF80">
            <w:pPr>
              <w:pStyle w:val="49"/>
              <w:bidi w:val="0"/>
            </w:pPr>
          </w:p>
        </w:tc>
        <w:tc>
          <w:tcPr>
            <w:tcW w:w="2572" w:type="dxa"/>
            <w:shd w:val="clear" w:color="auto" w:fill="auto"/>
            <w:vAlign w:val="center"/>
          </w:tcPr>
          <w:p w14:paraId="13473060">
            <w:pPr>
              <w:pStyle w:val="49"/>
              <w:bidi w:val="0"/>
            </w:pPr>
            <w:r>
              <w:t>Rayleigh Damping β (s)</w:t>
            </w:r>
          </w:p>
        </w:tc>
        <w:tc>
          <w:tcPr>
            <w:tcW w:w="1378" w:type="dxa"/>
            <w:shd w:val="clear" w:color="auto" w:fill="auto"/>
            <w:vAlign w:val="center"/>
          </w:tcPr>
          <w:p w14:paraId="3C7C24C6">
            <w:pPr>
              <w:pStyle w:val="49"/>
              <w:bidi w:val="0"/>
            </w:pPr>
            <w:r>
              <w:t>0.0005 - 0.0008</w:t>
            </w:r>
          </w:p>
        </w:tc>
        <w:tc>
          <w:tcPr>
            <w:tcW w:w="1417" w:type="dxa"/>
            <w:tcBorders>
              <w:right w:val="nil"/>
            </w:tcBorders>
            <w:shd w:val="clear" w:color="auto" w:fill="auto"/>
            <w:vAlign w:val="center"/>
          </w:tcPr>
          <w:p w14:paraId="4B40D9FD">
            <w:pPr>
              <w:pStyle w:val="49"/>
              <w:bidi w:val="0"/>
            </w:pPr>
            <w:r>
              <w:t>0.0004 - 0.0007</w:t>
            </w:r>
          </w:p>
        </w:tc>
      </w:tr>
      <w:tr w14:paraId="1E251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1E23BF42">
            <w:pPr>
              <w:pStyle w:val="49"/>
              <w:bidi w:val="0"/>
            </w:pPr>
            <w:r>
              <w:t>Subgrade</w:t>
            </w:r>
          </w:p>
        </w:tc>
        <w:tc>
          <w:tcPr>
            <w:tcW w:w="1666" w:type="dxa"/>
            <w:vAlign w:val="center"/>
          </w:tcPr>
          <w:p w14:paraId="49FE1467">
            <w:pPr>
              <w:pStyle w:val="49"/>
              <w:bidi w:val="0"/>
            </w:pPr>
            <w:r>
              <w:t>Compacted Improved Soil</w:t>
            </w:r>
          </w:p>
        </w:tc>
        <w:tc>
          <w:tcPr>
            <w:tcW w:w="2572" w:type="dxa"/>
            <w:vAlign w:val="center"/>
          </w:tcPr>
          <w:p w14:paraId="7D94AEEC">
            <w:pPr>
              <w:pStyle w:val="49"/>
              <w:bidi w:val="0"/>
            </w:pPr>
            <w:r>
              <w:t>Young’s Modulus (MPa)</w:t>
            </w:r>
          </w:p>
        </w:tc>
        <w:tc>
          <w:tcPr>
            <w:tcW w:w="1378" w:type="dxa"/>
            <w:vAlign w:val="center"/>
          </w:tcPr>
          <w:p w14:paraId="5A0E7B51">
            <w:pPr>
              <w:pStyle w:val="49"/>
              <w:bidi w:val="0"/>
            </w:pPr>
            <w:r>
              <w:t>80 - 100</w:t>
            </w:r>
          </w:p>
        </w:tc>
        <w:tc>
          <w:tcPr>
            <w:tcW w:w="1417" w:type="dxa"/>
            <w:tcBorders>
              <w:right w:val="nil"/>
            </w:tcBorders>
            <w:vAlign w:val="center"/>
          </w:tcPr>
          <w:p w14:paraId="7FBD8CB9">
            <w:pPr>
              <w:pStyle w:val="49"/>
              <w:bidi w:val="0"/>
            </w:pPr>
            <w:r>
              <w:t>90 - 120</w:t>
            </w:r>
          </w:p>
        </w:tc>
      </w:tr>
      <w:tr w14:paraId="03A84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61EC0F70">
            <w:pPr>
              <w:pStyle w:val="49"/>
              <w:bidi w:val="0"/>
            </w:pPr>
          </w:p>
        </w:tc>
        <w:tc>
          <w:tcPr>
            <w:tcW w:w="1666" w:type="dxa"/>
            <w:vAlign w:val="center"/>
          </w:tcPr>
          <w:p w14:paraId="4F7AB220">
            <w:pPr>
              <w:pStyle w:val="49"/>
              <w:bidi w:val="0"/>
            </w:pPr>
          </w:p>
        </w:tc>
        <w:tc>
          <w:tcPr>
            <w:tcW w:w="2572" w:type="dxa"/>
            <w:shd w:val="clear" w:color="auto" w:fill="auto"/>
            <w:vAlign w:val="center"/>
          </w:tcPr>
          <w:p w14:paraId="6BFD2C6F">
            <w:pPr>
              <w:pStyle w:val="49"/>
              <w:bidi w:val="0"/>
            </w:pPr>
            <w:r>
              <w:t>Density (kg/m³)</w:t>
            </w:r>
          </w:p>
        </w:tc>
        <w:tc>
          <w:tcPr>
            <w:tcW w:w="1378" w:type="dxa"/>
            <w:shd w:val="clear" w:color="auto" w:fill="auto"/>
            <w:vAlign w:val="center"/>
          </w:tcPr>
          <w:p w14:paraId="1CA81255">
            <w:pPr>
              <w:pStyle w:val="49"/>
              <w:bidi w:val="0"/>
            </w:pPr>
            <w:r>
              <w:t>1700 - 1800</w:t>
            </w:r>
          </w:p>
        </w:tc>
        <w:tc>
          <w:tcPr>
            <w:tcW w:w="1417" w:type="dxa"/>
            <w:tcBorders>
              <w:right w:val="nil"/>
            </w:tcBorders>
            <w:shd w:val="clear" w:color="auto" w:fill="auto"/>
            <w:vAlign w:val="center"/>
          </w:tcPr>
          <w:p w14:paraId="4449B18E">
            <w:pPr>
              <w:pStyle w:val="49"/>
              <w:bidi w:val="0"/>
            </w:pPr>
            <w:r>
              <w:t>1800 - 1900</w:t>
            </w:r>
          </w:p>
        </w:tc>
      </w:tr>
      <w:tr w14:paraId="47C95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44B0BE0F">
            <w:pPr>
              <w:pStyle w:val="49"/>
              <w:bidi w:val="0"/>
            </w:pPr>
          </w:p>
        </w:tc>
        <w:tc>
          <w:tcPr>
            <w:tcW w:w="1666" w:type="dxa"/>
            <w:vAlign w:val="center"/>
          </w:tcPr>
          <w:p w14:paraId="42800FCE">
            <w:pPr>
              <w:pStyle w:val="49"/>
              <w:bidi w:val="0"/>
            </w:pPr>
          </w:p>
        </w:tc>
        <w:tc>
          <w:tcPr>
            <w:tcW w:w="2572" w:type="dxa"/>
            <w:shd w:val="clear" w:color="auto" w:fill="auto"/>
            <w:vAlign w:val="center"/>
          </w:tcPr>
          <w:p w14:paraId="227417DA">
            <w:pPr>
              <w:pStyle w:val="49"/>
              <w:bidi w:val="0"/>
            </w:pPr>
            <w:r>
              <w:t>Poisson’s Ratio</w:t>
            </w:r>
          </w:p>
        </w:tc>
        <w:tc>
          <w:tcPr>
            <w:tcW w:w="1378" w:type="dxa"/>
            <w:shd w:val="clear" w:color="auto" w:fill="auto"/>
            <w:vAlign w:val="center"/>
          </w:tcPr>
          <w:p w14:paraId="4E76966A">
            <w:pPr>
              <w:pStyle w:val="49"/>
              <w:bidi w:val="0"/>
            </w:pPr>
            <w:r>
              <w:t>0.35</w:t>
            </w:r>
          </w:p>
        </w:tc>
        <w:tc>
          <w:tcPr>
            <w:tcW w:w="1417" w:type="dxa"/>
            <w:tcBorders>
              <w:right w:val="nil"/>
            </w:tcBorders>
            <w:shd w:val="clear" w:color="auto" w:fill="auto"/>
            <w:vAlign w:val="center"/>
          </w:tcPr>
          <w:p w14:paraId="63A44094">
            <w:pPr>
              <w:pStyle w:val="49"/>
              <w:bidi w:val="0"/>
            </w:pPr>
            <w:r>
              <w:t>0.3 - 0.35</w:t>
            </w:r>
          </w:p>
        </w:tc>
      </w:tr>
      <w:tr w14:paraId="7F4D8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tcBorders>
            <w:vAlign w:val="center"/>
          </w:tcPr>
          <w:p w14:paraId="3B3CE457">
            <w:pPr>
              <w:pStyle w:val="49"/>
              <w:bidi w:val="0"/>
            </w:pPr>
          </w:p>
        </w:tc>
        <w:tc>
          <w:tcPr>
            <w:tcW w:w="1666" w:type="dxa"/>
            <w:vAlign w:val="center"/>
          </w:tcPr>
          <w:p w14:paraId="06C5C2F9">
            <w:pPr>
              <w:pStyle w:val="49"/>
              <w:bidi w:val="0"/>
            </w:pPr>
          </w:p>
        </w:tc>
        <w:tc>
          <w:tcPr>
            <w:tcW w:w="2572" w:type="dxa"/>
            <w:shd w:val="clear" w:color="auto" w:fill="auto"/>
            <w:vAlign w:val="center"/>
          </w:tcPr>
          <w:p w14:paraId="0758F8C0">
            <w:pPr>
              <w:pStyle w:val="49"/>
              <w:bidi w:val="0"/>
            </w:pPr>
            <w:r>
              <w:t>Rayleigh Damping α</w:t>
            </w:r>
          </w:p>
          <w:p w14:paraId="444353AE">
            <w:pPr>
              <w:pStyle w:val="49"/>
              <w:bidi w:val="0"/>
            </w:pPr>
            <w:r>
              <w:t>(s</w:t>
            </w:r>
            <w:r>
              <w:rPr>
                <w:vertAlign w:val="superscript"/>
              </w:rPr>
              <w:t>-1</w:t>
            </w:r>
            <w:r>
              <w:t>)</w:t>
            </w:r>
          </w:p>
        </w:tc>
        <w:tc>
          <w:tcPr>
            <w:tcW w:w="1378" w:type="dxa"/>
            <w:shd w:val="clear" w:color="auto" w:fill="auto"/>
            <w:vAlign w:val="center"/>
          </w:tcPr>
          <w:p w14:paraId="6B69A29A">
            <w:pPr>
              <w:pStyle w:val="49"/>
              <w:bidi w:val="0"/>
            </w:pPr>
            <w:r>
              <w:t>2-5</w:t>
            </w:r>
          </w:p>
        </w:tc>
        <w:tc>
          <w:tcPr>
            <w:tcW w:w="1417" w:type="dxa"/>
            <w:tcBorders>
              <w:right w:val="nil"/>
            </w:tcBorders>
            <w:shd w:val="clear" w:color="auto" w:fill="auto"/>
            <w:vAlign w:val="center"/>
          </w:tcPr>
          <w:p w14:paraId="2579491D">
            <w:pPr>
              <w:pStyle w:val="49"/>
              <w:bidi w:val="0"/>
            </w:pPr>
            <w:r>
              <w:t>3-6</w:t>
            </w:r>
          </w:p>
        </w:tc>
      </w:tr>
      <w:tr w14:paraId="58543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tcBorders>
              <w:left w:val="nil"/>
              <w:bottom w:val="single" w:color="000000" w:sz="12" w:space="0"/>
            </w:tcBorders>
            <w:vAlign w:val="center"/>
          </w:tcPr>
          <w:p w14:paraId="0C5DB80A">
            <w:pPr>
              <w:pStyle w:val="49"/>
              <w:bidi w:val="0"/>
            </w:pPr>
          </w:p>
        </w:tc>
        <w:tc>
          <w:tcPr>
            <w:tcW w:w="1666" w:type="dxa"/>
            <w:tcBorders>
              <w:bottom w:val="single" w:color="000000" w:sz="12" w:space="0"/>
            </w:tcBorders>
            <w:vAlign w:val="center"/>
          </w:tcPr>
          <w:p w14:paraId="31449E19">
            <w:pPr>
              <w:pStyle w:val="49"/>
              <w:bidi w:val="0"/>
            </w:pPr>
          </w:p>
        </w:tc>
        <w:tc>
          <w:tcPr>
            <w:tcW w:w="2572" w:type="dxa"/>
            <w:tcBorders>
              <w:bottom w:val="single" w:color="000000" w:sz="12" w:space="0"/>
            </w:tcBorders>
            <w:shd w:val="clear" w:color="auto" w:fill="auto"/>
            <w:vAlign w:val="center"/>
          </w:tcPr>
          <w:p w14:paraId="710B1045">
            <w:pPr>
              <w:pStyle w:val="49"/>
              <w:bidi w:val="0"/>
            </w:pPr>
            <w:r>
              <w:t>Rayleigh Damping β (s)</w:t>
            </w:r>
          </w:p>
        </w:tc>
        <w:tc>
          <w:tcPr>
            <w:tcW w:w="1378" w:type="dxa"/>
            <w:tcBorders>
              <w:bottom w:val="single" w:color="000000" w:sz="12" w:space="0"/>
            </w:tcBorders>
            <w:shd w:val="clear" w:color="auto" w:fill="auto"/>
            <w:vAlign w:val="center"/>
          </w:tcPr>
          <w:p w14:paraId="5037CFA0">
            <w:pPr>
              <w:pStyle w:val="49"/>
              <w:bidi w:val="0"/>
            </w:pPr>
            <w:r>
              <w:t>0.001 - 0.002</w:t>
            </w:r>
          </w:p>
        </w:tc>
        <w:tc>
          <w:tcPr>
            <w:tcW w:w="1417" w:type="dxa"/>
            <w:tcBorders>
              <w:bottom w:val="single" w:color="000000" w:sz="12" w:space="0"/>
              <w:right w:val="nil"/>
            </w:tcBorders>
            <w:shd w:val="clear" w:color="auto" w:fill="auto"/>
            <w:vAlign w:val="center"/>
          </w:tcPr>
          <w:p w14:paraId="146BC238">
            <w:pPr>
              <w:pStyle w:val="49"/>
              <w:bidi w:val="0"/>
            </w:pPr>
            <w:r>
              <w:t>0.0008 - 0.0015</w:t>
            </w:r>
          </w:p>
        </w:tc>
      </w:tr>
    </w:tbl>
    <w:p w14:paraId="644FA967">
      <w:pPr>
        <w:ind w:firstLine="420"/>
        <w:jc w:val="center"/>
      </w:pPr>
    </w:p>
    <w:p w14:paraId="087D12F2">
      <w:pPr>
        <w:ind w:firstLine="0" w:firstLineChars="0"/>
        <w:jc w:val="left"/>
        <w:rPr>
          <w:b/>
          <w:bCs/>
          <w:sz w:val="24"/>
          <w:szCs w:val="24"/>
        </w:rPr>
      </w:pPr>
      <w:r>
        <w:rPr>
          <w:b/>
          <w:bCs/>
          <w:sz w:val="24"/>
          <w:szCs w:val="24"/>
        </w:rPr>
        <w:t>R</w:t>
      </w:r>
      <w:r>
        <w:rPr>
          <w:rFonts w:hint="eastAsia"/>
          <w:b/>
          <w:bCs/>
          <w:sz w:val="24"/>
          <w:szCs w:val="24"/>
        </w:rPr>
        <w:t>eferences</w:t>
      </w:r>
    </w:p>
    <w:p w14:paraId="540601BD">
      <w:pPr>
        <w:numPr>
          <w:ilvl w:val="0"/>
          <w:numId w:val="1"/>
        </w:numPr>
        <w:tabs>
          <w:tab w:val="left" w:pos="420"/>
        </w:tabs>
        <w:ind w:firstLineChars="0"/>
        <w:jc w:val="left"/>
        <w:rPr>
          <w:szCs w:val="21"/>
        </w:rPr>
      </w:pPr>
      <w:bookmarkStart w:id="2" w:name="_Ref17858"/>
      <w:r>
        <w:rPr>
          <w:szCs w:val="21"/>
        </w:rPr>
        <w:t>Liu, S., Tian, Y. &amp; Hou, T. Stochastic Vibration Analysis of Aircraft–Runway Systems (in Chinese). Tongji University Press, Shanghai (2023).</w:t>
      </w:r>
      <w:bookmarkEnd w:id="2"/>
    </w:p>
    <w:p w14:paraId="60F60E15">
      <w:pPr>
        <w:numPr>
          <w:ilvl w:val="0"/>
          <w:numId w:val="1"/>
        </w:numPr>
        <w:ind w:firstLineChars="0"/>
        <w:rPr>
          <w:szCs w:val="21"/>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3" w:name="_Ref22248"/>
      <w:r>
        <w:rPr>
          <w:rFonts w:hint="eastAsia"/>
          <w:szCs w:val="21"/>
        </w:rPr>
        <w:t>Liu S F, Mao K Y, Hou T X, Ling J M, Sun Z Y. Three-dimensional characteristics and spectral model of the roughness of airport runway surface[J]. Journal of Road Engineering, 2026.</w:t>
      </w:r>
      <w:bookmarkEnd w:id="3"/>
    </w:p>
    <w:p w14:paraId="0BA1FFF8">
      <w:pPr>
        <w:numPr>
          <w:ilvl w:val="255"/>
          <w:numId w:val="0"/>
        </w:numPr>
        <w:rPr>
          <w:szCs w:val="21"/>
        </w:rPr>
      </w:pPr>
      <w:r>
        <w:rPr>
          <w:rFonts w:hint="eastAsia"/>
          <w:szCs w:val="21"/>
        </w:rPr>
        <w:t xml:space="preserve"> </w:t>
      </w:r>
    </w:p>
    <w:p w14:paraId="12B4C6A5">
      <w:pPr>
        <w:pStyle w:val="2"/>
        <w:ind w:firstLineChars="0"/>
        <w:rPr>
          <w:sz w:val="21"/>
          <w:szCs w:val="21"/>
        </w:rPr>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AE8C81A">
      <w:pPr>
        <w:pStyle w:val="2"/>
        <w:ind w:firstLine="0" w:firstLineChars="0"/>
      </w:pPr>
      <w:r>
        <w:t>Supplementary Note 2. Aircraft dataset</w:t>
      </w:r>
    </w:p>
    <w:p w14:paraId="1C6C6B46">
      <w:pPr>
        <w:pStyle w:val="3"/>
        <w:ind w:firstLine="482"/>
      </w:pPr>
      <w:r>
        <w:t>2.1 Aircraft movements across airports</w:t>
      </w:r>
    </w:p>
    <w:p w14:paraId="44AA2A45">
      <w:pPr>
        <w:ind w:firstLine="420"/>
        <w:jc w:val="left"/>
      </w:pPr>
      <w:r>
        <w:t>Aircraft movement data were obtained from the OAG database. Each landing–takeoff event of a given aircraft type at a specific airport was counted as one statistical unit. Aircraft movement records for Chinese airports from 2017 to 2019 are provided in Source Data 1. Airports are identified using standard ICAO airport codes.</w:t>
      </w:r>
    </w:p>
    <w:p w14:paraId="1F2751C9">
      <w:pPr>
        <w:pStyle w:val="3"/>
        <w:ind w:firstLine="482"/>
      </w:pPr>
      <w:r>
        <w:t>2.2 Aircraft-specific parameters</w:t>
      </w:r>
    </w:p>
    <w:p w14:paraId="694EE2A9">
      <w:pPr>
        <w:ind w:firstLine="420"/>
        <w:jc w:val="left"/>
      </w:pPr>
      <w:r>
        <w:t>(1) Aircraft taxiing speed data were obtained from the aviation data platform Aerocorner (https://aerocorner.com/aircraft/).For aircraft variants without explicitly reported taxiing speeds, equivalent substitution was performed based on airframe configuration similarity and mass equivalence principles. The following substitutions were adopted:A320 used for A320 (Sharklets); A321 for A321 (Sharklets);B737 for B737-200; B737-300 for B737-300 (Mixed Configuration) and B737-300 (Winglets);B737-800 for B737-800 (Winglets);B737-900 for B737-900ER (Winglets);B777-300 for B777-300ER;B787 for B787-8 and B787-9.</w:t>
      </w:r>
    </w:p>
    <w:p w14:paraId="5015FAEF">
      <w:pPr>
        <w:ind w:firstLine="420"/>
        <w:jc w:val="left"/>
      </w:pPr>
      <w:r>
        <w:t>(2)Pollutant emission data for the taxiing phase were obtained from the ICAO Aircraft Engine Emissions Databank (EEDB). For each aircraft type, emission indices corresponding to unit fuel mass (kg) were extracted for: hydrocarbons (HC), carbon monoxide (CO), carbon dioxide (CO₂), nitrogen oxides (NOₓ), non-volatile particulate matter (nvPM). Emission indices were converted into energy-based emission factors (g </w:t>
      </w:r>
      <w:r>
        <w:rPr>
          <w:rFonts w:hint="eastAsia"/>
        </w:rPr>
        <w:t>/</w:t>
      </w:r>
      <w:r>
        <w:t>MJ) using aircraft-specific fuel efficiency parameters through standardized unit conversion procedures.</w:t>
      </w:r>
    </w:p>
    <w:p w14:paraId="6958C8ED">
      <w:pPr>
        <w:ind w:firstLine="420"/>
        <w:jc w:val="left"/>
      </w:pPr>
      <w:r>
        <w:t>For aircraft types not directly listed in the EEDB, equivalent emission factors were assigned based on technological lineage, engine configuration similarity, and operational comparability. The following substitutions were applied: B717-200 for B727;B737-300 (Mixed Configuration) for B737-200;B737-500 for B737-400 (Mixed Configuration) and B737-600;B777-300 for B777;</w:t>
      </w:r>
    </w:p>
    <w:p w14:paraId="749DB9E6">
      <w:pPr>
        <w:ind w:firstLine="0" w:firstLineChars="0"/>
        <w:jc w:val="left"/>
      </w:pPr>
      <w:r>
        <w:t>B737 for McDonnell Douglas MD-88;B747 for B747-400.</w:t>
      </w:r>
    </w:p>
    <w:p w14:paraId="21EF6798">
      <w:pPr>
        <w:ind w:firstLine="420"/>
        <w:jc w:val="left"/>
      </w:pPr>
      <w:r>
        <w:t xml:space="preserve">The resulting energy-based emission factors for all aircraft types are summarized in Table </w:t>
      </w:r>
      <w:r>
        <w:rPr>
          <w:rFonts w:hint="eastAsia"/>
        </w:rPr>
        <w:t>S</w:t>
      </w:r>
      <w:r>
        <w:t>2.1.</w:t>
      </w:r>
    </w:p>
    <w:p w14:paraId="0A24EA11">
      <w:pPr>
        <w:ind w:firstLine="420"/>
        <w:jc w:val="center"/>
      </w:pPr>
      <w:r>
        <w:t xml:space="preserve">Table </w:t>
      </w:r>
      <w:r>
        <w:rPr>
          <w:rFonts w:hint="eastAsia"/>
        </w:rPr>
        <w:t>S</w:t>
      </w:r>
      <w:r>
        <w:t>2.1</w:t>
      </w:r>
      <w:r>
        <w:rPr>
          <w:rFonts w:hint="eastAsia"/>
        </w:rPr>
        <w:t>.</w:t>
      </w:r>
      <w:r>
        <w:t xml:space="preserve"> Aircraft operational and emission parameters used in this study</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1028"/>
        <w:gridCol w:w="1056"/>
        <w:gridCol w:w="907"/>
        <w:gridCol w:w="828"/>
        <w:gridCol w:w="786"/>
        <w:gridCol w:w="836"/>
        <w:gridCol w:w="925"/>
        <w:gridCol w:w="872"/>
      </w:tblGrid>
      <w:tr w14:paraId="7677B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1284" w:type="dxa"/>
            <w:tcBorders>
              <w:top w:val="single" w:color="000000" w:sz="12" w:space="0"/>
              <w:left w:val="nil"/>
              <w:bottom w:val="single" w:color="000000" w:sz="12" w:space="0"/>
            </w:tcBorders>
            <w:shd w:val="clear" w:color="auto" w:fill="auto"/>
            <w:vAlign w:val="center"/>
          </w:tcPr>
          <w:p w14:paraId="307ED984">
            <w:pPr>
              <w:pStyle w:val="49"/>
              <w:rPr>
                <w:sz w:val="15"/>
                <w:szCs w:val="15"/>
              </w:rPr>
            </w:pPr>
            <w:r>
              <w:rPr>
                <w:sz w:val="15"/>
                <w:szCs w:val="15"/>
              </w:rPr>
              <w:t>aircraft type</w:t>
            </w:r>
          </w:p>
        </w:tc>
        <w:tc>
          <w:tcPr>
            <w:tcW w:w="1028" w:type="dxa"/>
            <w:tcBorders>
              <w:top w:val="single" w:color="000000" w:sz="12" w:space="0"/>
              <w:bottom w:val="single" w:color="000000" w:sz="12" w:space="0"/>
            </w:tcBorders>
            <w:shd w:val="clear" w:color="auto" w:fill="auto"/>
            <w:vAlign w:val="center"/>
          </w:tcPr>
          <w:p w14:paraId="0023395F">
            <w:pPr>
              <w:pStyle w:val="49"/>
              <w:rPr>
                <w:sz w:val="15"/>
                <w:szCs w:val="15"/>
              </w:rPr>
            </w:pPr>
            <w:r>
              <w:rPr>
                <w:rFonts w:hint="eastAsia"/>
                <w:sz w:val="15"/>
                <w:szCs w:val="15"/>
              </w:rPr>
              <w:t>V</w:t>
            </w:r>
            <w:r>
              <w:rPr>
                <w:rFonts w:hint="eastAsia"/>
                <w:sz w:val="15"/>
                <w:szCs w:val="15"/>
                <w:vertAlign w:val="subscript"/>
              </w:rPr>
              <w:t>takeoff</w:t>
            </w:r>
            <w:r>
              <w:rPr>
                <w:sz w:val="15"/>
                <w:szCs w:val="15"/>
              </w:rPr>
              <w:t>(km/h)</w:t>
            </w:r>
          </w:p>
        </w:tc>
        <w:tc>
          <w:tcPr>
            <w:tcW w:w="1056" w:type="dxa"/>
            <w:tcBorders>
              <w:top w:val="single" w:color="000000" w:sz="12" w:space="0"/>
              <w:bottom w:val="single" w:color="000000" w:sz="12" w:space="0"/>
            </w:tcBorders>
            <w:shd w:val="clear" w:color="auto" w:fill="auto"/>
            <w:vAlign w:val="center"/>
          </w:tcPr>
          <w:p w14:paraId="2C1E9229">
            <w:pPr>
              <w:pStyle w:val="49"/>
              <w:rPr>
                <w:sz w:val="15"/>
                <w:szCs w:val="15"/>
              </w:rPr>
            </w:pPr>
            <w:r>
              <w:rPr>
                <w:rFonts w:hint="eastAsia"/>
                <w:sz w:val="15"/>
                <w:szCs w:val="15"/>
              </w:rPr>
              <w:t>V</w:t>
            </w:r>
            <w:r>
              <w:rPr>
                <w:rFonts w:hint="eastAsia"/>
                <w:sz w:val="15"/>
                <w:szCs w:val="15"/>
                <w:vertAlign w:val="subscript"/>
              </w:rPr>
              <w:t>landing</w:t>
            </w:r>
            <w:r>
              <w:rPr>
                <w:sz w:val="15"/>
                <w:szCs w:val="15"/>
              </w:rPr>
              <w:t>(km/h)</w:t>
            </w:r>
          </w:p>
        </w:tc>
        <w:tc>
          <w:tcPr>
            <w:tcW w:w="907" w:type="dxa"/>
            <w:tcBorders>
              <w:top w:val="single" w:color="000000" w:sz="12" w:space="0"/>
              <w:bottom w:val="single" w:color="000000" w:sz="12" w:space="0"/>
            </w:tcBorders>
            <w:shd w:val="clear" w:color="auto" w:fill="auto"/>
            <w:vAlign w:val="center"/>
          </w:tcPr>
          <w:p w14:paraId="6A12F47A">
            <w:pPr>
              <w:pStyle w:val="49"/>
              <w:rPr>
                <w:sz w:val="15"/>
                <w:szCs w:val="15"/>
              </w:rPr>
            </w:pPr>
            <w:r>
              <w:rPr>
                <w:sz w:val="15"/>
                <w:szCs w:val="15"/>
              </w:rPr>
              <w:t>M(kg)</w:t>
            </w:r>
          </w:p>
        </w:tc>
        <w:tc>
          <w:tcPr>
            <w:tcW w:w="828" w:type="dxa"/>
            <w:tcBorders>
              <w:top w:val="single" w:color="000000" w:sz="12" w:space="0"/>
              <w:bottom w:val="single" w:color="000000" w:sz="12" w:space="0"/>
            </w:tcBorders>
            <w:vAlign w:val="center"/>
          </w:tcPr>
          <w:p w14:paraId="3870C962">
            <w:pPr>
              <w:pStyle w:val="49"/>
              <w:rPr>
                <w:sz w:val="15"/>
                <w:szCs w:val="15"/>
              </w:rPr>
            </w:pPr>
            <w:r>
              <w:rPr>
                <w:sz w:val="15"/>
                <w:szCs w:val="15"/>
              </w:rPr>
              <w:t>HC</w:t>
            </w:r>
          </w:p>
          <w:p w14:paraId="6F97EB6F">
            <w:pPr>
              <w:pStyle w:val="49"/>
              <w:rPr>
                <w:sz w:val="15"/>
                <w:szCs w:val="15"/>
              </w:rPr>
            </w:pPr>
            <w:r>
              <w:rPr>
                <w:sz w:val="15"/>
                <w:szCs w:val="15"/>
              </w:rPr>
              <w:t>(g/MJ)</w:t>
            </w:r>
          </w:p>
        </w:tc>
        <w:tc>
          <w:tcPr>
            <w:tcW w:w="786" w:type="dxa"/>
            <w:tcBorders>
              <w:top w:val="single" w:color="000000" w:sz="12" w:space="0"/>
              <w:bottom w:val="single" w:color="000000" w:sz="12" w:space="0"/>
            </w:tcBorders>
            <w:vAlign w:val="center"/>
          </w:tcPr>
          <w:p w14:paraId="2ECC4843">
            <w:pPr>
              <w:pStyle w:val="49"/>
              <w:rPr>
                <w:sz w:val="15"/>
                <w:szCs w:val="15"/>
              </w:rPr>
            </w:pPr>
            <w:r>
              <w:rPr>
                <w:sz w:val="15"/>
                <w:szCs w:val="15"/>
              </w:rPr>
              <w:t>CO</w:t>
            </w:r>
          </w:p>
          <w:p w14:paraId="4BBCD6E6">
            <w:pPr>
              <w:pStyle w:val="49"/>
              <w:rPr>
                <w:sz w:val="15"/>
                <w:szCs w:val="15"/>
              </w:rPr>
            </w:pPr>
            <w:r>
              <w:rPr>
                <w:sz w:val="15"/>
                <w:szCs w:val="15"/>
              </w:rPr>
              <w:t>(g/MJ)</w:t>
            </w:r>
          </w:p>
        </w:tc>
        <w:tc>
          <w:tcPr>
            <w:tcW w:w="836" w:type="dxa"/>
            <w:tcBorders>
              <w:top w:val="single" w:color="000000" w:sz="12" w:space="0"/>
              <w:bottom w:val="single" w:color="000000" w:sz="12" w:space="0"/>
            </w:tcBorders>
            <w:vAlign w:val="center"/>
          </w:tcPr>
          <w:p w14:paraId="4C91030F">
            <w:pPr>
              <w:pStyle w:val="49"/>
              <w:rPr>
                <w:sz w:val="15"/>
                <w:szCs w:val="15"/>
              </w:rPr>
            </w:pPr>
            <w:r>
              <w:rPr>
                <w:sz w:val="15"/>
                <w:szCs w:val="15"/>
              </w:rPr>
              <w:t>NO</w:t>
            </w:r>
            <w:r>
              <w:rPr>
                <w:sz w:val="15"/>
                <w:szCs w:val="15"/>
                <w:vertAlign w:val="subscript"/>
              </w:rPr>
              <w:t>x</w:t>
            </w:r>
          </w:p>
          <w:p w14:paraId="25678609">
            <w:pPr>
              <w:pStyle w:val="49"/>
              <w:rPr>
                <w:sz w:val="15"/>
                <w:szCs w:val="15"/>
              </w:rPr>
            </w:pPr>
            <w:r>
              <w:rPr>
                <w:sz w:val="15"/>
                <w:szCs w:val="15"/>
              </w:rPr>
              <w:t>(g/MJ)</w:t>
            </w:r>
          </w:p>
        </w:tc>
        <w:tc>
          <w:tcPr>
            <w:tcW w:w="925" w:type="dxa"/>
            <w:tcBorders>
              <w:top w:val="single" w:color="000000" w:sz="12" w:space="0"/>
              <w:bottom w:val="single" w:color="000000" w:sz="12" w:space="0"/>
            </w:tcBorders>
            <w:vAlign w:val="center"/>
          </w:tcPr>
          <w:p w14:paraId="57A82F7A">
            <w:pPr>
              <w:pStyle w:val="49"/>
              <w:rPr>
                <w:sz w:val="15"/>
                <w:szCs w:val="15"/>
              </w:rPr>
            </w:pPr>
            <w:r>
              <w:rPr>
                <w:sz w:val="15"/>
                <w:szCs w:val="15"/>
              </w:rPr>
              <w:t>nvPM</w:t>
            </w:r>
          </w:p>
          <w:p w14:paraId="671C4391">
            <w:pPr>
              <w:pStyle w:val="49"/>
              <w:rPr>
                <w:sz w:val="15"/>
                <w:szCs w:val="15"/>
              </w:rPr>
            </w:pPr>
            <w:r>
              <w:rPr>
                <w:sz w:val="15"/>
                <w:szCs w:val="15"/>
              </w:rPr>
              <w:t>(g/MJ)</w:t>
            </w:r>
          </w:p>
        </w:tc>
        <w:tc>
          <w:tcPr>
            <w:tcW w:w="872" w:type="dxa"/>
            <w:tcBorders>
              <w:top w:val="single" w:color="000000" w:sz="12" w:space="0"/>
              <w:bottom w:val="single" w:color="000000" w:sz="12" w:space="0"/>
              <w:right w:val="nil"/>
            </w:tcBorders>
            <w:vAlign w:val="center"/>
          </w:tcPr>
          <w:p w14:paraId="10B6CDCB">
            <w:pPr>
              <w:pStyle w:val="49"/>
              <w:rPr>
                <w:sz w:val="15"/>
                <w:szCs w:val="15"/>
              </w:rPr>
            </w:pPr>
            <w:r>
              <w:rPr>
                <w:sz w:val="15"/>
                <w:szCs w:val="15"/>
              </w:rPr>
              <w:t>CO</w:t>
            </w:r>
            <w:r>
              <w:rPr>
                <w:sz w:val="15"/>
                <w:szCs w:val="15"/>
                <w:vertAlign w:val="subscript"/>
              </w:rPr>
              <w:t>2</w:t>
            </w:r>
          </w:p>
          <w:p w14:paraId="605511D3">
            <w:pPr>
              <w:pStyle w:val="49"/>
              <w:rPr>
                <w:sz w:val="15"/>
                <w:szCs w:val="15"/>
              </w:rPr>
            </w:pPr>
            <w:r>
              <w:rPr>
                <w:sz w:val="15"/>
                <w:szCs w:val="15"/>
              </w:rPr>
              <w:t>(g/MJ)</w:t>
            </w:r>
          </w:p>
        </w:tc>
      </w:tr>
      <w:tr w14:paraId="29DB6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top w:val="single" w:color="000000" w:sz="12" w:space="0"/>
              <w:left w:val="nil"/>
            </w:tcBorders>
            <w:shd w:val="clear" w:color="auto" w:fill="auto"/>
            <w:vAlign w:val="center"/>
          </w:tcPr>
          <w:p w14:paraId="760D0459">
            <w:pPr>
              <w:pStyle w:val="49"/>
              <w:rPr>
                <w:sz w:val="15"/>
                <w:szCs w:val="15"/>
              </w:rPr>
            </w:pPr>
            <w:r>
              <w:rPr>
                <w:sz w:val="15"/>
                <w:szCs w:val="15"/>
              </w:rPr>
              <w:t>A319</w:t>
            </w:r>
          </w:p>
        </w:tc>
        <w:tc>
          <w:tcPr>
            <w:tcW w:w="1028" w:type="dxa"/>
            <w:tcBorders>
              <w:top w:val="single" w:color="000000" w:sz="12" w:space="0"/>
            </w:tcBorders>
            <w:shd w:val="clear" w:color="auto" w:fill="auto"/>
            <w:vAlign w:val="center"/>
          </w:tcPr>
          <w:p w14:paraId="5E6500BA">
            <w:pPr>
              <w:pStyle w:val="49"/>
              <w:rPr>
                <w:sz w:val="15"/>
                <w:szCs w:val="15"/>
              </w:rPr>
            </w:pPr>
            <w:r>
              <w:rPr>
                <w:sz w:val="15"/>
                <w:szCs w:val="15"/>
              </w:rPr>
              <w:t>268.54</w:t>
            </w:r>
          </w:p>
        </w:tc>
        <w:tc>
          <w:tcPr>
            <w:tcW w:w="1056" w:type="dxa"/>
            <w:tcBorders>
              <w:top w:val="single" w:color="000000" w:sz="12" w:space="0"/>
            </w:tcBorders>
            <w:shd w:val="clear" w:color="auto" w:fill="auto"/>
            <w:vAlign w:val="center"/>
          </w:tcPr>
          <w:p w14:paraId="5BB190AC">
            <w:pPr>
              <w:pStyle w:val="49"/>
              <w:rPr>
                <w:sz w:val="15"/>
                <w:szCs w:val="15"/>
              </w:rPr>
            </w:pPr>
            <w:r>
              <w:rPr>
                <w:sz w:val="15"/>
                <w:szCs w:val="15"/>
              </w:rPr>
              <w:t>240.76</w:t>
            </w:r>
          </w:p>
        </w:tc>
        <w:tc>
          <w:tcPr>
            <w:tcW w:w="907" w:type="dxa"/>
            <w:tcBorders>
              <w:top w:val="single" w:color="000000" w:sz="12" w:space="0"/>
            </w:tcBorders>
            <w:shd w:val="clear" w:color="auto" w:fill="auto"/>
            <w:vAlign w:val="center"/>
          </w:tcPr>
          <w:p w14:paraId="3A5C5048">
            <w:pPr>
              <w:pStyle w:val="49"/>
              <w:rPr>
                <w:sz w:val="15"/>
                <w:szCs w:val="15"/>
              </w:rPr>
            </w:pPr>
            <w:r>
              <w:rPr>
                <w:sz w:val="15"/>
                <w:szCs w:val="15"/>
              </w:rPr>
              <w:t>75500</w:t>
            </w:r>
          </w:p>
        </w:tc>
        <w:tc>
          <w:tcPr>
            <w:tcW w:w="828" w:type="dxa"/>
            <w:tcBorders>
              <w:top w:val="single" w:color="000000" w:sz="12" w:space="0"/>
            </w:tcBorders>
            <w:vAlign w:val="center"/>
          </w:tcPr>
          <w:p w14:paraId="622F482A">
            <w:pPr>
              <w:pStyle w:val="49"/>
              <w:rPr>
                <w:sz w:val="15"/>
                <w:szCs w:val="15"/>
              </w:rPr>
            </w:pPr>
            <w:r>
              <w:rPr>
                <w:sz w:val="15"/>
                <w:szCs w:val="15"/>
              </w:rPr>
              <w:t>0.002311</w:t>
            </w:r>
          </w:p>
        </w:tc>
        <w:tc>
          <w:tcPr>
            <w:tcW w:w="786" w:type="dxa"/>
            <w:tcBorders>
              <w:top w:val="single" w:color="000000" w:sz="12" w:space="0"/>
            </w:tcBorders>
            <w:vAlign w:val="center"/>
          </w:tcPr>
          <w:p w14:paraId="33B8CDF2">
            <w:pPr>
              <w:pStyle w:val="49"/>
              <w:rPr>
                <w:sz w:val="15"/>
                <w:szCs w:val="15"/>
              </w:rPr>
            </w:pPr>
            <w:r>
              <w:rPr>
                <w:sz w:val="15"/>
                <w:szCs w:val="15"/>
              </w:rPr>
              <w:t>0.018489</w:t>
            </w:r>
          </w:p>
        </w:tc>
        <w:tc>
          <w:tcPr>
            <w:tcW w:w="836" w:type="dxa"/>
            <w:tcBorders>
              <w:top w:val="single" w:color="000000" w:sz="12" w:space="0"/>
            </w:tcBorders>
            <w:vAlign w:val="center"/>
          </w:tcPr>
          <w:p w14:paraId="2D06F4F7">
            <w:pPr>
              <w:pStyle w:val="49"/>
              <w:rPr>
                <w:sz w:val="15"/>
                <w:szCs w:val="15"/>
              </w:rPr>
            </w:pPr>
            <w:r>
              <w:rPr>
                <w:sz w:val="15"/>
                <w:szCs w:val="15"/>
              </w:rPr>
              <w:t>0.455281</w:t>
            </w:r>
          </w:p>
        </w:tc>
        <w:tc>
          <w:tcPr>
            <w:tcW w:w="925" w:type="dxa"/>
            <w:tcBorders>
              <w:top w:val="single" w:color="000000" w:sz="12" w:space="0"/>
            </w:tcBorders>
            <w:vAlign w:val="center"/>
          </w:tcPr>
          <w:p w14:paraId="452512D0">
            <w:pPr>
              <w:pStyle w:val="49"/>
              <w:rPr>
                <w:sz w:val="15"/>
                <w:szCs w:val="15"/>
              </w:rPr>
            </w:pPr>
            <w:r>
              <w:rPr>
                <w:sz w:val="15"/>
                <w:szCs w:val="15"/>
              </w:rPr>
              <w:t>0.836607</w:t>
            </w:r>
          </w:p>
        </w:tc>
        <w:tc>
          <w:tcPr>
            <w:tcW w:w="872" w:type="dxa"/>
            <w:tcBorders>
              <w:top w:val="single" w:color="000000" w:sz="12" w:space="0"/>
              <w:right w:val="nil"/>
            </w:tcBorders>
            <w:vAlign w:val="center"/>
          </w:tcPr>
          <w:p w14:paraId="3070CEC7">
            <w:pPr>
              <w:pStyle w:val="49"/>
              <w:rPr>
                <w:sz w:val="15"/>
                <w:szCs w:val="15"/>
              </w:rPr>
            </w:pPr>
            <w:r>
              <w:rPr>
                <w:sz w:val="15"/>
                <w:szCs w:val="15"/>
              </w:rPr>
              <w:t>73.029813</w:t>
            </w:r>
          </w:p>
        </w:tc>
      </w:tr>
      <w:tr w14:paraId="5A86C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AFCD1A2">
            <w:pPr>
              <w:pStyle w:val="49"/>
              <w:rPr>
                <w:sz w:val="15"/>
                <w:szCs w:val="15"/>
              </w:rPr>
            </w:pPr>
            <w:r>
              <w:rPr>
                <w:sz w:val="15"/>
                <w:szCs w:val="15"/>
              </w:rPr>
              <w:t>A320</w:t>
            </w:r>
          </w:p>
        </w:tc>
        <w:tc>
          <w:tcPr>
            <w:tcW w:w="1028" w:type="dxa"/>
            <w:shd w:val="clear" w:color="auto" w:fill="auto"/>
            <w:vAlign w:val="center"/>
          </w:tcPr>
          <w:p w14:paraId="78E7BA7E">
            <w:pPr>
              <w:pStyle w:val="49"/>
              <w:rPr>
                <w:sz w:val="15"/>
                <w:szCs w:val="15"/>
              </w:rPr>
            </w:pPr>
            <w:r>
              <w:rPr>
                <w:sz w:val="15"/>
                <w:szCs w:val="15"/>
              </w:rPr>
              <w:t>290.76</w:t>
            </w:r>
          </w:p>
        </w:tc>
        <w:tc>
          <w:tcPr>
            <w:tcW w:w="1056" w:type="dxa"/>
            <w:shd w:val="clear" w:color="auto" w:fill="auto"/>
            <w:vAlign w:val="center"/>
          </w:tcPr>
          <w:p w14:paraId="57B81975">
            <w:pPr>
              <w:pStyle w:val="49"/>
              <w:rPr>
                <w:sz w:val="15"/>
                <w:szCs w:val="15"/>
              </w:rPr>
            </w:pPr>
            <w:r>
              <w:rPr>
                <w:sz w:val="15"/>
                <w:szCs w:val="15"/>
              </w:rPr>
              <w:t>253.72</w:t>
            </w:r>
          </w:p>
        </w:tc>
        <w:tc>
          <w:tcPr>
            <w:tcW w:w="907" w:type="dxa"/>
            <w:shd w:val="clear" w:color="auto" w:fill="auto"/>
            <w:vAlign w:val="center"/>
          </w:tcPr>
          <w:p w14:paraId="317448C8">
            <w:pPr>
              <w:pStyle w:val="49"/>
              <w:rPr>
                <w:sz w:val="15"/>
                <w:szCs w:val="15"/>
              </w:rPr>
            </w:pPr>
            <w:r>
              <w:rPr>
                <w:sz w:val="15"/>
                <w:szCs w:val="15"/>
              </w:rPr>
              <w:t>77000</w:t>
            </w:r>
          </w:p>
        </w:tc>
        <w:tc>
          <w:tcPr>
            <w:tcW w:w="828" w:type="dxa"/>
            <w:vAlign w:val="center"/>
          </w:tcPr>
          <w:p w14:paraId="143927D9">
            <w:pPr>
              <w:pStyle w:val="49"/>
              <w:rPr>
                <w:sz w:val="15"/>
                <w:szCs w:val="15"/>
              </w:rPr>
            </w:pPr>
            <w:r>
              <w:rPr>
                <w:sz w:val="15"/>
                <w:szCs w:val="15"/>
              </w:rPr>
              <w:t>0.000925</w:t>
            </w:r>
          </w:p>
        </w:tc>
        <w:tc>
          <w:tcPr>
            <w:tcW w:w="786" w:type="dxa"/>
            <w:vAlign w:val="center"/>
          </w:tcPr>
          <w:p w14:paraId="5B2B7BC2">
            <w:pPr>
              <w:pStyle w:val="49"/>
              <w:rPr>
                <w:sz w:val="15"/>
                <w:szCs w:val="15"/>
              </w:rPr>
            </w:pPr>
            <w:r>
              <w:rPr>
                <w:sz w:val="15"/>
                <w:szCs w:val="15"/>
              </w:rPr>
              <w:t>0.006241</w:t>
            </w:r>
          </w:p>
        </w:tc>
        <w:tc>
          <w:tcPr>
            <w:tcW w:w="836" w:type="dxa"/>
            <w:vAlign w:val="center"/>
          </w:tcPr>
          <w:p w14:paraId="7CC41240">
            <w:pPr>
              <w:pStyle w:val="49"/>
              <w:rPr>
                <w:sz w:val="15"/>
                <w:szCs w:val="15"/>
              </w:rPr>
            </w:pPr>
            <w:r>
              <w:rPr>
                <w:sz w:val="15"/>
                <w:szCs w:val="15"/>
              </w:rPr>
              <w:t>1.143782</w:t>
            </w:r>
          </w:p>
        </w:tc>
        <w:tc>
          <w:tcPr>
            <w:tcW w:w="925" w:type="dxa"/>
            <w:vAlign w:val="center"/>
          </w:tcPr>
          <w:p w14:paraId="667F7BE1">
            <w:pPr>
              <w:pStyle w:val="49"/>
              <w:rPr>
                <w:sz w:val="15"/>
                <w:szCs w:val="15"/>
              </w:rPr>
            </w:pPr>
            <w:r>
              <w:rPr>
                <w:sz w:val="15"/>
                <w:szCs w:val="15"/>
              </w:rPr>
              <w:t>0.041609</w:t>
            </w:r>
          </w:p>
        </w:tc>
        <w:tc>
          <w:tcPr>
            <w:tcW w:w="872" w:type="dxa"/>
            <w:tcBorders>
              <w:right w:val="nil"/>
            </w:tcBorders>
            <w:vAlign w:val="center"/>
          </w:tcPr>
          <w:p w14:paraId="7A6455A9">
            <w:pPr>
              <w:pStyle w:val="49"/>
              <w:rPr>
                <w:sz w:val="15"/>
                <w:szCs w:val="15"/>
              </w:rPr>
            </w:pPr>
            <w:r>
              <w:rPr>
                <w:sz w:val="15"/>
                <w:szCs w:val="15"/>
              </w:rPr>
              <w:t>73.046694</w:t>
            </w:r>
          </w:p>
        </w:tc>
      </w:tr>
      <w:tr w14:paraId="2734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78B1AA57">
            <w:pPr>
              <w:pStyle w:val="49"/>
              <w:rPr>
                <w:sz w:val="15"/>
                <w:szCs w:val="15"/>
              </w:rPr>
            </w:pPr>
            <w:r>
              <w:rPr>
                <w:sz w:val="15"/>
                <w:szCs w:val="15"/>
              </w:rPr>
              <w:t>A3</w:t>
            </w:r>
            <w:r>
              <w:rPr>
                <w:rFonts w:hint="eastAsia"/>
                <w:sz w:val="15"/>
                <w:szCs w:val="15"/>
              </w:rPr>
              <w:t>20</w:t>
            </w:r>
            <w:r>
              <w:rPr>
                <w:sz w:val="15"/>
                <w:szCs w:val="15"/>
              </w:rPr>
              <w:t>（Sharklets）</w:t>
            </w:r>
          </w:p>
        </w:tc>
        <w:tc>
          <w:tcPr>
            <w:tcW w:w="1028" w:type="dxa"/>
            <w:shd w:val="clear" w:color="auto" w:fill="auto"/>
            <w:vAlign w:val="center"/>
          </w:tcPr>
          <w:p w14:paraId="0A5037CA">
            <w:pPr>
              <w:pStyle w:val="49"/>
              <w:rPr>
                <w:sz w:val="15"/>
                <w:szCs w:val="15"/>
              </w:rPr>
            </w:pPr>
            <w:r>
              <w:rPr>
                <w:sz w:val="15"/>
                <w:szCs w:val="15"/>
              </w:rPr>
              <w:t>290.76</w:t>
            </w:r>
          </w:p>
        </w:tc>
        <w:tc>
          <w:tcPr>
            <w:tcW w:w="1056" w:type="dxa"/>
            <w:shd w:val="clear" w:color="auto" w:fill="auto"/>
            <w:vAlign w:val="center"/>
          </w:tcPr>
          <w:p w14:paraId="2D0D8BC7">
            <w:pPr>
              <w:pStyle w:val="49"/>
              <w:rPr>
                <w:sz w:val="15"/>
                <w:szCs w:val="15"/>
              </w:rPr>
            </w:pPr>
            <w:r>
              <w:rPr>
                <w:sz w:val="15"/>
                <w:szCs w:val="15"/>
              </w:rPr>
              <w:t>253.72</w:t>
            </w:r>
          </w:p>
        </w:tc>
        <w:tc>
          <w:tcPr>
            <w:tcW w:w="907" w:type="dxa"/>
            <w:shd w:val="clear" w:color="auto" w:fill="auto"/>
            <w:vAlign w:val="center"/>
          </w:tcPr>
          <w:p w14:paraId="47E2A7BB">
            <w:pPr>
              <w:pStyle w:val="49"/>
              <w:rPr>
                <w:sz w:val="15"/>
                <w:szCs w:val="15"/>
              </w:rPr>
            </w:pPr>
            <w:r>
              <w:rPr>
                <w:sz w:val="15"/>
                <w:szCs w:val="15"/>
              </w:rPr>
              <w:t>79015</w:t>
            </w:r>
          </w:p>
        </w:tc>
        <w:tc>
          <w:tcPr>
            <w:tcW w:w="828" w:type="dxa"/>
            <w:vAlign w:val="center"/>
          </w:tcPr>
          <w:p w14:paraId="2C365B6B">
            <w:pPr>
              <w:pStyle w:val="49"/>
              <w:rPr>
                <w:sz w:val="15"/>
                <w:szCs w:val="15"/>
              </w:rPr>
            </w:pPr>
            <w:r>
              <w:rPr>
                <w:sz w:val="15"/>
                <w:szCs w:val="15"/>
              </w:rPr>
              <w:t>0.000925</w:t>
            </w:r>
          </w:p>
        </w:tc>
        <w:tc>
          <w:tcPr>
            <w:tcW w:w="786" w:type="dxa"/>
            <w:vAlign w:val="center"/>
          </w:tcPr>
          <w:p w14:paraId="265869DE">
            <w:pPr>
              <w:pStyle w:val="49"/>
              <w:rPr>
                <w:sz w:val="15"/>
                <w:szCs w:val="15"/>
              </w:rPr>
            </w:pPr>
            <w:r>
              <w:rPr>
                <w:sz w:val="15"/>
                <w:szCs w:val="15"/>
              </w:rPr>
              <w:t>0.006241</w:t>
            </w:r>
          </w:p>
        </w:tc>
        <w:tc>
          <w:tcPr>
            <w:tcW w:w="836" w:type="dxa"/>
            <w:vAlign w:val="center"/>
          </w:tcPr>
          <w:p w14:paraId="55900273">
            <w:pPr>
              <w:pStyle w:val="49"/>
              <w:rPr>
                <w:sz w:val="15"/>
                <w:szCs w:val="15"/>
              </w:rPr>
            </w:pPr>
            <w:r>
              <w:rPr>
                <w:sz w:val="15"/>
                <w:szCs w:val="15"/>
              </w:rPr>
              <w:t>1.143782</w:t>
            </w:r>
          </w:p>
        </w:tc>
        <w:tc>
          <w:tcPr>
            <w:tcW w:w="925" w:type="dxa"/>
            <w:vAlign w:val="center"/>
          </w:tcPr>
          <w:p w14:paraId="611644C7">
            <w:pPr>
              <w:pStyle w:val="49"/>
              <w:rPr>
                <w:sz w:val="15"/>
                <w:szCs w:val="15"/>
              </w:rPr>
            </w:pPr>
            <w:r>
              <w:rPr>
                <w:sz w:val="15"/>
                <w:szCs w:val="15"/>
              </w:rPr>
              <w:t>0.041609</w:t>
            </w:r>
          </w:p>
        </w:tc>
        <w:tc>
          <w:tcPr>
            <w:tcW w:w="872" w:type="dxa"/>
            <w:tcBorders>
              <w:right w:val="nil"/>
            </w:tcBorders>
            <w:vAlign w:val="center"/>
          </w:tcPr>
          <w:p w14:paraId="0B2A9497">
            <w:pPr>
              <w:pStyle w:val="49"/>
              <w:rPr>
                <w:sz w:val="15"/>
                <w:szCs w:val="15"/>
              </w:rPr>
            </w:pPr>
            <w:r>
              <w:rPr>
                <w:sz w:val="15"/>
                <w:szCs w:val="15"/>
              </w:rPr>
              <w:t>73.046694</w:t>
            </w:r>
          </w:p>
        </w:tc>
      </w:tr>
      <w:tr w14:paraId="2BD4C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33471A91">
            <w:pPr>
              <w:pStyle w:val="49"/>
              <w:rPr>
                <w:sz w:val="15"/>
                <w:szCs w:val="15"/>
              </w:rPr>
            </w:pPr>
            <w:r>
              <w:rPr>
                <w:sz w:val="15"/>
                <w:szCs w:val="15"/>
              </w:rPr>
              <w:t>A320neo</w:t>
            </w:r>
          </w:p>
        </w:tc>
        <w:tc>
          <w:tcPr>
            <w:tcW w:w="1028" w:type="dxa"/>
            <w:shd w:val="clear" w:color="auto" w:fill="auto"/>
            <w:vAlign w:val="center"/>
          </w:tcPr>
          <w:p w14:paraId="5DB1069E">
            <w:pPr>
              <w:pStyle w:val="49"/>
              <w:rPr>
                <w:sz w:val="15"/>
                <w:szCs w:val="15"/>
              </w:rPr>
            </w:pPr>
            <w:r>
              <w:rPr>
                <w:sz w:val="15"/>
                <w:szCs w:val="15"/>
              </w:rPr>
              <w:t>292.62</w:t>
            </w:r>
          </w:p>
        </w:tc>
        <w:tc>
          <w:tcPr>
            <w:tcW w:w="1056" w:type="dxa"/>
            <w:shd w:val="clear" w:color="auto" w:fill="auto"/>
            <w:vAlign w:val="center"/>
          </w:tcPr>
          <w:p w14:paraId="7C1995A1">
            <w:pPr>
              <w:pStyle w:val="49"/>
              <w:rPr>
                <w:sz w:val="15"/>
                <w:szCs w:val="15"/>
              </w:rPr>
            </w:pPr>
            <w:r>
              <w:rPr>
                <w:sz w:val="15"/>
                <w:szCs w:val="15"/>
              </w:rPr>
              <w:t>253.72</w:t>
            </w:r>
          </w:p>
        </w:tc>
        <w:tc>
          <w:tcPr>
            <w:tcW w:w="907" w:type="dxa"/>
            <w:shd w:val="clear" w:color="auto" w:fill="auto"/>
            <w:vAlign w:val="center"/>
          </w:tcPr>
          <w:p w14:paraId="245B52F1">
            <w:pPr>
              <w:pStyle w:val="49"/>
              <w:rPr>
                <w:sz w:val="15"/>
                <w:szCs w:val="15"/>
              </w:rPr>
            </w:pPr>
            <w:r>
              <w:rPr>
                <w:sz w:val="15"/>
                <w:szCs w:val="15"/>
              </w:rPr>
              <w:t>79015</w:t>
            </w:r>
          </w:p>
        </w:tc>
        <w:tc>
          <w:tcPr>
            <w:tcW w:w="828" w:type="dxa"/>
            <w:vAlign w:val="center"/>
          </w:tcPr>
          <w:p w14:paraId="1C53B180">
            <w:pPr>
              <w:pStyle w:val="49"/>
              <w:rPr>
                <w:sz w:val="15"/>
                <w:szCs w:val="15"/>
              </w:rPr>
            </w:pPr>
            <w:r>
              <w:rPr>
                <w:sz w:val="15"/>
                <w:szCs w:val="15"/>
              </w:rPr>
              <w:t>0.000925</w:t>
            </w:r>
          </w:p>
        </w:tc>
        <w:tc>
          <w:tcPr>
            <w:tcW w:w="786" w:type="dxa"/>
            <w:vAlign w:val="center"/>
          </w:tcPr>
          <w:p w14:paraId="21A96AE5">
            <w:pPr>
              <w:pStyle w:val="49"/>
              <w:rPr>
                <w:sz w:val="15"/>
                <w:szCs w:val="15"/>
              </w:rPr>
            </w:pPr>
            <w:r>
              <w:rPr>
                <w:sz w:val="15"/>
                <w:szCs w:val="15"/>
              </w:rPr>
              <w:t>0.006241</w:t>
            </w:r>
          </w:p>
        </w:tc>
        <w:tc>
          <w:tcPr>
            <w:tcW w:w="836" w:type="dxa"/>
            <w:vAlign w:val="center"/>
          </w:tcPr>
          <w:p w14:paraId="5A93C7ED">
            <w:pPr>
              <w:pStyle w:val="49"/>
              <w:rPr>
                <w:sz w:val="15"/>
                <w:szCs w:val="15"/>
              </w:rPr>
            </w:pPr>
            <w:r>
              <w:rPr>
                <w:sz w:val="15"/>
                <w:szCs w:val="15"/>
              </w:rPr>
              <w:t>1.143782</w:t>
            </w:r>
          </w:p>
        </w:tc>
        <w:tc>
          <w:tcPr>
            <w:tcW w:w="925" w:type="dxa"/>
            <w:vAlign w:val="center"/>
          </w:tcPr>
          <w:p w14:paraId="208DB74B">
            <w:pPr>
              <w:pStyle w:val="49"/>
              <w:rPr>
                <w:sz w:val="15"/>
                <w:szCs w:val="15"/>
              </w:rPr>
            </w:pPr>
            <w:r>
              <w:rPr>
                <w:sz w:val="15"/>
                <w:szCs w:val="15"/>
              </w:rPr>
              <w:t>0.041609</w:t>
            </w:r>
          </w:p>
        </w:tc>
        <w:tc>
          <w:tcPr>
            <w:tcW w:w="872" w:type="dxa"/>
            <w:tcBorders>
              <w:right w:val="nil"/>
            </w:tcBorders>
            <w:vAlign w:val="center"/>
          </w:tcPr>
          <w:p w14:paraId="1641AB36">
            <w:pPr>
              <w:pStyle w:val="49"/>
              <w:rPr>
                <w:sz w:val="15"/>
                <w:szCs w:val="15"/>
              </w:rPr>
            </w:pPr>
            <w:r>
              <w:rPr>
                <w:sz w:val="15"/>
                <w:szCs w:val="15"/>
              </w:rPr>
              <w:t>73.046694</w:t>
            </w:r>
          </w:p>
        </w:tc>
      </w:tr>
      <w:tr w14:paraId="5DC26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58169570">
            <w:pPr>
              <w:pStyle w:val="49"/>
              <w:rPr>
                <w:sz w:val="15"/>
                <w:szCs w:val="15"/>
              </w:rPr>
            </w:pPr>
            <w:r>
              <w:rPr>
                <w:sz w:val="15"/>
                <w:szCs w:val="15"/>
              </w:rPr>
              <w:t>A321</w:t>
            </w:r>
          </w:p>
        </w:tc>
        <w:tc>
          <w:tcPr>
            <w:tcW w:w="1028" w:type="dxa"/>
            <w:shd w:val="clear" w:color="auto" w:fill="auto"/>
            <w:vAlign w:val="center"/>
          </w:tcPr>
          <w:p w14:paraId="2288294B">
            <w:pPr>
              <w:pStyle w:val="49"/>
              <w:rPr>
                <w:sz w:val="15"/>
                <w:szCs w:val="15"/>
              </w:rPr>
            </w:pPr>
            <w:r>
              <w:rPr>
                <w:sz w:val="15"/>
                <w:szCs w:val="15"/>
              </w:rPr>
              <w:t>290.76</w:t>
            </w:r>
          </w:p>
        </w:tc>
        <w:tc>
          <w:tcPr>
            <w:tcW w:w="1056" w:type="dxa"/>
            <w:shd w:val="clear" w:color="auto" w:fill="auto"/>
            <w:vAlign w:val="center"/>
          </w:tcPr>
          <w:p w14:paraId="48CD711A">
            <w:pPr>
              <w:pStyle w:val="49"/>
              <w:rPr>
                <w:sz w:val="15"/>
                <w:szCs w:val="15"/>
              </w:rPr>
            </w:pPr>
            <w:r>
              <w:rPr>
                <w:sz w:val="15"/>
                <w:szCs w:val="15"/>
              </w:rPr>
              <w:t>259.28</w:t>
            </w:r>
          </w:p>
        </w:tc>
        <w:tc>
          <w:tcPr>
            <w:tcW w:w="907" w:type="dxa"/>
            <w:shd w:val="clear" w:color="auto" w:fill="auto"/>
            <w:vAlign w:val="center"/>
          </w:tcPr>
          <w:p w14:paraId="4D7A250D">
            <w:pPr>
              <w:pStyle w:val="49"/>
              <w:rPr>
                <w:sz w:val="15"/>
                <w:szCs w:val="15"/>
              </w:rPr>
            </w:pPr>
            <w:r>
              <w:rPr>
                <w:sz w:val="15"/>
                <w:szCs w:val="15"/>
              </w:rPr>
              <w:t>93500</w:t>
            </w:r>
          </w:p>
        </w:tc>
        <w:tc>
          <w:tcPr>
            <w:tcW w:w="828" w:type="dxa"/>
            <w:vAlign w:val="center"/>
          </w:tcPr>
          <w:p w14:paraId="7FE112F8">
            <w:pPr>
              <w:pStyle w:val="49"/>
              <w:rPr>
                <w:sz w:val="15"/>
                <w:szCs w:val="15"/>
              </w:rPr>
            </w:pPr>
            <w:r>
              <w:rPr>
                <w:sz w:val="15"/>
                <w:szCs w:val="15"/>
              </w:rPr>
              <w:t>0.000462</w:t>
            </w:r>
          </w:p>
        </w:tc>
        <w:tc>
          <w:tcPr>
            <w:tcW w:w="786" w:type="dxa"/>
            <w:vAlign w:val="center"/>
          </w:tcPr>
          <w:p w14:paraId="3D1F46CF">
            <w:pPr>
              <w:pStyle w:val="49"/>
              <w:rPr>
                <w:sz w:val="15"/>
                <w:szCs w:val="15"/>
              </w:rPr>
            </w:pPr>
            <w:r>
              <w:rPr>
                <w:sz w:val="15"/>
                <w:szCs w:val="15"/>
              </w:rPr>
              <w:t>0.005315</w:t>
            </w:r>
          </w:p>
        </w:tc>
        <w:tc>
          <w:tcPr>
            <w:tcW w:w="836" w:type="dxa"/>
            <w:vAlign w:val="center"/>
          </w:tcPr>
          <w:p w14:paraId="104A4BA5">
            <w:pPr>
              <w:pStyle w:val="49"/>
              <w:rPr>
                <w:sz w:val="15"/>
                <w:szCs w:val="15"/>
              </w:rPr>
            </w:pPr>
            <w:r>
              <w:rPr>
                <w:sz w:val="15"/>
                <w:szCs w:val="15"/>
              </w:rPr>
              <w:t>0.588398</w:t>
            </w:r>
          </w:p>
        </w:tc>
        <w:tc>
          <w:tcPr>
            <w:tcW w:w="925" w:type="dxa"/>
            <w:vAlign w:val="center"/>
          </w:tcPr>
          <w:p w14:paraId="5AC20B66">
            <w:pPr>
              <w:pStyle w:val="49"/>
              <w:rPr>
                <w:sz w:val="15"/>
                <w:szCs w:val="15"/>
              </w:rPr>
            </w:pPr>
            <w:r>
              <w:rPr>
                <w:sz w:val="15"/>
                <w:szCs w:val="15"/>
              </w:rPr>
              <w:t>2.156228</w:t>
            </w:r>
          </w:p>
        </w:tc>
        <w:tc>
          <w:tcPr>
            <w:tcW w:w="872" w:type="dxa"/>
            <w:tcBorders>
              <w:right w:val="nil"/>
            </w:tcBorders>
            <w:vAlign w:val="center"/>
          </w:tcPr>
          <w:p w14:paraId="76E00628">
            <w:pPr>
              <w:pStyle w:val="49"/>
              <w:rPr>
                <w:sz w:val="15"/>
                <w:szCs w:val="15"/>
              </w:rPr>
            </w:pPr>
            <w:r>
              <w:rPr>
                <w:sz w:val="15"/>
                <w:szCs w:val="15"/>
              </w:rPr>
              <w:t>73.029813</w:t>
            </w:r>
          </w:p>
        </w:tc>
      </w:tr>
      <w:tr w14:paraId="6AF28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037425F">
            <w:pPr>
              <w:pStyle w:val="49"/>
              <w:rPr>
                <w:sz w:val="15"/>
                <w:szCs w:val="15"/>
              </w:rPr>
            </w:pPr>
            <w:r>
              <w:rPr>
                <w:sz w:val="15"/>
                <w:szCs w:val="15"/>
              </w:rPr>
              <w:t>A321（Sharklets）</w:t>
            </w:r>
          </w:p>
        </w:tc>
        <w:tc>
          <w:tcPr>
            <w:tcW w:w="1028" w:type="dxa"/>
            <w:shd w:val="clear" w:color="auto" w:fill="auto"/>
            <w:vAlign w:val="center"/>
          </w:tcPr>
          <w:p w14:paraId="2ABADEE9">
            <w:pPr>
              <w:pStyle w:val="49"/>
              <w:rPr>
                <w:sz w:val="15"/>
                <w:szCs w:val="15"/>
              </w:rPr>
            </w:pPr>
            <w:r>
              <w:rPr>
                <w:sz w:val="15"/>
                <w:szCs w:val="15"/>
              </w:rPr>
              <w:t>290.76</w:t>
            </w:r>
          </w:p>
        </w:tc>
        <w:tc>
          <w:tcPr>
            <w:tcW w:w="1056" w:type="dxa"/>
            <w:shd w:val="clear" w:color="auto" w:fill="auto"/>
            <w:vAlign w:val="center"/>
          </w:tcPr>
          <w:p w14:paraId="5AE93F5D">
            <w:pPr>
              <w:pStyle w:val="49"/>
              <w:rPr>
                <w:sz w:val="15"/>
                <w:szCs w:val="15"/>
              </w:rPr>
            </w:pPr>
            <w:r>
              <w:rPr>
                <w:sz w:val="15"/>
                <w:szCs w:val="15"/>
              </w:rPr>
              <w:t>259.28</w:t>
            </w:r>
          </w:p>
        </w:tc>
        <w:tc>
          <w:tcPr>
            <w:tcW w:w="907" w:type="dxa"/>
            <w:shd w:val="clear" w:color="auto" w:fill="auto"/>
            <w:vAlign w:val="center"/>
          </w:tcPr>
          <w:p w14:paraId="2ECF416D">
            <w:pPr>
              <w:pStyle w:val="49"/>
              <w:rPr>
                <w:sz w:val="15"/>
                <w:szCs w:val="15"/>
              </w:rPr>
            </w:pPr>
            <w:r>
              <w:rPr>
                <w:sz w:val="15"/>
                <w:szCs w:val="15"/>
              </w:rPr>
              <w:t>97000</w:t>
            </w:r>
          </w:p>
        </w:tc>
        <w:tc>
          <w:tcPr>
            <w:tcW w:w="828" w:type="dxa"/>
            <w:vAlign w:val="center"/>
          </w:tcPr>
          <w:p w14:paraId="412616CD">
            <w:pPr>
              <w:pStyle w:val="49"/>
              <w:rPr>
                <w:sz w:val="15"/>
                <w:szCs w:val="15"/>
              </w:rPr>
            </w:pPr>
            <w:r>
              <w:rPr>
                <w:sz w:val="15"/>
                <w:szCs w:val="15"/>
              </w:rPr>
              <w:t>0.000462</w:t>
            </w:r>
          </w:p>
        </w:tc>
        <w:tc>
          <w:tcPr>
            <w:tcW w:w="786" w:type="dxa"/>
            <w:vAlign w:val="center"/>
          </w:tcPr>
          <w:p w14:paraId="5AE87785">
            <w:pPr>
              <w:pStyle w:val="49"/>
              <w:rPr>
                <w:sz w:val="15"/>
                <w:szCs w:val="15"/>
              </w:rPr>
            </w:pPr>
            <w:r>
              <w:rPr>
                <w:sz w:val="15"/>
                <w:szCs w:val="15"/>
              </w:rPr>
              <w:t>0.005315</w:t>
            </w:r>
          </w:p>
        </w:tc>
        <w:tc>
          <w:tcPr>
            <w:tcW w:w="836" w:type="dxa"/>
            <w:vAlign w:val="center"/>
          </w:tcPr>
          <w:p w14:paraId="3AE71D9A">
            <w:pPr>
              <w:pStyle w:val="49"/>
              <w:rPr>
                <w:sz w:val="15"/>
                <w:szCs w:val="15"/>
              </w:rPr>
            </w:pPr>
            <w:r>
              <w:rPr>
                <w:sz w:val="15"/>
                <w:szCs w:val="15"/>
              </w:rPr>
              <w:t>0.588398</w:t>
            </w:r>
          </w:p>
        </w:tc>
        <w:tc>
          <w:tcPr>
            <w:tcW w:w="925" w:type="dxa"/>
            <w:vAlign w:val="center"/>
          </w:tcPr>
          <w:p w14:paraId="0A05F877">
            <w:pPr>
              <w:pStyle w:val="49"/>
              <w:rPr>
                <w:sz w:val="15"/>
                <w:szCs w:val="15"/>
              </w:rPr>
            </w:pPr>
            <w:r>
              <w:rPr>
                <w:sz w:val="15"/>
                <w:szCs w:val="15"/>
              </w:rPr>
              <w:t>2.156228</w:t>
            </w:r>
          </w:p>
        </w:tc>
        <w:tc>
          <w:tcPr>
            <w:tcW w:w="872" w:type="dxa"/>
            <w:tcBorders>
              <w:right w:val="nil"/>
            </w:tcBorders>
            <w:vAlign w:val="center"/>
          </w:tcPr>
          <w:p w14:paraId="0C154825">
            <w:pPr>
              <w:pStyle w:val="49"/>
              <w:rPr>
                <w:sz w:val="15"/>
                <w:szCs w:val="15"/>
              </w:rPr>
            </w:pPr>
            <w:r>
              <w:rPr>
                <w:sz w:val="15"/>
                <w:szCs w:val="15"/>
              </w:rPr>
              <w:t>73.029813</w:t>
            </w:r>
          </w:p>
        </w:tc>
      </w:tr>
      <w:tr w14:paraId="2CCC4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4A77A2B9">
            <w:pPr>
              <w:pStyle w:val="49"/>
              <w:rPr>
                <w:sz w:val="15"/>
                <w:szCs w:val="15"/>
              </w:rPr>
            </w:pPr>
            <w:r>
              <w:rPr>
                <w:sz w:val="15"/>
                <w:szCs w:val="15"/>
              </w:rPr>
              <w:t>A321neo</w:t>
            </w:r>
          </w:p>
        </w:tc>
        <w:tc>
          <w:tcPr>
            <w:tcW w:w="1028" w:type="dxa"/>
            <w:shd w:val="clear" w:color="auto" w:fill="auto"/>
            <w:vAlign w:val="center"/>
          </w:tcPr>
          <w:p w14:paraId="7CE22CEC">
            <w:pPr>
              <w:pStyle w:val="49"/>
              <w:rPr>
                <w:sz w:val="15"/>
                <w:szCs w:val="15"/>
              </w:rPr>
            </w:pPr>
            <w:r>
              <w:rPr>
                <w:sz w:val="15"/>
                <w:szCs w:val="15"/>
              </w:rPr>
              <w:t>290.76</w:t>
            </w:r>
          </w:p>
        </w:tc>
        <w:tc>
          <w:tcPr>
            <w:tcW w:w="1056" w:type="dxa"/>
            <w:shd w:val="clear" w:color="auto" w:fill="auto"/>
            <w:vAlign w:val="center"/>
          </w:tcPr>
          <w:p w14:paraId="6D34882F">
            <w:pPr>
              <w:pStyle w:val="49"/>
              <w:rPr>
                <w:sz w:val="15"/>
                <w:szCs w:val="15"/>
              </w:rPr>
            </w:pPr>
            <w:r>
              <w:rPr>
                <w:sz w:val="15"/>
                <w:szCs w:val="15"/>
              </w:rPr>
              <w:t>259.28</w:t>
            </w:r>
          </w:p>
        </w:tc>
        <w:tc>
          <w:tcPr>
            <w:tcW w:w="907" w:type="dxa"/>
            <w:shd w:val="clear" w:color="auto" w:fill="auto"/>
            <w:vAlign w:val="center"/>
          </w:tcPr>
          <w:p w14:paraId="5EC262C0">
            <w:pPr>
              <w:pStyle w:val="49"/>
              <w:rPr>
                <w:sz w:val="15"/>
                <w:szCs w:val="15"/>
              </w:rPr>
            </w:pPr>
            <w:r>
              <w:rPr>
                <w:sz w:val="15"/>
                <w:szCs w:val="15"/>
              </w:rPr>
              <w:t>97000</w:t>
            </w:r>
          </w:p>
        </w:tc>
        <w:tc>
          <w:tcPr>
            <w:tcW w:w="828" w:type="dxa"/>
            <w:vAlign w:val="center"/>
          </w:tcPr>
          <w:p w14:paraId="6C713170">
            <w:pPr>
              <w:pStyle w:val="49"/>
              <w:rPr>
                <w:sz w:val="15"/>
                <w:szCs w:val="15"/>
              </w:rPr>
            </w:pPr>
            <w:r>
              <w:rPr>
                <w:sz w:val="15"/>
                <w:szCs w:val="15"/>
              </w:rPr>
              <w:t>0.000462</w:t>
            </w:r>
          </w:p>
        </w:tc>
        <w:tc>
          <w:tcPr>
            <w:tcW w:w="786" w:type="dxa"/>
            <w:vAlign w:val="center"/>
          </w:tcPr>
          <w:p w14:paraId="4A4F91C2">
            <w:pPr>
              <w:pStyle w:val="49"/>
              <w:rPr>
                <w:sz w:val="15"/>
                <w:szCs w:val="15"/>
              </w:rPr>
            </w:pPr>
            <w:r>
              <w:rPr>
                <w:sz w:val="15"/>
                <w:szCs w:val="15"/>
              </w:rPr>
              <w:t>0.005315</w:t>
            </w:r>
          </w:p>
        </w:tc>
        <w:tc>
          <w:tcPr>
            <w:tcW w:w="836" w:type="dxa"/>
            <w:vAlign w:val="center"/>
          </w:tcPr>
          <w:p w14:paraId="111430BC">
            <w:pPr>
              <w:pStyle w:val="49"/>
              <w:rPr>
                <w:sz w:val="15"/>
                <w:szCs w:val="15"/>
              </w:rPr>
            </w:pPr>
            <w:r>
              <w:rPr>
                <w:sz w:val="15"/>
                <w:szCs w:val="15"/>
              </w:rPr>
              <w:t>0.588398</w:t>
            </w:r>
          </w:p>
        </w:tc>
        <w:tc>
          <w:tcPr>
            <w:tcW w:w="925" w:type="dxa"/>
            <w:vAlign w:val="center"/>
          </w:tcPr>
          <w:p w14:paraId="1D9A00AC">
            <w:pPr>
              <w:pStyle w:val="49"/>
              <w:rPr>
                <w:sz w:val="15"/>
                <w:szCs w:val="15"/>
              </w:rPr>
            </w:pPr>
            <w:r>
              <w:rPr>
                <w:sz w:val="15"/>
                <w:szCs w:val="15"/>
              </w:rPr>
              <w:t>2.156228</w:t>
            </w:r>
          </w:p>
        </w:tc>
        <w:tc>
          <w:tcPr>
            <w:tcW w:w="872" w:type="dxa"/>
            <w:tcBorders>
              <w:right w:val="nil"/>
            </w:tcBorders>
            <w:vAlign w:val="center"/>
          </w:tcPr>
          <w:p w14:paraId="14306B63">
            <w:pPr>
              <w:pStyle w:val="49"/>
              <w:rPr>
                <w:sz w:val="15"/>
                <w:szCs w:val="15"/>
              </w:rPr>
            </w:pPr>
            <w:r>
              <w:rPr>
                <w:sz w:val="15"/>
                <w:szCs w:val="15"/>
              </w:rPr>
              <w:t>73.029813</w:t>
            </w:r>
          </w:p>
        </w:tc>
      </w:tr>
      <w:tr w14:paraId="25F78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441618E6">
            <w:pPr>
              <w:pStyle w:val="49"/>
              <w:rPr>
                <w:sz w:val="15"/>
                <w:szCs w:val="15"/>
              </w:rPr>
            </w:pPr>
            <w:r>
              <w:rPr>
                <w:sz w:val="15"/>
                <w:szCs w:val="15"/>
              </w:rPr>
              <w:t>A330</w:t>
            </w:r>
          </w:p>
        </w:tc>
        <w:tc>
          <w:tcPr>
            <w:tcW w:w="1028" w:type="dxa"/>
            <w:shd w:val="clear" w:color="auto" w:fill="auto"/>
            <w:vAlign w:val="center"/>
          </w:tcPr>
          <w:p w14:paraId="0C9ED3EF">
            <w:pPr>
              <w:pStyle w:val="49"/>
              <w:rPr>
                <w:sz w:val="15"/>
                <w:szCs w:val="15"/>
              </w:rPr>
            </w:pPr>
            <w:r>
              <w:rPr>
                <w:sz w:val="15"/>
                <w:szCs w:val="15"/>
              </w:rPr>
              <w:t>292.62</w:t>
            </w:r>
          </w:p>
        </w:tc>
        <w:tc>
          <w:tcPr>
            <w:tcW w:w="1056" w:type="dxa"/>
            <w:shd w:val="clear" w:color="auto" w:fill="auto"/>
            <w:vAlign w:val="center"/>
          </w:tcPr>
          <w:p w14:paraId="38F15F68">
            <w:pPr>
              <w:pStyle w:val="49"/>
              <w:rPr>
                <w:sz w:val="15"/>
                <w:szCs w:val="15"/>
              </w:rPr>
            </w:pPr>
            <w:r>
              <w:rPr>
                <w:sz w:val="15"/>
                <w:szCs w:val="15"/>
              </w:rPr>
              <w:t>277.8</w:t>
            </w:r>
          </w:p>
        </w:tc>
        <w:tc>
          <w:tcPr>
            <w:tcW w:w="907" w:type="dxa"/>
            <w:shd w:val="clear" w:color="auto" w:fill="auto"/>
            <w:vAlign w:val="center"/>
          </w:tcPr>
          <w:p w14:paraId="19FBA576">
            <w:pPr>
              <w:pStyle w:val="49"/>
              <w:rPr>
                <w:sz w:val="15"/>
                <w:szCs w:val="15"/>
              </w:rPr>
            </w:pPr>
            <w:r>
              <w:rPr>
                <w:sz w:val="15"/>
                <w:szCs w:val="15"/>
              </w:rPr>
              <w:t>242000</w:t>
            </w:r>
          </w:p>
        </w:tc>
        <w:tc>
          <w:tcPr>
            <w:tcW w:w="828" w:type="dxa"/>
            <w:vAlign w:val="center"/>
          </w:tcPr>
          <w:p w14:paraId="658593CF">
            <w:pPr>
              <w:pStyle w:val="49"/>
              <w:rPr>
                <w:sz w:val="15"/>
                <w:szCs w:val="15"/>
              </w:rPr>
            </w:pPr>
            <w:r>
              <w:rPr>
                <w:sz w:val="15"/>
                <w:szCs w:val="15"/>
              </w:rPr>
              <w:t>0.000926</w:t>
            </w:r>
          </w:p>
        </w:tc>
        <w:tc>
          <w:tcPr>
            <w:tcW w:w="786" w:type="dxa"/>
            <w:vAlign w:val="center"/>
          </w:tcPr>
          <w:p w14:paraId="0B6D73DC">
            <w:pPr>
              <w:pStyle w:val="49"/>
              <w:rPr>
                <w:sz w:val="15"/>
                <w:szCs w:val="15"/>
              </w:rPr>
            </w:pPr>
            <w:r>
              <w:rPr>
                <w:sz w:val="15"/>
                <w:szCs w:val="15"/>
              </w:rPr>
              <w:t>0.000926</w:t>
            </w:r>
          </w:p>
        </w:tc>
        <w:tc>
          <w:tcPr>
            <w:tcW w:w="836" w:type="dxa"/>
            <w:vAlign w:val="center"/>
          </w:tcPr>
          <w:p w14:paraId="6453E248">
            <w:pPr>
              <w:pStyle w:val="49"/>
              <w:rPr>
                <w:sz w:val="15"/>
                <w:szCs w:val="15"/>
              </w:rPr>
            </w:pPr>
            <w:r>
              <w:rPr>
                <w:sz w:val="15"/>
                <w:szCs w:val="15"/>
              </w:rPr>
              <w:t>0.723907</w:t>
            </w:r>
          </w:p>
        </w:tc>
        <w:tc>
          <w:tcPr>
            <w:tcW w:w="925" w:type="dxa"/>
            <w:vAlign w:val="center"/>
          </w:tcPr>
          <w:p w14:paraId="7698A939">
            <w:pPr>
              <w:pStyle w:val="49"/>
              <w:rPr>
                <w:sz w:val="15"/>
                <w:szCs w:val="15"/>
              </w:rPr>
            </w:pPr>
            <w:r>
              <w:rPr>
                <w:sz w:val="15"/>
                <w:szCs w:val="15"/>
              </w:rPr>
              <w:t>0.893312</w:t>
            </w:r>
          </w:p>
        </w:tc>
        <w:tc>
          <w:tcPr>
            <w:tcW w:w="872" w:type="dxa"/>
            <w:tcBorders>
              <w:right w:val="nil"/>
            </w:tcBorders>
            <w:vAlign w:val="center"/>
          </w:tcPr>
          <w:p w14:paraId="6FE36979">
            <w:pPr>
              <w:pStyle w:val="49"/>
              <w:rPr>
                <w:sz w:val="15"/>
                <w:szCs w:val="15"/>
              </w:rPr>
            </w:pPr>
            <w:r>
              <w:rPr>
                <w:sz w:val="15"/>
                <w:szCs w:val="15"/>
              </w:rPr>
              <w:t>73.131220</w:t>
            </w:r>
          </w:p>
        </w:tc>
      </w:tr>
      <w:tr w14:paraId="7EA8B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ABF27ED">
            <w:pPr>
              <w:pStyle w:val="49"/>
              <w:rPr>
                <w:sz w:val="15"/>
                <w:szCs w:val="15"/>
              </w:rPr>
            </w:pPr>
            <w:r>
              <w:rPr>
                <w:sz w:val="15"/>
                <w:szCs w:val="15"/>
              </w:rPr>
              <w:t>A330-200</w:t>
            </w:r>
          </w:p>
        </w:tc>
        <w:tc>
          <w:tcPr>
            <w:tcW w:w="1028" w:type="dxa"/>
            <w:shd w:val="clear" w:color="auto" w:fill="auto"/>
            <w:vAlign w:val="center"/>
          </w:tcPr>
          <w:p w14:paraId="2C03AB9B">
            <w:pPr>
              <w:pStyle w:val="49"/>
              <w:rPr>
                <w:sz w:val="15"/>
                <w:szCs w:val="15"/>
              </w:rPr>
            </w:pPr>
            <w:r>
              <w:rPr>
                <w:sz w:val="15"/>
                <w:szCs w:val="15"/>
              </w:rPr>
              <w:t>327.8</w:t>
            </w:r>
          </w:p>
        </w:tc>
        <w:tc>
          <w:tcPr>
            <w:tcW w:w="1056" w:type="dxa"/>
            <w:shd w:val="clear" w:color="auto" w:fill="auto"/>
            <w:vAlign w:val="center"/>
          </w:tcPr>
          <w:p w14:paraId="2297997A">
            <w:pPr>
              <w:pStyle w:val="49"/>
              <w:rPr>
                <w:sz w:val="15"/>
                <w:szCs w:val="15"/>
              </w:rPr>
            </w:pPr>
            <w:r>
              <w:rPr>
                <w:sz w:val="15"/>
                <w:szCs w:val="15"/>
              </w:rPr>
              <w:t>259.28</w:t>
            </w:r>
          </w:p>
        </w:tc>
        <w:tc>
          <w:tcPr>
            <w:tcW w:w="907" w:type="dxa"/>
            <w:shd w:val="clear" w:color="auto" w:fill="auto"/>
            <w:vAlign w:val="center"/>
          </w:tcPr>
          <w:p w14:paraId="04C4A902">
            <w:pPr>
              <w:pStyle w:val="49"/>
              <w:rPr>
                <w:sz w:val="15"/>
                <w:szCs w:val="15"/>
              </w:rPr>
            </w:pPr>
            <w:r>
              <w:rPr>
                <w:sz w:val="15"/>
                <w:szCs w:val="15"/>
              </w:rPr>
              <w:t>230000</w:t>
            </w:r>
          </w:p>
        </w:tc>
        <w:tc>
          <w:tcPr>
            <w:tcW w:w="828" w:type="dxa"/>
            <w:vAlign w:val="center"/>
          </w:tcPr>
          <w:p w14:paraId="2A449667">
            <w:pPr>
              <w:pStyle w:val="49"/>
              <w:rPr>
                <w:sz w:val="15"/>
                <w:szCs w:val="15"/>
              </w:rPr>
            </w:pPr>
            <w:r>
              <w:rPr>
                <w:sz w:val="15"/>
                <w:szCs w:val="15"/>
              </w:rPr>
              <w:t>0.000926</w:t>
            </w:r>
          </w:p>
        </w:tc>
        <w:tc>
          <w:tcPr>
            <w:tcW w:w="786" w:type="dxa"/>
            <w:vAlign w:val="center"/>
          </w:tcPr>
          <w:p w14:paraId="11B098B8">
            <w:pPr>
              <w:pStyle w:val="49"/>
              <w:rPr>
                <w:sz w:val="15"/>
                <w:szCs w:val="15"/>
              </w:rPr>
            </w:pPr>
            <w:r>
              <w:rPr>
                <w:sz w:val="15"/>
                <w:szCs w:val="15"/>
              </w:rPr>
              <w:t>0.000926</w:t>
            </w:r>
          </w:p>
        </w:tc>
        <w:tc>
          <w:tcPr>
            <w:tcW w:w="836" w:type="dxa"/>
            <w:vAlign w:val="center"/>
          </w:tcPr>
          <w:p w14:paraId="683237C7">
            <w:pPr>
              <w:pStyle w:val="49"/>
              <w:rPr>
                <w:sz w:val="15"/>
                <w:szCs w:val="15"/>
              </w:rPr>
            </w:pPr>
            <w:r>
              <w:rPr>
                <w:sz w:val="15"/>
                <w:szCs w:val="15"/>
              </w:rPr>
              <w:t>0.723907</w:t>
            </w:r>
          </w:p>
        </w:tc>
        <w:tc>
          <w:tcPr>
            <w:tcW w:w="925" w:type="dxa"/>
            <w:vAlign w:val="center"/>
          </w:tcPr>
          <w:p w14:paraId="02BB9A2C">
            <w:pPr>
              <w:pStyle w:val="49"/>
              <w:rPr>
                <w:sz w:val="15"/>
                <w:szCs w:val="15"/>
              </w:rPr>
            </w:pPr>
            <w:r>
              <w:rPr>
                <w:sz w:val="15"/>
                <w:szCs w:val="15"/>
              </w:rPr>
              <w:t>0.893312</w:t>
            </w:r>
          </w:p>
        </w:tc>
        <w:tc>
          <w:tcPr>
            <w:tcW w:w="872" w:type="dxa"/>
            <w:tcBorders>
              <w:right w:val="nil"/>
            </w:tcBorders>
            <w:vAlign w:val="center"/>
          </w:tcPr>
          <w:p w14:paraId="3DDE3D88">
            <w:pPr>
              <w:pStyle w:val="49"/>
              <w:rPr>
                <w:sz w:val="15"/>
                <w:szCs w:val="15"/>
              </w:rPr>
            </w:pPr>
            <w:r>
              <w:rPr>
                <w:sz w:val="15"/>
                <w:szCs w:val="15"/>
              </w:rPr>
              <w:t>73.131220</w:t>
            </w:r>
          </w:p>
        </w:tc>
      </w:tr>
      <w:tr w14:paraId="33C76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78F1F743">
            <w:pPr>
              <w:pStyle w:val="49"/>
              <w:rPr>
                <w:sz w:val="15"/>
                <w:szCs w:val="15"/>
              </w:rPr>
            </w:pPr>
            <w:r>
              <w:rPr>
                <w:sz w:val="15"/>
                <w:szCs w:val="15"/>
              </w:rPr>
              <w:t>A330-300</w:t>
            </w:r>
          </w:p>
        </w:tc>
        <w:tc>
          <w:tcPr>
            <w:tcW w:w="1028" w:type="dxa"/>
            <w:shd w:val="clear" w:color="auto" w:fill="auto"/>
            <w:vAlign w:val="center"/>
          </w:tcPr>
          <w:p w14:paraId="4298DA87">
            <w:pPr>
              <w:pStyle w:val="49"/>
              <w:rPr>
                <w:sz w:val="15"/>
                <w:szCs w:val="15"/>
              </w:rPr>
            </w:pPr>
            <w:r>
              <w:rPr>
                <w:sz w:val="15"/>
                <w:szCs w:val="15"/>
              </w:rPr>
              <w:t>327.8</w:t>
            </w:r>
          </w:p>
        </w:tc>
        <w:tc>
          <w:tcPr>
            <w:tcW w:w="1056" w:type="dxa"/>
            <w:shd w:val="clear" w:color="auto" w:fill="auto"/>
            <w:vAlign w:val="center"/>
          </w:tcPr>
          <w:p w14:paraId="26F4E296">
            <w:pPr>
              <w:pStyle w:val="49"/>
              <w:rPr>
                <w:sz w:val="15"/>
                <w:szCs w:val="15"/>
              </w:rPr>
            </w:pPr>
            <w:r>
              <w:rPr>
                <w:sz w:val="15"/>
                <w:szCs w:val="15"/>
              </w:rPr>
              <w:t>277.8</w:t>
            </w:r>
          </w:p>
        </w:tc>
        <w:tc>
          <w:tcPr>
            <w:tcW w:w="907" w:type="dxa"/>
            <w:shd w:val="clear" w:color="auto" w:fill="auto"/>
            <w:vAlign w:val="center"/>
          </w:tcPr>
          <w:p w14:paraId="704C10C4">
            <w:pPr>
              <w:pStyle w:val="49"/>
              <w:rPr>
                <w:sz w:val="15"/>
                <w:szCs w:val="15"/>
              </w:rPr>
            </w:pPr>
            <w:r>
              <w:rPr>
                <w:sz w:val="15"/>
                <w:szCs w:val="15"/>
              </w:rPr>
              <w:t>242000</w:t>
            </w:r>
          </w:p>
        </w:tc>
        <w:tc>
          <w:tcPr>
            <w:tcW w:w="828" w:type="dxa"/>
            <w:vAlign w:val="center"/>
          </w:tcPr>
          <w:p w14:paraId="0AF4A440">
            <w:pPr>
              <w:pStyle w:val="49"/>
              <w:rPr>
                <w:sz w:val="15"/>
                <w:szCs w:val="15"/>
              </w:rPr>
            </w:pPr>
            <w:r>
              <w:rPr>
                <w:sz w:val="15"/>
                <w:szCs w:val="15"/>
              </w:rPr>
              <w:t>0.000232</w:t>
            </w:r>
          </w:p>
        </w:tc>
        <w:tc>
          <w:tcPr>
            <w:tcW w:w="786" w:type="dxa"/>
            <w:vAlign w:val="center"/>
          </w:tcPr>
          <w:p w14:paraId="2FED8F87">
            <w:pPr>
              <w:pStyle w:val="49"/>
              <w:rPr>
                <w:sz w:val="15"/>
                <w:szCs w:val="15"/>
              </w:rPr>
            </w:pPr>
            <w:r>
              <w:rPr>
                <w:sz w:val="15"/>
                <w:szCs w:val="15"/>
              </w:rPr>
              <w:t>0.004872</w:t>
            </w:r>
          </w:p>
        </w:tc>
        <w:tc>
          <w:tcPr>
            <w:tcW w:w="836" w:type="dxa"/>
            <w:vAlign w:val="center"/>
          </w:tcPr>
          <w:p w14:paraId="539C4C56">
            <w:pPr>
              <w:pStyle w:val="49"/>
              <w:rPr>
                <w:sz w:val="15"/>
                <w:szCs w:val="15"/>
              </w:rPr>
            </w:pPr>
            <w:r>
              <w:rPr>
                <w:sz w:val="15"/>
                <w:szCs w:val="15"/>
              </w:rPr>
              <w:t>0.825058</w:t>
            </w:r>
          </w:p>
        </w:tc>
        <w:tc>
          <w:tcPr>
            <w:tcW w:w="925" w:type="dxa"/>
            <w:vAlign w:val="center"/>
          </w:tcPr>
          <w:p w14:paraId="4E009A15">
            <w:pPr>
              <w:pStyle w:val="49"/>
              <w:rPr>
                <w:sz w:val="15"/>
                <w:szCs w:val="15"/>
              </w:rPr>
            </w:pPr>
            <w:r>
              <w:rPr>
                <w:sz w:val="15"/>
                <w:szCs w:val="15"/>
              </w:rPr>
              <w:t>1.686775</w:t>
            </w:r>
          </w:p>
        </w:tc>
        <w:tc>
          <w:tcPr>
            <w:tcW w:w="872" w:type="dxa"/>
            <w:tcBorders>
              <w:right w:val="nil"/>
            </w:tcBorders>
            <w:vAlign w:val="center"/>
          </w:tcPr>
          <w:p w14:paraId="54B9DC3A">
            <w:pPr>
              <w:pStyle w:val="49"/>
              <w:rPr>
                <w:sz w:val="15"/>
                <w:szCs w:val="15"/>
              </w:rPr>
            </w:pPr>
            <w:r>
              <w:rPr>
                <w:sz w:val="15"/>
                <w:szCs w:val="15"/>
              </w:rPr>
              <w:t>73.317865</w:t>
            </w:r>
          </w:p>
        </w:tc>
      </w:tr>
      <w:tr w14:paraId="586A0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1C734B27">
            <w:pPr>
              <w:pStyle w:val="49"/>
              <w:rPr>
                <w:sz w:val="15"/>
                <w:szCs w:val="15"/>
              </w:rPr>
            </w:pPr>
            <w:r>
              <w:rPr>
                <w:sz w:val="15"/>
                <w:szCs w:val="15"/>
              </w:rPr>
              <w:t>A350</w:t>
            </w:r>
          </w:p>
        </w:tc>
        <w:tc>
          <w:tcPr>
            <w:tcW w:w="1028" w:type="dxa"/>
            <w:shd w:val="clear" w:color="auto" w:fill="auto"/>
            <w:vAlign w:val="center"/>
          </w:tcPr>
          <w:p w14:paraId="0BC46F88">
            <w:pPr>
              <w:pStyle w:val="49"/>
              <w:rPr>
                <w:sz w:val="15"/>
                <w:szCs w:val="15"/>
              </w:rPr>
            </w:pPr>
            <w:r>
              <w:rPr>
                <w:sz w:val="15"/>
                <w:szCs w:val="15"/>
              </w:rPr>
              <w:t>296.32</w:t>
            </w:r>
          </w:p>
        </w:tc>
        <w:tc>
          <w:tcPr>
            <w:tcW w:w="1056" w:type="dxa"/>
            <w:shd w:val="clear" w:color="auto" w:fill="auto"/>
            <w:vAlign w:val="center"/>
          </w:tcPr>
          <w:p w14:paraId="34D4E58B">
            <w:pPr>
              <w:pStyle w:val="49"/>
              <w:rPr>
                <w:sz w:val="15"/>
                <w:szCs w:val="15"/>
              </w:rPr>
            </w:pPr>
            <w:r>
              <w:rPr>
                <w:sz w:val="15"/>
                <w:szCs w:val="15"/>
              </w:rPr>
              <w:t>287.06</w:t>
            </w:r>
          </w:p>
        </w:tc>
        <w:tc>
          <w:tcPr>
            <w:tcW w:w="907" w:type="dxa"/>
            <w:shd w:val="clear" w:color="auto" w:fill="auto"/>
            <w:vAlign w:val="center"/>
          </w:tcPr>
          <w:p w14:paraId="427D03B3">
            <w:pPr>
              <w:pStyle w:val="49"/>
              <w:rPr>
                <w:sz w:val="15"/>
                <w:szCs w:val="15"/>
              </w:rPr>
            </w:pPr>
            <w:r>
              <w:rPr>
                <w:sz w:val="15"/>
                <w:szCs w:val="15"/>
              </w:rPr>
              <w:t>316000</w:t>
            </w:r>
          </w:p>
        </w:tc>
        <w:tc>
          <w:tcPr>
            <w:tcW w:w="828" w:type="dxa"/>
            <w:vAlign w:val="center"/>
          </w:tcPr>
          <w:p w14:paraId="48A69A32">
            <w:pPr>
              <w:pStyle w:val="49"/>
              <w:rPr>
                <w:sz w:val="15"/>
                <w:szCs w:val="15"/>
              </w:rPr>
            </w:pPr>
            <w:r>
              <w:rPr>
                <w:sz w:val="15"/>
                <w:szCs w:val="15"/>
              </w:rPr>
              <w:t>0.000000</w:t>
            </w:r>
          </w:p>
        </w:tc>
        <w:tc>
          <w:tcPr>
            <w:tcW w:w="786" w:type="dxa"/>
            <w:vAlign w:val="center"/>
          </w:tcPr>
          <w:p w14:paraId="0B6B432F">
            <w:pPr>
              <w:pStyle w:val="49"/>
              <w:rPr>
                <w:sz w:val="15"/>
                <w:szCs w:val="15"/>
              </w:rPr>
            </w:pPr>
            <w:r>
              <w:rPr>
                <w:sz w:val="15"/>
                <w:szCs w:val="15"/>
              </w:rPr>
              <w:t>0.011529</w:t>
            </w:r>
          </w:p>
        </w:tc>
        <w:tc>
          <w:tcPr>
            <w:tcW w:w="836" w:type="dxa"/>
            <w:vAlign w:val="center"/>
          </w:tcPr>
          <w:p w14:paraId="55878116">
            <w:pPr>
              <w:pStyle w:val="49"/>
              <w:rPr>
                <w:sz w:val="15"/>
                <w:szCs w:val="15"/>
              </w:rPr>
            </w:pPr>
            <w:r>
              <w:rPr>
                <w:sz w:val="15"/>
                <w:szCs w:val="15"/>
              </w:rPr>
              <w:t>1.312197</w:t>
            </w:r>
          </w:p>
        </w:tc>
        <w:tc>
          <w:tcPr>
            <w:tcW w:w="925" w:type="dxa"/>
            <w:vAlign w:val="center"/>
          </w:tcPr>
          <w:p w14:paraId="276BCEFF">
            <w:pPr>
              <w:pStyle w:val="49"/>
              <w:rPr>
                <w:sz w:val="15"/>
                <w:szCs w:val="15"/>
              </w:rPr>
            </w:pPr>
            <w:r>
              <w:rPr>
                <w:sz w:val="15"/>
                <w:szCs w:val="15"/>
              </w:rPr>
              <w:t>1.002997</w:t>
            </w:r>
          </w:p>
        </w:tc>
        <w:tc>
          <w:tcPr>
            <w:tcW w:w="872" w:type="dxa"/>
            <w:tcBorders>
              <w:right w:val="nil"/>
            </w:tcBorders>
            <w:vAlign w:val="center"/>
          </w:tcPr>
          <w:p w14:paraId="13FA13F3">
            <w:pPr>
              <w:pStyle w:val="49"/>
              <w:rPr>
                <w:sz w:val="15"/>
                <w:szCs w:val="15"/>
              </w:rPr>
            </w:pPr>
            <w:r>
              <w:rPr>
                <w:sz w:val="15"/>
                <w:szCs w:val="15"/>
              </w:rPr>
              <w:t>72.861425</w:t>
            </w:r>
          </w:p>
        </w:tc>
      </w:tr>
      <w:tr w14:paraId="16A8F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17FCC584">
            <w:pPr>
              <w:pStyle w:val="49"/>
              <w:rPr>
                <w:sz w:val="15"/>
                <w:szCs w:val="15"/>
              </w:rPr>
            </w:pPr>
            <w:r>
              <w:rPr>
                <w:sz w:val="15"/>
                <w:szCs w:val="15"/>
              </w:rPr>
              <w:t>A350-1000</w:t>
            </w:r>
          </w:p>
        </w:tc>
        <w:tc>
          <w:tcPr>
            <w:tcW w:w="1028" w:type="dxa"/>
            <w:shd w:val="clear" w:color="auto" w:fill="auto"/>
            <w:vAlign w:val="center"/>
          </w:tcPr>
          <w:p w14:paraId="3ECE63D5">
            <w:pPr>
              <w:pStyle w:val="49"/>
              <w:rPr>
                <w:sz w:val="15"/>
                <w:szCs w:val="15"/>
              </w:rPr>
            </w:pPr>
            <w:r>
              <w:rPr>
                <w:sz w:val="15"/>
                <w:szCs w:val="15"/>
              </w:rPr>
              <w:t>327.8</w:t>
            </w:r>
          </w:p>
        </w:tc>
        <w:tc>
          <w:tcPr>
            <w:tcW w:w="1056" w:type="dxa"/>
            <w:shd w:val="clear" w:color="auto" w:fill="auto"/>
            <w:vAlign w:val="center"/>
          </w:tcPr>
          <w:p w14:paraId="47F59980">
            <w:pPr>
              <w:pStyle w:val="49"/>
              <w:rPr>
                <w:sz w:val="15"/>
                <w:szCs w:val="15"/>
              </w:rPr>
            </w:pPr>
            <w:r>
              <w:rPr>
                <w:sz w:val="15"/>
                <w:szCs w:val="15"/>
              </w:rPr>
              <w:t>287.06</w:t>
            </w:r>
          </w:p>
        </w:tc>
        <w:tc>
          <w:tcPr>
            <w:tcW w:w="907" w:type="dxa"/>
            <w:shd w:val="clear" w:color="auto" w:fill="auto"/>
            <w:vAlign w:val="center"/>
          </w:tcPr>
          <w:p w14:paraId="2E479F10">
            <w:pPr>
              <w:pStyle w:val="49"/>
              <w:rPr>
                <w:sz w:val="15"/>
                <w:szCs w:val="15"/>
              </w:rPr>
            </w:pPr>
            <w:r>
              <w:rPr>
                <w:sz w:val="15"/>
                <w:szCs w:val="15"/>
              </w:rPr>
              <w:t>316000</w:t>
            </w:r>
          </w:p>
        </w:tc>
        <w:tc>
          <w:tcPr>
            <w:tcW w:w="828" w:type="dxa"/>
            <w:vAlign w:val="center"/>
          </w:tcPr>
          <w:p w14:paraId="4851F910">
            <w:pPr>
              <w:pStyle w:val="49"/>
              <w:rPr>
                <w:sz w:val="15"/>
                <w:szCs w:val="15"/>
              </w:rPr>
            </w:pPr>
            <w:r>
              <w:rPr>
                <w:sz w:val="15"/>
                <w:szCs w:val="15"/>
              </w:rPr>
              <w:t>0.000000</w:t>
            </w:r>
          </w:p>
        </w:tc>
        <w:tc>
          <w:tcPr>
            <w:tcW w:w="786" w:type="dxa"/>
            <w:vAlign w:val="center"/>
          </w:tcPr>
          <w:p w14:paraId="11104A14">
            <w:pPr>
              <w:pStyle w:val="49"/>
              <w:rPr>
                <w:sz w:val="15"/>
                <w:szCs w:val="15"/>
              </w:rPr>
            </w:pPr>
            <w:r>
              <w:rPr>
                <w:sz w:val="15"/>
                <w:szCs w:val="15"/>
              </w:rPr>
              <w:t>0.011529</w:t>
            </w:r>
          </w:p>
        </w:tc>
        <w:tc>
          <w:tcPr>
            <w:tcW w:w="836" w:type="dxa"/>
            <w:vAlign w:val="center"/>
          </w:tcPr>
          <w:p w14:paraId="279E6698">
            <w:pPr>
              <w:pStyle w:val="49"/>
              <w:rPr>
                <w:sz w:val="15"/>
                <w:szCs w:val="15"/>
              </w:rPr>
            </w:pPr>
            <w:r>
              <w:rPr>
                <w:sz w:val="15"/>
                <w:szCs w:val="15"/>
              </w:rPr>
              <w:t>1.312197</w:t>
            </w:r>
          </w:p>
        </w:tc>
        <w:tc>
          <w:tcPr>
            <w:tcW w:w="925" w:type="dxa"/>
            <w:vAlign w:val="center"/>
          </w:tcPr>
          <w:p w14:paraId="1FE16B3A">
            <w:pPr>
              <w:pStyle w:val="49"/>
              <w:rPr>
                <w:sz w:val="15"/>
                <w:szCs w:val="15"/>
              </w:rPr>
            </w:pPr>
            <w:r>
              <w:rPr>
                <w:sz w:val="15"/>
                <w:szCs w:val="15"/>
              </w:rPr>
              <w:t>1.002997</w:t>
            </w:r>
          </w:p>
        </w:tc>
        <w:tc>
          <w:tcPr>
            <w:tcW w:w="872" w:type="dxa"/>
            <w:tcBorders>
              <w:right w:val="nil"/>
            </w:tcBorders>
            <w:vAlign w:val="center"/>
          </w:tcPr>
          <w:p w14:paraId="40CA862E">
            <w:pPr>
              <w:pStyle w:val="49"/>
              <w:rPr>
                <w:sz w:val="15"/>
                <w:szCs w:val="15"/>
              </w:rPr>
            </w:pPr>
            <w:r>
              <w:rPr>
                <w:sz w:val="15"/>
                <w:szCs w:val="15"/>
              </w:rPr>
              <w:t>72.861425</w:t>
            </w:r>
          </w:p>
        </w:tc>
      </w:tr>
      <w:tr w14:paraId="73102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48620A71">
            <w:pPr>
              <w:pStyle w:val="49"/>
              <w:rPr>
                <w:sz w:val="15"/>
                <w:szCs w:val="15"/>
              </w:rPr>
            </w:pPr>
            <w:r>
              <w:rPr>
                <w:sz w:val="15"/>
                <w:szCs w:val="15"/>
              </w:rPr>
              <w:t>A350-900</w:t>
            </w:r>
          </w:p>
        </w:tc>
        <w:tc>
          <w:tcPr>
            <w:tcW w:w="1028" w:type="dxa"/>
            <w:shd w:val="clear" w:color="auto" w:fill="auto"/>
            <w:vAlign w:val="center"/>
          </w:tcPr>
          <w:p w14:paraId="6336907E">
            <w:pPr>
              <w:pStyle w:val="49"/>
              <w:rPr>
                <w:sz w:val="15"/>
                <w:szCs w:val="15"/>
              </w:rPr>
            </w:pPr>
            <w:r>
              <w:rPr>
                <w:sz w:val="15"/>
                <w:szCs w:val="15"/>
              </w:rPr>
              <w:t>327.8</w:t>
            </w:r>
          </w:p>
        </w:tc>
        <w:tc>
          <w:tcPr>
            <w:tcW w:w="1056" w:type="dxa"/>
            <w:shd w:val="clear" w:color="auto" w:fill="auto"/>
            <w:vAlign w:val="center"/>
          </w:tcPr>
          <w:p w14:paraId="5CD15343">
            <w:pPr>
              <w:pStyle w:val="49"/>
              <w:rPr>
                <w:sz w:val="15"/>
                <w:szCs w:val="15"/>
              </w:rPr>
            </w:pPr>
            <w:r>
              <w:rPr>
                <w:sz w:val="15"/>
                <w:szCs w:val="15"/>
              </w:rPr>
              <w:t>287.06</w:t>
            </w:r>
          </w:p>
        </w:tc>
        <w:tc>
          <w:tcPr>
            <w:tcW w:w="907" w:type="dxa"/>
            <w:shd w:val="clear" w:color="auto" w:fill="auto"/>
            <w:vAlign w:val="center"/>
          </w:tcPr>
          <w:p w14:paraId="718C36A1">
            <w:pPr>
              <w:pStyle w:val="49"/>
              <w:rPr>
                <w:sz w:val="15"/>
                <w:szCs w:val="15"/>
              </w:rPr>
            </w:pPr>
            <w:r>
              <w:rPr>
                <w:sz w:val="15"/>
                <w:szCs w:val="15"/>
              </w:rPr>
              <w:t>280000</w:t>
            </w:r>
          </w:p>
        </w:tc>
        <w:tc>
          <w:tcPr>
            <w:tcW w:w="828" w:type="dxa"/>
            <w:vAlign w:val="center"/>
          </w:tcPr>
          <w:p w14:paraId="44C96FB1">
            <w:pPr>
              <w:pStyle w:val="49"/>
              <w:rPr>
                <w:sz w:val="15"/>
                <w:szCs w:val="15"/>
              </w:rPr>
            </w:pPr>
            <w:r>
              <w:rPr>
                <w:sz w:val="15"/>
                <w:szCs w:val="15"/>
              </w:rPr>
              <w:t>0.000000</w:t>
            </w:r>
          </w:p>
        </w:tc>
        <w:tc>
          <w:tcPr>
            <w:tcW w:w="786" w:type="dxa"/>
            <w:vAlign w:val="center"/>
          </w:tcPr>
          <w:p w14:paraId="22E6CFB5">
            <w:pPr>
              <w:pStyle w:val="49"/>
              <w:rPr>
                <w:sz w:val="15"/>
                <w:szCs w:val="15"/>
              </w:rPr>
            </w:pPr>
            <w:r>
              <w:rPr>
                <w:sz w:val="15"/>
                <w:szCs w:val="15"/>
              </w:rPr>
              <w:t>0.011529</w:t>
            </w:r>
          </w:p>
        </w:tc>
        <w:tc>
          <w:tcPr>
            <w:tcW w:w="836" w:type="dxa"/>
            <w:vAlign w:val="center"/>
          </w:tcPr>
          <w:p w14:paraId="2BB0B707">
            <w:pPr>
              <w:pStyle w:val="49"/>
              <w:rPr>
                <w:sz w:val="15"/>
                <w:szCs w:val="15"/>
              </w:rPr>
            </w:pPr>
            <w:r>
              <w:rPr>
                <w:sz w:val="15"/>
                <w:szCs w:val="15"/>
              </w:rPr>
              <w:t>1.312197</w:t>
            </w:r>
          </w:p>
        </w:tc>
        <w:tc>
          <w:tcPr>
            <w:tcW w:w="925" w:type="dxa"/>
            <w:vAlign w:val="center"/>
          </w:tcPr>
          <w:p w14:paraId="665FED39">
            <w:pPr>
              <w:pStyle w:val="49"/>
              <w:rPr>
                <w:sz w:val="15"/>
                <w:szCs w:val="15"/>
              </w:rPr>
            </w:pPr>
            <w:r>
              <w:rPr>
                <w:sz w:val="15"/>
                <w:szCs w:val="15"/>
              </w:rPr>
              <w:t>1.002997</w:t>
            </w:r>
          </w:p>
        </w:tc>
        <w:tc>
          <w:tcPr>
            <w:tcW w:w="872" w:type="dxa"/>
            <w:tcBorders>
              <w:right w:val="nil"/>
            </w:tcBorders>
            <w:vAlign w:val="center"/>
          </w:tcPr>
          <w:p w14:paraId="16BBF9CE">
            <w:pPr>
              <w:pStyle w:val="49"/>
              <w:rPr>
                <w:sz w:val="15"/>
                <w:szCs w:val="15"/>
              </w:rPr>
            </w:pPr>
            <w:r>
              <w:rPr>
                <w:sz w:val="15"/>
                <w:szCs w:val="15"/>
              </w:rPr>
              <w:t>72.861425</w:t>
            </w:r>
          </w:p>
        </w:tc>
      </w:tr>
      <w:tr w14:paraId="0DE1D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50E32394">
            <w:pPr>
              <w:pStyle w:val="49"/>
              <w:rPr>
                <w:sz w:val="15"/>
                <w:szCs w:val="15"/>
              </w:rPr>
            </w:pPr>
            <w:r>
              <w:rPr>
                <w:sz w:val="15"/>
                <w:szCs w:val="15"/>
              </w:rPr>
              <w:t>A380</w:t>
            </w:r>
          </w:p>
        </w:tc>
        <w:tc>
          <w:tcPr>
            <w:tcW w:w="1028" w:type="dxa"/>
            <w:shd w:val="clear" w:color="auto" w:fill="auto"/>
            <w:vAlign w:val="center"/>
          </w:tcPr>
          <w:p w14:paraId="3FC75F65">
            <w:pPr>
              <w:pStyle w:val="49"/>
              <w:rPr>
                <w:sz w:val="15"/>
                <w:szCs w:val="15"/>
              </w:rPr>
            </w:pPr>
            <w:r>
              <w:rPr>
                <w:sz w:val="15"/>
                <w:szCs w:val="15"/>
              </w:rPr>
              <w:t>327.8</w:t>
            </w:r>
          </w:p>
        </w:tc>
        <w:tc>
          <w:tcPr>
            <w:tcW w:w="1056" w:type="dxa"/>
            <w:shd w:val="clear" w:color="auto" w:fill="auto"/>
            <w:vAlign w:val="center"/>
          </w:tcPr>
          <w:p w14:paraId="00495286">
            <w:pPr>
              <w:pStyle w:val="49"/>
              <w:rPr>
                <w:sz w:val="15"/>
                <w:szCs w:val="15"/>
              </w:rPr>
            </w:pPr>
            <w:r>
              <w:rPr>
                <w:sz w:val="15"/>
                <w:szCs w:val="15"/>
              </w:rPr>
              <w:t>259.28</w:t>
            </w:r>
          </w:p>
        </w:tc>
        <w:tc>
          <w:tcPr>
            <w:tcW w:w="907" w:type="dxa"/>
            <w:shd w:val="clear" w:color="auto" w:fill="auto"/>
            <w:vAlign w:val="center"/>
          </w:tcPr>
          <w:p w14:paraId="0537803D">
            <w:pPr>
              <w:pStyle w:val="49"/>
              <w:rPr>
                <w:sz w:val="15"/>
                <w:szCs w:val="15"/>
              </w:rPr>
            </w:pPr>
            <w:r>
              <w:rPr>
                <w:sz w:val="15"/>
                <w:szCs w:val="15"/>
              </w:rPr>
              <w:t>590000</w:t>
            </w:r>
          </w:p>
        </w:tc>
        <w:tc>
          <w:tcPr>
            <w:tcW w:w="828" w:type="dxa"/>
            <w:vAlign w:val="center"/>
          </w:tcPr>
          <w:p w14:paraId="78188619">
            <w:pPr>
              <w:pStyle w:val="49"/>
              <w:rPr>
                <w:sz w:val="15"/>
                <w:szCs w:val="15"/>
              </w:rPr>
            </w:pPr>
            <w:r>
              <w:rPr>
                <w:sz w:val="15"/>
                <w:szCs w:val="15"/>
              </w:rPr>
              <w:t>0.000000</w:t>
            </w:r>
          </w:p>
        </w:tc>
        <w:tc>
          <w:tcPr>
            <w:tcW w:w="786" w:type="dxa"/>
            <w:vAlign w:val="center"/>
          </w:tcPr>
          <w:p w14:paraId="0E835CAB">
            <w:pPr>
              <w:pStyle w:val="49"/>
              <w:rPr>
                <w:sz w:val="15"/>
                <w:szCs w:val="15"/>
              </w:rPr>
            </w:pPr>
            <w:r>
              <w:rPr>
                <w:sz w:val="15"/>
                <w:szCs w:val="15"/>
              </w:rPr>
              <w:t>0.009045</w:t>
            </w:r>
          </w:p>
        </w:tc>
        <w:tc>
          <w:tcPr>
            <w:tcW w:w="836" w:type="dxa"/>
            <w:vAlign w:val="center"/>
          </w:tcPr>
          <w:p w14:paraId="2AB89962">
            <w:pPr>
              <w:pStyle w:val="49"/>
              <w:rPr>
                <w:sz w:val="15"/>
                <w:szCs w:val="15"/>
              </w:rPr>
            </w:pPr>
            <w:r>
              <w:rPr>
                <w:sz w:val="15"/>
                <w:szCs w:val="15"/>
              </w:rPr>
              <w:t>0.932282</w:t>
            </w:r>
          </w:p>
        </w:tc>
        <w:tc>
          <w:tcPr>
            <w:tcW w:w="925" w:type="dxa"/>
            <w:vAlign w:val="center"/>
          </w:tcPr>
          <w:p w14:paraId="2CE0A8E0">
            <w:pPr>
              <w:pStyle w:val="49"/>
              <w:rPr>
                <w:sz w:val="15"/>
                <w:szCs w:val="15"/>
              </w:rPr>
            </w:pPr>
            <w:r>
              <w:rPr>
                <w:sz w:val="15"/>
                <w:szCs w:val="15"/>
              </w:rPr>
              <w:t>1.470315</w:t>
            </w:r>
          </w:p>
        </w:tc>
        <w:tc>
          <w:tcPr>
            <w:tcW w:w="872" w:type="dxa"/>
            <w:tcBorders>
              <w:right w:val="nil"/>
            </w:tcBorders>
            <w:vAlign w:val="center"/>
          </w:tcPr>
          <w:p w14:paraId="05294B1A">
            <w:pPr>
              <w:pStyle w:val="49"/>
              <w:rPr>
                <w:sz w:val="15"/>
                <w:szCs w:val="15"/>
              </w:rPr>
            </w:pPr>
            <w:r>
              <w:rPr>
                <w:sz w:val="15"/>
                <w:szCs w:val="15"/>
              </w:rPr>
              <w:t>73.283859</w:t>
            </w:r>
          </w:p>
        </w:tc>
      </w:tr>
      <w:tr w14:paraId="72765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1709772">
            <w:pPr>
              <w:pStyle w:val="49"/>
              <w:rPr>
                <w:sz w:val="15"/>
                <w:szCs w:val="15"/>
              </w:rPr>
            </w:pPr>
            <w:r>
              <w:rPr>
                <w:sz w:val="15"/>
                <w:szCs w:val="15"/>
              </w:rPr>
              <w:t>Atratr 72 500</w:t>
            </w:r>
          </w:p>
        </w:tc>
        <w:tc>
          <w:tcPr>
            <w:tcW w:w="1028" w:type="dxa"/>
            <w:shd w:val="clear" w:color="auto" w:fill="auto"/>
            <w:vAlign w:val="center"/>
          </w:tcPr>
          <w:p w14:paraId="6D67D31A">
            <w:pPr>
              <w:pStyle w:val="49"/>
              <w:rPr>
                <w:sz w:val="15"/>
                <w:szCs w:val="15"/>
              </w:rPr>
            </w:pPr>
            <w:r>
              <w:rPr>
                <w:sz w:val="15"/>
                <w:szCs w:val="15"/>
              </w:rPr>
              <w:t>303.73</w:t>
            </w:r>
          </w:p>
        </w:tc>
        <w:tc>
          <w:tcPr>
            <w:tcW w:w="1056" w:type="dxa"/>
            <w:shd w:val="clear" w:color="auto" w:fill="auto"/>
            <w:vAlign w:val="center"/>
          </w:tcPr>
          <w:p w14:paraId="402B623D">
            <w:pPr>
              <w:pStyle w:val="49"/>
              <w:rPr>
                <w:sz w:val="15"/>
                <w:szCs w:val="15"/>
              </w:rPr>
            </w:pPr>
            <w:r>
              <w:rPr>
                <w:sz w:val="15"/>
                <w:szCs w:val="15"/>
              </w:rPr>
              <w:t>192.6</w:t>
            </w:r>
          </w:p>
        </w:tc>
        <w:tc>
          <w:tcPr>
            <w:tcW w:w="907" w:type="dxa"/>
            <w:shd w:val="clear" w:color="auto" w:fill="auto"/>
            <w:vAlign w:val="center"/>
          </w:tcPr>
          <w:p w14:paraId="02AC845D">
            <w:pPr>
              <w:pStyle w:val="49"/>
              <w:rPr>
                <w:sz w:val="15"/>
                <w:szCs w:val="15"/>
              </w:rPr>
            </w:pPr>
            <w:r>
              <w:rPr>
                <w:sz w:val="15"/>
                <w:szCs w:val="15"/>
              </w:rPr>
              <w:t>22800</w:t>
            </w:r>
          </w:p>
        </w:tc>
        <w:tc>
          <w:tcPr>
            <w:tcW w:w="828" w:type="dxa"/>
            <w:vAlign w:val="center"/>
          </w:tcPr>
          <w:p w14:paraId="03001E8F">
            <w:pPr>
              <w:pStyle w:val="49"/>
              <w:rPr>
                <w:sz w:val="15"/>
                <w:szCs w:val="15"/>
              </w:rPr>
            </w:pPr>
            <w:r>
              <w:rPr>
                <w:sz w:val="15"/>
                <w:szCs w:val="15"/>
              </w:rPr>
              <w:t>0.000927</w:t>
            </w:r>
          </w:p>
        </w:tc>
        <w:tc>
          <w:tcPr>
            <w:tcW w:w="786" w:type="dxa"/>
            <w:vAlign w:val="center"/>
          </w:tcPr>
          <w:p w14:paraId="02A3D517">
            <w:pPr>
              <w:pStyle w:val="49"/>
              <w:rPr>
                <w:sz w:val="15"/>
                <w:szCs w:val="15"/>
              </w:rPr>
            </w:pPr>
            <w:r>
              <w:rPr>
                <w:sz w:val="15"/>
                <w:szCs w:val="15"/>
              </w:rPr>
              <w:t>0.006954</w:t>
            </w:r>
          </w:p>
        </w:tc>
        <w:tc>
          <w:tcPr>
            <w:tcW w:w="836" w:type="dxa"/>
            <w:vAlign w:val="center"/>
          </w:tcPr>
          <w:p w14:paraId="21EDABF6">
            <w:pPr>
              <w:pStyle w:val="49"/>
              <w:rPr>
                <w:sz w:val="15"/>
                <w:szCs w:val="15"/>
              </w:rPr>
            </w:pPr>
            <w:r>
              <w:rPr>
                <w:sz w:val="15"/>
                <w:szCs w:val="15"/>
              </w:rPr>
              <w:t>0.586463</w:t>
            </w:r>
          </w:p>
        </w:tc>
        <w:tc>
          <w:tcPr>
            <w:tcW w:w="925" w:type="dxa"/>
            <w:vAlign w:val="center"/>
          </w:tcPr>
          <w:p w14:paraId="647CA83E">
            <w:pPr>
              <w:pStyle w:val="49"/>
              <w:rPr>
                <w:sz w:val="15"/>
                <w:szCs w:val="15"/>
              </w:rPr>
            </w:pPr>
            <w:r>
              <w:rPr>
                <w:sz w:val="15"/>
                <w:szCs w:val="15"/>
              </w:rPr>
              <w:t>0.533148</w:t>
            </w:r>
          </w:p>
        </w:tc>
        <w:tc>
          <w:tcPr>
            <w:tcW w:w="872" w:type="dxa"/>
            <w:tcBorders>
              <w:right w:val="nil"/>
            </w:tcBorders>
            <w:vAlign w:val="center"/>
          </w:tcPr>
          <w:p w14:paraId="6A07C8B5">
            <w:pPr>
              <w:pStyle w:val="49"/>
              <w:rPr>
                <w:sz w:val="15"/>
                <w:szCs w:val="15"/>
              </w:rPr>
            </w:pPr>
            <w:r>
              <w:rPr>
                <w:sz w:val="15"/>
                <w:szCs w:val="15"/>
              </w:rPr>
              <w:t>73.249884</w:t>
            </w:r>
          </w:p>
        </w:tc>
      </w:tr>
      <w:tr w14:paraId="1E250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63DBAAA">
            <w:pPr>
              <w:pStyle w:val="49"/>
              <w:rPr>
                <w:sz w:val="15"/>
                <w:szCs w:val="15"/>
              </w:rPr>
            </w:pPr>
            <w:r>
              <w:rPr>
                <w:sz w:val="15"/>
                <w:szCs w:val="15"/>
              </w:rPr>
              <w:t>Atratr 72 600</w:t>
            </w:r>
          </w:p>
        </w:tc>
        <w:tc>
          <w:tcPr>
            <w:tcW w:w="1028" w:type="dxa"/>
            <w:shd w:val="clear" w:color="auto" w:fill="auto"/>
            <w:vAlign w:val="center"/>
          </w:tcPr>
          <w:p w14:paraId="5A077039">
            <w:pPr>
              <w:pStyle w:val="49"/>
              <w:rPr>
                <w:sz w:val="15"/>
                <w:szCs w:val="15"/>
              </w:rPr>
            </w:pPr>
            <w:r>
              <w:rPr>
                <w:sz w:val="15"/>
                <w:szCs w:val="15"/>
              </w:rPr>
              <w:t>303.73</w:t>
            </w:r>
          </w:p>
        </w:tc>
        <w:tc>
          <w:tcPr>
            <w:tcW w:w="1056" w:type="dxa"/>
            <w:shd w:val="clear" w:color="auto" w:fill="auto"/>
            <w:vAlign w:val="center"/>
          </w:tcPr>
          <w:p w14:paraId="54E6C76E">
            <w:pPr>
              <w:pStyle w:val="49"/>
              <w:rPr>
                <w:sz w:val="15"/>
                <w:szCs w:val="15"/>
              </w:rPr>
            </w:pPr>
            <w:r>
              <w:rPr>
                <w:sz w:val="15"/>
                <w:szCs w:val="15"/>
              </w:rPr>
              <w:t>192.6</w:t>
            </w:r>
          </w:p>
        </w:tc>
        <w:tc>
          <w:tcPr>
            <w:tcW w:w="907" w:type="dxa"/>
            <w:shd w:val="clear" w:color="auto" w:fill="auto"/>
            <w:vAlign w:val="center"/>
          </w:tcPr>
          <w:p w14:paraId="52159FBA">
            <w:pPr>
              <w:pStyle w:val="49"/>
              <w:rPr>
                <w:sz w:val="15"/>
                <w:szCs w:val="15"/>
              </w:rPr>
            </w:pPr>
            <w:r>
              <w:rPr>
                <w:sz w:val="15"/>
                <w:szCs w:val="15"/>
              </w:rPr>
              <w:t>22800</w:t>
            </w:r>
          </w:p>
        </w:tc>
        <w:tc>
          <w:tcPr>
            <w:tcW w:w="828" w:type="dxa"/>
            <w:vAlign w:val="center"/>
          </w:tcPr>
          <w:p w14:paraId="0DE40DDA">
            <w:pPr>
              <w:pStyle w:val="49"/>
              <w:rPr>
                <w:sz w:val="15"/>
                <w:szCs w:val="15"/>
              </w:rPr>
            </w:pPr>
            <w:r>
              <w:rPr>
                <w:sz w:val="15"/>
                <w:szCs w:val="15"/>
              </w:rPr>
              <w:t>0.000927</w:t>
            </w:r>
          </w:p>
        </w:tc>
        <w:tc>
          <w:tcPr>
            <w:tcW w:w="786" w:type="dxa"/>
            <w:vAlign w:val="center"/>
          </w:tcPr>
          <w:p w14:paraId="3090548E">
            <w:pPr>
              <w:pStyle w:val="49"/>
              <w:rPr>
                <w:sz w:val="15"/>
                <w:szCs w:val="15"/>
              </w:rPr>
            </w:pPr>
            <w:r>
              <w:rPr>
                <w:sz w:val="15"/>
                <w:szCs w:val="15"/>
              </w:rPr>
              <w:t>0.006954</w:t>
            </w:r>
          </w:p>
        </w:tc>
        <w:tc>
          <w:tcPr>
            <w:tcW w:w="836" w:type="dxa"/>
            <w:vAlign w:val="center"/>
          </w:tcPr>
          <w:p w14:paraId="2BE84669">
            <w:pPr>
              <w:pStyle w:val="49"/>
              <w:rPr>
                <w:sz w:val="15"/>
                <w:szCs w:val="15"/>
              </w:rPr>
            </w:pPr>
            <w:r>
              <w:rPr>
                <w:sz w:val="15"/>
                <w:szCs w:val="15"/>
              </w:rPr>
              <w:t>0.586463</w:t>
            </w:r>
          </w:p>
        </w:tc>
        <w:tc>
          <w:tcPr>
            <w:tcW w:w="925" w:type="dxa"/>
            <w:vAlign w:val="center"/>
          </w:tcPr>
          <w:p w14:paraId="6E5DED35">
            <w:pPr>
              <w:pStyle w:val="49"/>
              <w:rPr>
                <w:sz w:val="15"/>
                <w:szCs w:val="15"/>
              </w:rPr>
            </w:pPr>
            <w:r>
              <w:rPr>
                <w:sz w:val="15"/>
                <w:szCs w:val="15"/>
              </w:rPr>
              <w:t>0.533148</w:t>
            </w:r>
          </w:p>
        </w:tc>
        <w:tc>
          <w:tcPr>
            <w:tcW w:w="872" w:type="dxa"/>
            <w:tcBorders>
              <w:right w:val="nil"/>
            </w:tcBorders>
            <w:vAlign w:val="center"/>
          </w:tcPr>
          <w:p w14:paraId="78C54C29">
            <w:pPr>
              <w:pStyle w:val="49"/>
              <w:rPr>
                <w:sz w:val="15"/>
                <w:szCs w:val="15"/>
              </w:rPr>
            </w:pPr>
            <w:r>
              <w:rPr>
                <w:sz w:val="15"/>
                <w:szCs w:val="15"/>
              </w:rPr>
              <w:t>73.249884</w:t>
            </w:r>
          </w:p>
        </w:tc>
      </w:tr>
      <w:tr w14:paraId="0BDC7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31646F66">
            <w:pPr>
              <w:pStyle w:val="49"/>
              <w:rPr>
                <w:sz w:val="15"/>
                <w:szCs w:val="15"/>
              </w:rPr>
            </w:pPr>
            <w:r>
              <w:rPr>
                <w:sz w:val="15"/>
                <w:szCs w:val="15"/>
              </w:rPr>
              <w:t>Avro</w:t>
            </w:r>
            <w:r>
              <w:rPr>
                <w:rFonts w:hint="eastAsia"/>
                <w:sz w:val="15"/>
                <w:szCs w:val="15"/>
              </w:rPr>
              <w:t xml:space="preserve"> </w:t>
            </w:r>
            <w:r>
              <w:rPr>
                <w:sz w:val="15"/>
                <w:szCs w:val="15"/>
              </w:rPr>
              <w:t>RJ70/RJ85/RJ100</w:t>
            </w:r>
          </w:p>
        </w:tc>
        <w:tc>
          <w:tcPr>
            <w:tcW w:w="1028" w:type="dxa"/>
            <w:shd w:val="clear" w:color="auto" w:fill="auto"/>
            <w:vAlign w:val="center"/>
          </w:tcPr>
          <w:p w14:paraId="2A783508">
            <w:pPr>
              <w:pStyle w:val="49"/>
              <w:rPr>
                <w:sz w:val="15"/>
                <w:szCs w:val="15"/>
              </w:rPr>
            </w:pPr>
            <w:r>
              <w:rPr>
                <w:sz w:val="15"/>
                <w:szCs w:val="15"/>
              </w:rPr>
              <w:t>303.73</w:t>
            </w:r>
          </w:p>
        </w:tc>
        <w:tc>
          <w:tcPr>
            <w:tcW w:w="1056" w:type="dxa"/>
            <w:shd w:val="clear" w:color="auto" w:fill="auto"/>
            <w:vAlign w:val="center"/>
          </w:tcPr>
          <w:p w14:paraId="1E531B21">
            <w:pPr>
              <w:pStyle w:val="49"/>
              <w:rPr>
                <w:sz w:val="15"/>
                <w:szCs w:val="15"/>
              </w:rPr>
            </w:pPr>
            <w:r>
              <w:rPr>
                <w:sz w:val="15"/>
                <w:szCs w:val="15"/>
              </w:rPr>
              <w:t>253.72</w:t>
            </w:r>
          </w:p>
        </w:tc>
        <w:tc>
          <w:tcPr>
            <w:tcW w:w="907" w:type="dxa"/>
            <w:shd w:val="clear" w:color="auto" w:fill="auto"/>
            <w:vAlign w:val="center"/>
          </w:tcPr>
          <w:p w14:paraId="5519C8F6">
            <w:pPr>
              <w:pStyle w:val="49"/>
              <w:rPr>
                <w:sz w:val="15"/>
                <w:szCs w:val="15"/>
              </w:rPr>
            </w:pPr>
            <w:r>
              <w:rPr>
                <w:sz w:val="15"/>
                <w:szCs w:val="15"/>
              </w:rPr>
              <w:t>43091</w:t>
            </w:r>
          </w:p>
        </w:tc>
        <w:tc>
          <w:tcPr>
            <w:tcW w:w="828" w:type="dxa"/>
            <w:vAlign w:val="center"/>
          </w:tcPr>
          <w:p w14:paraId="136781D8">
            <w:pPr>
              <w:pStyle w:val="49"/>
              <w:rPr>
                <w:sz w:val="15"/>
                <w:szCs w:val="15"/>
              </w:rPr>
            </w:pPr>
            <w:r>
              <w:rPr>
                <w:sz w:val="15"/>
                <w:szCs w:val="15"/>
              </w:rPr>
              <w:t>0.000000</w:t>
            </w:r>
          </w:p>
        </w:tc>
        <w:tc>
          <w:tcPr>
            <w:tcW w:w="786" w:type="dxa"/>
            <w:vAlign w:val="center"/>
          </w:tcPr>
          <w:p w14:paraId="64ADA487">
            <w:pPr>
              <w:pStyle w:val="49"/>
              <w:rPr>
                <w:sz w:val="15"/>
                <w:szCs w:val="15"/>
              </w:rPr>
            </w:pPr>
            <w:r>
              <w:rPr>
                <w:sz w:val="15"/>
                <w:szCs w:val="15"/>
              </w:rPr>
              <w:t>0.018001</w:t>
            </w:r>
          </w:p>
        </w:tc>
        <w:tc>
          <w:tcPr>
            <w:tcW w:w="836" w:type="dxa"/>
            <w:vAlign w:val="center"/>
          </w:tcPr>
          <w:p w14:paraId="7D2D63F7">
            <w:pPr>
              <w:pStyle w:val="49"/>
              <w:rPr>
                <w:sz w:val="15"/>
                <w:szCs w:val="15"/>
              </w:rPr>
            </w:pPr>
            <w:r>
              <w:rPr>
                <w:sz w:val="15"/>
                <w:szCs w:val="15"/>
              </w:rPr>
              <w:t>0.553196</w:t>
            </w:r>
          </w:p>
        </w:tc>
        <w:tc>
          <w:tcPr>
            <w:tcW w:w="925" w:type="dxa"/>
            <w:vAlign w:val="center"/>
          </w:tcPr>
          <w:p w14:paraId="7A9A6712">
            <w:pPr>
              <w:pStyle w:val="49"/>
              <w:rPr>
                <w:sz w:val="15"/>
                <w:szCs w:val="15"/>
              </w:rPr>
            </w:pPr>
            <w:r>
              <w:rPr>
                <w:sz w:val="15"/>
                <w:szCs w:val="15"/>
              </w:rPr>
              <w:t>14.043388</w:t>
            </w:r>
          </w:p>
        </w:tc>
        <w:tc>
          <w:tcPr>
            <w:tcW w:w="872" w:type="dxa"/>
            <w:tcBorders>
              <w:right w:val="nil"/>
            </w:tcBorders>
            <w:vAlign w:val="center"/>
          </w:tcPr>
          <w:p w14:paraId="205F909C">
            <w:pPr>
              <w:pStyle w:val="49"/>
              <w:rPr>
                <w:sz w:val="15"/>
                <w:szCs w:val="15"/>
              </w:rPr>
            </w:pPr>
            <w:r>
              <w:rPr>
                <w:sz w:val="15"/>
                <w:szCs w:val="15"/>
              </w:rPr>
              <w:t>72.928687</w:t>
            </w:r>
          </w:p>
        </w:tc>
      </w:tr>
      <w:tr w14:paraId="6E455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4FB9DFDE">
            <w:pPr>
              <w:pStyle w:val="49"/>
              <w:rPr>
                <w:sz w:val="15"/>
                <w:szCs w:val="15"/>
              </w:rPr>
            </w:pPr>
            <w:r>
              <w:rPr>
                <w:sz w:val="15"/>
                <w:szCs w:val="15"/>
              </w:rPr>
              <w:t>B727</w:t>
            </w:r>
          </w:p>
        </w:tc>
        <w:tc>
          <w:tcPr>
            <w:tcW w:w="1028" w:type="dxa"/>
            <w:shd w:val="clear" w:color="auto" w:fill="auto"/>
            <w:vAlign w:val="center"/>
          </w:tcPr>
          <w:p w14:paraId="56370A7F">
            <w:pPr>
              <w:pStyle w:val="49"/>
              <w:rPr>
                <w:sz w:val="15"/>
                <w:szCs w:val="15"/>
              </w:rPr>
            </w:pPr>
            <w:r>
              <w:rPr>
                <w:sz w:val="15"/>
                <w:szCs w:val="15"/>
              </w:rPr>
              <w:t>303.73</w:t>
            </w:r>
          </w:p>
        </w:tc>
        <w:tc>
          <w:tcPr>
            <w:tcW w:w="1056" w:type="dxa"/>
            <w:shd w:val="clear" w:color="auto" w:fill="auto"/>
            <w:vAlign w:val="center"/>
          </w:tcPr>
          <w:p w14:paraId="3BDF3561">
            <w:pPr>
              <w:pStyle w:val="49"/>
              <w:rPr>
                <w:sz w:val="15"/>
                <w:szCs w:val="15"/>
              </w:rPr>
            </w:pPr>
            <w:r>
              <w:rPr>
                <w:sz w:val="15"/>
                <w:szCs w:val="15"/>
              </w:rPr>
              <w:t>196.3</w:t>
            </w:r>
          </w:p>
        </w:tc>
        <w:tc>
          <w:tcPr>
            <w:tcW w:w="907" w:type="dxa"/>
            <w:shd w:val="clear" w:color="auto" w:fill="auto"/>
            <w:vAlign w:val="center"/>
          </w:tcPr>
          <w:p w14:paraId="522EB091">
            <w:pPr>
              <w:pStyle w:val="49"/>
              <w:rPr>
                <w:sz w:val="15"/>
                <w:szCs w:val="15"/>
              </w:rPr>
            </w:pPr>
            <w:r>
              <w:rPr>
                <w:sz w:val="15"/>
                <w:szCs w:val="15"/>
              </w:rPr>
              <w:t>95100</w:t>
            </w:r>
          </w:p>
        </w:tc>
        <w:tc>
          <w:tcPr>
            <w:tcW w:w="828" w:type="dxa"/>
            <w:vAlign w:val="center"/>
          </w:tcPr>
          <w:p w14:paraId="6A0B8B0C">
            <w:pPr>
              <w:pStyle w:val="49"/>
              <w:rPr>
                <w:sz w:val="15"/>
                <w:szCs w:val="15"/>
              </w:rPr>
            </w:pPr>
            <w:r>
              <w:rPr>
                <w:sz w:val="15"/>
                <w:szCs w:val="15"/>
              </w:rPr>
              <w:t>0.000000</w:t>
            </w:r>
          </w:p>
        </w:tc>
        <w:tc>
          <w:tcPr>
            <w:tcW w:w="786" w:type="dxa"/>
            <w:vAlign w:val="center"/>
          </w:tcPr>
          <w:p w14:paraId="536E096C">
            <w:pPr>
              <w:pStyle w:val="49"/>
              <w:rPr>
                <w:sz w:val="15"/>
                <w:szCs w:val="15"/>
              </w:rPr>
            </w:pPr>
            <w:r>
              <w:rPr>
                <w:sz w:val="15"/>
                <w:szCs w:val="15"/>
              </w:rPr>
              <w:t>0.018001</w:t>
            </w:r>
          </w:p>
        </w:tc>
        <w:tc>
          <w:tcPr>
            <w:tcW w:w="836" w:type="dxa"/>
            <w:vAlign w:val="center"/>
          </w:tcPr>
          <w:p w14:paraId="32685C84">
            <w:pPr>
              <w:pStyle w:val="49"/>
              <w:rPr>
                <w:sz w:val="15"/>
                <w:szCs w:val="15"/>
              </w:rPr>
            </w:pPr>
            <w:r>
              <w:rPr>
                <w:sz w:val="15"/>
                <w:szCs w:val="15"/>
              </w:rPr>
              <w:t>0.553196</w:t>
            </w:r>
          </w:p>
        </w:tc>
        <w:tc>
          <w:tcPr>
            <w:tcW w:w="925" w:type="dxa"/>
            <w:vAlign w:val="center"/>
          </w:tcPr>
          <w:p w14:paraId="5E6604D3">
            <w:pPr>
              <w:pStyle w:val="49"/>
              <w:rPr>
                <w:sz w:val="15"/>
                <w:szCs w:val="15"/>
              </w:rPr>
            </w:pPr>
            <w:r>
              <w:rPr>
                <w:sz w:val="15"/>
                <w:szCs w:val="15"/>
              </w:rPr>
              <w:t>14.043388</w:t>
            </w:r>
          </w:p>
        </w:tc>
        <w:tc>
          <w:tcPr>
            <w:tcW w:w="872" w:type="dxa"/>
            <w:tcBorders>
              <w:right w:val="nil"/>
            </w:tcBorders>
            <w:vAlign w:val="center"/>
          </w:tcPr>
          <w:p w14:paraId="02B9CC67">
            <w:pPr>
              <w:pStyle w:val="49"/>
              <w:rPr>
                <w:sz w:val="15"/>
                <w:szCs w:val="15"/>
              </w:rPr>
            </w:pPr>
            <w:r>
              <w:rPr>
                <w:sz w:val="15"/>
                <w:szCs w:val="15"/>
              </w:rPr>
              <w:t>72.928687</w:t>
            </w:r>
          </w:p>
        </w:tc>
      </w:tr>
      <w:tr w14:paraId="05BF1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68D8BB2">
            <w:pPr>
              <w:pStyle w:val="49"/>
              <w:rPr>
                <w:sz w:val="15"/>
                <w:szCs w:val="15"/>
              </w:rPr>
            </w:pPr>
            <w:r>
              <w:rPr>
                <w:sz w:val="15"/>
                <w:szCs w:val="15"/>
              </w:rPr>
              <w:t>B737(Mixed Configuration)</w:t>
            </w:r>
          </w:p>
        </w:tc>
        <w:tc>
          <w:tcPr>
            <w:tcW w:w="1028" w:type="dxa"/>
            <w:shd w:val="clear" w:color="auto" w:fill="auto"/>
            <w:vAlign w:val="center"/>
          </w:tcPr>
          <w:p w14:paraId="7003A798">
            <w:pPr>
              <w:pStyle w:val="49"/>
              <w:rPr>
                <w:sz w:val="15"/>
                <w:szCs w:val="15"/>
              </w:rPr>
            </w:pPr>
            <w:r>
              <w:rPr>
                <w:sz w:val="15"/>
                <w:szCs w:val="15"/>
              </w:rPr>
              <w:t>303.73</w:t>
            </w:r>
          </w:p>
        </w:tc>
        <w:tc>
          <w:tcPr>
            <w:tcW w:w="1056" w:type="dxa"/>
            <w:shd w:val="clear" w:color="auto" w:fill="auto"/>
            <w:vAlign w:val="center"/>
          </w:tcPr>
          <w:p w14:paraId="7A965EC5">
            <w:pPr>
              <w:pStyle w:val="49"/>
              <w:rPr>
                <w:sz w:val="15"/>
                <w:szCs w:val="15"/>
              </w:rPr>
            </w:pPr>
            <w:r>
              <w:rPr>
                <w:sz w:val="15"/>
                <w:szCs w:val="15"/>
              </w:rPr>
              <w:t>259.28</w:t>
            </w:r>
          </w:p>
        </w:tc>
        <w:tc>
          <w:tcPr>
            <w:tcW w:w="907" w:type="dxa"/>
            <w:shd w:val="clear" w:color="auto" w:fill="auto"/>
            <w:vAlign w:val="center"/>
          </w:tcPr>
          <w:p w14:paraId="6BC18384">
            <w:pPr>
              <w:pStyle w:val="49"/>
              <w:rPr>
                <w:sz w:val="15"/>
                <w:szCs w:val="15"/>
              </w:rPr>
            </w:pPr>
            <w:r>
              <w:rPr>
                <w:sz w:val="15"/>
                <w:szCs w:val="15"/>
              </w:rPr>
              <w:t>78472</w:t>
            </w:r>
          </w:p>
        </w:tc>
        <w:tc>
          <w:tcPr>
            <w:tcW w:w="828" w:type="dxa"/>
            <w:vAlign w:val="center"/>
          </w:tcPr>
          <w:p w14:paraId="693C8DEF">
            <w:pPr>
              <w:pStyle w:val="49"/>
              <w:rPr>
                <w:sz w:val="15"/>
                <w:szCs w:val="15"/>
              </w:rPr>
            </w:pPr>
            <w:r>
              <w:rPr>
                <w:sz w:val="15"/>
                <w:szCs w:val="15"/>
              </w:rPr>
              <w:t>0.001156</w:t>
            </w:r>
          </w:p>
        </w:tc>
        <w:tc>
          <w:tcPr>
            <w:tcW w:w="786" w:type="dxa"/>
            <w:vAlign w:val="center"/>
          </w:tcPr>
          <w:p w14:paraId="4AEB2E66">
            <w:pPr>
              <w:pStyle w:val="49"/>
              <w:rPr>
                <w:sz w:val="15"/>
                <w:szCs w:val="15"/>
              </w:rPr>
            </w:pPr>
            <w:r>
              <w:rPr>
                <w:sz w:val="15"/>
                <w:szCs w:val="15"/>
              </w:rPr>
              <w:t>0.004160</w:t>
            </w:r>
          </w:p>
        </w:tc>
        <w:tc>
          <w:tcPr>
            <w:tcW w:w="836" w:type="dxa"/>
            <w:vAlign w:val="center"/>
          </w:tcPr>
          <w:p w14:paraId="3C7E7592">
            <w:pPr>
              <w:pStyle w:val="49"/>
              <w:rPr>
                <w:sz w:val="15"/>
                <w:szCs w:val="15"/>
              </w:rPr>
            </w:pPr>
            <w:r>
              <w:rPr>
                <w:sz w:val="15"/>
                <w:szCs w:val="15"/>
              </w:rPr>
              <w:t>1.487405</w:t>
            </w:r>
          </w:p>
        </w:tc>
        <w:tc>
          <w:tcPr>
            <w:tcW w:w="925" w:type="dxa"/>
            <w:vAlign w:val="center"/>
          </w:tcPr>
          <w:p w14:paraId="6E0A6E23">
            <w:pPr>
              <w:pStyle w:val="49"/>
              <w:rPr>
                <w:sz w:val="15"/>
                <w:szCs w:val="15"/>
              </w:rPr>
            </w:pPr>
            <w:r>
              <w:rPr>
                <w:sz w:val="15"/>
                <w:szCs w:val="15"/>
              </w:rPr>
              <w:t>0.002311</w:t>
            </w:r>
          </w:p>
        </w:tc>
        <w:tc>
          <w:tcPr>
            <w:tcW w:w="872" w:type="dxa"/>
            <w:tcBorders>
              <w:right w:val="nil"/>
            </w:tcBorders>
            <w:vAlign w:val="center"/>
          </w:tcPr>
          <w:p w14:paraId="65F2CA26">
            <w:pPr>
              <w:pStyle w:val="49"/>
              <w:rPr>
                <w:sz w:val="15"/>
                <w:szCs w:val="15"/>
              </w:rPr>
            </w:pPr>
            <w:r>
              <w:rPr>
                <w:sz w:val="15"/>
                <w:szCs w:val="15"/>
              </w:rPr>
              <w:t>73.029813</w:t>
            </w:r>
          </w:p>
        </w:tc>
      </w:tr>
      <w:tr w14:paraId="65D59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54184E8">
            <w:pPr>
              <w:pStyle w:val="49"/>
              <w:rPr>
                <w:sz w:val="15"/>
                <w:szCs w:val="15"/>
              </w:rPr>
            </w:pPr>
            <w:r>
              <w:rPr>
                <w:sz w:val="15"/>
                <w:szCs w:val="15"/>
              </w:rPr>
              <w:t>B737</w:t>
            </w:r>
          </w:p>
        </w:tc>
        <w:tc>
          <w:tcPr>
            <w:tcW w:w="1028" w:type="dxa"/>
            <w:shd w:val="clear" w:color="auto" w:fill="auto"/>
            <w:vAlign w:val="center"/>
          </w:tcPr>
          <w:p w14:paraId="633442BE">
            <w:pPr>
              <w:pStyle w:val="49"/>
              <w:rPr>
                <w:sz w:val="15"/>
                <w:szCs w:val="15"/>
              </w:rPr>
            </w:pPr>
            <w:r>
              <w:rPr>
                <w:sz w:val="15"/>
                <w:szCs w:val="15"/>
              </w:rPr>
              <w:t>303.73</w:t>
            </w:r>
          </w:p>
        </w:tc>
        <w:tc>
          <w:tcPr>
            <w:tcW w:w="1056" w:type="dxa"/>
            <w:shd w:val="clear" w:color="auto" w:fill="auto"/>
            <w:vAlign w:val="center"/>
          </w:tcPr>
          <w:p w14:paraId="3A9E48A0">
            <w:pPr>
              <w:pStyle w:val="49"/>
              <w:rPr>
                <w:sz w:val="15"/>
                <w:szCs w:val="15"/>
              </w:rPr>
            </w:pPr>
            <w:r>
              <w:rPr>
                <w:sz w:val="15"/>
                <w:szCs w:val="15"/>
              </w:rPr>
              <w:t>277.8</w:t>
            </w:r>
          </w:p>
        </w:tc>
        <w:tc>
          <w:tcPr>
            <w:tcW w:w="907" w:type="dxa"/>
            <w:shd w:val="clear" w:color="auto" w:fill="auto"/>
            <w:vAlign w:val="center"/>
          </w:tcPr>
          <w:p w14:paraId="2D491A31">
            <w:pPr>
              <w:pStyle w:val="49"/>
              <w:rPr>
                <w:sz w:val="15"/>
                <w:szCs w:val="15"/>
              </w:rPr>
            </w:pPr>
            <w:r>
              <w:rPr>
                <w:sz w:val="15"/>
                <w:szCs w:val="15"/>
              </w:rPr>
              <w:t>70080</w:t>
            </w:r>
          </w:p>
        </w:tc>
        <w:tc>
          <w:tcPr>
            <w:tcW w:w="828" w:type="dxa"/>
            <w:vAlign w:val="center"/>
          </w:tcPr>
          <w:p w14:paraId="5719413C">
            <w:pPr>
              <w:pStyle w:val="49"/>
              <w:rPr>
                <w:sz w:val="15"/>
                <w:szCs w:val="15"/>
              </w:rPr>
            </w:pPr>
            <w:r>
              <w:rPr>
                <w:sz w:val="15"/>
                <w:szCs w:val="15"/>
              </w:rPr>
              <w:t>0.000924</w:t>
            </w:r>
          </w:p>
        </w:tc>
        <w:tc>
          <w:tcPr>
            <w:tcW w:w="786" w:type="dxa"/>
            <w:vAlign w:val="center"/>
          </w:tcPr>
          <w:p w14:paraId="2512B61A">
            <w:pPr>
              <w:pStyle w:val="49"/>
              <w:rPr>
                <w:sz w:val="15"/>
                <w:szCs w:val="15"/>
              </w:rPr>
            </w:pPr>
            <w:r>
              <w:rPr>
                <w:sz w:val="15"/>
                <w:szCs w:val="15"/>
              </w:rPr>
              <w:t>0.003467</w:t>
            </w:r>
          </w:p>
        </w:tc>
        <w:tc>
          <w:tcPr>
            <w:tcW w:w="836" w:type="dxa"/>
            <w:vAlign w:val="center"/>
          </w:tcPr>
          <w:p w14:paraId="2E8FB308">
            <w:pPr>
              <w:pStyle w:val="49"/>
              <w:rPr>
                <w:sz w:val="15"/>
                <w:szCs w:val="15"/>
              </w:rPr>
            </w:pPr>
            <w:r>
              <w:rPr>
                <w:sz w:val="15"/>
                <w:szCs w:val="15"/>
              </w:rPr>
              <w:t>0.702334</w:t>
            </w:r>
          </w:p>
        </w:tc>
        <w:tc>
          <w:tcPr>
            <w:tcW w:w="925" w:type="dxa"/>
            <w:vAlign w:val="center"/>
          </w:tcPr>
          <w:p w14:paraId="26EB169A">
            <w:pPr>
              <w:pStyle w:val="49"/>
              <w:rPr>
                <w:sz w:val="15"/>
                <w:szCs w:val="15"/>
              </w:rPr>
            </w:pPr>
            <w:r>
              <w:rPr>
                <w:sz w:val="15"/>
                <w:szCs w:val="15"/>
              </w:rPr>
              <w:t>0.000000</w:t>
            </w:r>
          </w:p>
        </w:tc>
        <w:tc>
          <w:tcPr>
            <w:tcW w:w="872" w:type="dxa"/>
            <w:tcBorders>
              <w:right w:val="nil"/>
            </w:tcBorders>
            <w:vAlign w:val="center"/>
          </w:tcPr>
          <w:p w14:paraId="74C9A888">
            <w:pPr>
              <w:pStyle w:val="49"/>
              <w:rPr>
                <w:sz w:val="15"/>
                <w:szCs w:val="15"/>
              </w:rPr>
            </w:pPr>
            <w:r>
              <w:rPr>
                <w:sz w:val="15"/>
                <w:szCs w:val="15"/>
              </w:rPr>
              <w:t>73.029813</w:t>
            </w:r>
          </w:p>
        </w:tc>
      </w:tr>
      <w:tr w14:paraId="3D3C4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658A6D1">
            <w:pPr>
              <w:pStyle w:val="49"/>
              <w:rPr>
                <w:sz w:val="15"/>
                <w:szCs w:val="15"/>
              </w:rPr>
            </w:pPr>
            <w:r>
              <w:rPr>
                <w:sz w:val="15"/>
                <w:szCs w:val="15"/>
              </w:rPr>
              <w:t>B737-200</w:t>
            </w:r>
          </w:p>
        </w:tc>
        <w:tc>
          <w:tcPr>
            <w:tcW w:w="1028" w:type="dxa"/>
            <w:shd w:val="clear" w:color="auto" w:fill="auto"/>
            <w:vAlign w:val="center"/>
          </w:tcPr>
          <w:p w14:paraId="0C7FAEAE">
            <w:pPr>
              <w:pStyle w:val="49"/>
              <w:rPr>
                <w:sz w:val="15"/>
                <w:szCs w:val="15"/>
              </w:rPr>
            </w:pPr>
            <w:r>
              <w:rPr>
                <w:sz w:val="15"/>
                <w:szCs w:val="15"/>
              </w:rPr>
              <w:t>303.73</w:t>
            </w:r>
          </w:p>
        </w:tc>
        <w:tc>
          <w:tcPr>
            <w:tcW w:w="1056" w:type="dxa"/>
            <w:shd w:val="clear" w:color="auto" w:fill="auto"/>
            <w:vAlign w:val="center"/>
          </w:tcPr>
          <w:p w14:paraId="0430B543">
            <w:pPr>
              <w:pStyle w:val="49"/>
              <w:rPr>
                <w:sz w:val="15"/>
                <w:szCs w:val="15"/>
              </w:rPr>
            </w:pPr>
            <w:r>
              <w:rPr>
                <w:sz w:val="15"/>
                <w:szCs w:val="15"/>
              </w:rPr>
              <w:t>277.8</w:t>
            </w:r>
          </w:p>
        </w:tc>
        <w:tc>
          <w:tcPr>
            <w:tcW w:w="907" w:type="dxa"/>
            <w:shd w:val="clear" w:color="auto" w:fill="auto"/>
            <w:vAlign w:val="center"/>
          </w:tcPr>
          <w:p w14:paraId="67A9D653">
            <w:pPr>
              <w:pStyle w:val="49"/>
              <w:rPr>
                <w:sz w:val="15"/>
                <w:szCs w:val="15"/>
              </w:rPr>
            </w:pPr>
            <w:r>
              <w:rPr>
                <w:sz w:val="15"/>
                <w:szCs w:val="15"/>
              </w:rPr>
              <w:t>52390</w:t>
            </w:r>
          </w:p>
        </w:tc>
        <w:tc>
          <w:tcPr>
            <w:tcW w:w="828" w:type="dxa"/>
            <w:vAlign w:val="center"/>
          </w:tcPr>
          <w:p w14:paraId="7757F497">
            <w:pPr>
              <w:pStyle w:val="49"/>
              <w:rPr>
                <w:sz w:val="15"/>
                <w:szCs w:val="15"/>
              </w:rPr>
            </w:pPr>
            <w:r>
              <w:rPr>
                <w:sz w:val="15"/>
                <w:szCs w:val="15"/>
              </w:rPr>
              <w:t>0.000924</w:t>
            </w:r>
          </w:p>
        </w:tc>
        <w:tc>
          <w:tcPr>
            <w:tcW w:w="786" w:type="dxa"/>
            <w:vAlign w:val="center"/>
          </w:tcPr>
          <w:p w14:paraId="79B043F7">
            <w:pPr>
              <w:pStyle w:val="49"/>
              <w:rPr>
                <w:sz w:val="15"/>
                <w:szCs w:val="15"/>
              </w:rPr>
            </w:pPr>
            <w:r>
              <w:rPr>
                <w:sz w:val="15"/>
                <w:szCs w:val="15"/>
              </w:rPr>
              <w:t>0.020800</w:t>
            </w:r>
          </w:p>
        </w:tc>
        <w:tc>
          <w:tcPr>
            <w:tcW w:w="836" w:type="dxa"/>
            <w:vAlign w:val="center"/>
          </w:tcPr>
          <w:p w14:paraId="04B7898E">
            <w:pPr>
              <w:pStyle w:val="49"/>
              <w:rPr>
                <w:sz w:val="15"/>
                <w:szCs w:val="15"/>
              </w:rPr>
            </w:pPr>
            <w:r>
              <w:rPr>
                <w:sz w:val="15"/>
                <w:szCs w:val="15"/>
              </w:rPr>
              <w:t>0.409059</w:t>
            </w:r>
          </w:p>
        </w:tc>
        <w:tc>
          <w:tcPr>
            <w:tcW w:w="925" w:type="dxa"/>
            <w:vAlign w:val="center"/>
          </w:tcPr>
          <w:p w14:paraId="265DDB1E">
            <w:pPr>
              <w:pStyle w:val="49"/>
              <w:rPr>
                <w:sz w:val="15"/>
                <w:szCs w:val="15"/>
              </w:rPr>
            </w:pPr>
            <w:r>
              <w:rPr>
                <w:sz w:val="15"/>
                <w:szCs w:val="15"/>
              </w:rPr>
              <w:t>1.818812</w:t>
            </w:r>
          </w:p>
        </w:tc>
        <w:tc>
          <w:tcPr>
            <w:tcW w:w="872" w:type="dxa"/>
            <w:tcBorders>
              <w:right w:val="nil"/>
            </w:tcBorders>
            <w:vAlign w:val="center"/>
          </w:tcPr>
          <w:p w14:paraId="0870BDB6">
            <w:pPr>
              <w:pStyle w:val="49"/>
              <w:rPr>
                <w:sz w:val="15"/>
                <w:szCs w:val="15"/>
              </w:rPr>
            </w:pPr>
            <w:r>
              <w:rPr>
                <w:sz w:val="15"/>
                <w:szCs w:val="15"/>
              </w:rPr>
              <w:t>73.029813</w:t>
            </w:r>
          </w:p>
        </w:tc>
      </w:tr>
      <w:tr w14:paraId="6DD1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469B22C5">
            <w:pPr>
              <w:pStyle w:val="49"/>
              <w:rPr>
                <w:sz w:val="15"/>
                <w:szCs w:val="15"/>
              </w:rPr>
            </w:pPr>
            <w:r>
              <w:rPr>
                <w:rFonts w:hint="eastAsia"/>
                <w:sz w:val="15"/>
                <w:szCs w:val="15"/>
              </w:rPr>
              <w:t>B</w:t>
            </w:r>
            <w:r>
              <w:rPr>
                <w:sz w:val="15"/>
                <w:szCs w:val="15"/>
              </w:rPr>
              <w:t>737-300(Mixed Configuration)</w:t>
            </w:r>
          </w:p>
        </w:tc>
        <w:tc>
          <w:tcPr>
            <w:tcW w:w="1028" w:type="dxa"/>
            <w:shd w:val="clear" w:color="auto" w:fill="auto"/>
            <w:vAlign w:val="center"/>
          </w:tcPr>
          <w:p w14:paraId="4F1071EB">
            <w:pPr>
              <w:pStyle w:val="49"/>
              <w:rPr>
                <w:sz w:val="15"/>
                <w:szCs w:val="15"/>
              </w:rPr>
            </w:pPr>
            <w:r>
              <w:rPr>
                <w:sz w:val="15"/>
                <w:szCs w:val="15"/>
              </w:rPr>
              <w:t>303.73</w:t>
            </w:r>
          </w:p>
        </w:tc>
        <w:tc>
          <w:tcPr>
            <w:tcW w:w="1056" w:type="dxa"/>
            <w:shd w:val="clear" w:color="auto" w:fill="auto"/>
            <w:vAlign w:val="center"/>
          </w:tcPr>
          <w:p w14:paraId="0A88C333">
            <w:pPr>
              <w:pStyle w:val="49"/>
              <w:rPr>
                <w:sz w:val="15"/>
                <w:szCs w:val="15"/>
              </w:rPr>
            </w:pPr>
            <w:r>
              <w:rPr>
                <w:sz w:val="15"/>
                <w:szCs w:val="15"/>
              </w:rPr>
              <w:t>250.02</w:t>
            </w:r>
          </w:p>
        </w:tc>
        <w:tc>
          <w:tcPr>
            <w:tcW w:w="907" w:type="dxa"/>
            <w:shd w:val="clear" w:color="auto" w:fill="auto"/>
            <w:vAlign w:val="center"/>
          </w:tcPr>
          <w:p w14:paraId="53C48ACF">
            <w:pPr>
              <w:pStyle w:val="49"/>
              <w:rPr>
                <w:sz w:val="15"/>
                <w:szCs w:val="15"/>
              </w:rPr>
            </w:pPr>
            <w:r>
              <w:rPr>
                <w:sz w:val="15"/>
                <w:szCs w:val="15"/>
              </w:rPr>
              <w:t>62820</w:t>
            </w:r>
          </w:p>
        </w:tc>
        <w:tc>
          <w:tcPr>
            <w:tcW w:w="828" w:type="dxa"/>
            <w:vAlign w:val="center"/>
          </w:tcPr>
          <w:p w14:paraId="4146BBB0">
            <w:pPr>
              <w:pStyle w:val="49"/>
              <w:rPr>
                <w:sz w:val="15"/>
                <w:szCs w:val="15"/>
              </w:rPr>
            </w:pPr>
            <w:r>
              <w:rPr>
                <w:sz w:val="15"/>
                <w:szCs w:val="15"/>
              </w:rPr>
              <w:t>0.000924</w:t>
            </w:r>
          </w:p>
        </w:tc>
        <w:tc>
          <w:tcPr>
            <w:tcW w:w="786" w:type="dxa"/>
            <w:vAlign w:val="center"/>
          </w:tcPr>
          <w:p w14:paraId="2F157412">
            <w:pPr>
              <w:pStyle w:val="49"/>
              <w:rPr>
                <w:sz w:val="15"/>
                <w:szCs w:val="15"/>
              </w:rPr>
            </w:pPr>
            <w:r>
              <w:rPr>
                <w:sz w:val="15"/>
                <w:szCs w:val="15"/>
              </w:rPr>
              <w:t>0.020800</w:t>
            </w:r>
          </w:p>
        </w:tc>
        <w:tc>
          <w:tcPr>
            <w:tcW w:w="836" w:type="dxa"/>
            <w:vAlign w:val="center"/>
          </w:tcPr>
          <w:p w14:paraId="3ED20A65">
            <w:pPr>
              <w:pStyle w:val="49"/>
              <w:rPr>
                <w:sz w:val="15"/>
                <w:szCs w:val="15"/>
              </w:rPr>
            </w:pPr>
            <w:r>
              <w:rPr>
                <w:sz w:val="15"/>
                <w:szCs w:val="15"/>
              </w:rPr>
              <w:t>0.409059</w:t>
            </w:r>
          </w:p>
        </w:tc>
        <w:tc>
          <w:tcPr>
            <w:tcW w:w="925" w:type="dxa"/>
            <w:vAlign w:val="center"/>
          </w:tcPr>
          <w:p w14:paraId="7E3368EB">
            <w:pPr>
              <w:pStyle w:val="49"/>
              <w:rPr>
                <w:sz w:val="15"/>
                <w:szCs w:val="15"/>
              </w:rPr>
            </w:pPr>
            <w:r>
              <w:rPr>
                <w:sz w:val="15"/>
                <w:szCs w:val="15"/>
              </w:rPr>
              <w:t>1.818812</w:t>
            </w:r>
          </w:p>
        </w:tc>
        <w:tc>
          <w:tcPr>
            <w:tcW w:w="872" w:type="dxa"/>
            <w:tcBorders>
              <w:right w:val="nil"/>
            </w:tcBorders>
            <w:vAlign w:val="center"/>
          </w:tcPr>
          <w:p w14:paraId="75E9FCFE">
            <w:pPr>
              <w:pStyle w:val="49"/>
              <w:rPr>
                <w:sz w:val="15"/>
                <w:szCs w:val="15"/>
              </w:rPr>
            </w:pPr>
            <w:r>
              <w:rPr>
                <w:sz w:val="15"/>
                <w:szCs w:val="15"/>
              </w:rPr>
              <w:t>73.029813</w:t>
            </w:r>
          </w:p>
        </w:tc>
      </w:tr>
      <w:tr w14:paraId="339C2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F0E8379">
            <w:pPr>
              <w:pStyle w:val="49"/>
              <w:rPr>
                <w:sz w:val="15"/>
                <w:szCs w:val="15"/>
              </w:rPr>
            </w:pPr>
            <w:r>
              <w:rPr>
                <w:sz w:val="15"/>
                <w:szCs w:val="15"/>
              </w:rPr>
              <w:t>B737-300 (winglets)</w:t>
            </w:r>
          </w:p>
        </w:tc>
        <w:tc>
          <w:tcPr>
            <w:tcW w:w="1028" w:type="dxa"/>
            <w:shd w:val="clear" w:color="auto" w:fill="auto"/>
            <w:vAlign w:val="center"/>
          </w:tcPr>
          <w:p w14:paraId="1D841B95">
            <w:pPr>
              <w:pStyle w:val="49"/>
              <w:rPr>
                <w:sz w:val="15"/>
                <w:szCs w:val="15"/>
              </w:rPr>
            </w:pPr>
            <w:r>
              <w:rPr>
                <w:sz w:val="15"/>
                <w:szCs w:val="15"/>
              </w:rPr>
              <w:t>303.73</w:t>
            </w:r>
          </w:p>
        </w:tc>
        <w:tc>
          <w:tcPr>
            <w:tcW w:w="1056" w:type="dxa"/>
            <w:shd w:val="clear" w:color="auto" w:fill="auto"/>
            <w:vAlign w:val="center"/>
          </w:tcPr>
          <w:p w14:paraId="280B5095">
            <w:pPr>
              <w:pStyle w:val="49"/>
              <w:rPr>
                <w:sz w:val="15"/>
                <w:szCs w:val="15"/>
              </w:rPr>
            </w:pPr>
            <w:r>
              <w:rPr>
                <w:sz w:val="15"/>
                <w:szCs w:val="15"/>
              </w:rPr>
              <w:t>250.02</w:t>
            </w:r>
          </w:p>
        </w:tc>
        <w:tc>
          <w:tcPr>
            <w:tcW w:w="907" w:type="dxa"/>
            <w:shd w:val="clear" w:color="auto" w:fill="auto"/>
            <w:vAlign w:val="center"/>
          </w:tcPr>
          <w:p w14:paraId="7259ADD8">
            <w:pPr>
              <w:pStyle w:val="49"/>
              <w:rPr>
                <w:sz w:val="15"/>
                <w:szCs w:val="15"/>
              </w:rPr>
            </w:pPr>
            <w:r>
              <w:rPr>
                <w:sz w:val="15"/>
                <w:szCs w:val="15"/>
              </w:rPr>
              <w:t>62820</w:t>
            </w:r>
          </w:p>
        </w:tc>
        <w:tc>
          <w:tcPr>
            <w:tcW w:w="828" w:type="dxa"/>
            <w:vAlign w:val="center"/>
          </w:tcPr>
          <w:p w14:paraId="5D305133">
            <w:pPr>
              <w:pStyle w:val="49"/>
              <w:rPr>
                <w:sz w:val="15"/>
                <w:szCs w:val="15"/>
              </w:rPr>
            </w:pPr>
            <w:r>
              <w:rPr>
                <w:sz w:val="15"/>
                <w:szCs w:val="15"/>
              </w:rPr>
              <w:t>0.000924</w:t>
            </w:r>
          </w:p>
        </w:tc>
        <w:tc>
          <w:tcPr>
            <w:tcW w:w="786" w:type="dxa"/>
            <w:vAlign w:val="center"/>
          </w:tcPr>
          <w:p w14:paraId="7D80F90B">
            <w:pPr>
              <w:pStyle w:val="49"/>
              <w:rPr>
                <w:sz w:val="15"/>
                <w:szCs w:val="15"/>
              </w:rPr>
            </w:pPr>
            <w:r>
              <w:rPr>
                <w:sz w:val="15"/>
                <w:szCs w:val="15"/>
              </w:rPr>
              <w:t>0.020800</w:t>
            </w:r>
          </w:p>
        </w:tc>
        <w:tc>
          <w:tcPr>
            <w:tcW w:w="836" w:type="dxa"/>
            <w:vAlign w:val="center"/>
          </w:tcPr>
          <w:p w14:paraId="31D33F67">
            <w:pPr>
              <w:pStyle w:val="49"/>
              <w:rPr>
                <w:sz w:val="15"/>
                <w:szCs w:val="15"/>
              </w:rPr>
            </w:pPr>
            <w:r>
              <w:rPr>
                <w:sz w:val="15"/>
                <w:szCs w:val="15"/>
              </w:rPr>
              <w:t>0.409059</w:t>
            </w:r>
          </w:p>
        </w:tc>
        <w:tc>
          <w:tcPr>
            <w:tcW w:w="925" w:type="dxa"/>
            <w:vAlign w:val="center"/>
          </w:tcPr>
          <w:p w14:paraId="3465C994">
            <w:pPr>
              <w:pStyle w:val="49"/>
              <w:rPr>
                <w:sz w:val="15"/>
                <w:szCs w:val="15"/>
              </w:rPr>
            </w:pPr>
            <w:r>
              <w:rPr>
                <w:sz w:val="15"/>
                <w:szCs w:val="15"/>
              </w:rPr>
              <w:t>1.123180</w:t>
            </w:r>
          </w:p>
        </w:tc>
        <w:tc>
          <w:tcPr>
            <w:tcW w:w="872" w:type="dxa"/>
            <w:tcBorders>
              <w:right w:val="nil"/>
            </w:tcBorders>
            <w:vAlign w:val="center"/>
          </w:tcPr>
          <w:p w14:paraId="53501F1A">
            <w:pPr>
              <w:pStyle w:val="49"/>
              <w:rPr>
                <w:sz w:val="15"/>
                <w:szCs w:val="15"/>
              </w:rPr>
            </w:pPr>
            <w:r>
              <w:rPr>
                <w:sz w:val="15"/>
                <w:szCs w:val="15"/>
              </w:rPr>
              <w:t>73.029813</w:t>
            </w:r>
          </w:p>
        </w:tc>
      </w:tr>
      <w:tr w14:paraId="1138E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3A802F16">
            <w:pPr>
              <w:pStyle w:val="49"/>
              <w:rPr>
                <w:sz w:val="15"/>
                <w:szCs w:val="15"/>
              </w:rPr>
            </w:pPr>
            <w:r>
              <w:rPr>
                <w:sz w:val="15"/>
                <w:szCs w:val="15"/>
              </w:rPr>
              <w:t>B737-300</w:t>
            </w:r>
          </w:p>
        </w:tc>
        <w:tc>
          <w:tcPr>
            <w:tcW w:w="1028" w:type="dxa"/>
            <w:shd w:val="clear" w:color="auto" w:fill="auto"/>
            <w:vAlign w:val="center"/>
          </w:tcPr>
          <w:p w14:paraId="79B3A43D">
            <w:pPr>
              <w:pStyle w:val="49"/>
              <w:rPr>
                <w:sz w:val="15"/>
                <w:szCs w:val="15"/>
              </w:rPr>
            </w:pPr>
            <w:r>
              <w:rPr>
                <w:sz w:val="15"/>
                <w:szCs w:val="15"/>
              </w:rPr>
              <w:t>303.73</w:t>
            </w:r>
          </w:p>
        </w:tc>
        <w:tc>
          <w:tcPr>
            <w:tcW w:w="1056" w:type="dxa"/>
            <w:shd w:val="clear" w:color="auto" w:fill="auto"/>
            <w:vAlign w:val="center"/>
          </w:tcPr>
          <w:p w14:paraId="3FB998C8">
            <w:pPr>
              <w:pStyle w:val="49"/>
              <w:rPr>
                <w:sz w:val="15"/>
                <w:szCs w:val="15"/>
              </w:rPr>
            </w:pPr>
            <w:r>
              <w:rPr>
                <w:sz w:val="15"/>
                <w:szCs w:val="15"/>
              </w:rPr>
              <w:t>250.02</w:t>
            </w:r>
          </w:p>
        </w:tc>
        <w:tc>
          <w:tcPr>
            <w:tcW w:w="907" w:type="dxa"/>
            <w:shd w:val="clear" w:color="auto" w:fill="auto"/>
            <w:vAlign w:val="center"/>
          </w:tcPr>
          <w:p w14:paraId="525BC2EB">
            <w:pPr>
              <w:pStyle w:val="49"/>
              <w:rPr>
                <w:sz w:val="15"/>
                <w:szCs w:val="15"/>
              </w:rPr>
            </w:pPr>
            <w:r>
              <w:rPr>
                <w:sz w:val="15"/>
                <w:szCs w:val="15"/>
              </w:rPr>
              <w:t>62820</w:t>
            </w:r>
          </w:p>
        </w:tc>
        <w:tc>
          <w:tcPr>
            <w:tcW w:w="828" w:type="dxa"/>
            <w:vAlign w:val="center"/>
          </w:tcPr>
          <w:p w14:paraId="1338E3FA">
            <w:pPr>
              <w:pStyle w:val="49"/>
              <w:rPr>
                <w:sz w:val="15"/>
                <w:szCs w:val="15"/>
              </w:rPr>
            </w:pPr>
            <w:r>
              <w:rPr>
                <w:sz w:val="15"/>
                <w:szCs w:val="15"/>
              </w:rPr>
              <w:t>0.000924</w:t>
            </w:r>
          </w:p>
        </w:tc>
        <w:tc>
          <w:tcPr>
            <w:tcW w:w="786" w:type="dxa"/>
            <w:vAlign w:val="center"/>
          </w:tcPr>
          <w:p w14:paraId="24730A2D">
            <w:pPr>
              <w:pStyle w:val="49"/>
              <w:rPr>
                <w:sz w:val="15"/>
                <w:szCs w:val="15"/>
              </w:rPr>
            </w:pPr>
            <w:r>
              <w:rPr>
                <w:sz w:val="15"/>
                <w:szCs w:val="15"/>
              </w:rPr>
              <w:t>0.020800</w:t>
            </w:r>
          </w:p>
        </w:tc>
        <w:tc>
          <w:tcPr>
            <w:tcW w:w="836" w:type="dxa"/>
            <w:vAlign w:val="center"/>
          </w:tcPr>
          <w:p w14:paraId="5EB134D9">
            <w:pPr>
              <w:pStyle w:val="49"/>
              <w:rPr>
                <w:sz w:val="15"/>
                <w:szCs w:val="15"/>
              </w:rPr>
            </w:pPr>
            <w:r>
              <w:rPr>
                <w:sz w:val="15"/>
                <w:szCs w:val="15"/>
              </w:rPr>
              <w:t>0.409059</w:t>
            </w:r>
          </w:p>
        </w:tc>
        <w:tc>
          <w:tcPr>
            <w:tcW w:w="925" w:type="dxa"/>
            <w:vAlign w:val="center"/>
          </w:tcPr>
          <w:p w14:paraId="1D00B5C9">
            <w:pPr>
              <w:pStyle w:val="49"/>
              <w:rPr>
                <w:sz w:val="15"/>
                <w:szCs w:val="15"/>
              </w:rPr>
            </w:pPr>
            <w:r>
              <w:rPr>
                <w:sz w:val="15"/>
                <w:szCs w:val="15"/>
              </w:rPr>
              <w:t>1.123180</w:t>
            </w:r>
          </w:p>
        </w:tc>
        <w:tc>
          <w:tcPr>
            <w:tcW w:w="872" w:type="dxa"/>
            <w:tcBorders>
              <w:right w:val="nil"/>
            </w:tcBorders>
            <w:vAlign w:val="center"/>
          </w:tcPr>
          <w:p w14:paraId="310C601B">
            <w:pPr>
              <w:pStyle w:val="49"/>
              <w:rPr>
                <w:sz w:val="15"/>
                <w:szCs w:val="15"/>
              </w:rPr>
            </w:pPr>
            <w:r>
              <w:rPr>
                <w:sz w:val="15"/>
                <w:szCs w:val="15"/>
              </w:rPr>
              <w:t>73.029813</w:t>
            </w:r>
          </w:p>
        </w:tc>
      </w:tr>
      <w:tr w14:paraId="192F5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703F6740">
            <w:pPr>
              <w:pStyle w:val="49"/>
              <w:rPr>
                <w:sz w:val="15"/>
                <w:szCs w:val="15"/>
              </w:rPr>
            </w:pPr>
            <w:r>
              <w:rPr>
                <w:sz w:val="15"/>
                <w:szCs w:val="15"/>
              </w:rPr>
              <w:t>B737-400(Mixed Configuration)</w:t>
            </w:r>
          </w:p>
        </w:tc>
        <w:tc>
          <w:tcPr>
            <w:tcW w:w="1028" w:type="dxa"/>
            <w:shd w:val="clear" w:color="auto" w:fill="auto"/>
            <w:vAlign w:val="center"/>
          </w:tcPr>
          <w:p w14:paraId="66C3D6CB">
            <w:pPr>
              <w:pStyle w:val="49"/>
              <w:rPr>
                <w:sz w:val="15"/>
                <w:szCs w:val="15"/>
              </w:rPr>
            </w:pPr>
            <w:r>
              <w:rPr>
                <w:sz w:val="15"/>
                <w:szCs w:val="15"/>
              </w:rPr>
              <w:t>303.73</w:t>
            </w:r>
          </w:p>
        </w:tc>
        <w:tc>
          <w:tcPr>
            <w:tcW w:w="1056" w:type="dxa"/>
            <w:shd w:val="clear" w:color="auto" w:fill="auto"/>
            <w:vAlign w:val="center"/>
          </w:tcPr>
          <w:p w14:paraId="1587271A">
            <w:pPr>
              <w:pStyle w:val="49"/>
              <w:rPr>
                <w:sz w:val="15"/>
                <w:szCs w:val="15"/>
              </w:rPr>
            </w:pPr>
            <w:r>
              <w:rPr>
                <w:sz w:val="15"/>
                <w:szCs w:val="15"/>
              </w:rPr>
              <w:t>257.43</w:t>
            </w:r>
          </w:p>
        </w:tc>
        <w:tc>
          <w:tcPr>
            <w:tcW w:w="907" w:type="dxa"/>
            <w:shd w:val="clear" w:color="auto" w:fill="auto"/>
            <w:vAlign w:val="center"/>
          </w:tcPr>
          <w:p w14:paraId="72B06059">
            <w:pPr>
              <w:pStyle w:val="49"/>
              <w:rPr>
                <w:sz w:val="15"/>
                <w:szCs w:val="15"/>
              </w:rPr>
            </w:pPr>
            <w:r>
              <w:rPr>
                <w:sz w:val="15"/>
                <w:szCs w:val="15"/>
              </w:rPr>
              <w:t>68039</w:t>
            </w:r>
          </w:p>
        </w:tc>
        <w:tc>
          <w:tcPr>
            <w:tcW w:w="828" w:type="dxa"/>
            <w:vAlign w:val="center"/>
          </w:tcPr>
          <w:p w14:paraId="7258F0FD">
            <w:pPr>
              <w:pStyle w:val="49"/>
              <w:rPr>
                <w:sz w:val="15"/>
                <w:szCs w:val="15"/>
              </w:rPr>
            </w:pPr>
            <w:r>
              <w:rPr>
                <w:sz w:val="15"/>
                <w:szCs w:val="15"/>
              </w:rPr>
              <w:t>0.000924</w:t>
            </w:r>
          </w:p>
        </w:tc>
        <w:tc>
          <w:tcPr>
            <w:tcW w:w="786" w:type="dxa"/>
            <w:vAlign w:val="center"/>
          </w:tcPr>
          <w:p w14:paraId="6B6B9050">
            <w:pPr>
              <w:pStyle w:val="49"/>
              <w:rPr>
                <w:sz w:val="15"/>
                <w:szCs w:val="15"/>
              </w:rPr>
            </w:pPr>
            <w:r>
              <w:rPr>
                <w:sz w:val="15"/>
                <w:szCs w:val="15"/>
              </w:rPr>
              <w:t>0.020800</w:t>
            </w:r>
          </w:p>
        </w:tc>
        <w:tc>
          <w:tcPr>
            <w:tcW w:w="836" w:type="dxa"/>
            <w:vAlign w:val="center"/>
          </w:tcPr>
          <w:p w14:paraId="32D2340B">
            <w:pPr>
              <w:pStyle w:val="49"/>
              <w:rPr>
                <w:sz w:val="15"/>
                <w:szCs w:val="15"/>
              </w:rPr>
            </w:pPr>
            <w:r>
              <w:rPr>
                <w:sz w:val="15"/>
                <w:szCs w:val="15"/>
              </w:rPr>
              <w:t>0.409059</w:t>
            </w:r>
          </w:p>
        </w:tc>
        <w:tc>
          <w:tcPr>
            <w:tcW w:w="925" w:type="dxa"/>
            <w:vAlign w:val="center"/>
          </w:tcPr>
          <w:p w14:paraId="43A1ABD9">
            <w:pPr>
              <w:pStyle w:val="49"/>
              <w:rPr>
                <w:sz w:val="15"/>
                <w:szCs w:val="15"/>
              </w:rPr>
            </w:pPr>
            <w:r>
              <w:rPr>
                <w:sz w:val="15"/>
                <w:szCs w:val="15"/>
              </w:rPr>
              <w:t>1.123180</w:t>
            </w:r>
          </w:p>
        </w:tc>
        <w:tc>
          <w:tcPr>
            <w:tcW w:w="872" w:type="dxa"/>
            <w:tcBorders>
              <w:right w:val="nil"/>
            </w:tcBorders>
            <w:vAlign w:val="center"/>
          </w:tcPr>
          <w:p w14:paraId="0EE6101C">
            <w:pPr>
              <w:pStyle w:val="49"/>
              <w:rPr>
                <w:sz w:val="15"/>
                <w:szCs w:val="15"/>
              </w:rPr>
            </w:pPr>
            <w:r>
              <w:rPr>
                <w:sz w:val="15"/>
                <w:szCs w:val="15"/>
              </w:rPr>
              <w:t>73.029813</w:t>
            </w:r>
          </w:p>
        </w:tc>
      </w:tr>
      <w:tr w14:paraId="4F54A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4AF3E8B0">
            <w:pPr>
              <w:pStyle w:val="49"/>
              <w:rPr>
                <w:sz w:val="15"/>
                <w:szCs w:val="15"/>
              </w:rPr>
            </w:pPr>
            <w:r>
              <w:rPr>
                <w:sz w:val="15"/>
                <w:szCs w:val="15"/>
              </w:rPr>
              <w:t>B737-500</w:t>
            </w:r>
          </w:p>
        </w:tc>
        <w:tc>
          <w:tcPr>
            <w:tcW w:w="1028" w:type="dxa"/>
            <w:shd w:val="clear" w:color="auto" w:fill="auto"/>
            <w:vAlign w:val="center"/>
          </w:tcPr>
          <w:p w14:paraId="62FA8861">
            <w:pPr>
              <w:pStyle w:val="49"/>
              <w:rPr>
                <w:sz w:val="15"/>
                <w:szCs w:val="15"/>
              </w:rPr>
            </w:pPr>
            <w:r>
              <w:rPr>
                <w:sz w:val="15"/>
                <w:szCs w:val="15"/>
              </w:rPr>
              <w:t>303.73</w:t>
            </w:r>
          </w:p>
        </w:tc>
        <w:tc>
          <w:tcPr>
            <w:tcW w:w="1056" w:type="dxa"/>
            <w:shd w:val="clear" w:color="auto" w:fill="auto"/>
            <w:vAlign w:val="center"/>
          </w:tcPr>
          <w:p w14:paraId="42539A71">
            <w:pPr>
              <w:pStyle w:val="49"/>
              <w:rPr>
                <w:sz w:val="15"/>
                <w:szCs w:val="15"/>
              </w:rPr>
            </w:pPr>
            <w:r>
              <w:rPr>
                <w:sz w:val="15"/>
                <w:szCs w:val="15"/>
              </w:rPr>
              <w:t>237.06</w:t>
            </w:r>
          </w:p>
        </w:tc>
        <w:tc>
          <w:tcPr>
            <w:tcW w:w="907" w:type="dxa"/>
            <w:shd w:val="clear" w:color="auto" w:fill="auto"/>
            <w:vAlign w:val="center"/>
          </w:tcPr>
          <w:p w14:paraId="38E3361B">
            <w:pPr>
              <w:pStyle w:val="49"/>
              <w:rPr>
                <w:sz w:val="15"/>
                <w:szCs w:val="15"/>
              </w:rPr>
            </w:pPr>
            <w:r>
              <w:rPr>
                <w:sz w:val="15"/>
                <w:szCs w:val="15"/>
              </w:rPr>
              <w:t>68000</w:t>
            </w:r>
          </w:p>
        </w:tc>
        <w:tc>
          <w:tcPr>
            <w:tcW w:w="828" w:type="dxa"/>
            <w:vAlign w:val="center"/>
          </w:tcPr>
          <w:p w14:paraId="422D7033">
            <w:pPr>
              <w:pStyle w:val="49"/>
              <w:rPr>
                <w:sz w:val="15"/>
                <w:szCs w:val="15"/>
              </w:rPr>
            </w:pPr>
            <w:r>
              <w:rPr>
                <w:sz w:val="15"/>
                <w:szCs w:val="15"/>
              </w:rPr>
              <w:t>0.000924</w:t>
            </w:r>
          </w:p>
        </w:tc>
        <w:tc>
          <w:tcPr>
            <w:tcW w:w="786" w:type="dxa"/>
            <w:vAlign w:val="center"/>
          </w:tcPr>
          <w:p w14:paraId="3EEABED9">
            <w:pPr>
              <w:pStyle w:val="49"/>
              <w:rPr>
                <w:sz w:val="15"/>
                <w:szCs w:val="15"/>
              </w:rPr>
            </w:pPr>
            <w:r>
              <w:rPr>
                <w:sz w:val="15"/>
                <w:szCs w:val="15"/>
              </w:rPr>
              <w:t>0.020800</w:t>
            </w:r>
          </w:p>
        </w:tc>
        <w:tc>
          <w:tcPr>
            <w:tcW w:w="836" w:type="dxa"/>
            <w:vAlign w:val="center"/>
          </w:tcPr>
          <w:p w14:paraId="17DB681D">
            <w:pPr>
              <w:pStyle w:val="49"/>
              <w:rPr>
                <w:sz w:val="15"/>
                <w:szCs w:val="15"/>
              </w:rPr>
            </w:pPr>
            <w:r>
              <w:rPr>
                <w:sz w:val="15"/>
                <w:szCs w:val="15"/>
              </w:rPr>
              <w:t>0.409059</w:t>
            </w:r>
          </w:p>
        </w:tc>
        <w:tc>
          <w:tcPr>
            <w:tcW w:w="925" w:type="dxa"/>
            <w:vAlign w:val="center"/>
          </w:tcPr>
          <w:p w14:paraId="2A71CE47">
            <w:pPr>
              <w:pStyle w:val="49"/>
              <w:rPr>
                <w:sz w:val="15"/>
                <w:szCs w:val="15"/>
              </w:rPr>
            </w:pPr>
            <w:r>
              <w:rPr>
                <w:sz w:val="15"/>
                <w:szCs w:val="15"/>
              </w:rPr>
              <w:t>1.123180</w:t>
            </w:r>
          </w:p>
        </w:tc>
        <w:tc>
          <w:tcPr>
            <w:tcW w:w="872" w:type="dxa"/>
            <w:tcBorders>
              <w:right w:val="nil"/>
            </w:tcBorders>
            <w:vAlign w:val="center"/>
          </w:tcPr>
          <w:p w14:paraId="12AEF53D">
            <w:pPr>
              <w:pStyle w:val="49"/>
              <w:rPr>
                <w:sz w:val="15"/>
                <w:szCs w:val="15"/>
              </w:rPr>
            </w:pPr>
            <w:r>
              <w:rPr>
                <w:sz w:val="15"/>
                <w:szCs w:val="15"/>
              </w:rPr>
              <w:t>73.029813</w:t>
            </w:r>
          </w:p>
        </w:tc>
      </w:tr>
      <w:tr w14:paraId="7E2EC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11CC2F9C">
            <w:pPr>
              <w:pStyle w:val="49"/>
              <w:rPr>
                <w:sz w:val="15"/>
                <w:szCs w:val="15"/>
              </w:rPr>
            </w:pPr>
            <w:r>
              <w:rPr>
                <w:sz w:val="15"/>
                <w:szCs w:val="15"/>
              </w:rPr>
              <w:t>B737-600</w:t>
            </w:r>
          </w:p>
        </w:tc>
        <w:tc>
          <w:tcPr>
            <w:tcW w:w="1028" w:type="dxa"/>
            <w:shd w:val="clear" w:color="auto" w:fill="auto"/>
            <w:vAlign w:val="center"/>
          </w:tcPr>
          <w:p w14:paraId="3A9E4359">
            <w:pPr>
              <w:pStyle w:val="49"/>
              <w:rPr>
                <w:sz w:val="15"/>
                <w:szCs w:val="15"/>
              </w:rPr>
            </w:pPr>
            <w:r>
              <w:rPr>
                <w:sz w:val="15"/>
                <w:szCs w:val="15"/>
              </w:rPr>
              <w:t>251.87</w:t>
            </w:r>
          </w:p>
        </w:tc>
        <w:tc>
          <w:tcPr>
            <w:tcW w:w="1056" w:type="dxa"/>
            <w:shd w:val="clear" w:color="auto" w:fill="auto"/>
            <w:vAlign w:val="center"/>
          </w:tcPr>
          <w:p w14:paraId="260E493C">
            <w:pPr>
              <w:pStyle w:val="49"/>
              <w:rPr>
                <w:sz w:val="15"/>
                <w:szCs w:val="15"/>
              </w:rPr>
            </w:pPr>
            <w:r>
              <w:rPr>
                <w:sz w:val="15"/>
                <w:szCs w:val="15"/>
              </w:rPr>
              <w:t>240.76</w:t>
            </w:r>
          </w:p>
        </w:tc>
        <w:tc>
          <w:tcPr>
            <w:tcW w:w="907" w:type="dxa"/>
            <w:shd w:val="clear" w:color="auto" w:fill="auto"/>
            <w:vAlign w:val="center"/>
          </w:tcPr>
          <w:p w14:paraId="6C2BCEAF">
            <w:pPr>
              <w:pStyle w:val="49"/>
              <w:rPr>
                <w:sz w:val="15"/>
                <w:szCs w:val="15"/>
              </w:rPr>
            </w:pPr>
            <w:r>
              <w:rPr>
                <w:sz w:val="15"/>
                <w:szCs w:val="15"/>
              </w:rPr>
              <w:t>65554</w:t>
            </w:r>
          </w:p>
        </w:tc>
        <w:tc>
          <w:tcPr>
            <w:tcW w:w="828" w:type="dxa"/>
            <w:vAlign w:val="center"/>
          </w:tcPr>
          <w:p w14:paraId="3F5284FF">
            <w:pPr>
              <w:pStyle w:val="49"/>
              <w:rPr>
                <w:sz w:val="15"/>
                <w:szCs w:val="15"/>
              </w:rPr>
            </w:pPr>
            <w:r>
              <w:rPr>
                <w:sz w:val="15"/>
                <w:szCs w:val="15"/>
              </w:rPr>
              <w:t>0.000924</w:t>
            </w:r>
          </w:p>
        </w:tc>
        <w:tc>
          <w:tcPr>
            <w:tcW w:w="786" w:type="dxa"/>
            <w:vAlign w:val="center"/>
          </w:tcPr>
          <w:p w14:paraId="3BEB499E">
            <w:pPr>
              <w:pStyle w:val="49"/>
              <w:rPr>
                <w:sz w:val="15"/>
                <w:szCs w:val="15"/>
              </w:rPr>
            </w:pPr>
            <w:r>
              <w:rPr>
                <w:sz w:val="15"/>
                <w:szCs w:val="15"/>
              </w:rPr>
              <w:t>0.020800</w:t>
            </w:r>
          </w:p>
        </w:tc>
        <w:tc>
          <w:tcPr>
            <w:tcW w:w="836" w:type="dxa"/>
            <w:vAlign w:val="center"/>
          </w:tcPr>
          <w:p w14:paraId="09250E6F">
            <w:pPr>
              <w:pStyle w:val="49"/>
              <w:rPr>
                <w:sz w:val="15"/>
                <w:szCs w:val="15"/>
              </w:rPr>
            </w:pPr>
            <w:r>
              <w:rPr>
                <w:sz w:val="15"/>
                <w:szCs w:val="15"/>
              </w:rPr>
              <w:t>0.409059</w:t>
            </w:r>
          </w:p>
        </w:tc>
        <w:tc>
          <w:tcPr>
            <w:tcW w:w="925" w:type="dxa"/>
            <w:vAlign w:val="center"/>
          </w:tcPr>
          <w:p w14:paraId="422FFA19">
            <w:pPr>
              <w:pStyle w:val="49"/>
              <w:rPr>
                <w:sz w:val="15"/>
                <w:szCs w:val="15"/>
              </w:rPr>
            </w:pPr>
            <w:r>
              <w:rPr>
                <w:sz w:val="15"/>
                <w:szCs w:val="15"/>
              </w:rPr>
              <w:t>1.123180</w:t>
            </w:r>
          </w:p>
        </w:tc>
        <w:tc>
          <w:tcPr>
            <w:tcW w:w="872" w:type="dxa"/>
            <w:tcBorders>
              <w:right w:val="nil"/>
            </w:tcBorders>
            <w:vAlign w:val="center"/>
          </w:tcPr>
          <w:p w14:paraId="6D754339">
            <w:pPr>
              <w:pStyle w:val="49"/>
              <w:rPr>
                <w:sz w:val="15"/>
                <w:szCs w:val="15"/>
              </w:rPr>
            </w:pPr>
            <w:r>
              <w:rPr>
                <w:sz w:val="15"/>
                <w:szCs w:val="15"/>
              </w:rPr>
              <w:t>73.029813</w:t>
            </w:r>
          </w:p>
        </w:tc>
      </w:tr>
      <w:tr w14:paraId="4A039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798A8937">
            <w:pPr>
              <w:pStyle w:val="49"/>
              <w:rPr>
                <w:sz w:val="15"/>
                <w:szCs w:val="15"/>
              </w:rPr>
            </w:pPr>
            <w:r>
              <w:rPr>
                <w:sz w:val="15"/>
                <w:szCs w:val="15"/>
              </w:rPr>
              <w:t>B737-700</w:t>
            </w:r>
          </w:p>
        </w:tc>
        <w:tc>
          <w:tcPr>
            <w:tcW w:w="1028" w:type="dxa"/>
            <w:shd w:val="clear" w:color="auto" w:fill="auto"/>
            <w:vAlign w:val="center"/>
          </w:tcPr>
          <w:p w14:paraId="48902E8A">
            <w:pPr>
              <w:pStyle w:val="49"/>
              <w:rPr>
                <w:sz w:val="15"/>
                <w:szCs w:val="15"/>
              </w:rPr>
            </w:pPr>
            <w:r>
              <w:rPr>
                <w:sz w:val="15"/>
                <w:szCs w:val="15"/>
              </w:rPr>
              <w:t>264.84</w:t>
            </w:r>
          </w:p>
        </w:tc>
        <w:tc>
          <w:tcPr>
            <w:tcW w:w="1056" w:type="dxa"/>
            <w:shd w:val="clear" w:color="auto" w:fill="auto"/>
            <w:vAlign w:val="center"/>
          </w:tcPr>
          <w:p w14:paraId="5A02F655">
            <w:pPr>
              <w:pStyle w:val="49"/>
              <w:rPr>
                <w:sz w:val="15"/>
                <w:szCs w:val="15"/>
              </w:rPr>
            </w:pPr>
            <w:r>
              <w:rPr>
                <w:sz w:val="15"/>
                <w:szCs w:val="15"/>
              </w:rPr>
              <w:t>253.72</w:t>
            </w:r>
          </w:p>
        </w:tc>
        <w:tc>
          <w:tcPr>
            <w:tcW w:w="907" w:type="dxa"/>
            <w:shd w:val="clear" w:color="auto" w:fill="auto"/>
            <w:vAlign w:val="center"/>
          </w:tcPr>
          <w:p w14:paraId="69BCD9AD">
            <w:pPr>
              <w:pStyle w:val="49"/>
              <w:rPr>
                <w:sz w:val="15"/>
                <w:szCs w:val="15"/>
              </w:rPr>
            </w:pPr>
            <w:r>
              <w:rPr>
                <w:sz w:val="15"/>
                <w:szCs w:val="15"/>
              </w:rPr>
              <w:t>70080</w:t>
            </w:r>
          </w:p>
        </w:tc>
        <w:tc>
          <w:tcPr>
            <w:tcW w:w="828" w:type="dxa"/>
            <w:vAlign w:val="center"/>
          </w:tcPr>
          <w:p w14:paraId="5B8B3D0F">
            <w:pPr>
              <w:pStyle w:val="49"/>
              <w:rPr>
                <w:sz w:val="15"/>
                <w:szCs w:val="15"/>
              </w:rPr>
            </w:pPr>
            <w:r>
              <w:rPr>
                <w:sz w:val="15"/>
                <w:szCs w:val="15"/>
              </w:rPr>
              <w:t>0.002311</w:t>
            </w:r>
          </w:p>
        </w:tc>
        <w:tc>
          <w:tcPr>
            <w:tcW w:w="786" w:type="dxa"/>
            <w:vAlign w:val="center"/>
          </w:tcPr>
          <w:p w14:paraId="5974344C">
            <w:pPr>
              <w:pStyle w:val="49"/>
              <w:rPr>
                <w:sz w:val="15"/>
                <w:szCs w:val="15"/>
              </w:rPr>
            </w:pPr>
            <w:r>
              <w:rPr>
                <w:sz w:val="15"/>
                <w:szCs w:val="15"/>
              </w:rPr>
              <w:t>0.009244</w:t>
            </w:r>
          </w:p>
        </w:tc>
        <w:tc>
          <w:tcPr>
            <w:tcW w:w="836" w:type="dxa"/>
            <w:vAlign w:val="center"/>
          </w:tcPr>
          <w:p w14:paraId="785B2F74">
            <w:pPr>
              <w:pStyle w:val="49"/>
              <w:rPr>
                <w:sz w:val="15"/>
                <w:szCs w:val="15"/>
              </w:rPr>
            </w:pPr>
            <w:r>
              <w:rPr>
                <w:sz w:val="15"/>
                <w:szCs w:val="15"/>
              </w:rPr>
              <w:t>0.584701</w:t>
            </w:r>
          </w:p>
        </w:tc>
        <w:tc>
          <w:tcPr>
            <w:tcW w:w="925" w:type="dxa"/>
            <w:vAlign w:val="center"/>
          </w:tcPr>
          <w:p w14:paraId="0619F2CA">
            <w:pPr>
              <w:pStyle w:val="49"/>
              <w:rPr>
                <w:sz w:val="15"/>
                <w:szCs w:val="15"/>
              </w:rPr>
            </w:pPr>
            <w:r>
              <w:rPr>
                <w:sz w:val="15"/>
                <w:szCs w:val="15"/>
              </w:rPr>
              <w:t>1.123180</w:t>
            </w:r>
          </w:p>
        </w:tc>
        <w:tc>
          <w:tcPr>
            <w:tcW w:w="872" w:type="dxa"/>
            <w:tcBorders>
              <w:right w:val="nil"/>
            </w:tcBorders>
            <w:vAlign w:val="center"/>
          </w:tcPr>
          <w:p w14:paraId="0264F386">
            <w:pPr>
              <w:pStyle w:val="49"/>
              <w:rPr>
                <w:sz w:val="15"/>
                <w:szCs w:val="15"/>
              </w:rPr>
            </w:pPr>
            <w:r>
              <w:rPr>
                <w:sz w:val="15"/>
                <w:szCs w:val="15"/>
              </w:rPr>
              <w:t>73.029813</w:t>
            </w:r>
          </w:p>
        </w:tc>
      </w:tr>
      <w:tr w14:paraId="0832A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00CCB6FB">
            <w:pPr>
              <w:pStyle w:val="49"/>
              <w:rPr>
                <w:sz w:val="15"/>
                <w:szCs w:val="15"/>
              </w:rPr>
            </w:pPr>
            <w:r>
              <w:rPr>
                <w:sz w:val="15"/>
                <w:szCs w:val="15"/>
              </w:rPr>
              <w:t>B737-800 (winglets)</w:t>
            </w:r>
          </w:p>
        </w:tc>
        <w:tc>
          <w:tcPr>
            <w:tcW w:w="1028" w:type="dxa"/>
            <w:shd w:val="clear" w:color="auto" w:fill="auto"/>
            <w:vAlign w:val="center"/>
          </w:tcPr>
          <w:p w14:paraId="63BAAB4F">
            <w:pPr>
              <w:pStyle w:val="49"/>
              <w:rPr>
                <w:sz w:val="15"/>
                <w:szCs w:val="15"/>
              </w:rPr>
            </w:pPr>
            <w:r>
              <w:rPr>
                <w:sz w:val="15"/>
                <w:szCs w:val="15"/>
              </w:rPr>
              <w:t>303.73</w:t>
            </w:r>
          </w:p>
        </w:tc>
        <w:tc>
          <w:tcPr>
            <w:tcW w:w="1056" w:type="dxa"/>
            <w:shd w:val="clear" w:color="auto" w:fill="auto"/>
            <w:vAlign w:val="center"/>
          </w:tcPr>
          <w:p w14:paraId="0F5C0261">
            <w:pPr>
              <w:pStyle w:val="49"/>
              <w:rPr>
                <w:sz w:val="15"/>
                <w:szCs w:val="15"/>
              </w:rPr>
            </w:pPr>
            <w:r>
              <w:rPr>
                <w:sz w:val="15"/>
                <w:szCs w:val="15"/>
              </w:rPr>
              <w:t>253.72</w:t>
            </w:r>
          </w:p>
        </w:tc>
        <w:tc>
          <w:tcPr>
            <w:tcW w:w="907" w:type="dxa"/>
            <w:shd w:val="clear" w:color="auto" w:fill="auto"/>
            <w:vAlign w:val="center"/>
          </w:tcPr>
          <w:p w14:paraId="765F5BC5">
            <w:pPr>
              <w:pStyle w:val="49"/>
              <w:rPr>
                <w:sz w:val="15"/>
                <w:szCs w:val="15"/>
              </w:rPr>
            </w:pPr>
            <w:r>
              <w:rPr>
                <w:rFonts w:hint="eastAsia"/>
                <w:sz w:val="15"/>
                <w:szCs w:val="15"/>
              </w:rPr>
              <w:t>78472</w:t>
            </w:r>
          </w:p>
        </w:tc>
        <w:tc>
          <w:tcPr>
            <w:tcW w:w="828" w:type="dxa"/>
            <w:vAlign w:val="center"/>
          </w:tcPr>
          <w:p w14:paraId="62D2501D">
            <w:pPr>
              <w:pStyle w:val="49"/>
              <w:rPr>
                <w:sz w:val="15"/>
                <w:szCs w:val="15"/>
              </w:rPr>
            </w:pPr>
            <w:r>
              <w:rPr>
                <w:sz w:val="15"/>
                <w:szCs w:val="15"/>
              </w:rPr>
              <w:t>0.002311</w:t>
            </w:r>
          </w:p>
        </w:tc>
        <w:tc>
          <w:tcPr>
            <w:tcW w:w="786" w:type="dxa"/>
            <w:vAlign w:val="center"/>
          </w:tcPr>
          <w:p w14:paraId="6D44A778">
            <w:pPr>
              <w:pStyle w:val="49"/>
              <w:rPr>
                <w:sz w:val="15"/>
                <w:szCs w:val="15"/>
              </w:rPr>
            </w:pPr>
            <w:r>
              <w:rPr>
                <w:sz w:val="15"/>
                <w:szCs w:val="15"/>
              </w:rPr>
              <w:t>0.004622</w:t>
            </w:r>
          </w:p>
        </w:tc>
        <w:tc>
          <w:tcPr>
            <w:tcW w:w="836" w:type="dxa"/>
            <w:vAlign w:val="center"/>
          </w:tcPr>
          <w:p w14:paraId="341FBA5E">
            <w:pPr>
              <w:pStyle w:val="49"/>
              <w:rPr>
                <w:sz w:val="15"/>
                <w:szCs w:val="15"/>
              </w:rPr>
            </w:pPr>
            <w:r>
              <w:rPr>
                <w:sz w:val="15"/>
                <w:szCs w:val="15"/>
              </w:rPr>
              <w:t>0.665588</w:t>
            </w:r>
          </w:p>
        </w:tc>
        <w:tc>
          <w:tcPr>
            <w:tcW w:w="925" w:type="dxa"/>
            <w:vAlign w:val="center"/>
          </w:tcPr>
          <w:p w14:paraId="05ED9A26">
            <w:pPr>
              <w:pStyle w:val="49"/>
              <w:rPr>
                <w:sz w:val="15"/>
                <w:szCs w:val="15"/>
              </w:rPr>
            </w:pPr>
            <w:r>
              <w:rPr>
                <w:sz w:val="15"/>
                <w:szCs w:val="15"/>
              </w:rPr>
              <w:t>1.428241</w:t>
            </w:r>
          </w:p>
        </w:tc>
        <w:tc>
          <w:tcPr>
            <w:tcW w:w="872" w:type="dxa"/>
            <w:tcBorders>
              <w:right w:val="nil"/>
            </w:tcBorders>
            <w:vAlign w:val="center"/>
          </w:tcPr>
          <w:p w14:paraId="123AEED8">
            <w:pPr>
              <w:pStyle w:val="49"/>
              <w:rPr>
                <w:sz w:val="15"/>
                <w:szCs w:val="15"/>
              </w:rPr>
            </w:pPr>
            <w:r>
              <w:rPr>
                <w:sz w:val="15"/>
                <w:szCs w:val="15"/>
              </w:rPr>
              <w:t>73.029813</w:t>
            </w:r>
          </w:p>
        </w:tc>
      </w:tr>
      <w:tr w14:paraId="4B8B5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0B810D59">
            <w:pPr>
              <w:pStyle w:val="49"/>
              <w:rPr>
                <w:sz w:val="15"/>
                <w:szCs w:val="15"/>
              </w:rPr>
            </w:pPr>
            <w:r>
              <w:rPr>
                <w:sz w:val="15"/>
                <w:szCs w:val="15"/>
              </w:rPr>
              <w:t>B737-800</w:t>
            </w:r>
          </w:p>
        </w:tc>
        <w:tc>
          <w:tcPr>
            <w:tcW w:w="1028" w:type="dxa"/>
            <w:shd w:val="clear" w:color="auto" w:fill="auto"/>
            <w:vAlign w:val="center"/>
          </w:tcPr>
          <w:p w14:paraId="79CE849B">
            <w:pPr>
              <w:pStyle w:val="49"/>
              <w:rPr>
                <w:sz w:val="15"/>
                <w:szCs w:val="15"/>
              </w:rPr>
            </w:pPr>
            <w:r>
              <w:rPr>
                <w:sz w:val="15"/>
                <w:szCs w:val="15"/>
              </w:rPr>
              <w:t>303.73</w:t>
            </w:r>
          </w:p>
        </w:tc>
        <w:tc>
          <w:tcPr>
            <w:tcW w:w="1056" w:type="dxa"/>
            <w:shd w:val="clear" w:color="auto" w:fill="auto"/>
            <w:vAlign w:val="center"/>
          </w:tcPr>
          <w:p w14:paraId="31FF08F5">
            <w:pPr>
              <w:pStyle w:val="49"/>
              <w:rPr>
                <w:sz w:val="15"/>
                <w:szCs w:val="15"/>
              </w:rPr>
            </w:pPr>
            <w:r>
              <w:rPr>
                <w:sz w:val="15"/>
                <w:szCs w:val="15"/>
              </w:rPr>
              <w:t>253.72</w:t>
            </w:r>
          </w:p>
        </w:tc>
        <w:tc>
          <w:tcPr>
            <w:tcW w:w="907" w:type="dxa"/>
            <w:shd w:val="clear" w:color="auto" w:fill="auto"/>
            <w:vAlign w:val="center"/>
          </w:tcPr>
          <w:p w14:paraId="4C52ACC3">
            <w:pPr>
              <w:pStyle w:val="49"/>
              <w:rPr>
                <w:sz w:val="15"/>
                <w:szCs w:val="15"/>
              </w:rPr>
            </w:pPr>
            <w:r>
              <w:rPr>
                <w:sz w:val="15"/>
                <w:szCs w:val="15"/>
              </w:rPr>
              <w:t>78472</w:t>
            </w:r>
          </w:p>
        </w:tc>
        <w:tc>
          <w:tcPr>
            <w:tcW w:w="828" w:type="dxa"/>
            <w:vAlign w:val="center"/>
          </w:tcPr>
          <w:p w14:paraId="77F80A82">
            <w:pPr>
              <w:pStyle w:val="49"/>
              <w:rPr>
                <w:sz w:val="15"/>
                <w:szCs w:val="15"/>
              </w:rPr>
            </w:pPr>
            <w:r>
              <w:rPr>
                <w:sz w:val="15"/>
                <w:szCs w:val="15"/>
              </w:rPr>
              <w:t>0.002311</w:t>
            </w:r>
          </w:p>
        </w:tc>
        <w:tc>
          <w:tcPr>
            <w:tcW w:w="786" w:type="dxa"/>
            <w:vAlign w:val="center"/>
          </w:tcPr>
          <w:p w14:paraId="6ACC4510">
            <w:pPr>
              <w:pStyle w:val="49"/>
              <w:rPr>
                <w:sz w:val="15"/>
                <w:szCs w:val="15"/>
              </w:rPr>
            </w:pPr>
            <w:r>
              <w:rPr>
                <w:sz w:val="15"/>
                <w:szCs w:val="15"/>
              </w:rPr>
              <w:t>0.004622</w:t>
            </w:r>
          </w:p>
        </w:tc>
        <w:tc>
          <w:tcPr>
            <w:tcW w:w="836" w:type="dxa"/>
            <w:vAlign w:val="center"/>
          </w:tcPr>
          <w:p w14:paraId="4620B1B5">
            <w:pPr>
              <w:pStyle w:val="49"/>
              <w:rPr>
                <w:sz w:val="15"/>
                <w:szCs w:val="15"/>
              </w:rPr>
            </w:pPr>
            <w:r>
              <w:rPr>
                <w:sz w:val="15"/>
                <w:szCs w:val="15"/>
              </w:rPr>
              <w:t>0.665588</w:t>
            </w:r>
          </w:p>
        </w:tc>
        <w:tc>
          <w:tcPr>
            <w:tcW w:w="925" w:type="dxa"/>
            <w:vAlign w:val="center"/>
          </w:tcPr>
          <w:p w14:paraId="590F9333">
            <w:pPr>
              <w:pStyle w:val="49"/>
              <w:rPr>
                <w:sz w:val="15"/>
                <w:szCs w:val="15"/>
              </w:rPr>
            </w:pPr>
            <w:r>
              <w:rPr>
                <w:sz w:val="15"/>
                <w:szCs w:val="15"/>
              </w:rPr>
              <w:t>1.428241</w:t>
            </w:r>
          </w:p>
        </w:tc>
        <w:tc>
          <w:tcPr>
            <w:tcW w:w="872" w:type="dxa"/>
            <w:tcBorders>
              <w:right w:val="nil"/>
            </w:tcBorders>
            <w:vAlign w:val="center"/>
          </w:tcPr>
          <w:p w14:paraId="1F034681">
            <w:pPr>
              <w:pStyle w:val="49"/>
              <w:rPr>
                <w:sz w:val="15"/>
                <w:szCs w:val="15"/>
              </w:rPr>
            </w:pPr>
            <w:r>
              <w:rPr>
                <w:sz w:val="15"/>
                <w:szCs w:val="15"/>
              </w:rPr>
              <w:t>73.029813</w:t>
            </w:r>
          </w:p>
        </w:tc>
      </w:tr>
      <w:tr w14:paraId="08281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1919EED">
            <w:pPr>
              <w:pStyle w:val="49"/>
              <w:rPr>
                <w:sz w:val="15"/>
                <w:szCs w:val="15"/>
              </w:rPr>
            </w:pPr>
            <w:r>
              <w:rPr>
                <w:sz w:val="15"/>
                <w:szCs w:val="15"/>
              </w:rPr>
              <w:t>B737-900</w:t>
            </w:r>
          </w:p>
        </w:tc>
        <w:tc>
          <w:tcPr>
            <w:tcW w:w="1028" w:type="dxa"/>
            <w:shd w:val="clear" w:color="auto" w:fill="auto"/>
            <w:vAlign w:val="center"/>
          </w:tcPr>
          <w:p w14:paraId="6517C5B0">
            <w:pPr>
              <w:pStyle w:val="49"/>
              <w:rPr>
                <w:sz w:val="15"/>
                <w:szCs w:val="15"/>
              </w:rPr>
            </w:pPr>
            <w:r>
              <w:rPr>
                <w:sz w:val="15"/>
                <w:szCs w:val="15"/>
              </w:rPr>
              <w:t>303.73</w:t>
            </w:r>
          </w:p>
        </w:tc>
        <w:tc>
          <w:tcPr>
            <w:tcW w:w="1056" w:type="dxa"/>
            <w:shd w:val="clear" w:color="auto" w:fill="auto"/>
            <w:vAlign w:val="center"/>
          </w:tcPr>
          <w:p w14:paraId="3636CA35">
            <w:pPr>
              <w:pStyle w:val="49"/>
              <w:rPr>
                <w:sz w:val="15"/>
                <w:szCs w:val="15"/>
              </w:rPr>
            </w:pPr>
            <w:r>
              <w:rPr>
                <w:sz w:val="15"/>
                <w:szCs w:val="15"/>
              </w:rPr>
              <w:t>268.54</w:t>
            </w:r>
          </w:p>
        </w:tc>
        <w:tc>
          <w:tcPr>
            <w:tcW w:w="907" w:type="dxa"/>
            <w:shd w:val="clear" w:color="auto" w:fill="auto"/>
            <w:vAlign w:val="center"/>
          </w:tcPr>
          <w:p w14:paraId="4216DC5F">
            <w:pPr>
              <w:pStyle w:val="49"/>
              <w:rPr>
                <w:sz w:val="15"/>
                <w:szCs w:val="15"/>
              </w:rPr>
            </w:pPr>
            <w:r>
              <w:rPr>
                <w:sz w:val="15"/>
                <w:szCs w:val="15"/>
              </w:rPr>
              <w:t>85139</w:t>
            </w:r>
          </w:p>
        </w:tc>
        <w:tc>
          <w:tcPr>
            <w:tcW w:w="828" w:type="dxa"/>
            <w:vAlign w:val="center"/>
          </w:tcPr>
          <w:p w14:paraId="24661CE5">
            <w:pPr>
              <w:pStyle w:val="49"/>
              <w:rPr>
                <w:sz w:val="15"/>
                <w:szCs w:val="15"/>
              </w:rPr>
            </w:pPr>
            <w:r>
              <w:rPr>
                <w:sz w:val="15"/>
                <w:szCs w:val="15"/>
              </w:rPr>
              <w:t>0.002311</w:t>
            </w:r>
          </w:p>
        </w:tc>
        <w:tc>
          <w:tcPr>
            <w:tcW w:w="786" w:type="dxa"/>
            <w:vAlign w:val="center"/>
          </w:tcPr>
          <w:p w14:paraId="6BB67B29">
            <w:pPr>
              <w:pStyle w:val="49"/>
              <w:rPr>
                <w:sz w:val="15"/>
                <w:szCs w:val="15"/>
              </w:rPr>
            </w:pPr>
            <w:r>
              <w:rPr>
                <w:sz w:val="15"/>
                <w:szCs w:val="15"/>
              </w:rPr>
              <w:t>0.004622</w:t>
            </w:r>
          </w:p>
        </w:tc>
        <w:tc>
          <w:tcPr>
            <w:tcW w:w="836" w:type="dxa"/>
            <w:vAlign w:val="center"/>
          </w:tcPr>
          <w:p w14:paraId="3B09A6C3">
            <w:pPr>
              <w:pStyle w:val="49"/>
              <w:rPr>
                <w:sz w:val="15"/>
                <w:szCs w:val="15"/>
              </w:rPr>
            </w:pPr>
            <w:r>
              <w:rPr>
                <w:sz w:val="15"/>
                <w:szCs w:val="15"/>
              </w:rPr>
              <w:t>0.714121</w:t>
            </w:r>
          </w:p>
        </w:tc>
        <w:tc>
          <w:tcPr>
            <w:tcW w:w="925" w:type="dxa"/>
            <w:vAlign w:val="center"/>
          </w:tcPr>
          <w:p w14:paraId="3DC425F6">
            <w:pPr>
              <w:pStyle w:val="49"/>
              <w:rPr>
                <w:sz w:val="15"/>
                <w:szCs w:val="15"/>
              </w:rPr>
            </w:pPr>
            <w:r>
              <w:rPr>
                <w:sz w:val="15"/>
                <w:szCs w:val="15"/>
              </w:rPr>
              <w:t>1.636238</w:t>
            </w:r>
          </w:p>
        </w:tc>
        <w:tc>
          <w:tcPr>
            <w:tcW w:w="872" w:type="dxa"/>
            <w:tcBorders>
              <w:right w:val="nil"/>
            </w:tcBorders>
            <w:vAlign w:val="center"/>
          </w:tcPr>
          <w:p w14:paraId="0D45821D">
            <w:pPr>
              <w:pStyle w:val="49"/>
              <w:rPr>
                <w:sz w:val="15"/>
                <w:szCs w:val="15"/>
              </w:rPr>
            </w:pPr>
            <w:r>
              <w:rPr>
                <w:sz w:val="15"/>
                <w:szCs w:val="15"/>
              </w:rPr>
              <w:t>73.029813</w:t>
            </w:r>
          </w:p>
        </w:tc>
      </w:tr>
      <w:tr w14:paraId="257D2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3648AB3">
            <w:pPr>
              <w:pStyle w:val="49"/>
              <w:rPr>
                <w:sz w:val="15"/>
                <w:szCs w:val="15"/>
              </w:rPr>
            </w:pPr>
            <w:r>
              <w:rPr>
                <w:sz w:val="15"/>
                <w:szCs w:val="15"/>
              </w:rPr>
              <w:t>B737-900 ER winglets</w:t>
            </w:r>
          </w:p>
        </w:tc>
        <w:tc>
          <w:tcPr>
            <w:tcW w:w="1028" w:type="dxa"/>
            <w:shd w:val="clear" w:color="auto" w:fill="auto"/>
            <w:vAlign w:val="center"/>
          </w:tcPr>
          <w:p w14:paraId="1FA7F0DC">
            <w:pPr>
              <w:pStyle w:val="49"/>
              <w:rPr>
                <w:sz w:val="15"/>
                <w:szCs w:val="15"/>
              </w:rPr>
            </w:pPr>
            <w:r>
              <w:rPr>
                <w:sz w:val="15"/>
                <w:szCs w:val="15"/>
              </w:rPr>
              <w:t>303.73</w:t>
            </w:r>
          </w:p>
        </w:tc>
        <w:tc>
          <w:tcPr>
            <w:tcW w:w="1056" w:type="dxa"/>
            <w:shd w:val="clear" w:color="auto" w:fill="auto"/>
            <w:vAlign w:val="center"/>
          </w:tcPr>
          <w:p w14:paraId="0F5D8C29">
            <w:pPr>
              <w:pStyle w:val="49"/>
              <w:rPr>
                <w:sz w:val="15"/>
                <w:szCs w:val="15"/>
              </w:rPr>
            </w:pPr>
            <w:r>
              <w:rPr>
                <w:sz w:val="15"/>
                <w:szCs w:val="15"/>
              </w:rPr>
              <w:t>268.54</w:t>
            </w:r>
          </w:p>
        </w:tc>
        <w:tc>
          <w:tcPr>
            <w:tcW w:w="907" w:type="dxa"/>
            <w:shd w:val="clear" w:color="auto" w:fill="auto"/>
            <w:vAlign w:val="center"/>
          </w:tcPr>
          <w:p w14:paraId="05A2BFFE">
            <w:pPr>
              <w:pStyle w:val="49"/>
              <w:rPr>
                <w:sz w:val="15"/>
                <w:szCs w:val="15"/>
              </w:rPr>
            </w:pPr>
            <w:r>
              <w:rPr>
                <w:sz w:val="15"/>
                <w:szCs w:val="15"/>
              </w:rPr>
              <w:t>85139</w:t>
            </w:r>
          </w:p>
        </w:tc>
        <w:tc>
          <w:tcPr>
            <w:tcW w:w="828" w:type="dxa"/>
            <w:vAlign w:val="center"/>
          </w:tcPr>
          <w:p w14:paraId="72FD28F6">
            <w:pPr>
              <w:pStyle w:val="49"/>
              <w:rPr>
                <w:sz w:val="15"/>
                <w:szCs w:val="15"/>
              </w:rPr>
            </w:pPr>
            <w:r>
              <w:rPr>
                <w:sz w:val="15"/>
                <w:szCs w:val="15"/>
              </w:rPr>
              <w:t>0.000693</w:t>
            </w:r>
          </w:p>
        </w:tc>
        <w:tc>
          <w:tcPr>
            <w:tcW w:w="786" w:type="dxa"/>
            <w:vAlign w:val="center"/>
          </w:tcPr>
          <w:p w14:paraId="15E37944">
            <w:pPr>
              <w:pStyle w:val="49"/>
              <w:rPr>
                <w:sz w:val="15"/>
                <w:szCs w:val="15"/>
              </w:rPr>
            </w:pPr>
            <w:r>
              <w:rPr>
                <w:sz w:val="15"/>
                <w:szCs w:val="15"/>
              </w:rPr>
              <w:t>0.007164</w:t>
            </w:r>
          </w:p>
        </w:tc>
        <w:tc>
          <w:tcPr>
            <w:tcW w:w="836" w:type="dxa"/>
            <w:vAlign w:val="center"/>
          </w:tcPr>
          <w:p w14:paraId="248D330D">
            <w:pPr>
              <w:pStyle w:val="49"/>
              <w:rPr>
                <w:sz w:val="15"/>
                <w:szCs w:val="15"/>
              </w:rPr>
            </w:pPr>
            <w:r>
              <w:rPr>
                <w:sz w:val="15"/>
                <w:szCs w:val="15"/>
              </w:rPr>
              <w:t>0.553270</w:t>
            </w:r>
          </w:p>
        </w:tc>
        <w:tc>
          <w:tcPr>
            <w:tcW w:w="925" w:type="dxa"/>
            <w:vAlign w:val="center"/>
          </w:tcPr>
          <w:p w14:paraId="31795460">
            <w:pPr>
              <w:pStyle w:val="49"/>
              <w:rPr>
                <w:sz w:val="15"/>
                <w:szCs w:val="15"/>
              </w:rPr>
            </w:pPr>
            <w:r>
              <w:rPr>
                <w:sz w:val="15"/>
                <w:szCs w:val="15"/>
              </w:rPr>
              <w:t>1.636238</w:t>
            </w:r>
          </w:p>
        </w:tc>
        <w:tc>
          <w:tcPr>
            <w:tcW w:w="872" w:type="dxa"/>
            <w:tcBorders>
              <w:right w:val="nil"/>
            </w:tcBorders>
            <w:vAlign w:val="center"/>
          </w:tcPr>
          <w:p w14:paraId="11ECCE5D">
            <w:pPr>
              <w:pStyle w:val="49"/>
              <w:rPr>
                <w:sz w:val="15"/>
                <w:szCs w:val="15"/>
              </w:rPr>
            </w:pPr>
            <w:r>
              <w:rPr>
                <w:sz w:val="15"/>
                <w:szCs w:val="15"/>
              </w:rPr>
              <w:t>73.029813</w:t>
            </w:r>
          </w:p>
        </w:tc>
      </w:tr>
      <w:tr w14:paraId="4C306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F07E165">
            <w:pPr>
              <w:pStyle w:val="49"/>
              <w:rPr>
                <w:sz w:val="15"/>
                <w:szCs w:val="15"/>
              </w:rPr>
            </w:pPr>
            <w:r>
              <w:rPr>
                <w:sz w:val="15"/>
                <w:szCs w:val="15"/>
              </w:rPr>
              <w:t>B747</w:t>
            </w:r>
          </w:p>
        </w:tc>
        <w:tc>
          <w:tcPr>
            <w:tcW w:w="1028" w:type="dxa"/>
            <w:shd w:val="clear" w:color="auto" w:fill="auto"/>
            <w:vAlign w:val="center"/>
          </w:tcPr>
          <w:p w14:paraId="7CA41A3E">
            <w:pPr>
              <w:pStyle w:val="49"/>
              <w:rPr>
                <w:sz w:val="15"/>
                <w:szCs w:val="15"/>
              </w:rPr>
            </w:pPr>
            <w:r>
              <w:rPr>
                <w:sz w:val="15"/>
                <w:szCs w:val="15"/>
              </w:rPr>
              <w:t>320.4</w:t>
            </w:r>
          </w:p>
        </w:tc>
        <w:tc>
          <w:tcPr>
            <w:tcW w:w="1056" w:type="dxa"/>
            <w:shd w:val="clear" w:color="auto" w:fill="auto"/>
            <w:vAlign w:val="center"/>
          </w:tcPr>
          <w:p w14:paraId="0CA356CA">
            <w:pPr>
              <w:pStyle w:val="49"/>
              <w:rPr>
                <w:sz w:val="15"/>
                <w:szCs w:val="15"/>
              </w:rPr>
            </w:pPr>
            <w:r>
              <w:rPr>
                <w:sz w:val="15"/>
                <w:szCs w:val="15"/>
              </w:rPr>
              <w:t>261.13</w:t>
            </w:r>
          </w:p>
        </w:tc>
        <w:tc>
          <w:tcPr>
            <w:tcW w:w="907" w:type="dxa"/>
            <w:shd w:val="clear" w:color="auto" w:fill="auto"/>
            <w:vAlign w:val="center"/>
          </w:tcPr>
          <w:p w14:paraId="00664D0D">
            <w:pPr>
              <w:pStyle w:val="49"/>
              <w:rPr>
                <w:sz w:val="15"/>
                <w:szCs w:val="15"/>
              </w:rPr>
            </w:pPr>
            <w:r>
              <w:rPr>
                <w:sz w:val="15"/>
                <w:szCs w:val="15"/>
              </w:rPr>
              <w:t>386915</w:t>
            </w:r>
          </w:p>
        </w:tc>
        <w:tc>
          <w:tcPr>
            <w:tcW w:w="828" w:type="dxa"/>
            <w:vAlign w:val="center"/>
          </w:tcPr>
          <w:p w14:paraId="2B112E23">
            <w:pPr>
              <w:pStyle w:val="49"/>
              <w:rPr>
                <w:sz w:val="15"/>
                <w:szCs w:val="15"/>
              </w:rPr>
            </w:pPr>
            <w:r>
              <w:rPr>
                <w:sz w:val="15"/>
                <w:szCs w:val="15"/>
              </w:rPr>
              <w:t>0.016207</w:t>
            </w:r>
          </w:p>
        </w:tc>
        <w:tc>
          <w:tcPr>
            <w:tcW w:w="786" w:type="dxa"/>
            <w:vAlign w:val="center"/>
          </w:tcPr>
          <w:p w14:paraId="77438A63">
            <w:pPr>
              <w:pStyle w:val="49"/>
              <w:rPr>
                <w:sz w:val="15"/>
                <w:szCs w:val="15"/>
              </w:rPr>
            </w:pPr>
            <w:r>
              <w:rPr>
                <w:sz w:val="15"/>
                <w:szCs w:val="15"/>
              </w:rPr>
              <w:t>0.011577</w:t>
            </w:r>
          </w:p>
        </w:tc>
        <w:tc>
          <w:tcPr>
            <w:tcW w:w="836" w:type="dxa"/>
            <w:vAlign w:val="center"/>
          </w:tcPr>
          <w:p w14:paraId="0686847E">
            <w:pPr>
              <w:pStyle w:val="49"/>
              <w:rPr>
                <w:sz w:val="15"/>
                <w:szCs w:val="15"/>
              </w:rPr>
            </w:pPr>
            <w:r>
              <w:rPr>
                <w:sz w:val="15"/>
                <w:szCs w:val="15"/>
              </w:rPr>
              <w:t>0.717759</w:t>
            </w:r>
          </w:p>
        </w:tc>
        <w:tc>
          <w:tcPr>
            <w:tcW w:w="925" w:type="dxa"/>
            <w:vAlign w:val="center"/>
          </w:tcPr>
          <w:p w14:paraId="60DF60C9">
            <w:pPr>
              <w:pStyle w:val="49"/>
              <w:rPr>
                <w:sz w:val="15"/>
                <w:szCs w:val="15"/>
              </w:rPr>
            </w:pPr>
            <w:r>
              <w:rPr>
                <w:sz w:val="15"/>
                <w:szCs w:val="15"/>
              </w:rPr>
              <w:t>0.808057</w:t>
            </w:r>
          </w:p>
        </w:tc>
        <w:tc>
          <w:tcPr>
            <w:tcW w:w="872" w:type="dxa"/>
            <w:tcBorders>
              <w:right w:val="nil"/>
            </w:tcBorders>
            <w:vAlign w:val="center"/>
          </w:tcPr>
          <w:p w14:paraId="62C592DB">
            <w:pPr>
              <w:pStyle w:val="49"/>
              <w:rPr>
                <w:sz w:val="15"/>
                <w:szCs w:val="15"/>
              </w:rPr>
            </w:pPr>
            <w:r>
              <w:rPr>
                <w:sz w:val="15"/>
                <w:szCs w:val="15"/>
              </w:rPr>
              <w:t>73.165085</w:t>
            </w:r>
          </w:p>
        </w:tc>
      </w:tr>
      <w:tr w14:paraId="4645B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3FC7C384">
            <w:pPr>
              <w:pStyle w:val="49"/>
              <w:rPr>
                <w:sz w:val="15"/>
                <w:szCs w:val="15"/>
              </w:rPr>
            </w:pPr>
            <w:r>
              <w:rPr>
                <w:sz w:val="15"/>
                <w:szCs w:val="15"/>
              </w:rPr>
              <w:t>B747-400</w:t>
            </w:r>
          </w:p>
        </w:tc>
        <w:tc>
          <w:tcPr>
            <w:tcW w:w="1028" w:type="dxa"/>
            <w:shd w:val="clear" w:color="auto" w:fill="auto"/>
            <w:vAlign w:val="center"/>
          </w:tcPr>
          <w:p w14:paraId="1EAC8C71">
            <w:pPr>
              <w:pStyle w:val="49"/>
              <w:rPr>
                <w:sz w:val="15"/>
                <w:szCs w:val="15"/>
              </w:rPr>
            </w:pPr>
            <w:r>
              <w:rPr>
                <w:sz w:val="15"/>
                <w:szCs w:val="15"/>
              </w:rPr>
              <w:t>327.8</w:t>
            </w:r>
          </w:p>
        </w:tc>
        <w:tc>
          <w:tcPr>
            <w:tcW w:w="1056" w:type="dxa"/>
            <w:shd w:val="clear" w:color="auto" w:fill="auto"/>
            <w:vAlign w:val="center"/>
          </w:tcPr>
          <w:p w14:paraId="524399B2">
            <w:pPr>
              <w:pStyle w:val="49"/>
              <w:rPr>
                <w:sz w:val="15"/>
                <w:szCs w:val="15"/>
              </w:rPr>
            </w:pPr>
            <w:r>
              <w:rPr>
                <w:sz w:val="15"/>
                <w:szCs w:val="15"/>
              </w:rPr>
              <w:t>270.39</w:t>
            </w:r>
          </w:p>
        </w:tc>
        <w:tc>
          <w:tcPr>
            <w:tcW w:w="907" w:type="dxa"/>
            <w:shd w:val="clear" w:color="auto" w:fill="auto"/>
            <w:vAlign w:val="center"/>
          </w:tcPr>
          <w:p w14:paraId="2B59B854">
            <w:pPr>
              <w:pStyle w:val="49"/>
              <w:rPr>
                <w:sz w:val="15"/>
                <w:szCs w:val="15"/>
              </w:rPr>
            </w:pPr>
            <w:r>
              <w:rPr>
                <w:sz w:val="15"/>
                <w:szCs w:val="15"/>
              </w:rPr>
              <w:t>396890</w:t>
            </w:r>
          </w:p>
        </w:tc>
        <w:tc>
          <w:tcPr>
            <w:tcW w:w="828" w:type="dxa"/>
            <w:vAlign w:val="bottom"/>
          </w:tcPr>
          <w:p w14:paraId="63220108">
            <w:pPr>
              <w:pStyle w:val="49"/>
              <w:rPr>
                <w:sz w:val="15"/>
                <w:szCs w:val="15"/>
              </w:rPr>
            </w:pPr>
            <w:r>
              <w:rPr>
                <w:rFonts w:hint="eastAsia"/>
                <w:sz w:val="15"/>
                <w:szCs w:val="15"/>
              </w:rPr>
              <w:t>0</w:t>
            </w:r>
            <w:r>
              <w:rPr>
                <w:sz w:val="15"/>
                <w:szCs w:val="15"/>
              </w:rPr>
              <w:t>.016207</w:t>
            </w:r>
          </w:p>
        </w:tc>
        <w:tc>
          <w:tcPr>
            <w:tcW w:w="786" w:type="dxa"/>
            <w:vAlign w:val="center"/>
          </w:tcPr>
          <w:p w14:paraId="004F3E29">
            <w:pPr>
              <w:pStyle w:val="49"/>
              <w:rPr>
                <w:sz w:val="15"/>
                <w:szCs w:val="15"/>
              </w:rPr>
            </w:pPr>
            <w:r>
              <w:rPr>
                <w:rFonts w:hint="eastAsia"/>
                <w:sz w:val="15"/>
                <w:szCs w:val="15"/>
              </w:rPr>
              <w:t xml:space="preserve">0.011577 </w:t>
            </w:r>
          </w:p>
        </w:tc>
        <w:tc>
          <w:tcPr>
            <w:tcW w:w="836" w:type="dxa"/>
            <w:vAlign w:val="center"/>
          </w:tcPr>
          <w:p w14:paraId="77A72897">
            <w:pPr>
              <w:pStyle w:val="49"/>
              <w:rPr>
                <w:sz w:val="15"/>
                <w:szCs w:val="15"/>
              </w:rPr>
            </w:pPr>
            <w:r>
              <w:rPr>
                <w:rFonts w:hint="eastAsia"/>
                <w:sz w:val="15"/>
                <w:szCs w:val="15"/>
              </w:rPr>
              <w:t xml:space="preserve">0.717759 </w:t>
            </w:r>
          </w:p>
        </w:tc>
        <w:tc>
          <w:tcPr>
            <w:tcW w:w="925" w:type="dxa"/>
            <w:vAlign w:val="center"/>
          </w:tcPr>
          <w:p w14:paraId="1D107EFD">
            <w:pPr>
              <w:pStyle w:val="49"/>
              <w:rPr>
                <w:sz w:val="15"/>
                <w:szCs w:val="15"/>
              </w:rPr>
            </w:pPr>
            <w:r>
              <w:rPr>
                <w:rFonts w:hint="eastAsia"/>
                <w:sz w:val="15"/>
                <w:szCs w:val="15"/>
              </w:rPr>
              <w:t xml:space="preserve">0.808057 </w:t>
            </w:r>
          </w:p>
        </w:tc>
        <w:tc>
          <w:tcPr>
            <w:tcW w:w="872" w:type="dxa"/>
            <w:tcBorders>
              <w:right w:val="nil"/>
            </w:tcBorders>
            <w:vAlign w:val="center"/>
          </w:tcPr>
          <w:p w14:paraId="6DB370FD">
            <w:pPr>
              <w:pStyle w:val="49"/>
              <w:rPr>
                <w:sz w:val="15"/>
                <w:szCs w:val="15"/>
              </w:rPr>
            </w:pPr>
            <w:r>
              <w:rPr>
                <w:rFonts w:hint="eastAsia"/>
                <w:sz w:val="15"/>
                <w:szCs w:val="15"/>
              </w:rPr>
              <w:t xml:space="preserve">73.165085 </w:t>
            </w:r>
          </w:p>
        </w:tc>
      </w:tr>
      <w:tr w14:paraId="799EF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4C3E720">
            <w:pPr>
              <w:pStyle w:val="49"/>
              <w:rPr>
                <w:sz w:val="15"/>
                <w:szCs w:val="15"/>
              </w:rPr>
            </w:pPr>
            <w:r>
              <w:rPr>
                <w:sz w:val="15"/>
                <w:szCs w:val="15"/>
              </w:rPr>
              <w:t>B757</w:t>
            </w:r>
          </w:p>
        </w:tc>
        <w:tc>
          <w:tcPr>
            <w:tcW w:w="1028" w:type="dxa"/>
            <w:shd w:val="clear" w:color="auto" w:fill="auto"/>
            <w:vAlign w:val="center"/>
          </w:tcPr>
          <w:p w14:paraId="13187FE1">
            <w:pPr>
              <w:pStyle w:val="49"/>
              <w:rPr>
                <w:sz w:val="15"/>
                <w:szCs w:val="15"/>
              </w:rPr>
            </w:pPr>
            <w:r>
              <w:rPr>
                <w:sz w:val="15"/>
                <w:szCs w:val="15"/>
              </w:rPr>
              <w:t>292.62</w:t>
            </w:r>
          </w:p>
        </w:tc>
        <w:tc>
          <w:tcPr>
            <w:tcW w:w="1056" w:type="dxa"/>
            <w:shd w:val="clear" w:color="auto" w:fill="auto"/>
            <w:vAlign w:val="center"/>
          </w:tcPr>
          <w:p w14:paraId="661843A6">
            <w:pPr>
              <w:pStyle w:val="49"/>
              <w:rPr>
                <w:sz w:val="15"/>
                <w:szCs w:val="15"/>
              </w:rPr>
            </w:pPr>
            <w:r>
              <w:rPr>
                <w:sz w:val="15"/>
                <w:szCs w:val="15"/>
              </w:rPr>
              <w:t>259.28</w:t>
            </w:r>
          </w:p>
        </w:tc>
        <w:tc>
          <w:tcPr>
            <w:tcW w:w="907" w:type="dxa"/>
            <w:shd w:val="clear" w:color="auto" w:fill="auto"/>
            <w:vAlign w:val="center"/>
          </w:tcPr>
          <w:p w14:paraId="3E2E31AF">
            <w:pPr>
              <w:pStyle w:val="49"/>
              <w:rPr>
                <w:sz w:val="15"/>
                <w:szCs w:val="15"/>
              </w:rPr>
            </w:pPr>
            <w:r>
              <w:rPr>
                <w:sz w:val="15"/>
                <w:szCs w:val="15"/>
              </w:rPr>
              <w:t>99800</w:t>
            </w:r>
          </w:p>
        </w:tc>
        <w:tc>
          <w:tcPr>
            <w:tcW w:w="828" w:type="dxa"/>
            <w:vAlign w:val="center"/>
          </w:tcPr>
          <w:p w14:paraId="0F1A3EB0">
            <w:pPr>
              <w:pStyle w:val="49"/>
              <w:rPr>
                <w:sz w:val="15"/>
                <w:szCs w:val="15"/>
              </w:rPr>
            </w:pPr>
            <w:r>
              <w:rPr>
                <w:sz w:val="15"/>
                <w:szCs w:val="15"/>
              </w:rPr>
              <w:t>0.000736</w:t>
            </w:r>
          </w:p>
        </w:tc>
        <w:tc>
          <w:tcPr>
            <w:tcW w:w="786" w:type="dxa"/>
            <w:vAlign w:val="center"/>
          </w:tcPr>
          <w:p w14:paraId="23E5B5B9">
            <w:pPr>
              <w:pStyle w:val="49"/>
              <w:rPr>
                <w:sz w:val="15"/>
                <w:szCs w:val="15"/>
              </w:rPr>
            </w:pPr>
            <w:r>
              <w:rPr>
                <w:sz w:val="15"/>
                <w:szCs w:val="15"/>
              </w:rPr>
              <w:t>0.002874</w:t>
            </w:r>
          </w:p>
        </w:tc>
        <w:tc>
          <w:tcPr>
            <w:tcW w:w="836" w:type="dxa"/>
            <w:vAlign w:val="center"/>
          </w:tcPr>
          <w:p w14:paraId="33F76AB0">
            <w:pPr>
              <w:pStyle w:val="49"/>
              <w:rPr>
                <w:sz w:val="15"/>
                <w:szCs w:val="15"/>
              </w:rPr>
            </w:pPr>
            <w:r>
              <w:rPr>
                <w:sz w:val="15"/>
                <w:szCs w:val="15"/>
              </w:rPr>
              <w:t>1.174247</w:t>
            </w:r>
          </w:p>
        </w:tc>
        <w:tc>
          <w:tcPr>
            <w:tcW w:w="925" w:type="dxa"/>
            <w:vAlign w:val="center"/>
          </w:tcPr>
          <w:p w14:paraId="2AA60A95">
            <w:pPr>
              <w:pStyle w:val="49"/>
              <w:rPr>
                <w:sz w:val="15"/>
                <w:szCs w:val="15"/>
              </w:rPr>
            </w:pPr>
            <w:r>
              <w:rPr>
                <w:sz w:val="15"/>
                <w:szCs w:val="15"/>
              </w:rPr>
              <w:t>0.343533</w:t>
            </w:r>
          </w:p>
        </w:tc>
        <w:tc>
          <w:tcPr>
            <w:tcW w:w="872" w:type="dxa"/>
            <w:tcBorders>
              <w:right w:val="nil"/>
            </w:tcBorders>
            <w:vAlign w:val="center"/>
          </w:tcPr>
          <w:p w14:paraId="3C3B837F">
            <w:pPr>
              <w:pStyle w:val="49"/>
              <w:rPr>
                <w:sz w:val="15"/>
                <w:szCs w:val="15"/>
              </w:rPr>
            </w:pPr>
            <w:r>
              <w:rPr>
                <w:sz w:val="15"/>
                <w:szCs w:val="15"/>
              </w:rPr>
              <w:t>72.660382</w:t>
            </w:r>
          </w:p>
        </w:tc>
      </w:tr>
      <w:tr w14:paraId="2401A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5D717911">
            <w:pPr>
              <w:pStyle w:val="49"/>
              <w:rPr>
                <w:sz w:val="15"/>
                <w:szCs w:val="15"/>
              </w:rPr>
            </w:pPr>
            <w:r>
              <w:rPr>
                <w:sz w:val="15"/>
                <w:szCs w:val="15"/>
              </w:rPr>
              <w:t>B777</w:t>
            </w:r>
          </w:p>
        </w:tc>
        <w:tc>
          <w:tcPr>
            <w:tcW w:w="1028" w:type="dxa"/>
            <w:shd w:val="clear" w:color="auto" w:fill="auto"/>
            <w:vAlign w:val="center"/>
          </w:tcPr>
          <w:p w14:paraId="38D0619D">
            <w:pPr>
              <w:pStyle w:val="49"/>
              <w:rPr>
                <w:sz w:val="15"/>
                <w:szCs w:val="15"/>
              </w:rPr>
            </w:pPr>
            <w:r>
              <w:rPr>
                <w:sz w:val="15"/>
                <w:szCs w:val="15"/>
              </w:rPr>
              <w:t>327.8</w:t>
            </w:r>
          </w:p>
        </w:tc>
        <w:tc>
          <w:tcPr>
            <w:tcW w:w="1056" w:type="dxa"/>
            <w:shd w:val="clear" w:color="auto" w:fill="auto"/>
            <w:vAlign w:val="center"/>
          </w:tcPr>
          <w:p w14:paraId="744DFC32">
            <w:pPr>
              <w:pStyle w:val="49"/>
              <w:rPr>
                <w:sz w:val="15"/>
                <w:szCs w:val="15"/>
              </w:rPr>
            </w:pPr>
            <w:r>
              <w:rPr>
                <w:sz w:val="15"/>
                <w:szCs w:val="15"/>
              </w:rPr>
              <w:t>259.28</w:t>
            </w:r>
          </w:p>
        </w:tc>
        <w:tc>
          <w:tcPr>
            <w:tcW w:w="907" w:type="dxa"/>
            <w:shd w:val="clear" w:color="auto" w:fill="auto"/>
            <w:vAlign w:val="center"/>
          </w:tcPr>
          <w:p w14:paraId="5F2FCBB8">
            <w:pPr>
              <w:pStyle w:val="49"/>
              <w:rPr>
                <w:sz w:val="15"/>
                <w:szCs w:val="15"/>
              </w:rPr>
            </w:pPr>
            <w:r>
              <w:rPr>
                <w:sz w:val="15"/>
                <w:szCs w:val="15"/>
              </w:rPr>
              <w:t>347815</w:t>
            </w:r>
          </w:p>
        </w:tc>
        <w:tc>
          <w:tcPr>
            <w:tcW w:w="828" w:type="dxa"/>
            <w:vAlign w:val="center"/>
          </w:tcPr>
          <w:p w14:paraId="2454873D">
            <w:pPr>
              <w:pStyle w:val="49"/>
              <w:rPr>
                <w:sz w:val="15"/>
                <w:szCs w:val="15"/>
              </w:rPr>
            </w:pPr>
            <w:r>
              <w:rPr>
                <w:sz w:val="15"/>
                <w:szCs w:val="15"/>
              </w:rPr>
              <w:t>0.000736</w:t>
            </w:r>
          </w:p>
        </w:tc>
        <w:tc>
          <w:tcPr>
            <w:tcW w:w="786" w:type="dxa"/>
            <w:vAlign w:val="center"/>
          </w:tcPr>
          <w:p w14:paraId="466BEF53">
            <w:pPr>
              <w:pStyle w:val="49"/>
              <w:rPr>
                <w:sz w:val="15"/>
                <w:szCs w:val="15"/>
              </w:rPr>
            </w:pPr>
            <w:r>
              <w:rPr>
                <w:sz w:val="15"/>
                <w:szCs w:val="15"/>
              </w:rPr>
              <w:t>0.002874</w:t>
            </w:r>
          </w:p>
        </w:tc>
        <w:tc>
          <w:tcPr>
            <w:tcW w:w="836" w:type="dxa"/>
            <w:vAlign w:val="center"/>
          </w:tcPr>
          <w:p w14:paraId="7EA36046">
            <w:pPr>
              <w:pStyle w:val="49"/>
              <w:rPr>
                <w:sz w:val="15"/>
                <w:szCs w:val="15"/>
              </w:rPr>
            </w:pPr>
            <w:r>
              <w:rPr>
                <w:sz w:val="15"/>
                <w:szCs w:val="15"/>
              </w:rPr>
              <w:t>1.174247</w:t>
            </w:r>
          </w:p>
        </w:tc>
        <w:tc>
          <w:tcPr>
            <w:tcW w:w="925" w:type="dxa"/>
            <w:vAlign w:val="center"/>
          </w:tcPr>
          <w:p w14:paraId="69F76C92">
            <w:pPr>
              <w:pStyle w:val="49"/>
              <w:rPr>
                <w:sz w:val="15"/>
                <w:szCs w:val="15"/>
              </w:rPr>
            </w:pPr>
            <w:r>
              <w:rPr>
                <w:sz w:val="15"/>
                <w:szCs w:val="15"/>
              </w:rPr>
              <w:t>0.343533</w:t>
            </w:r>
          </w:p>
        </w:tc>
        <w:tc>
          <w:tcPr>
            <w:tcW w:w="872" w:type="dxa"/>
            <w:tcBorders>
              <w:right w:val="nil"/>
            </w:tcBorders>
            <w:vAlign w:val="center"/>
          </w:tcPr>
          <w:p w14:paraId="50B4D911">
            <w:pPr>
              <w:pStyle w:val="49"/>
              <w:rPr>
                <w:sz w:val="15"/>
                <w:szCs w:val="15"/>
              </w:rPr>
            </w:pPr>
            <w:r>
              <w:rPr>
                <w:sz w:val="15"/>
                <w:szCs w:val="15"/>
              </w:rPr>
              <w:t>72.660382</w:t>
            </w:r>
          </w:p>
        </w:tc>
      </w:tr>
      <w:tr w14:paraId="3143B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F429FD7">
            <w:pPr>
              <w:pStyle w:val="49"/>
              <w:rPr>
                <w:sz w:val="15"/>
                <w:szCs w:val="15"/>
              </w:rPr>
            </w:pPr>
            <w:r>
              <w:rPr>
                <w:sz w:val="15"/>
                <w:szCs w:val="15"/>
              </w:rPr>
              <w:t>B777-300</w:t>
            </w:r>
          </w:p>
        </w:tc>
        <w:tc>
          <w:tcPr>
            <w:tcW w:w="1028" w:type="dxa"/>
            <w:shd w:val="clear" w:color="auto" w:fill="auto"/>
            <w:vAlign w:val="center"/>
          </w:tcPr>
          <w:p w14:paraId="5DED2C7E">
            <w:pPr>
              <w:pStyle w:val="49"/>
              <w:rPr>
                <w:sz w:val="15"/>
                <w:szCs w:val="15"/>
              </w:rPr>
            </w:pPr>
            <w:r>
              <w:rPr>
                <w:sz w:val="15"/>
                <w:szCs w:val="15"/>
              </w:rPr>
              <w:t>327.8</w:t>
            </w:r>
          </w:p>
        </w:tc>
        <w:tc>
          <w:tcPr>
            <w:tcW w:w="1056" w:type="dxa"/>
            <w:shd w:val="clear" w:color="auto" w:fill="auto"/>
            <w:vAlign w:val="center"/>
          </w:tcPr>
          <w:p w14:paraId="42F3F19C">
            <w:pPr>
              <w:pStyle w:val="49"/>
              <w:rPr>
                <w:sz w:val="15"/>
                <w:szCs w:val="15"/>
              </w:rPr>
            </w:pPr>
            <w:r>
              <w:rPr>
                <w:sz w:val="15"/>
                <w:szCs w:val="15"/>
              </w:rPr>
              <w:t>275.95</w:t>
            </w:r>
          </w:p>
        </w:tc>
        <w:tc>
          <w:tcPr>
            <w:tcW w:w="907" w:type="dxa"/>
            <w:shd w:val="clear" w:color="auto" w:fill="auto"/>
            <w:vAlign w:val="center"/>
          </w:tcPr>
          <w:p w14:paraId="789A0490">
            <w:pPr>
              <w:pStyle w:val="49"/>
              <w:rPr>
                <w:sz w:val="15"/>
                <w:szCs w:val="15"/>
              </w:rPr>
            </w:pPr>
            <w:r>
              <w:rPr>
                <w:sz w:val="15"/>
                <w:szCs w:val="15"/>
              </w:rPr>
              <w:t>299370</w:t>
            </w:r>
          </w:p>
        </w:tc>
        <w:tc>
          <w:tcPr>
            <w:tcW w:w="828" w:type="dxa"/>
            <w:vAlign w:val="center"/>
          </w:tcPr>
          <w:p w14:paraId="640E94C5">
            <w:pPr>
              <w:pStyle w:val="49"/>
              <w:rPr>
                <w:sz w:val="15"/>
                <w:szCs w:val="15"/>
              </w:rPr>
            </w:pPr>
            <w:r>
              <w:rPr>
                <w:sz w:val="15"/>
                <w:szCs w:val="15"/>
              </w:rPr>
              <w:t>0.000736</w:t>
            </w:r>
          </w:p>
        </w:tc>
        <w:tc>
          <w:tcPr>
            <w:tcW w:w="786" w:type="dxa"/>
            <w:vAlign w:val="center"/>
          </w:tcPr>
          <w:p w14:paraId="1426A0E4">
            <w:pPr>
              <w:pStyle w:val="49"/>
              <w:rPr>
                <w:sz w:val="15"/>
                <w:szCs w:val="15"/>
              </w:rPr>
            </w:pPr>
            <w:r>
              <w:rPr>
                <w:sz w:val="15"/>
                <w:szCs w:val="15"/>
              </w:rPr>
              <w:t>0.002874</w:t>
            </w:r>
          </w:p>
        </w:tc>
        <w:tc>
          <w:tcPr>
            <w:tcW w:w="836" w:type="dxa"/>
            <w:vAlign w:val="center"/>
          </w:tcPr>
          <w:p w14:paraId="6F0FBA44">
            <w:pPr>
              <w:pStyle w:val="49"/>
              <w:rPr>
                <w:sz w:val="15"/>
                <w:szCs w:val="15"/>
              </w:rPr>
            </w:pPr>
            <w:r>
              <w:rPr>
                <w:sz w:val="15"/>
                <w:szCs w:val="15"/>
              </w:rPr>
              <w:t>1.174247</w:t>
            </w:r>
          </w:p>
        </w:tc>
        <w:tc>
          <w:tcPr>
            <w:tcW w:w="925" w:type="dxa"/>
            <w:vAlign w:val="center"/>
          </w:tcPr>
          <w:p w14:paraId="5CE4AA08">
            <w:pPr>
              <w:pStyle w:val="49"/>
              <w:rPr>
                <w:sz w:val="15"/>
                <w:szCs w:val="15"/>
              </w:rPr>
            </w:pPr>
            <w:r>
              <w:rPr>
                <w:sz w:val="15"/>
                <w:szCs w:val="15"/>
              </w:rPr>
              <w:t>0.343533</w:t>
            </w:r>
          </w:p>
        </w:tc>
        <w:tc>
          <w:tcPr>
            <w:tcW w:w="872" w:type="dxa"/>
            <w:tcBorders>
              <w:right w:val="nil"/>
            </w:tcBorders>
            <w:vAlign w:val="center"/>
          </w:tcPr>
          <w:p w14:paraId="4D0D6506">
            <w:pPr>
              <w:pStyle w:val="49"/>
              <w:rPr>
                <w:sz w:val="15"/>
                <w:szCs w:val="15"/>
              </w:rPr>
            </w:pPr>
            <w:r>
              <w:rPr>
                <w:sz w:val="15"/>
                <w:szCs w:val="15"/>
              </w:rPr>
              <w:t>72.660382</w:t>
            </w:r>
          </w:p>
        </w:tc>
      </w:tr>
      <w:tr w14:paraId="2025A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05B5956">
            <w:pPr>
              <w:pStyle w:val="49"/>
              <w:rPr>
                <w:sz w:val="15"/>
                <w:szCs w:val="15"/>
              </w:rPr>
            </w:pPr>
            <w:r>
              <w:rPr>
                <w:sz w:val="15"/>
                <w:szCs w:val="15"/>
              </w:rPr>
              <w:t>B777-300ER</w:t>
            </w:r>
          </w:p>
        </w:tc>
        <w:tc>
          <w:tcPr>
            <w:tcW w:w="1028" w:type="dxa"/>
            <w:shd w:val="clear" w:color="auto" w:fill="auto"/>
            <w:vAlign w:val="center"/>
          </w:tcPr>
          <w:p w14:paraId="23679632">
            <w:pPr>
              <w:pStyle w:val="49"/>
              <w:rPr>
                <w:sz w:val="15"/>
                <w:szCs w:val="15"/>
              </w:rPr>
            </w:pPr>
            <w:r>
              <w:rPr>
                <w:sz w:val="15"/>
                <w:szCs w:val="15"/>
              </w:rPr>
              <w:t>327.8</w:t>
            </w:r>
          </w:p>
        </w:tc>
        <w:tc>
          <w:tcPr>
            <w:tcW w:w="1056" w:type="dxa"/>
            <w:shd w:val="clear" w:color="auto" w:fill="auto"/>
            <w:vAlign w:val="center"/>
          </w:tcPr>
          <w:p w14:paraId="7103FB94">
            <w:pPr>
              <w:pStyle w:val="49"/>
              <w:rPr>
                <w:sz w:val="15"/>
                <w:szCs w:val="15"/>
              </w:rPr>
            </w:pPr>
            <w:r>
              <w:rPr>
                <w:sz w:val="15"/>
                <w:szCs w:val="15"/>
              </w:rPr>
              <w:t>275.95</w:t>
            </w:r>
          </w:p>
        </w:tc>
        <w:tc>
          <w:tcPr>
            <w:tcW w:w="907" w:type="dxa"/>
            <w:shd w:val="clear" w:color="auto" w:fill="auto"/>
            <w:vAlign w:val="center"/>
          </w:tcPr>
          <w:p w14:paraId="09920A37">
            <w:pPr>
              <w:pStyle w:val="49"/>
              <w:rPr>
                <w:sz w:val="15"/>
                <w:szCs w:val="15"/>
              </w:rPr>
            </w:pPr>
            <w:r>
              <w:rPr>
                <w:sz w:val="15"/>
                <w:szCs w:val="15"/>
              </w:rPr>
              <w:t>263990</w:t>
            </w:r>
          </w:p>
        </w:tc>
        <w:tc>
          <w:tcPr>
            <w:tcW w:w="828" w:type="dxa"/>
            <w:vAlign w:val="center"/>
          </w:tcPr>
          <w:p w14:paraId="59F1748A">
            <w:pPr>
              <w:pStyle w:val="49"/>
              <w:rPr>
                <w:sz w:val="15"/>
                <w:szCs w:val="15"/>
              </w:rPr>
            </w:pPr>
            <w:r>
              <w:rPr>
                <w:sz w:val="15"/>
                <w:szCs w:val="15"/>
              </w:rPr>
              <w:t>0.000690</w:t>
            </w:r>
          </w:p>
        </w:tc>
        <w:tc>
          <w:tcPr>
            <w:tcW w:w="786" w:type="dxa"/>
            <w:vAlign w:val="center"/>
          </w:tcPr>
          <w:p w14:paraId="775E31BC">
            <w:pPr>
              <w:pStyle w:val="49"/>
              <w:rPr>
                <w:sz w:val="15"/>
                <w:szCs w:val="15"/>
              </w:rPr>
            </w:pPr>
            <w:r>
              <w:rPr>
                <w:sz w:val="15"/>
                <w:szCs w:val="15"/>
              </w:rPr>
              <w:t>0.002989</w:t>
            </w:r>
          </w:p>
        </w:tc>
        <w:tc>
          <w:tcPr>
            <w:tcW w:w="836" w:type="dxa"/>
            <w:vAlign w:val="center"/>
          </w:tcPr>
          <w:p w14:paraId="6E64FD1A">
            <w:pPr>
              <w:pStyle w:val="49"/>
              <w:rPr>
                <w:sz w:val="15"/>
                <w:szCs w:val="15"/>
              </w:rPr>
            </w:pPr>
            <w:r>
              <w:rPr>
                <w:sz w:val="15"/>
                <w:szCs w:val="15"/>
              </w:rPr>
              <w:t>1.174293</w:t>
            </w:r>
          </w:p>
        </w:tc>
        <w:tc>
          <w:tcPr>
            <w:tcW w:w="925" w:type="dxa"/>
            <w:vAlign w:val="center"/>
          </w:tcPr>
          <w:p w14:paraId="598155E9">
            <w:pPr>
              <w:pStyle w:val="49"/>
              <w:rPr>
                <w:sz w:val="15"/>
                <w:szCs w:val="15"/>
              </w:rPr>
            </w:pPr>
            <w:r>
              <w:rPr>
                <w:sz w:val="15"/>
                <w:szCs w:val="15"/>
              </w:rPr>
              <w:t>0.342607</w:t>
            </w:r>
          </w:p>
        </w:tc>
        <w:tc>
          <w:tcPr>
            <w:tcW w:w="872" w:type="dxa"/>
            <w:tcBorders>
              <w:right w:val="nil"/>
            </w:tcBorders>
            <w:vAlign w:val="center"/>
          </w:tcPr>
          <w:p w14:paraId="3732BAF3">
            <w:pPr>
              <w:pStyle w:val="49"/>
              <w:rPr>
                <w:sz w:val="15"/>
                <w:szCs w:val="15"/>
              </w:rPr>
            </w:pPr>
            <w:r>
              <w:rPr>
                <w:sz w:val="15"/>
                <w:szCs w:val="15"/>
              </w:rPr>
              <w:t>72.660382</w:t>
            </w:r>
          </w:p>
        </w:tc>
      </w:tr>
      <w:tr w14:paraId="01661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05DB419">
            <w:pPr>
              <w:pStyle w:val="49"/>
              <w:rPr>
                <w:sz w:val="15"/>
                <w:szCs w:val="15"/>
              </w:rPr>
            </w:pPr>
            <w:r>
              <w:rPr>
                <w:sz w:val="15"/>
                <w:szCs w:val="15"/>
              </w:rPr>
              <w:t>B787</w:t>
            </w:r>
          </w:p>
        </w:tc>
        <w:tc>
          <w:tcPr>
            <w:tcW w:w="1028" w:type="dxa"/>
            <w:shd w:val="clear" w:color="auto" w:fill="auto"/>
            <w:vAlign w:val="center"/>
          </w:tcPr>
          <w:p w14:paraId="69F0CEA5">
            <w:pPr>
              <w:pStyle w:val="49"/>
              <w:rPr>
                <w:sz w:val="15"/>
                <w:szCs w:val="15"/>
              </w:rPr>
            </w:pPr>
            <w:r>
              <w:rPr>
                <w:sz w:val="15"/>
                <w:szCs w:val="15"/>
              </w:rPr>
              <w:t>327.8</w:t>
            </w:r>
          </w:p>
        </w:tc>
        <w:tc>
          <w:tcPr>
            <w:tcW w:w="1056" w:type="dxa"/>
            <w:shd w:val="clear" w:color="auto" w:fill="auto"/>
            <w:vAlign w:val="center"/>
          </w:tcPr>
          <w:p w14:paraId="176E4F2A">
            <w:pPr>
              <w:pStyle w:val="49"/>
              <w:rPr>
                <w:sz w:val="15"/>
                <w:szCs w:val="15"/>
              </w:rPr>
            </w:pPr>
            <w:r>
              <w:rPr>
                <w:sz w:val="15"/>
                <w:szCs w:val="15"/>
              </w:rPr>
              <w:t>259.28</w:t>
            </w:r>
          </w:p>
        </w:tc>
        <w:tc>
          <w:tcPr>
            <w:tcW w:w="907" w:type="dxa"/>
            <w:shd w:val="clear" w:color="auto" w:fill="auto"/>
            <w:vAlign w:val="center"/>
          </w:tcPr>
          <w:p w14:paraId="44E35697">
            <w:pPr>
              <w:pStyle w:val="49"/>
              <w:rPr>
                <w:sz w:val="15"/>
                <w:szCs w:val="15"/>
              </w:rPr>
            </w:pPr>
            <w:r>
              <w:rPr>
                <w:sz w:val="15"/>
                <w:szCs w:val="15"/>
              </w:rPr>
              <w:t>351535</w:t>
            </w:r>
          </w:p>
        </w:tc>
        <w:tc>
          <w:tcPr>
            <w:tcW w:w="828" w:type="dxa"/>
            <w:vAlign w:val="center"/>
          </w:tcPr>
          <w:p w14:paraId="655DC530">
            <w:pPr>
              <w:pStyle w:val="49"/>
              <w:rPr>
                <w:sz w:val="15"/>
                <w:szCs w:val="15"/>
              </w:rPr>
            </w:pPr>
            <w:r>
              <w:rPr>
                <w:sz w:val="15"/>
                <w:szCs w:val="15"/>
              </w:rPr>
              <w:t>0.000463</w:t>
            </w:r>
          </w:p>
        </w:tc>
        <w:tc>
          <w:tcPr>
            <w:tcW w:w="786" w:type="dxa"/>
            <w:vAlign w:val="center"/>
          </w:tcPr>
          <w:p w14:paraId="3323ADD1">
            <w:pPr>
              <w:pStyle w:val="49"/>
              <w:rPr>
                <w:sz w:val="15"/>
                <w:szCs w:val="15"/>
              </w:rPr>
            </w:pPr>
            <w:r>
              <w:rPr>
                <w:sz w:val="15"/>
                <w:szCs w:val="15"/>
              </w:rPr>
              <w:t>0.007415</w:t>
            </w:r>
          </w:p>
        </w:tc>
        <w:tc>
          <w:tcPr>
            <w:tcW w:w="836" w:type="dxa"/>
            <w:vAlign w:val="center"/>
          </w:tcPr>
          <w:p w14:paraId="66F3BF0F">
            <w:pPr>
              <w:pStyle w:val="49"/>
              <w:rPr>
                <w:sz w:val="15"/>
                <w:szCs w:val="15"/>
              </w:rPr>
            </w:pPr>
            <w:r>
              <w:rPr>
                <w:sz w:val="15"/>
                <w:szCs w:val="15"/>
              </w:rPr>
              <w:t>0.399041</w:t>
            </w:r>
          </w:p>
        </w:tc>
        <w:tc>
          <w:tcPr>
            <w:tcW w:w="925" w:type="dxa"/>
            <w:vAlign w:val="center"/>
          </w:tcPr>
          <w:p w14:paraId="45831C89">
            <w:pPr>
              <w:pStyle w:val="49"/>
              <w:rPr>
                <w:sz w:val="15"/>
                <w:szCs w:val="15"/>
              </w:rPr>
            </w:pPr>
            <w:r>
              <w:rPr>
                <w:sz w:val="15"/>
                <w:szCs w:val="15"/>
              </w:rPr>
              <w:t>0.038374</w:t>
            </w:r>
          </w:p>
        </w:tc>
        <w:tc>
          <w:tcPr>
            <w:tcW w:w="872" w:type="dxa"/>
            <w:tcBorders>
              <w:right w:val="nil"/>
            </w:tcBorders>
            <w:vAlign w:val="center"/>
          </w:tcPr>
          <w:p w14:paraId="7B26785F">
            <w:pPr>
              <w:pStyle w:val="49"/>
              <w:rPr>
                <w:sz w:val="15"/>
                <w:szCs w:val="15"/>
              </w:rPr>
            </w:pPr>
            <w:r>
              <w:rPr>
                <w:sz w:val="15"/>
                <w:szCs w:val="15"/>
              </w:rPr>
              <w:t>73.227030</w:t>
            </w:r>
          </w:p>
        </w:tc>
      </w:tr>
      <w:tr w14:paraId="5E2D5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79E9444">
            <w:pPr>
              <w:pStyle w:val="49"/>
              <w:rPr>
                <w:sz w:val="15"/>
                <w:szCs w:val="15"/>
              </w:rPr>
            </w:pPr>
            <w:r>
              <w:rPr>
                <w:sz w:val="15"/>
                <w:szCs w:val="15"/>
              </w:rPr>
              <w:t>B787-8</w:t>
            </w:r>
          </w:p>
        </w:tc>
        <w:tc>
          <w:tcPr>
            <w:tcW w:w="1028" w:type="dxa"/>
            <w:shd w:val="clear" w:color="auto" w:fill="auto"/>
            <w:vAlign w:val="center"/>
          </w:tcPr>
          <w:p w14:paraId="29F8302D">
            <w:pPr>
              <w:pStyle w:val="49"/>
              <w:rPr>
                <w:sz w:val="15"/>
                <w:szCs w:val="15"/>
              </w:rPr>
            </w:pPr>
            <w:r>
              <w:rPr>
                <w:sz w:val="15"/>
                <w:szCs w:val="15"/>
              </w:rPr>
              <w:t>327.8</w:t>
            </w:r>
          </w:p>
        </w:tc>
        <w:tc>
          <w:tcPr>
            <w:tcW w:w="1056" w:type="dxa"/>
            <w:shd w:val="clear" w:color="auto" w:fill="auto"/>
            <w:vAlign w:val="center"/>
          </w:tcPr>
          <w:p w14:paraId="2646EF83">
            <w:pPr>
              <w:pStyle w:val="49"/>
              <w:rPr>
                <w:sz w:val="15"/>
                <w:szCs w:val="15"/>
              </w:rPr>
            </w:pPr>
            <w:r>
              <w:rPr>
                <w:sz w:val="15"/>
                <w:szCs w:val="15"/>
              </w:rPr>
              <w:t>259.28</w:t>
            </w:r>
          </w:p>
        </w:tc>
        <w:tc>
          <w:tcPr>
            <w:tcW w:w="907" w:type="dxa"/>
            <w:shd w:val="clear" w:color="auto" w:fill="auto"/>
            <w:vAlign w:val="center"/>
          </w:tcPr>
          <w:p w14:paraId="5C8C9EF4">
            <w:pPr>
              <w:pStyle w:val="49"/>
              <w:rPr>
                <w:sz w:val="15"/>
                <w:szCs w:val="15"/>
              </w:rPr>
            </w:pPr>
            <w:r>
              <w:rPr>
                <w:sz w:val="15"/>
                <w:szCs w:val="15"/>
              </w:rPr>
              <w:t>254011</w:t>
            </w:r>
          </w:p>
        </w:tc>
        <w:tc>
          <w:tcPr>
            <w:tcW w:w="828" w:type="dxa"/>
            <w:vAlign w:val="center"/>
          </w:tcPr>
          <w:p w14:paraId="01B7568D">
            <w:pPr>
              <w:pStyle w:val="49"/>
              <w:rPr>
                <w:sz w:val="15"/>
                <w:szCs w:val="15"/>
              </w:rPr>
            </w:pPr>
            <w:r>
              <w:rPr>
                <w:sz w:val="15"/>
                <w:szCs w:val="15"/>
              </w:rPr>
              <w:t>0.000000</w:t>
            </w:r>
          </w:p>
        </w:tc>
        <w:tc>
          <w:tcPr>
            <w:tcW w:w="786" w:type="dxa"/>
            <w:vAlign w:val="center"/>
          </w:tcPr>
          <w:p w14:paraId="2DBF78CB">
            <w:pPr>
              <w:pStyle w:val="49"/>
              <w:rPr>
                <w:sz w:val="15"/>
                <w:szCs w:val="15"/>
              </w:rPr>
            </w:pPr>
            <w:r>
              <w:rPr>
                <w:sz w:val="15"/>
                <w:szCs w:val="15"/>
              </w:rPr>
              <w:t>0.009922</w:t>
            </w:r>
          </w:p>
        </w:tc>
        <w:tc>
          <w:tcPr>
            <w:tcW w:w="836" w:type="dxa"/>
            <w:vAlign w:val="center"/>
          </w:tcPr>
          <w:p w14:paraId="652DA1D2">
            <w:pPr>
              <w:pStyle w:val="49"/>
              <w:rPr>
                <w:sz w:val="15"/>
                <w:szCs w:val="15"/>
              </w:rPr>
            </w:pPr>
            <w:r>
              <w:rPr>
                <w:sz w:val="15"/>
                <w:szCs w:val="15"/>
              </w:rPr>
              <w:t>1.063683</w:t>
            </w:r>
          </w:p>
        </w:tc>
        <w:tc>
          <w:tcPr>
            <w:tcW w:w="925" w:type="dxa"/>
            <w:vAlign w:val="center"/>
          </w:tcPr>
          <w:p w14:paraId="54B3E8B4">
            <w:pPr>
              <w:pStyle w:val="49"/>
              <w:rPr>
                <w:sz w:val="15"/>
                <w:szCs w:val="15"/>
              </w:rPr>
            </w:pPr>
            <w:r>
              <w:rPr>
                <w:sz w:val="15"/>
                <w:szCs w:val="15"/>
              </w:rPr>
              <w:t>1.271343</w:t>
            </w:r>
          </w:p>
        </w:tc>
        <w:tc>
          <w:tcPr>
            <w:tcW w:w="872" w:type="dxa"/>
            <w:tcBorders>
              <w:right w:val="nil"/>
            </w:tcBorders>
            <w:vAlign w:val="center"/>
          </w:tcPr>
          <w:p w14:paraId="753B85AB">
            <w:pPr>
              <w:pStyle w:val="49"/>
              <w:rPr>
                <w:sz w:val="15"/>
                <w:szCs w:val="15"/>
              </w:rPr>
            </w:pPr>
            <w:r>
              <w:rPr>
                <w:sz w:val="15"/>
                <w:szCs w:val="15"/>
              </w:rPr>
              <w:t>72.911860</w:t>
            </w:r>
          </w:p>
        </w:tc>
      </w:tr>
      <w:tr w14:paraId="5A894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3C3F4CF1">
            <w:pPr>
              <w:pStyle w:val="49"/>
              <w:rPr>
                <w:sz w:val="15"/>
                <w:szCs w:val="15"/>
              </w:rPr>
            </w:pPr>
            <w:r>
              <w:rPr>
                <w:sz w:val="15"/>
                <w:szCs w:val="15"/>
              </w:rPr>
              <w:t>B787-9</w:t>
            </w:r>
          </w:p>
        </w:tc>
        <w:tc>
          <w:tcPr>
            <w:tcW w:w="1028" w:type="dxa"/>
            <w:shd w:val="clear" w:color="auto" w:fill="auto"/>
            <w:vAlign w:val="center"/>
          </w:tcPr>
          <w:p w14:paraId="700D59CE">
            <w:pPr>
              <w:pStyle w:val="49"/>
              <w:rPr>
                <w:sz w:val="15"/>
                <w:szCs w:val="15"/>
              </w:rPr>
            </w:pPr>
            <w:r>
              <w:rPr>
                <w:sz w:val="15"/>
                <w:szCs w:val="15"/>
              </w:rPr>
              <w:t>327.8</w:t>
            </w:r>
          </w:p>
        </w:tc>
        <w:tc>
          <w:tcPr>
            <w:tcW w:w="1056" w:type="dxa"/>
            <w:shd w:val="clear" w:color="auto" w:fill="auto"/>
            <w:vAlign w:val="center"/>
          </w:tcPr>
          <w:p w14:paraId="229941D2">
            <w:pPr>
              <w:pStyle w:val="49"/>
              <w:rPr>
                <w:sz w:val="15"/>
                <w:szCs w:val="15"/>
              </w:rPr>
            </w:pPr>
            <w:r>
              <w:rPr>
                <w:sz w:val="15"/>
                <w:szCs w:val="15"/>
              </w:rPr>
              <w:t>259.28</w:t>
            </w:r>
          </w:p>
        </w:tc>
        <w:tc>
          <w:tcPr>
            <w:tcW w:w="907" w:type="dxa"/>
            <w:shd w:val="clear" w:color="auto" w:fill="auto"/>
            <w:vAlign w:val="center"/>
          </w:tcPr>
          <w:p w14:paraId="4A8214E4">
            <w:pPr>
              <w:pStyle w:val="49"/>
              <w:rPr>
                <w:sz w:val="15"/>
                <w:szCs w:val="15"/>
              </w:rPr>
            </w:pPr>
            <w:r>
              <w:rPr>
                <w:sz w:val="15"/>
                <w:szCs w:val="15"/>
              </w:rPr>
              <w:t>254011</w:t>
            </w:r>
          </w:p>
        </w:tc>
        <w:tc>
          <w:tcPr>
            <w:tcW w:w="828" w:type="dxa"/>
            <w:vAlign w:val="center"/>
          </w:tcPr>
          <w:p w14:paraId="394AE10E">
            <w:pPr>
              <w:pStyle w:val="49"/>
              <w:rPr>
                <w:sz w:val="15"/>
                <w:szCs w:val="15"/>
              </w:rPr>
            </w:pPr>
            <w:r>
              <w:rPr>
                <w:sz w:val="15"/>
                <w:szCs w:val="15"/>
              </w:rPr>
              <w:t>0.000000</w:t>
            </w:r>
          </w:p>
        </w:tc>
        <w:tc>
          <w:tcPr>
            <w:tcW w:w="786" w:type="dxa"/>
            <w:vAlign w:val="center"/>
          </w:tcPr>
          <w:p w14:paraId="574873CE">
            <w:pPr>
              <w:pStyle w:val="49"/>
              <w:rPr>
                <w:sz w:val="15"/>
                <w:szCs w:val="15"/>
              </w:rPr>
            </w:pPr>
            <w:r>
              <w:rPr>
                <w:sz w:val="15"/>
                <w:szCs w:val="15"/>
              </w:rPr>
              <w:t>0.009922</w:t>
            </w:r>
          </w:p>
        </w:tc>
        <w:tc>
          <w:tcPr>
            <w:tcW w:w="836" w:type="dxa"/>
            <w:vAlign w:val="center"/>
          </w:tcPr>
          <w:p w14:paraId="287B0510">
            <w:pPr>
              <w:pStyle w:val="49"/>
              <w:rPr>
                <w:sz w:val="15"/>
                <w:szCs w:val="15"/>
              </w:rPr>
            </w:pPr>
            <w:r>
              <w:rPr>
                <w:sz w:val="15"/>
                <w:szCs w:val="15"/>
              </w:rPr>
              <w:t>1.063683</w:t>
            </w:r>
          </w:p>
        </w:tc>
        <w:tc>
          <w:tcPr>
            <w:tcW w:w="925" w:type="dxa"/>
            <w:vAlign w:val="center"/>
          </w:tcPr>
          <w:p w14:paraId="1E78C251">
            <w:pPr>
              <w:pStyle w:val="49"/>
              <w:rPr>
                <w:sz w:val="15"/>
                <w:szCs w:val="15"/>
              </w:rPr>
            </w:pPr>
            <w:r>
              <w:rPr>
                <w:sz w:val="15"/>
                <w:szCs w:val="15"/>
              </w:rPr>
              <w:t>1.271343</w:t>
            </w:r>
          </w:p>
        </w:tc>
        <w:tc>
          <w:tcPr>
            <w:tcW w:w="872" w:type="dxa"/>
            <w:tcBorders>
              <w:right w:val="nil"/>
            </w:tcBorders>
            <w:vAlign w:val="center"/>
          </w:tcPr>
          <w:p w14:paraId="4DBDC134">
            <w:pPr>
              <w:pStyle w:val="49"/>
              <w:rPr>
                <w:sz w:val="15"/>
                <w:szCs w:val="15"/>
              </w:rPr>
            </w:pPr>
            <w:r>
              <w:rPr>
                <w:sz w:val="15"/>
                <w:szCs w:val="15"/>
              </w:rPr>
              <w:t>72.911860</w:t>
            </w:r>
          </w:p>
        </w:tc>
      </w:tr>
      <w:tr w14:paraId="64E42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D15DF5F">
            <w:pPr>
              <w:pStyle w:val="49"/>
              <w:rPr>
                <w:sz w:val="15"/>
                <w:szCs w:val="15"/>
              </w:rPr>
            </w:pPr>
          </w:p>
        </w:tc>
        <w:tc>
          <w:tcPr>
            <w:tcW w:w="1028" w:type="dxa"/>
            <w:shd w:val="clear" w:color="auto" w:fill="auto"/>
            <w:vAlign w:val="center"/>
          </w:tcPr>
          <w:p w14:paraId="6AE4C28B">
            <w:pPr>
              <w:pStyle w:val="49"/>
              <w:rPr>
                <w:sz w:val="15"/>
                <w:szCs w:val="15"/>
              </w:rPr>
            </w:pPr>
          </w:p>
        </w:tc>
        <w:tc>
          <w:tcPr>
            <w:tcW w:w="1056" w:type="dxa"/>
            <w:shd w:val="clear" w:color="auto" w:fill="auto"/>
            <w:vAlign w:val="center"/>
          </w:tcPr>
          <w:p w14:paraId="08E5713A">
            <w:pPr>
              <w:pStyle w:val="49"/>
              <w:rPr>
                <w:sz w:val="15"/>
                <w:szCs w:val="15"/>
              </w:rPr>
            </w:pPr>
          </w:p>
        </w:tc>
        <w:tc>
          <w:tcPr>
            <w:tcW w:w="907" w:type="dxa"/>
            <w:shd w:val="clear" w:color="auto" w:fill="auto"/>
            <w:vAlign w:val="center"/>
          </w:tcPr>
          <w:p w14:paraId="5CE513CA">
            <w:pPr>
              <w:pStyle w:val="49"/>
              <w:rPr>
                <w:sz w:val="15"/>
                <w:szCs w:val="15"/>
              </w:rPr>
            </w:pPr>
          </w:p>
        </w:tc>
        <w:tc>
          <w:tcPr>
            <w:tcW w:w="828" w:type="dxa"/>
            <w:vAlign w:val="center"/>
          </w:tcPr>
          <w:p w14:paraId="446157CE">
            <w:pPr>
              <w:pStyle w:val="49"/>
              <w:rPr>
                <w:sz w:val="15"/>
                <w:szCs w:val="15"/>
              </w:rPr>
            </w:pPr>
          </w:p>
        </w:tc>
        <w:tc>
          <w:tcPr>
            <w:tcW w:w="786" w:type="dxa"/>
            <w:vAlign w:val="center"/>
          </w:tcPr>
          <w:p w14:paraId="2778043B">
            <w:pPr>
              <w:pStyle w:val="49"/>
              <w:rPr>
                <w:sz w:val="15"/>
                <w:szCs w:val="15"/>
              </w:rPr>
            </w:pPr>
          </w:p>
        </w:tc>
        <w:tc>
          <w:tcPr>
            <w:tcW w:w="836" w:type="dxa"/>
            <w:vAlign w:val="center"/>
          </w:tcPr>
          <w:p w14:paraId="6F8196B5">
            <w:pPr>
              <w:pStyle w:val="49"/>
              <w:rPr>
                <w:sz w:val="15"/>
                <w:szCs w:val="15"/>
              </w:rPr>
            </w:pPr>
          </w:p>
        </w:tc>
        <w:tc>
          <w:tcPr>
            <w:tcW w:w="925" w:type="dxa"/>
            <w:vAlign w:val="center"/>
          </w:tcPr>
          <w:p w14:paraId="77E31974">
            <w:pPr>
              <w:pStyle w:val="49"/>
              <w:rPr>
                <w:sz w:val="15"/>
                <w:szCs w:val="15"/>
              </w:rPr>
            </w:pPr>
          </w:p>
        </w:tc>
        <w:tc>
          <w:tcPr>
            <w:tcW w:w="872" w:type="dxa"/>
            <w:tcBorders>
              <w:right w:val="nil"/>
            </w:tcBorders>
            <w:vAlign w:val="center"/>
          </w:tcPr>
          <w:p w14:paraId="441CF7CB">
            <w:pPr>
              <w:pStyle w:val="49"/>
              <w:rPr>
                <w:sz w:val="15"/>
                <w:szCs w:val="15"/>
              </w:rPr>
            </w:pPr>
          </w:p>
        </w:tc>
      </w:tr>
      <w:tr w14:paraId="0DD2C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0020E0C6">
            <w:pPr>
              <w:pStyle w:val="49"/>
              <w:rPr>
                <w:sz w:val="15"/>
                <w:szCs w:val="15"/>
              </w:rPr>
            </w:pPr>
            <w:r>
              <w:rPr>
                <w:sz w:val="15"/>
                <w:szCs w:val="15"/>
              </w:rPr>
              <w:t>Bombardier CRJ200ER</w:t>
            </w:r>
          </w:p>
        </w:tc>
        <w:tc>
          <w:tcPr>
            <w:tcW w:w="1028" w:type="dxa"/>
            <w:shd w:val="clear" w:color="auto" w:fill="auto"/>
            <w:vAlign w:val="center"/>
          </w:tcPr>
          <w:p w14:paraId="5C9C7C83">
            <w:pPr>
              <w:pStyle w:val="49"/>
              <w:rPr>
                <w:sz w:val="15"/>
                <w:szCs w:val="15"/>
              </w:rPr>
            </w:pPr>
            <w:r>
              <w:rPr>
                <w:sz w:val="15"/>
                <w:szCs w:val="15"/>
              </w:rPr>
              <w:t>268.54</w:t>
            </w:r>
          </w:p>
        </w:tc>
        <w:tc>
          <w:tcPr>
            <w:tcW w:w="1056" w:type="dxa"/>
            <w:shd w:val="clear" w:color="auto" w:fill="auto"/>
            <w:vAlign w:val="center"/>
          </w:tcPr>
          <w:p w14:paraId="1F89C816">
            <w:pPr>
              <w:pStyle w:val="49"/>
              <w:rPr>
                <w:sz w:val="15"/>
                <w:szCs w:val="15"/>
              </w:rPr>
            </w:pPr>
            <w:r>
              <w:rPr>
                <w:sz w:val="15"/>
                <w:szCs w:val="15"/>
              </w:rPr>
              <w:t>250.02</w:t>
            </w:r>
          </w:p>
        </w:tc>
        <w:tc>
          <w:tcPr>
            <w:tcW w:w="907" w:type="dxa"/>
            <w:shd w:val="clear" w:color="auto" w:fill="auto"/>
            <w:vAlign w:val="center"/>
          </w:tcPr>
          <w:p w14:paraId="64CCAE18">
            <w:pPr>
              <w:pStyle w:val="49"/>
              <w:rPr>
                <w:sz w:val="15"/>
                <w:szCs w:val="15"/>
              </w:rPr>
            </w:pPr>
            <w:r>
              <w:rPr>
                <w:sz w:val="15"/>
                <w:szCs w:val="15"/>
              </w:rPr>
              <w:t>24041</w:t>
            </w:r>
          </w:p>
        </w:tc>
        <w:tc>
          <w:tcPr>
            <w:tcW w:w="828" w:type="dxa"/>
            <w:vAlign w:val="center"/>
          </w:tcPr>
          <w:p w14:paraId="11C149F3">
            <w:pPr>
              <w:pStyle w:val="49"/>
              <w:rPr>
                <w:sz w:val="15"/>
                <w:szCs w:val="15"/>
              </w:rPr>
            </w:pPr>
            <w:r>
              <w:rPr>
                <w:sz w:val="15"/>
                <w:szCs w:val="15"/>
              </w:rPr>
              <w:t>0.001391</w:t>
            </w:r>
          </w:p>
        </w:tc>
        <w:tc>
          <w:tcPr>
            <w:tcW w:w="786" w:type="dxa"/>
            <w:vAlign w:val="center"/>
          </w:tcPr>
          <w:p w14:paraId="5E5B5DA4">
            <w:pPr>
              <w:pStyle w:val="49"/>
              <w:rPr>
                <w:sz w:val="15"/>
                <w:szCs w:val="15"/>
              </w:rPr>
            </w:pPr>
            <w:r>
              <w:rPr>
                <w:sz w:val="15"/>
                <w:szCs w:val="15"/>
              </w:rPr>
              <w:t>0.000000</w:t>
            </w:r>
          </w:p>
        </w:tc>
        <w:tc>
          <w:tcPr>
            <w:tcW w:w="836" w:type="dxa"/>
            <w:vAlign w:val="center"/>
          </w:tcPr>
          <w:p w14:paraId="113777CF">
            <w:pPr>
              <w:pStyle w:val="49"/>
              <w:rPr>
                <w:sz w:val="15"/>
                <w:szCs w:val="15"/>
              </w:rPr>
            </w:pPr>
            <w:r>
              <w:rPr>
                <w:sz w:val="15"/>
                <w:szCs w:val="15"/>
              </w:rPr>
              <w:t>0.261474</w:t>
            </w:r>
          </w:p>
        </w:tc>
        <w:tc>
          <w:tcPr>
            <w:tcW w:w="925" w:type="dxa"/>
            <w:vAlign w:val="center"/>
          </w:tcPr>
          <w:p w14:paraId="2993521C">
            <w:pPr>
              <w:pStyle w:val="49"/>
              <w:rPr>
                <w:sz w:val="15"/>
                <w:szCs w:val="15"/>
              </w:rPr>
            </w:pPr>
            <w:r>
              <w:rPr>
                <w:sz w:val="15"/>
                <w:szCs w:val="15"/>
              </w:rPr>
              <w:t>4.835420</w:t>
            </w:r>
          </w:p>
        </w:tc>
        <w:tc>
          <w:tcPr>
            <w:tcW w:w="872" w:type="dxa"/>
            <w:tcBorders>
              <w:right w:val="nil"/>
            </w:tcBorders>
            <w:vAlign w:val="center"/>
          </w:tcPr>
          <w:p w14:paraId="3327FCE8">
            <w:pPr>
              <w:pStyle w:val="49"/>
              <w:rPr>
                <w:sz w:val="15"/>
                <w:szCs w:val="15"/>
              </w:rPr>
            </w:pPr>
            <w:r>
              <w:rPr>
                <w:sz w:val="15"/>
                <w:szCs w:val="15"/>
              </w:rPr>
              <w:t>73.249884</w:t>
            </w:r>
          </w:p>
        </w:tc>
      </w:tr>
      <w:tr w14:paraId="017EC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EC66C59">
            <w:pPr>
              <w:pStyle w:val="49"/>
              <w:rPr>
                <w:sz w:val="15"/>
                <w:szCs w:val="15"/>
              </w:rPr>
            </w:pPr>
            <w:r>
              <w:rPr>
                <w:sz w:val="15"/>
                <w:szCs w:val="15"/>
              </w:rPr>
              <w:t>Canadair</w:t>
            </w:r>
            <w:r>
              <w:rPr>
                <w:rFonts w:hint="eastAsia"/>
                <w:sz w:val="15"/>
                <w:szCs w:val="15"/>
              </w:rPr>
              <w:t xml:space="preserve"> </w:t>
            </w:r>
            <w:r>
              <w:rPr>
                <w:sz w:val="15"/>
                <w:szCs w:val="15"/>
              </w:rPr>
              <w:t>Regional Jet 900</w:t>
            </w:r>
          </w:p>
        </w:tc>
        <w:tc>
          <w:tcPr>
            <w:tcW w:w="1028" w:type="dxa"/>
            <w:shd w:val="clear" w:color="auto" w:fill="auto"/>
            <w:vAlign w:val="center"/>
          </w:tcPr>
          <w:p w14:paraId="18B06D5B">
            <w:pPr>
              <w:pStyle w:val="49"/>
              <w:rPr>
                <w:sz w:val="15"/>
                <w:szCs w:val="15"/>
              </w:rPr>
            </w:pPr>
            <w:r>
              <w:rPr>
                <w:sz w:val="15"/>
                <w:szCs w:val="15"/>
              </w:rPr>
              <w:t>268.54</w:t>
            </w:r>
          </w:p>
        </w:tc>
        <w:tc>
          <w:tcPr>
            <w:tcW w:w="1056" w:type="dxa"/>
            <w:shd w:val="clear" w:color="auto" w:fill="auto"/>
            <w:vAlign w:val="center"/>
          </w:tcPr>
          <w:p w14:paraId="3A568973">
            <w:pPr>
              <w:pStyle w:val="49"/>
              <w:rPr>
                <w:sz w:val="15"/>
                <w:szCs w:val="15"/>
              </w:rPr>
            </w:pPr>
            <w:r>
              <w:rPr>
                <w:sz w:val="15"/>
                <w:szCs w:val="15"/>
              </w:rPr>
              <w:t>253.72</w:t>
            </w:r>
          </w:p>
        </w:tc>
        <w:tc>
          <w:tcPr>
            <w:tcW w:w="907" w:type="dxa"/>
            <w:shd w:val="clear" w:color="auto" w:fill="auto"/>
            <w:vAlign w:val="center"/>
          </w:tcPr>
          <w:p w14:paraId="4401FBDB">
            <w:pPr>
              <w:pStyle w:val="49"/>
              <w:rPr>
                <w:sz w:val="15"/>
                <w:szCs w:val="15"/>
              </w:rPr>
            </w:pPr>
            <w:r>
              <w:rPr>
                <w:sz w:val="15"/>
                <w:szCs w:val="15"/>
              </w:rPr>
              <w:t>24041</w:t>
            </w:r>
          </w:p>
        </w:tc>
        <w:tc>
          <w:tcPr>
            <w:tcW w:w="828" w:type="dxa"/>
            <w:vAlign w:val="center"/>
          </w:tcPr>
          <w:p w14:paraId="687ABACD">
            <w:pPr>
              <w:pStyle w:val="49"/>
              <w:rPr>
                <w:sz w:val="15"/>
                <w:szCs w:val="15"/>
              </w:rPr>
            </w:pPr>
            <w:r>
              <w:rPr>
                <w:sz w:val="15"/>
                <w:szCs w:val="15"/>
              </w:rPr>
              <w:t>0.000463</w:t>
            </w:r>
          </w:p>
        </w:tc>
        <w:tc>
          <w:tcPr>
            <w:tcW w:w="786" w:type="dxa"/>
            <w:vAlign w:val="center"/>
          </w:tcPr>
          <w:p w14:paraId="05B19653">
            <w:pPr>
              <w:pStyle w:val="49"/>
              <w:rPr>
                <w:sz w:val="15"/>
                <w:szCs w:val="15"/>
              </w:rPr>
            </w:pPr>
            <w:r>
              <w:rPr>
                <w:sz w:val="15"/>
                <w:szCs w:val="15"/>
              </w:rPr>
              <w:t>0.014819</w:t>
            </w:r>
          </w:p>
        </w:tc>
        <w:tc>
          <w:tcPr>
            <w:tcW w:w="836" w:type="dxa"/>
            <w:vAlign w:val="center"/>
          </w:tcPr>
          <w:p w14:paraId="341234A1">
            <w:pPr>
              <w:pStyle w:val="49"/>
              <w:rPr>
                <w:sz w:val="15"/>
                <w:szCs w:val="15"/>
              </w:rPr>
            </w:pPr>
            <w:r>
              <w:rPr>
                <w:sz w:val="15"/>
                <w:szCs w:val="15"/>
              </w:rPr>
              <w:t>0.340131</w:t>
            </w:r>
          </w:p>
        </w:tc>
        <w:tc>
          <w:tcPr>
            <w:tcW w:w="925" w:type="dxa"/>
            <w:vAlign w:val="center"/>
          </w:tcPr>
          <w:p w14:paraId="7DF5C496">
            <w:pPr>
              <w:pStyle w:val="49"/>
              <w:rPr>
                <w:sz w:val="15"/>
                <w:szCs w:val="15"/>
              </w:rPr>
            </w:pPr>
            <w:r>
              <w:rPr>
                <w:sz w:val="15"/>
                <w:szCs w:val="15"/>
              </w:rPr>
              <w:t>0.624859</w:t>
            </w:r>
          </w:p>
        </w:tc>
        <w:tc>
          <w:tcPr>
            <w:tcW w:w="872" w:type="dxa"/>
            <w:tcBorders>
              <w:right w:val="nil"/>
            </w:tcBorders>
            <w:vAlign w:val="center"/>
          </w:tcPr>
          <w:p w14:paraId="1710E55F">
            <w:pPr>
              <w:pStyle w:val="49"/>
              <w:rPr>
                <w:sz w:val="15"/>
                <w:szCs w:val="15"/>
              </w:rPr>
            </w:pPr>
            <w:r>
              <w:rPr>
                <w:sz w:val="15"/>
                <w:szCs w:val="15"/>
              </w:rPr>
              <w:t>73.166412</w:t>
            </w:r>
          </w:p>
        </w:tc>
      </w:tr>
      <w:tr w14:paraId="43439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6760FD77">
            <w:pPr>
              <w:pStyle w:val="49"/>
              <w:rPr>
                <w:sz w:val="15"/>
                <w:szCs w:val="15"/>
              </w:rPr>
            </w:pPr>
            <w:r>
              <w:rPr>
                <w:sz w:val="15"/>
                <w:szCs w:val="15"/>
              </w:rPr>
              <w:t>Comac ARJ21-700</w:t>
            </w:r>
          </w:p>
        </w:tc>
        <w:tc>
          <w:tcPr>
            <w:tcW w:w="1028" w:type="dxa"/>
            <w:shd w:val="clear" w:color="auto" w:fill="auto"/>
            <w:vAlign w:val="center"/>
          </w:tcPr>
          <w:p w14:paraId="566AD8B3">
            <w:pPr>
              <w:pStyle w:val="49"/>
              <w:rPr>
                <w:sz w:val="15"/>
                <w:szCs w:val="15"/>
              </w:rPr>
            </w:pPr>
            <w:r>
              <w:rPr>
                <w:sz w:val="15"/>
                <w:szCs w:val="15"/>
              </w:rPr>
              <w:t>290.76</w:t>
            </w:r>
          </w:p>
        </w:tc>
        <w:tc>
          <w:tcPr>
            <w:tcW w:w="1056" w:type="dxa"/>
            <w:shd w:val="clear" w:color="auto" w:fill="auto"/>
            <w:vAlign w:val="center"/>
          </w:tcPr>
          <w:p w14:paraId="43E02D33">
            <w:pPr>
              <w:pStyle w:val="49"/>
              <w:rPr>
                <w:sz w:val="15"/>
                <w:szCs w:val="15"/>
              </w:rPr>
            </w:pPr>
            <w:r>
              <w:rPr>
                <w:sz w:val="15"/>
                <w:szCs w:val="15"/>
              </w:rPr>
              <w:t>259.28</w:t>
            </w:r>
          </w:p>
        </w:tc>
        <w:tc>
          <w:tcPr>
            <w:tcW w:w="907" w:type="dxa"/>
            <w:shd w:val="clear" w:color="auto" w:fill="auto"/>
            <w:vAlign w:val="center"/>
          </w:tcPr>
          <w:p w14:paraId="5136BBB8">
            <w:pPr>
              <w:pStyle w:val="49"/>
              <w:rPr>
                <w:sz w:val="15"/>
                <w:szCs w:val="15"/>
              </w:rPr>
            </w:pPr>
            <w:r>
              <w:rPr>
                <w:sz w:val="15"/>
                <w:szCs w:val="15"/>
              </w:rPr>
              <w:t>43500</w:t>
            </w:r>
          </w:p>
        </w:tc>
        <w:tc>
          <w:tcPr>
            <w:tcW w:w="828" w:type="dxa"/>
            <w:vAlign w:val="center"/>
          </w:tcPr>
          <w:p w14:paraId="5EA27E02">
            <w:pPr>
              <w:pStyle w:val="49"/>
              <w:rPr>
                <w:sz w:val="15"/>
                <w:szCs w:val="15"/>
              </w:rPr>
            </w:pPr>
            <w:r>
              <w:rPr>
                <w:sz w:val="15"/>
                <w:szCs w:val="15"/>
              </w:rPr>
              <w:t>0.000000</w:t>
            </w:r>
          </w:p>
        </w:tc>
        <w:tc>
          <w:tcPr>
            <w:tcW w:w="786" w:type="dxa"/>
            <w:vAlign w:val="center"/>
          </w:tcPr>
          <w:p w14:paraId="7EA749F4">
            <w:pPr>
              <w:pStyle w:val="49"/>
              <w:rPr>
                <w:sz w:val="15"/>
                <w:szCs w:val="15"/>
              </w:rPr>
            </w:pPr>
            <w:r>
              <w:rPr>
                <w:sz w:val="15"/>
                <w:szCs w:val="15"/>
              </w:rPr>
              <w:t>0.009922</w:t>
            </w:r>
          </w:p>
        </w:tc>
        <w:tc>
          <w:tcPr>
            <w:tcW w:w="836" w:type="dxa"/>
            <w:vAlign w:val="center"/>
          </w:tcPr>
          <w:p w14:paraId="05E6CC6C">
            <w:pPr>
              <w:pStyle w:val="49"/>
              <w:rPr>
                <w:sz w:val="15"/>
                <w:szCs w:val="15"/>
              </w:rPr>
            </w:pPr>
            <w:r>
              <w:rPr>
                <w:sz w:val="15"/>
                <w:szCs w:val="15"/>
              </w:rPr>
              <w:t>1.063683</w:t>
            </w:r>
          </w:p>
        </w:tc>
        <w:tc>
          <w:tcPr>
            <w:tcW w:w="925" w:type="dxa"/>
            <w:vAlign w:val="center"/>
          </w:tcPr>
          <w:p w14:paraId="5664722E">
            <w:pPr>
              <w:pStyle w:val="49"/>
              <w:rPr>
                <w:sz w:val="15"/>
                <w:szCs w:val="15"/>
              </w:rPr>
            </w:pPr>
            <w:r>
              <w:rPr>
                <w:sz w:val="15"/>
                <w:szCs w:val="15"/>
              </w:rPr>
              <w:t>1.271343</w:t>
            </w:r>
          </w:p>
        </w:tc>
        <w:tc>
          <w:tcPr>
            <w:tcW w:w="872" w:type="dxa"/>
            <w:tcBorders>
              <w:right w:val="nil"/>
            </w:tcBorders>
            <w:vAlign w:val="center"/>
          </w:tcPr>
          <w:p w14:paraId="35FECE47">
            <w:pPr>
              <w:pStyle w:val="49"/>
              <w:rPr>
                <w:sz w:val="15"/>
                <w:szCs w:val="15"/>
              </w:rPr>
            </w:pPr>
            <w:r>
              <w:rPr>
                <w:sz w:val="15"/>
                <w:szCs w:val="15"/>
              </w:rPr>
              <w:t>72.911860</w:t>
            </w:r>
          </w:p>
        </w:tc>
      </w:tr>
      <w:tr w14:paraId="55FA4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0BBFEDE7">
            <w:pPr>
              <w:pStyle w:val="49"/>
              <w:rPr>
                <w:sz w:val="15"/>
                <w:szCs w:val="15"/>
              </w:rPr>
            </w:pPr>
            <w:r>
              <w:rPr>
                <w:sz w:val="15"/>
                <w:szCs w:val="15"/>
              </w:rPr>
              <w:t>Embraer 190</w:t>
            </w:r>
          </w:p>
        </w:tc>
        <w:tc>
          <w:tcPr>
            <w:tcW w:w="1028" w:type="dxa"/>
            <w:shd w:val="clear" w:color="auto" w:fill="auto"/>
            <w:vAlign w:val="center"/>
          </w:tcPr>
          <w:p w14:paraId="1DE673AC">
            <w:pPr>
              <w:pStyle w:val="49"/>
              <w:rPr>
                <w:sz w:val="15"/>
                <w:szCs w:val="15"/>
              </w:rPr>
            </w:pPr>
            <w:r>
              <w:rPr>
                <w:sz w:val="15"/>
                <w:szCs w:val="15"/>
              </w:rPr>
              <w:t>268.54</w:t>
            </w:r>
          </w:p>
        </w:tc>
        <w:tc>
          <w:tcPr>
            <w:tcW w:w="1056" w:type="dxa"/>
            <w:shd w:val="clear" w:color="auto" w:fill="auto"/>
            <w:vAlign w:val="center"/>
          </w:tcPr>
          <w:p w14:paraId="1AA8B2AA">
            <w:pPr>
              <w:pStyle w:val="49"/>
              <w:rPr>
                <w:sz w:val="15"/>
                <w:szCs w:val="15"/>
              </w:rPr>
            </w:pPr>
            <w:r>
              <w:rPr>
                <w:sz w:val="15"/>
                <w:szCs w:val="15"/>
              </w:rPr>
              <w:t>253.72</w:t>
            </w:r>
          </w:p>
        </w:tc>
        <w:tc>
          <w:tcPr>
            <w:tcW w:w="907" w:type="dxa"/>
            <w:shd w:val="clear" w:color="auto" w:fill="auto"/>
            <w:vAlign w:val="center"/>
          </w:tcPr>
          <w:p w14:paraId="23DEEA70">
            <w:pPr>
              <w:pStyle w:val="49"/>
              <w:rPr>
                <w:sz w:val="15"/>
                <w:szCs w:val="15"/>
              </w:rPr>
            </w:pPr>
            <w:r>
              <w:rPr>
                <w:rFonts w:hint="eastAsia"/>
                <w:sz w:val="15"/>
                <w:szCs w:val="15"/>
              </w:rPr>
              <w:t>51800</w:t>
            </w:r>
          </w:p>
        </w:tc>
        <w:tc>
          <w:tcPr>
            <w:tcW w:w="828" w:type="dxa"/>
            <w:vAlign w:val="center"/>
          </w:tcPr>
          <w:p w14:paraId="1CB68839">
            <w:pPr>
              <w:pStyle w:val="49"/>
              <w:rPr>
                <w:sz w:val="15"/>
                <w:szCs w:val="15"/>
              </w:rPr>
            </w:pPr>
            <w:r>
              <w:rPr>
                <w:sz w:val="15"/>
                <w:szCs w:val="15"/>
              </w:rPr>
              <w:t>0.001625</w:t>
            </w:r>
          </w:p>
        </w:tc>
        <w:tc>
          <w:tcPr>
            <w:tcW w:w="786" w:type="dxa"/>
            <w:vAlign w:val="center"/>
          </w:tcPr>
          <w:p w14:paraId="16A129C5">
            <w:pPr>
              <w:pStyle w:val="49"/>
              <w:rPr>
                <w:sz w:val="15"/>
                <w:szCs w:val="15"/>
              </w:rPr>
            </w:pPr>
            <w:r>
              <w:rPr>
                <w:sz w:val="15"/>
                <w:szCs w:val="15"/>
              </w:rPr>
              <w:t>0.018802</w:t>
            </w:r>
          </w:p>
        </w:tc>
        <w:tc>
          <w:tcPr>
            <w:tcW w:w="836" w:type="dxa"/>
            <w:vAlign w:val="center"/>
          </w:tcPr>
          <w:p w14:paraId="4010B01C">
            <w:pPr>
              <w:pStyle w:val="49"/>
              <w:rPr>
                <w:sz w:val="15"/>
                <w:szCs w:val="15"/>
              </w:rPr>
            </w:pPr>
            <w:r>
              <w:rPr>
                <w:sz w:val="15"/>
                <w:szCs w:val="15"/>
              </w:rPr>
              <w:t>0.412721</w:t>
            </w:r>
          </w:p>
        </w:tc>
        <w:tc>
          <w:tcPr>
            <w:tcW w:w="925" w:type="dxa"/>
            <w:vAlign w:val="center"/>
          </w:tcPr>
          <w:p w14:paraId="7ADCA8E5">
            <w:pPr>
              <w:pStyle w:val="49"/>
              <w:rPr>
                <w:sz w:val="15"/>
                <w:szCs w:val="15"/>
              </w:rPr>
            </w:pPr>
            <w:r>
              <w:rPr>
                <w:sz w:val="15"/>
                <w:szCs w:val="15"/>
              </w:rPr>
              <w:t>1.207057</w:t>
            </w:r>
          </w:p>
        </w:tc>
        <w:tc>
          <w:tcPr>
            <w:tcW w:w="872" w:type="dxa"/>
            <w:tcBorders>
              <w:right w:val="nil"/>
            </w:tcBorders>
            <w:vAlign w:val="center"/>
          </w:tcPr>
          <w:p w14:paraId="15550895">
            <w:pPr>
              <w:pStyle w:val="49"/>
              <w:rPr>
                <w:sz w:val="15"/>
                <w:szCs w:val="15"/>
              </w:rPr>
            </w:pPr>
            <w:r>
              <w:rPr>
                <w:sz w:val="15"/>
                <w:szCs w:val="15"/>
              </w:rPr>
              <w:t>73.351903</w:t>
            </w:r>
          </w:p>
        </w:tc>
      </w:tr>
      <w:tr w14:paraId="3E05D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17F00828">
            <w:pPr>
              <w:pStyle w:val="49"/>
              <w:rPr>
                <w:sz w:val="15"/>
                <w:szCs w:val="15"/>
              </w:rPr>
            </w:pPr>
            <w:r>
              <w:rPr>
                <w:sz w:val="15"/>
                <w:szCs w:val="15"/>
              </w:rPr>
              <w:t>Embraer 195</w:t>
            </w:r>
          </w:p>
        </w:tc>
        <w:tc>
          <w:tcPr>
            <w:tcW w:w="1028" w:type="dxa"/>
            <w:shd w:val="clear" w:color="auto" w:fill="auto"/>
            <w:vAlign w:val="center"/>
          </w:tcPr>
          <w:p w14:paraId="21C36E74">
            <w:pPr>
              <w:pStyle w:val="49"/>
              <w:rPr>
                <w:sz w:val="15"/>
                <w:szCs w:val="15"/>
              </w:rPr>
            </w:pPr>
            <w:r>
              <w:rPr>
                <w:sz w:val="15"/>
                <w:szCs w:val="15"/>
              </w:rPr>
              <w:t>268.54</w:t>
            </w:r>
          </w:p>
        </w:tc>
        <w:tc>
          <w:tcPr>
            <w:tcW w:w="1056" w:type="dxa"/>
            <w:shd w:val="clear" w:color="auto" w:fill="auto"/>
            <w:vAlign w:val="center"/>
          </w:tcPr>
          <w:p w14:paraId="182F398A">
            <w:pPr>
              <w:pStyle w:val="49"/>
              <w:rPr>
                <w:sz w:val="15"/>
                <w:szCs w:val="15"/>
              </w:rPr>
            </w:pPr>
            <w:r>
              <w:rPr>
                <w:sz w:val="15"/>
                <w:szCs w:val="15"/>
              </w:rPr>
              <w:t>253.72</w:t>
            </w:r>
          </w:p>
        </w:tc>
        <w:tc>
          <w:tcPr>
            <w:tcW w:w="907" w:type="dxa"/>
            <w:shd w:val="clear" w:color="auto" w:fill="auto"/>
            <w:vAlign w:val="center"/>
          </w:tcPr>
          <w:p w14:paraId="48F39B57">
            <w:pPr>
              <w:pStyle w:val="49"/>
              <w:rPr>
                <w:sz w:val="15"/>
                <w:szCs w:val="15"/>
              </w:rPr>
            </w:pPr>
            <w:r>
              <w:rPr>
                <w:sz w:val="15"/>
                <w:szCs w:val="15"/>
              </w:rPr>
              <w:t>52290</w:t>
            </w:r>
          </w:p>
        </w:tc>
        <w:tc>
          <w:tcPr>
            <w:tcW w:w="828" w:type="dxa"/>
            <w:vAlign w:val="center"/>
          </w:tcPr>
          <w:p w14:paraId="203E85A7">
            <w:pPr>
              <w:pStyle w:val="49"/>
              <w:rPr>
                <w:sz w:val="15"/>
                <w:szCs w:val="15"/>
              </w:rPr>
            </w:pPr>
            <w:r>
              <w:rPr>
                <w:sz w:val="15"/>
                <w:szCs w:val="15"/>
              </w:rPr>
              <w:t>0.001161</w:t>
            </w:r>
          </w:p>
        </w:tc>
        <w:tc>
          <w:tcPr>
            <w:tcW w:w="786" w:type="dxa"/>
            <w:vAlign w:val="center"/>
          </w:tcPr>
          <w:p w14:paraId="419CAD64">
            <w:pPr>
              <w:pStyle w:val="49"/>
              <w:rPr>
                <w:sz w:val="15"/>
                <w:szCs w:val="15"/>
              </w:rPr>
            </w:pPr>
            <w:r>
              <w:rPr>
                <w:sz w:val="15"/>
                <w:szCs w:val="15"/>
              </w:rPr>
              <w:t>0.013695</w:t>
            </w:r>
          </w:p>
        </w:tc>
        <w:tc>
          <w:tcPr>
            <w:tcW w:w="836" w:type="dxa"/>
            <w:vAlign w:val="center"/>
          </w:tcPr>
          <w:p w14:paraId="42DC572B">
            <w:pPr>
              <w:pStyle w:val="49"/>
              <w:rPr>
                <w:sz w:val="15"/>
                <w:szCs w:val="15"/>
              </w:rPr>
            </w:pPr>
            <w:r>
              <w:rPr>
                <w:sz w:val="15"/>
                <w:szCs w:val="15"/>
              </w:rPr>
              <w:t>0.433148</w:t>
            </w:r>
          </w:p>
        </w:tc>
        <w:tc>
          <w:tcPr>
            <w:tcW w:w="925" w:type="dxa"/>
            <w:vAlign w:val="center"/>
          </w:tcPr>
          <w:p w14:paraId="374F40C2">
            <w:pPr>
              <w:pStyle w:val="49"/>
              <w:rPr>
                <w:sz w:val="15"/>
                <w:szCs w:val="15"/>
              </w:rPr>
            </w:pPr>
            <w:r>
              <w:rPr>
                <w:sz w:val="15"/>
                <w:szCs w:val="15"/>
              </w:rPr>
              <w:t>1.207057</w:t>
            </w:r>
          </w:p>
        </w:tc>
        <w:tc>
          <w:tcPr>
            <w:tcW w:w="872" w:type="dxa"/>
            <w:tcBorders>
              <w:right w:val="nil"/>
            </w:tcBorders>
            <w:vAlign w:val="center"/>
          </w:tcPr>
          <w:p w14:paraId="64F01DAA">
            <w:pPr>
              <w:pStyle w:val="49"/>
              <w:rPr>
                <w:sz w:val="15"/>
                <w:szCs w:val="15"/>
              </w:rPr>
            </w:pPr>
            <w:r>
              <w:rPr>
                <w:sz w:val="15"/>
                <w:szCs w:val="15"/>
              </w:rPr>
              <w:t>73.351903</w:t>
            </w:r>
          </w:p>
        </w:tc>
      </w:tr>
      <w:tr w14:paraId="329CB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2F28CFFC">
            <w:pPr>
              <w:pStyle w:val="49"/>
              <w:rPr>
                <w:sz w:val="15"/>
                <w:szCs w:val="15"/>
              </w:rPr>
            </w:pPr>
            <w:r>
              <w:rPr>
                <w:sz w:val="15"/>
                <w:szCs w:val="15"/>
              </w:rPr>
              <w:t>Embraer EMB-505 Phenom 300</w:t>
            </w:r>
          </w:p>
        </w:tc>
        <w:tc>
          <w:tcPr>
            <w:tcW w:w="1028" w:type="dxa"/>
            <w:shd w:val="clear" w:color="auto" w:fill="auto"/>
            <w:vAlign w:val="center"/>
          </w:tcPr>
          <w:p w14:paraId="3F2DA340">
            <w:pPr>
              <w:pStyle w:val="49"/>
              <w:rPr>
                <w:sz w:val="15"/>
                <w:szCs w:val="15"/>
              </w:rPr>
            </w:pPr>
            <w:r>
              <w:rPr>
                <w:sz w:val="15"/>
                <w:szCs w:val="15"/>
              </w:rPr>
              <w:t>268.54</w:t>
            </w:r>
          </w:p>
        </w:tc>
        <w:tc>
          <w:tcPr>
            <w:tcW w:w="1056" w:type="dxa"/>
            <w:shd w:val="clear" w:color="auto" w:fill="auto"/>
            <w:vAlign w:val="center"/>
          </w:tcPr>
          <w:p w14:paraId="279E387F">
            <w:pPr>
              <w:pStyle w:val="49"/>
              <w:rPr>
                <w:sz w:val="15"/>
                <w:szCs w:val="15"/>
              </w:rPr>
            </w:pPr>
            <w:r>
              <w:rPr>
                <w:sz w:val="15"/>
                <w:szCs w:val="15"/>
              </w:rPr>
              <w:t>253.72</w:t>
            </w:r>
          </w:p>
        </w:tc>
        <w:tc>
          <w:tcPr>
            <w:tcW w:w="907" w:type="dxa"/>
            <w:shd w:val="clear" w:color="auto" w:fill="auto"/>
            <w:vAlign w:val="center"/>
          </w:tcPr>
          <w:p w14:paraId="73AE6B79">
            <w:pPr>
              <w:pStyle w:val="49"/>
              <w:rPr>
                <w:sz w:val="15"/>
                <w:szCs w:val="15"/>
              </w:rPr>
            </w:pPr>
            <w:r>
              <w:rPr>
                <w:sz w:val="15"/>
                <w:szCs w:val="15"/>
              </w:rPr>
              <w:t>8150</w:t>
            </w:r>
          </w:p>
        </w:tc>
        <w:tc>
          <w:tcPr>
            <w:tcW w:w="828" w:type="dxa"/>
            <w:vAlign w:val="center"/>
          </w:tcPr>
          <w:p w14:paraId="2CEDAE24">
            <w:pPr>
              <w:pStyle w:val="49"/>
              <w:rPr>
                <w:sz w:val="15"/>
                <w:szCs w:val="15"/>
              </w:rPr>
            </w:pPr>
            <w:r>
              <w:rPr>
                <w:sz w:val="15"/>
                <w:szCs w:val="15"/>
              </w:rPr>
              <w:t>0.001161</w:t>
            </w:r>
          </w:p>
        </w:tc>
        <w:tc>
          <w:tcPr>
            <w:tcW w:w="786" w:type="dxa"/>
            <w:vAlign w:val="center"/>
          </w:tcPr>
          <w:p w14:paraId="58B672B3">
            <w:pPr>
              <w:pStyle w:val="49"/>
              <w:rPr>
                <w:sz w:val="15"/>
                <w:szCs w:val="15"/>
              </w:rPr>
            </w:pPr>
            <w:r>
              <w:rPr>
                <w:sz w:val="15"/>
                <w:szCs w:val="15"/>
              </w:rPr>
              <w:t>0.013695</w:t>
            </w:r>
          </w:p>
        </w:tc>
        <w:tc>
          <w:tcPr>
            <w:tcW w:w="836" w:type="dxa"/>
            <w:vAlign w:val="center"/>
          </w:tcPr>
          <w:p w14:paraId="32466548">
            <w:pPr>
              <w:pStyle w:val="49"/>
              <w:rPr>
                <w:sz w:val="15"/>
                <w:szCs w:val="15"/>
              </w:rPr>
            </w:pPr>
            <w:r>
              <w:rPr>
                <w:sz w:val="15"/>
                <w:szCs w:val="15"/>
              </w:rPr>
              <w:t>0.433148</w:t>
            </w:r>
          </w:p>
        </w:tc>
        <w:tc>
          <w:tcPr>
            <w:tcW w:w="925" w:type="dxa"/>
            <w:vAlign w:val="center"/>
          </w:tcPr>
          <w:p w14:paraId="59501AAC">
            <w:pPr>
              <w:pStyle w:val="49"/>
              <w:rPr>
                <w:sz w:val="15"/>
                <w:szCs w:val="15"/>
              </w:rPr>
            </w:pPr>
            <w:r>
              <w:rPr>
                <w:sz w:val="15"/>
                <w:szCs w:val="15"/>
              </w:rPr>
              <w:t>1.207057</w:t>
            </w:r>
          </w:p>
        </w:tc>
        <w:tc>
          <w:tcPr>
            <w:tcW w:w="872" w:type="dxa"/>
            <w:tcBorders>
              <w:right w:val="nil"/>
            </w:tcBorders>
            <w:vAlign w:val="center"/>
          </w:tcPr>
          <w:p w14:paraId="63D9A892">
            <w:pPr>
              <w:pStyle w:val="49"/>
              <w:rPr>
                <w:sz w:val="15"/>
                <w:szCs w:val="15"/>
              </w:rPr>
            </w:pPr>
            <w:r>
              <w:rPr>
                <w:sz w:val="15"/>
                <w:szCs w:val="15"/>
              </w:rPr>
              <w:t>73.351903</w:t>
            </w:r>
          </w:p>
        </w:tc>
      </w:tr>
      <w:tr w14:paraId="6CE78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0305331E">
            <w:pPr>
              <w:pStyle w:val="49"/>
              <w:rPr>
                <w:sz w:val="15"/>
                <w:szCs w:val="15"/>
              </w:rPr>
            </w:pPr>
            <w:r>
              <w:rPr>
                <w:sz w:val="15"/>
                <w:szCs w:val="15"/>
              </w:rPr>
              <w:t>McDonnell Douglas MD-88</w:t>
            </w:r>
          </w:p>
        </w:tc>
        <w:tc>
          <w:tcPr>
            <w:tcW w:w="1028" w:type="dxa"/>
            <w:shd w:val="clear" w:color="auto" w:fill="auto"/>
            <w:vAlign w:val="center"/>
          </w:tcPr>
          <w:p w14:paraId="482C9B8B">
            <w:pPr>
              <w:pStyle w:val="49"/>
              <w:rPr>
                <w:sz w:val="15"/>
                <w:szCs w:val="15"/>
              </w:rPr>
            </w:pPr>
            <w:r>
              <w:rPr>
                <w:sz w:val="15"/>
                <w:szCs w:val="15"/>
              </w:rPr>
              <w:t>268.54</w:t>
            </w:r>
          </w:p>
        </w:tc>
        <w:tc>
          <w:tcPr>
            <w:tcW w:w="1056" w:type="dxa"/>
            <w:shd w:val="clear" w:color="auto" w:fill="auto"/>
            <w:vAlign w:val="center"/>
          </w:tcPr>
          <w:p w14:paraId="4D7E5313">
            <w:pPr>
              <w:pStyle w:val="49"/>
              <w:rPr>
                <w:sz w:val="15"/>
                <w:szCs w:val="15"/>
              </w:rPr>
            </w:pPr>
            <w:r>
              <w:rPr>
                <w:sz w:val="15"/>
                <w:szCs w:val="15"/>
              </w:rPr>
              <w:t>240.76</w:t>
            </w:r>
          </w:p>
        </w:tc>
        <w:tc>
          <w:tcPr>
            <w:tcW w:w="907" w:type="dxa"/>
            <w:shd w:val="clear" w:color="auto" w:fill="auto"/>
            <w:vAlign w:val="center"/>
          </w:tcPr>
          <w:p w14:paraId="54BA4176">
            <w:pPr>
              <w:pStyle w:val="49"/>
              <w:rPr>
                <w:sz w:val="15"/>
                <w:szCs w:val="15"/>
              </w:rPr>
            </w:pPr>
            <w:r>
              <w:rPr>
                <w:sz w:val="15"/>
                <w:szCs w:val="15"/>
              </w:rPr>
              <w:t>72600</w:t>
            </w:r>
          </w:p>
        </w:tc>
        <w:tc>
          <w:tcPr>
            <w:tcW w:w="828" w:type="dxa"/>
            <w:vAlign w:val="center"/>
          </w:tcPr>
          <w:p w14:paraId="1A73AED1">
            <w:pPr>
              <w:pStyle w:val="49"/>
              <w:rPr>
                <w:sz w:val="15"/>
                <w:szCs w:val="15"/>
              </w:rPr>
            </w:pPr>
            <w:r>
              <w:rPr>
                <w:sz w:val="15"/>
                <w:szCs w:val="15"/>
              </w:rPr>
              <w:t>0.000924</w:t>
            </w:r>
          </w:p>
        </w:tc>
        <w:tc>
          <w:tcPr>
            <w:tcW w:w="786" w:type="dxa"/>
            <w:vAlign w:val="center"/>
          </w:tcPr>
          <w:p w14:paraId="5563E66D">
            <w:pPr>
              <w:pStyle w:val="49"/>
              <w:rPr>
                <w:sz w:val="15"/>
                <w:szCs w:val="15"/>
              </w:rPr>
            </w:pPr>
            <w:r>
              <w:rPr>
                <w:sz w:val="15"/>
                <w:szCs w:val="15"/>
              </w:rPr>
              <w:t>0.003467</w:t>
            </w:r>
          </w:p>
        </w:tc>
        <w:tc>
          <w:tcPr>
            <w:tcW w:w="836" w:type="dxa"/>
            <w:vAlign w:val="center"/>
          </w:tcPr>
          <w:p w14:paraId="3E438DB9">
            <w:pPr>
              <w:pStyle w:val="49"/>
              <w:rPr>
                <w:sz w:val="15"/>
                <w:szCs w:val="15"/>
              </w:rPr>
            </w:pPr>
            <w:r>
              <w:rPr>
                <w:sz w:val="15"/>
                <w:szCs w:val="15"/>
              </w:rPr>
              <w:t>0.702334</w:t>
            </w:r>
          </w:p>
        </w:tc>
        <w:tc>
          <w:tcPr>
            <w:tcW w:w="925" w:type="dxa"/>
            <w:vAlign w:val="center"/>
          </w:tcPr>
          <w:p w14:paraId="6A980350">
            <w:pPr>
              <w:pStyle w:val="49"/>
              <w:rPr>
                <w:sz w:val="15"/>
                <w:szCs w:val="15"/>
              </w:rPr>
            </w:pPr>
            <w:r>
              <w:rPr>
                <w:sz w:val="15"/>
                <w:szCs w:val="15"/>
              </w:rPr>
              <w:t>0.000000</w:t>
            </w:r>
          </w:p>
        </w:tc>
        <w:tc>
          <w:tcPr>
            <w:tcW w:w="872" w:type="dxa"/>
            <w:tcBorders>
              <w:right w:val="nil"/>
            </w:tcBorders>
            <w:vAlign w:val="center"/>
          </w:tcPr>
          <w:p w14:paraId="75DDC164">
            <w:pPr>
              <w:pStyle w:val="49"/>
              <w:rPr>
                <w:sz w:val="15"/>
                <w:szCs w:val="15"/>
              </w:rPr>
            </w:pPr>
            <w:r>
              <w:rPr>
                <w:sz w:val="15"/>
                <w:szCs w:val="15"/>
              </w:rPr>
              <w:t>73.029813</w:t>
            </w:r>
          </w:p>
        </w:tc>
      </w:tr>
      <w:tr w14:paraId="193C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tcBorders>
            <w:shd w:val="clear" w:color="auto" w:fill="auto"/>
            <w:vAlign w:val="center"/>
          </w:tcPr>
          <w:p w14:paraId="37C3E7AC">
            <w:pPr>
              <w:pStyle w:val="49"/>
              <w:rPr>
                <w:sz w:val="15"/>
                <w:szCs w:val="15"/>
              </w:rPr>
            </w:pPr>
            <w:r>
              <w:rPr>
                <w:sz w:val="15"/>
                <w:szCs w:val="15"/>
              </w:rPr>
              <w:t>Xian MA60</w:t>
            </w:r>
          </w:p>
        </w:tc>
        <w:tc>
          <w:tcPr>
            <w:tcW w:w="1028" w:type="dxa"/>
            <w:shd w:val="clear" w:color="auto" w:fill="auto"/>
            <w:vAlign w:val="center"/>
          </w:tcPr>
          <w:p w14:paraId="440DC84F">
            <w:pPr>
              <w:pStyle w:val="49"/>
              <w:rPr>
                <w:sz w:val="15"/>
                <w:szCs w:val="15"/>
              </w:rPr>
            </w:pPr>
            <w:r>
              <w:rPr>
                <w:sz w:val="15"/>
                <w:szCs w:val="15"/>
              </w:rPr>
              <w:t>268.54</w:t>
            </w:r>
          </w:p>
        </w:tc>
        <w:tc>
          <w:tcPr>
            <w:tcW w:w="1056" w:type="dxa"/>
            <w:shd w:val="clear" w:color="auto" w:fill="auto"/>
            <w:vAlign w:val="center"/>
          </w:tcPr>
          <w:p w14:paraId="639ECEEC">
            <w:pPr>
              <w:pStyle w:val="49"/>
              <w:rPr>
                <w:sz w:val="15"/>
                <w:szCs w:val="15"/>
              </w:rPr>
            </w:pPr>
            <w:r>
              <w:rPr>
                <w:sz w:val="15"/>
                <w:szCs w:val="15"/>
              </w:rPr>
              <w:t>253.72</w:t>
            </w:r>
          </w:p>
        </w:tc>
        <w:tc>
          <w:tcPr>
            <w:tcW w:w="907" w:type="dxa"/>
            <w:shd w:val="clear" w:color="auto" w:fill="auto"/>
            <w:vAlign w:val="center"/>
          </w:tcPr>
          <w:p w14:paraId="62EBF4E7">
            <w:pPr>
              <w:pStyle w:val="49"/>
              <w:rPr>
                <w:sz w:val="15"/>
                <w:szCs w:val="15"/>
              </w:rPr>
            </w:pPr>
            <w:r>
              <w:rPr>
                <w:sz w:val="15"/>
                <w:szCs w:val="15"/>
              </w:rPr>
              <w:t>21800</w:t>
            </w:r>
          </w:p>
        </w:tc>
        <w:tc>
          <w:tcPr>
            <w:tcW w:w="828" w:type="dxa"/>
            <w:vAlign w:val="center"/>
          </w:tcPr>
          <w:p w14:paraId="6C4DB2F0">
            <w:pPr>
              <w:pStyle w:val="49"/>
              <w:rPr>
                <w:sz w:val="15"/>
                <w:szCs w:val="15"/>
              </w:rPr>
            </w:pPr>
            <w:r>
              <w:rPr>
                <w:sz w:val="15"/>
                <w:szCs w:val="15"/>
              </w:rPr>
              <w:t>0.001612</w:t>
            </w:r>
          </w:p>
        </w:tc>
        <w:tc>
          <w:tcPr>
            <w:tcW w:w="786" w:type="dxa"/>
            <w:vAlign w:val="center"/>
          </w:tcPr>
          <w:p w14:paraId="64564CD1">
            <w:pPr>
              <w:pStyle w:val="49"/>
              <w:rPr>
                <w:sz w:val="15"/>
                <w:szCs w:val="15"/>
              </w:rPr>
            </w:pPr>
            <w:r>
              <w:rPr>
                <w:sz w:val="15"/>
                <w:szCs w:val="15"/>
              </w:rPr>
              <w:t>0.006197</w:t>
            </w:r>
          </w:p>
        </w:tc>
        <w:tc>
          <w:tcPr>
            <w:tcW w:w="836" w:type="dxa"/>
            <w:vAlign w:val="center"/>
          </w:tcPr>
          <w:p w14:paraId="0DDE9DCD">
            <w:pPr>
              <w:pStyle w:val="49"/>
              <w:rPr>
                <w:sz w:val="15"/>
                <w:szCs w:val="15"/>
              </w:rPr>
            </w:pPr>
            <w:r>
              <w:rPr>
                <w:sz w:val="15"/>
                <w:szCs w:val="15"/>
              </w:rPr>
              <w:t>0.480499</w:t>
            </w:r>
          </w:p>
        </w:tc>
        <w:tc>
          <w:tcPr>
            <w:tcW w:w="925" w:type="dxa"/>
            <w:vAlign w:val="center"/>
          </w:tcPr>
          <w:p w14:paraId="31B2A0D7">
            <w:pPr>
              <w:pStyle w:val="49"/>
              <w:rPr>
                <w:sz w:val="15"/>
                <w:szCs w:val="15"/>
              </w:rPr>
            </w:pPr>
            <w:r>
              <w:rPr>
                <w:sz w:val="15"/>
                <w:szCs w:val="15"/>
              </w:rPr>
              <w:t>0.673729</w:t>
            </w:r>
          </w:p>
        </w:tc>
        <w:tc>
          <w:tcPr>
            <w:tcW w:w="872" w:type="dxa"/>
            <w:tcBorders>
              <w:right w:val="nil"/>
            </w:tcBorders>
            <w:vAlign w:val="center"/>
          </w:tcPr>
          <w:p w14:paraId="6AA74E81">
            <w:pPr>
              <w:pStyle w:val="49"/>
              <w:rPr>
                <w:sz w:val="15"/>
                <w:szCs w:val="15"/>
              </w:rPr>
            </w:pPr>
            <w:r>
              <w:rPr>
                <w:sz w:val="15"/>
                <w:szCs w:val="15"/>
              </w:rPr>
              <w:t>72.948553</w:t>
            </w:r>
          </w:p>
        </w:tc>
      </w:tr>
      <w:tr w14:paraId="58E51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tcBorders>
              <w:left w:val="nil"/>
              <w:bottom w:val="single" w:color="000000" w:sz="12" w:space="0"/>
            </w:tcBorders>
            <w:shd w:val="clear" w:color="auto" w:fill="auto"/>
            <w:vAlign w:val="center"/>
          </w:tcPr>
          <w:p w14:paraId="475476B9">
            <w:pPr>
              <w:pStyle w:val="49"/>
              <w:rPr>
                <w:sz w:val="15"/>
                <w:szCs w:val="15"/>
              </w:rPr>
            </w:pPr>
            <w:r>
              <w:rPr>
                <w:sz w:val="15"/>
                <w:szCs w:val="15"/>
              </w:rPr>
              <w:t>B737MAX 8</w:t>
            </w:r>
          </w:p>
        </w:tc>
        <w:tc>
          <w:tcPr>
            <w:tcW w:w="1028" w:type="dxa"/>
            <w:tcBorders>
              <w:bottom w:val="single" w:color="000000" w:sz="12" w:space="0"/>
            </w:tcBorders>
            <w:shd w:val="clear" w:color="auto" w:fill="auto"/>
            <w:vAlign w:val="center"/>
          </w:tcPr>
          <w:p w14:paraId="49B99BA5">
            <w:pPr>
              <w:pStyle w:val="49"/>
              <w:rPr>
                <w:sz w:val="15"/>
                <w:szCs w:val="15"/>
              </w:rPr>
            </w:pPr>
            <w:r>
              <w:rPr>
                <w:sz w:val="15"/>
                <w:szCs w:val="15"/>
              </w:rPr>
              <w:t>268.54</w:t>
            </w:r>
          </w:p>
        </w:tc>
        <w:tc>
          <w:tcPr>
            <w:tcW w:w="1056" w:type="dxa"/>
            <w:tcBorders>
              <w:bottom w:val="single" w:color="000000" w:sz="12" w:space="0"/>
            </w:tcBorders>
            <w:shd w:val="clear" w:color="auto" w:fill="auto"/>
            <w:vAlign w:val="center"/>
          </w:tcPr>
          <w:p w14:paraId="7054B671">
            <w:pPr>
              <w:pStyle w:val="49"/>
              <w:rPr>
                <w:sz w:val="15"/>
                <w:szCs w:val="15"/>
              </w:rPr>
            </w:pPr>
            <w:r>
              <w:rPr>
                <w:sz w:val="15"/>
                <w:szCs w:val="15"/>
              </w:rPr>
              <w:t>253.72</w:t>
            </w:r>
          </w:p>
        </w:tc>
        <w:tc>
          <w:tcPr>
            <w:tcW w:w="907" w:type="dxa"/>
            <w:tcBorders>
              <w:bottom w:val="single" w:color="000000" w:sz="12" w:space="0"/>
            </w:tcBorders>
            <w:shd w:val="clear" w:color="auto" w:fill="auto"/>
            <w:vAlign w:val="center"/>
          </w:tcPr>
          <w:p w14:paraId="7D5A7540">
            <w:pPr>
              <w:pStyle w:val="49"/>
              <w:rPr>
                <w:sz w:val="15"/>
                <w:szCs w:val="15"/>
              </w:rPr>
            </w:pPr>
            <w:r>
              <w:rPr>
                <w:sz w:val="15"/>
                <w:szCs w:val="15"/>
              </w:rPr>
              <w:t>78472</w:t>
            </w:r>
          </w:p>
        </w:tc>
        <w:tc>
          <w:tcPr>
            <w:tcW w:w="828" w:type="dxa"/>
            <w:tcBorders>
              <w:bottom w:val="single" w:color="000000" w:sz="12" w:space="0"/>
            </w:tcBorders>
            <w:vAlign w:val="center"/>
          </w:tcPr>
          <w:p w14:paraId="4DDEE15A">
            <w:pPr>
              <w:pStyle w:val="49"/>
              <w:rPr>
                <w:sz w:val="15"/>
                <w:szCs w:val="15"/>
              </w:rPr>
            </w:pPr>
            <w:r>
              <w:rPr>
                <w:sz w:val="15"/>
                <w:szCs w:val="15"/>
              </w:rPr>
              <w:t>0.000924</w:t>
            </w:r>
          </w:p>
        </w:tc>
        <w:tc>
          <w:tcPr>
            <w:tcW w:w="786" w:type="dxa"/>
            <w:tcBorders>
              <w:bottom w:val="single" w:color="000000" w:sz="12" w:space="0"/>
            </w:tcBorders>
            <w:vAlign w:val="center"/>
          </w:tcPr>
          <w:p w14:paraId="22848D5C">
            <w:pPr>
              <w:pStyle w:val="49"/>
              <w:rPr>
                <w:sz w:val="15"/>
                <w:szCs w:val="15"/>
              </w:rPr>
            </w:pPr>
            <w:r>
              <w:rPr>
                <w:sz w:val="15"/>
                <w:szCs w:val="15"/>
              </w:rPr>
              <w:t>0.020800</w:t>
            </w:r>
          </w:p>
        </w:tc>
        <w:tc>
          <w:tcPr>
            <w:tcW w:w="836" w:type="dxa"/>
            <w:tcBorders>
              <w:bottom w:val="single" w:color="000000" w:sz="12" w:space="0"/>
            </w:tcBorders>
            <w:vAlign w:val="center"/>
          </w:tcPr>
          <w:p w14:paraId="01C1E3B1">
            <w:pPr>
              <w:pStyle w:val="49"/>
              <w:rPr>
                <w:sz w:val="15"/>
                <w:szCs w:val="15"/>
              </w:rPr>
            </w:pPr>
            <w:r>
              <w:rPr>
                <w:sz w:val="15"/>
                <w:szCs w:val="15"/>
              </w:rPr>
              <w:t>0.409059</w:t>
            </w:r>
          </w:p>
        </w:tc>
        <w:tc>
          <w:tcPr>
            <w:tcW w:w="925" w:type="dxa"/>
            <w:tcBorders>
              <w:bottom w:val="single" w:color="000000" w:sz="12" w:space="0"/>
            </w:tcBorders>
            <w:vAlign w:val="center"/>
          </w:tcPr>
          <w:p w14:paraId="5680BE66">
            <w:pPr>
              <w:pStyle w:val="49"/>
              <w:rPr>
                <w:sz w:val="15"/>
                <w:szCs w:val="15"/>
              </w:rPr>
            </w:pPr>
            <w:r>
              <w:rPr>
                <w:sz w:val="15"/>
                <w:szCs w:val="15"/>
              </w:rPr>
              <w:t>1.818812</w:t>
            </w:r>
          </w:p>
        </w:tc>
        <w:tc>
          <w:tcPr>
            <w:tcW w:w="872" w:type="dxa"/>
            <w:tcBorders>
              <w:bottom w:val="single" w:color="000000" w:sz="12" w:space="0"/>
              <w:right w:val="nil"/>
            </w:tcBorders>
            <w:vAlign w:val="center"/>
          </w:tcPr>
          <w:p w14:paraId="454AB424">
            <w:pPr>
              <w:pStyle w:val="49"/>
              <w:rPr>
                <w:sz w:val="15"/>
                <w:szCs w:val="15"/>
              </w:rPr>
            </w:pPr>
            <w:r>
              <w:rPr>
                <w:sz w:val="15"/>
                <w:szCs w:val="15"/>
              </w:rPr>
              <w:t>73.029813</w:t>
            </w:r>
          </w:p>
        </w:tc>
      </w:tr>
    </w:tbl>
    <w:p w14:paraId="428CB27A">
      <w:pPr>
        <w:ind w:firstLine="420"/>
        <w:jc w:val="center"/>
      </w:pPr>
    </w:p>
    <w:p w14:paraId="6EA337DF">
      <w:pPr>
        <w:ind w:firstLine="420"/>
      </w:pPr>
    </w:p>
    <w:p w14:paraId="65D58392">
      <w:pPr>
        <w:ind w:firstLine="420"/>
      </w:pPr>
    </w:p>
    <w:p w14:paraId="368B154D">
      <w:pPr>
        <w:ind w:firstLine="420"/>
      </w:pPr>
    </w:p>
    <w:p w14:paraId="5509E0D1">
      <w:pPr>
        <w:ind w:firstLine="420"/>
      </w:pPr>
    </w:p>
    <w:p w14:paraId="708431D0">
      <w:pPr>
        <w:ind w:firstLine="420"/>
      </w:pPr>
    </w:p>
    <w:p w14:paraId="25849B4F">
      <w:pPr>
        <w:ind w:firstLine="420"/>
      </w:pPr>
    </w:p>
    <w:p w14:paraId="2ED9016A">
      <w:pPr>
        <w:ind w:firstLine="420"/>
      </w:pPr>
    </w:p>
    <w:p w14:paraId="546D5418">
      <w:pPr>
        <w:ind w:firstLine="420"/>
      </w:pPr>
    </w:p>
    <w:p w14:paraId="57FBAA50">
      <w:pPr>
        <w:ind w:firstLine="420"/>
      </w:pPr>
    </w:p>
    <w:p w14:paraId="6C61E3F9">
      <w:pPr>
        <w:ind w:firstLine="420"/>
      </w:pPr>
    </w:p>
    <w:p w14:paraId="60C0DE64">
      <w:pPr>
        <w:ind w:firstLine="420"/>
      </w:pPr>
    </w:p>
    <w:p w14:paraId="3C418C6E">
      <w:pPr>
        <w:ind w:firstLine="420"/>
      </w:pPr>
    </w:p>
    <w:p w14:paraId="1DF14CF4">
      <w:pPr>
        <w:ind w:firstLine="420"/>
      </w:pPr>
    </w:p>
    <w:p w14:paraId="7CFB1652">
      <w:pPr>
        <w:ind w:firstLine="420"/>
      </w:pPr>
    </w:p>
    <w:p w14:paraId="4E7722B0">
      <w:pPr>
        <w:ind w:firstLine="420"/>
      </w:pPr>
    </w:p>
    <w:p w14:paraId="52EB1056">
      <w:pPr>
        <w:ind w:firstLine="420"/>
      </w:pPr>
    </w:p>
    <w:p w14:paraId="00F1BE35">
      <w:pPr>
        <w:ind w:firstLine="420"/>
      </w:pPr>
    </w:p>
    <w:p w14:paraId="2F4A0B75">
      <w:pPr>
        <w:ind w:firstLine="420"/>
      </w:pPr>
    </w:p>
    <w:p w14:paraId="1172FA5C">
      <w:pPr>
        <w:ind w:firstLine="420"/>
      </w:pPr>
    </w:p>
    <w:p w14:paraId="396A29C0">
      <w:pPr>
        <w:ind w:firstLine="420"/>
      </w:pPr>
    </w:p>
    <w:p w14:paraId="35B67978">
      <w:pPr>
        <w:ind w:firstLine="420"/>
      </w:pPr>
    </w:p>
    <w:p w14:paraId="046A6B96">
      <w:pPr>
        <w:ind w:firstLine="42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4D1783C">
      <w:pPr>
        <w:ind w:firstLine="420"/>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D708692">
      <w:pPr>
        <w:ind w:firstLine="0" w:firstLineChars="0"/>
      </w:pPr>
    </w:p>
    <w:p w14:paraId="0CC183D4">
      <w:pPr>
        <w:pStyle w:val="2"/>
        <w:ind w:firstLine="0" w:firstLineChars="0"/>
      </w:pPr>
      <w:r>
        <w:t>Supplementary Note 3</w:t>
      </w:r>
      <w:r>
        <w:rPr>
          <w:rFonts w:hint="eastAsia"/>
        </w:rPr>
        <w:t>.</w:t>
      </w:r>
      <w:r>
        <w:t xml:space="preserve"> Model validation</w:t>
      </w:r>
    </w:p>
    <w:p w14:paraId="550F494A">
      <w:pPr>
        <w:ind w:firstLine="420"/>
        <w:jc w:val="left"/>
      </w:pPr>
      <w:r>
        <w:t>Under operational conditions, roughness-induced increments in fuel consumption and carbon emissions during a single taxiing event are typically dominated by engine thrust modulation, acceleration–deceleration patterns, queueing and operational variability. Consequently, isolating roughness-induced excess emissions directly from total taxiing emissions through end-to-end emission measurements is not practically feasible.</w:t>
      </w:r>
    </w:p>
    <w:p w14:paraId="5C047CC3">
      <w:pPr>
        <w:ind w:firstLine="420"/>
        <w:jc w:val="left"/>
      </w:pPr>
      <w:r>
        <w:t>Because the emission pathway in this study is governed by vibration-induced energy dissipation, model validation was conducted at the level of dynamic response rather than direct emissions. The credibility of excess energy and carbon estimates therefore depends on the model’s ability to reproduce measured aircraft vibration responses under realistic operating conditions.</w:t>
      </w:r>
    </w:p>
    <w:p w14:paraId="5FA401FB">
      <w:pPr>
        <w:ind w:firstLine="422"/>
        <w:jc w:val="left"/>
        <w:rPr>
          <w:b/>
          <w:bCs/>
        </w:rPr>
      </w:pPr>
      <w:r>
        <w:rPr>
          <w:b/>
          <w:bCs/>
        </w:rPr>
        <w:t>Validation strategy</w:t>
      </w:r>
    </w:p>
    <w:p w14:paraId="68787827">
      <w:pPr>
        <w:ind w:firstLine="420"/>
        <w:jc w:val="left"/>
      </w:pPr>
      <w:r>
        <w:t>Validation was performed using runway datasets from Shanghai Hongqiao International Airport and Dongying Shengli Airport, with B737 aircraft serving as the observation platform. Two complementary data sources were employed:</w:t>
      </w:r>
    </w:p>
    <w:p w14:paraId="24E7BE7F">
      <w:pPr>
        <w:ind w:firstLine="420" w:firstLineChars="0"/>
        <w:jc w:val="left"/>
        <w:rPr>
          <w:b/>
          <w:bCs/>
        </w:rPr>
      </w:pPr>
      <w:r>
        <w:rPr>
          <w:rFonts w:hint="eastAsia"/>
        </w:rPr>
        <w:t xml:space="preserve">(1) </w:t>
      </w:r>
      <w:r>
        <w:rPr>
          <w:rFonts w:hint="eastAsia"/>
          <w:b/>
          <w:bCs/>
        </w:rPr>
        <w:t>O</w:t>
      </w:r>
      <w:r>
        <w:rPr>
          <w:b/>
          <w:bCs/>
        </w:rPr>
        <w:t xml:space="preserve">nboard QAR (Quick Access Recorder) data: </w:t>
      </w:r>
      <w:r>
        <w:t>QAR data provide continuous records of key flight parameters and capture overall low-frequency dynamic characteristics during taxiing. However, due to storage and system constraints, the sampling frequency is limited to 16 Hz, restricting resolution of high-frequency vibration components.</w:t>
      </w:r>
    </w:p>
    <w:p w14:paraId="06D3449D">
      <w:pPr>
        <w:ind w:firstLine="420"/>
        <w:jc w:val="left"/>
      </w:pPr>
      <w:r>
        <w:rPr>
          <w:rFonts w:hint="eastAsia"/>
        </w:rPr>
        <w:t xml:space="preserve">(2) </w:t>
      </w:r>
      <w:r>
        <w:rPr>
          <w:b/>
          <w:bCs/>
        </w:rPr>
        <w:t>External high-frequency tri-axial accelerometer measurements</w:t>
      </w:r>
      <w:r>
        <w:rPr>
          <w:rFonts w:hint="eastAsia"/>
          <w:b/>
          <w:bCs/>
        </w:rPr>
        <w:t>：</w:t>
      </w:r>
      <w:r>
        <w:t>To obtain higher temporal resolution, a tri-axial accelerometer (sampling frequency up to 1000 Hz) was deployed. The sensor was securely mounted on a passenger seat armrest during taxiing to comply with flight safety regulations. Acceleration signals in the X, Y and Z directions were recorded simultaneously.</w:t>
      </w:r>
    </w:p>
    <w:p w14:paraId="6BAA2976">
      <w:pPr>
        <w:ind w:firstLine="0" w:firstLineChars="0"/>
      </w:pPr>
      <w:r>
        <w:drawing>
          <wp:inline distT="0" distB="0" distL="114300" distR="114300">
            <wp:extent cx="5269230" cy="1600835"/>
            <wp:effectExtent l="0" t="0" r="1270" b="1206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2"/>
                    <a:srcRect t="4356" b="50072"/>
                    <a:stretch>
                      <a:fillRect/>
                    </a:stretch>
                  </pic:blipFill>
                  <pic:spPr>
                    <a:xfrm>
                      <a:off x="0" y="0"/>
                      <a:ext cx="5269230" cy="1600835"/>
                    </a:xfrm>
                    <a:prstGeom prst="rect">
                      <a:avLst/>
                    </a:prstGeom>
                    <a:noFill/>
                    <a:ln>
                      <a:noFill/>
                    </a:ln>
                  </pic:spPr>
                </pic:pic>
              </a:graphicData>
            </a:graphic>
          </wp:inline>
        </w:drawing>
      </w:r>
    </w:p>
    <w:p w14:paraId="5C2F53A7">
      <w:pPr>
        <w:ind w:firstLine="0" w:firstLineChars="0"/>
        <w:jc w:val="center"/>
      </w:pPr>
      <w:r>
        <w:t>Fig</w:t>
      </w:r>
      <w:r>
        <w:rPr>
          <w:rFonts w:hint="eastAsia"/>
        </w:rPr>
        <w:t>.S</w:t>
      </w:r>
      <w:r>
        <w:t>3.1</w:t>
      </w:r>
      <w:r>
        <w:rPr>
          <w:rFonts w:hint="eastAsia"/>
        </w:rPr>
        <w:t>.</w:t>
      </w:r>
      <w:r>
        <w:t xml:space="preserve"> Acceleration during landing and roll-out phase of the aircraft recorded by QAR data</w:t>
      </w:r>
    </w:p>
    <w:p w14:paraId="144F67C4">
      <w:pPr>
        <w:pStyle w:val="58"/>
        <w:rPr>
          <w:rFonts w:hint="default"/>
        </w:rPr>
      </w:pPr>
      <w:r>
        <w:drawing>
          <wp:inline distT="0" distB="0" distL="114300" distR="114300">
            <wp:extent cx="4485005" cy="2190750"/>
            <wp:effectExtent l="0" t="0" r="10795" b="635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23"/>
                    <a:stretch>
                      <a:fillRect/>
                    </a:stretch>
                  </pic:blipFill>
                  <pic:spPr>
                    <a:xfrm>
                      <a:off x="0" y="0"/>
                      <a:ext cx="4485005" cy="2190750"/>
                    </a:xfrm>
                    <a:prstGeom prst="rect">
                      <a:avLst/>
                    </a:prstGeom>
                    <a:noFill/>
                    <a:ln>
                      <a:noFill/>
                    </a:ln>
                  </pic:spPr>
                </pic:pic>
              </a:graphicData>
            </a:graphic>
          </wp:inline>
        </w:drawing>
      </w:r>
    </w:p>
    <w:p w14:paraId="407C3B51">
      <w:pPr>
        <w:ind w:firstLine="0" w:firstLineChars="0"/>
        <w:jc w:val="center"/>
      </w:pPr>
      <w:r>
        <w:t>Fig</w:t>
      </w:r>
      <w:r>
        <w:rPr>
          <w:rFonts w:hint="eastAsia"/>
        </w:rPr>
        <w:t>.S</w:t>
      </w:r>
      <w:r>
        <w:t>3.2</w:t>
      </w:r>
      <w:r>
        <w:rPr>
          <w:rFonts w:hint="eastAsia"/>
        </w:rPr>
        <w:t>.</w:t>
      </w:r>
      <w:r>
        <w:t xml:space="preserve"> Data Acquisition by </w:t>
      </w:r>
      <w:r>
        <w:rPr>
          <w:rFonts w:hint="eastAsia"/>
        </w:rPr>
        <w:t xml:space="preserve">External Sensors </w:t>
      </w:r>
      <w:r>
        <w:drawing>
          <wp:inline distT="0" distB="0" distL="114300" distR="114300">
            <wp:extent cx="4935855" cy="1542415"/>
            <wp:effectExtent l="0" t="0" r="4445"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a:srcRect t="53127"/>
                    <a:stretch>
                      <a:fillRect/>
                    </a:stretch>
                  </pic:blipFill>
                  <pic:spPr>
                    <a:xfrm>
                      <a:off x="0" y="0"/>
                      <a:ext cx="4935855" cy="1542415"/>
                    </a:xfrm>
                    <a:prstGeom prst="rect">
                      <a:avLst/>
                    </a:prstGeom>
                    <a:noFill/>
                    <a:ln>
                      <a:noFill/>
                    </a:ln>
                  </pic:spPr>
                </pic:pic>
              </a:graphicData>
            </a:graphic>
          </wp:inline>
        </w:drawing>
      </w:r>
    </w:p>
    <w:p w14:paraId="33B19892">
      <w:pPr>
        <w:ind w:firstLine="0" w:firstLineChars="0"/>
        <w:jc w:val="center"/>
      </w:pPr>
      <w:r>
        <w:t>Fig</w:t>
      </w:r>
      <w:r>
        <w:rPr>
          <w:rFonts w:hint="eastAsia"/>
        </w:rPr>
        <w:t>.S</w:t>
      </w:r>
      <w:r>
        <w:t>3.3</w:t>
      </w:r>
      <w:r>
        <w:rPr>
          <w:rFonts w:hint="eastAsia"/>
        </w:rPr>
        <w:t>.</w:t>
      </w:r>
      <w:r>
        <w:t xml:space="preserve"> Acceleration during aircraft take-off roll phase</w:t>
      </w:r>
    </w:p>
    <w:p w14:paraId="04D72B31">
      <w:pPr>
        <w:ind w:firstLine="422"/>
        <w:jc w:val="left"/>
        <w:rPr>
          <w:b/>
          <w:bCs/>
        </w:rPr>
      </w:pPr>
      <w:r>
        <w:rPr>
          <w:b/>
          <w:bCs/>
        </w:rPr>
        <w:t>Simulation–measurement comparison</w:t>
      </w:r>
    </w:p>
    <w:p w14:paraId="77059E0D">
      <w:pPr>
        <w:ind w:firstLine="420"/>
        <w:jc w:val="left"/>
      </w:pPr>
      <w:r>
        <w:t>High-resolution runway elevation datasets (Fig.</w:t>
      </w:r>
      <w:r>
        <w:rPr>
          <w:rFonts w:hint="eastAsia"/>
          <w:lang w:val="en-US" w:eastAsia="zh-CN"/>
        </w:rPr>
        <w:t>S</w:t>
      </w:r>
      <w:r>
        <w:t>3.4 and</w:t>
      </w:r>
      <w:r>
        <w:rPr>
          <w:rFonts w:hint="eastAsia"/>
          <w:lang w:val="en-US" w:eastAsia="zh-CN"/>
        </w:rPr>
        <w:t xml:space="preserve"> </w:t>
      </w:r>
      <w:r>
        <w:t>Fig.</w:t>
      </w:r>
      <w:r>
        <w:rPr>
          <w:rFonts w:hint="eastAsia"/>
          <w:lang w:val="en-US" w:eastAsia="zh-CN"/>
        </w:rPr>
        <w:t>S</w:t>
      </w:r>
      <w:r>
        <w:t>3.5) were input into the coupled aircraft–runway dynamic model. Runway longitudinal geometry was reconstructed under a unified coordinate and scale framework and applied as external excitation to the coupled system. The resulting simulated acceleration time series were extracted for comparison.</w:t>
      </w:r>
    </w:p>
    <w:p w14:paraId="27529F6B">
      <w:pPr>
        <w:ind w:firstLine="420"/>
        <w:jc w:val="left"/>
      </w:pPr>
      <w:r>
        <w:t>To ensure comparability, simulated outputs were synchronized with measured signals in the time domain and resampled according to the sampling characteristics of each dataset. QAR data provided baseline low-frequency response trends, while high-frequency accelerometer data captured transient vibration features.</w:t>
      </w:r>
    </w:p>
    <w:p w14:paraId="0E3835EC">
      <w:pPr>
        <w:pStyle w:val="58"/>
        <w:rPr>
          <w:rFonts w:hint="default"/>
        </w:rPr>
      </w:pPr>
      <w:r>
        <w:drawing>
          <wp:inline distT="0" distB="0" distL="114300" distR="114300">
            <wp:extent cx="3629660" cy="1750060"/>
            <wp:effectExtent l="0" t="0" r="2540" b="254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24"/>
                    <a:srcRect t="5629"/>
                    <a:stretch>
                      <a:fillRect/>
                    </a:stretch>
                  </pic:blipFill>
                  <pic:spPr>
                    <a:xfrm>
                      <a:off x="0" y="0"/>
                      <a:ext cx="3629660" cy="1750060"/>
                    </a:xfrm>
                    <a:prstGeom prst="rect">
                      <a:avLst/>
                    </a:prstGeom>
                    <a:noFill/>
                    <a:ln>
                      <a:noFill/>
                    </a:ln>
                  </pic:spPr>
                </pic:pic>
              </a:graphicData>
            </a:graphic>
          </wp:inline>
        </w:drawing>
      </w:r>
    </w:p>
    <w:p w14:paraId="0ACD12AA">
      <w:pPr>
        <w:pStyle w:val="58"/>
        <w:rPr>
          <w:rFonts w:hint="default"/>
        </w:rPr>
      </w:pPr>
      <w:r>
        <w:rPr>
          <w:rFonts w:hint="default"/>
        </w:rPr>
        <w:t>Fig.S3.4. Runway elevation profile of Shanghai Hongqiao International Airport.</w:t>
      </w:r>
    </w:p>
    <w:p w14:paraId="1A2F7271">
      <w:pPr>
        <w:pStyle w:val="58"/>
        <w:rPr>
          <w:rFonts w:hint="default"/>
        </w:rPr>
      </w:pPr>
    </w:p>
    <w:p w14:paraId="5BCAA89A">
      <w:pPr>
        <w:pStyle w:val="58"/>
        <w:rPr>
          <w:rFonts w:hint="default"/>
        </w:rPr>
      </w:pPr>
      <w:r>
        <w:rPr>
          <w:rStyle w:val="53"/>
        </w:rPr>
        <w:drawing>
          <wp:inline distT="0" distB="0" distL="114300" distR="114300">
            <wp:extent cx="4904105" cy="2081530"/>
            <wp:effectExtent l="0" t="0" r="10795" b="127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5"/>
                    <a:stretch>
                      <a:fillRect/>
                    </a:stretch>
                  </pic:blipFill>
                  <pic:spPr>
                    <a:xfrm>
                      <a:off x="0" y="0"/>
                      <a:ext cx="4904105" cy="2081530"/>
                    </a:xfrm>
                    <a:prstGeom prst="rect">
                      <a:avLst/>
                    </a:prstGeom>
                    <a:noFill/>
                    <a:ln>
                      <a:noFill/>
                    </a:ln>
                  </pic:spPr>
                </pic:pic>
              </a:graphicData>
            </a:graphic>
          </wp:inline>
        </w:drawing>
      </w:r>
    </w:p>
    <w:p w14:paraId="4CC862F8">
      <w:pPr>
        <w:pStyle w:val="52"/>
      </w:pPr>
      <w:r>
        <w:t>Fig.</w:t>
      </w:r>
      <w:r>
        <w:rPr>
          <w:rFonts w:hint="eastAsia"/>
        </w:rPr>
        <w:t>S</w:t>
      </w:r>
      <w:r>
        <w:t>3.5</w:t>
      </w:r>
      <w:r>
        <w:rPr>
          <w:rFonts w:hint="eastAsia"/>
        </w:rPr>
        <w:t>.</w:t>
      </w:r>
      <w:r>
        <w:t xml:space="preserve"> Runway elevation profile of Dongying Shengli Airport.</w:t>
      </w:r>
    </w:p>
    <w:p w14:paraId="493063C2">
      <w:pPr>
        <w:ind w:firstLine="0" w:firstLineChars="0"/>
        <w:jc w:val="left"/>
      </w:pPr>
    </w:p>
    <w:p w14:paraId="3E823107">
      <w:pPr>
        <w:ind w:firstLine="422"/>
        <w:jc w:val="left"/>
        <w:rPr>
          <w:b/>
          <w:bCs/>
        </w:rPr>
      </w:pPr>
      <w:r>
        <w:rPr>
          <w:b/>
          <w:bCs/>
        </w:rPr>
        <w:t>Quantitative consistency assessment</w:t>
      </w:r>
    </w:p>
    <w:p w14:paraId="1667571B">
      <w:pPr>
        <w:ind w:firstLine="420"/>
        <w:jc w:val="left"/>
      </w:pPr>
      <w:r>
        <w:t xml:space="preserve">Two sets of comparisons were performed: QAR-recorded acceleration versus simulated acceleration </w:t>
      </w:r>
      <w:r>
        <w:rPr>
          <w:rFonts w:hint="eastAsia"/>
        </w:rPr>
        <w:t>and</w:t>
      </w:r>
      <w:r>
        <w:t xml:space="preserve"> </w:t>
      </w:r>
      <w:r>
        <w:rPr>
          <w:rFonts w:hint="eastAsia"/>
        </w:rPr>
        <w:t>e</w:t>
      </w:r>
      <w:r>
        <w:t>xternal accelerometer acceleration versus simulated acceleration</w:t>
      </w:r>
      <w:r>
        <w:rPr>
          <w:rFonts w:hint="eastAsia"/>
        </w:rPr>
        <w:t>.</w:t>
      </w:r>
    </w:p>
    <w:p w14:paraId="7133BD4E">
      <w:pPr>
        <w:ind w:firstLine="420"/>
        <w:jc w:val="left"/>
      </w:pPr>
      <w:r>
        <w:t>Time-domain feature matching and correlation analysis were conducted (Fig.</w:t>
      </w:r>
      <w:r>
        <w:rPr>
          <w:rFonts w:hint="eastAsia"/>
        </w:rPr>
        <w:t>S</w:t>
      </w:r>
      <w:r>
        <w:t xml:space="preserve">3.6). Across both airports and both measurement systems, simulated responses reproduced key statistical and structural characteristics of measured signals: </w:t>
      </w:r>
      <w:r>
        <w:rPr>
          <w:rFonts w:hint="eastAsia"/>
        </w:rPr>
        <w:t>(</w:t>
      </w:r>
      <w:r>
        <w:t>1) Peak acceleration amplitudes</w:t>
      </w:r>
      <w:r>
        <w:rPr>
          <w:rFonts w:hint="eastAsia"/>
        </w:rPr>
        <w:t>;(</w:t>
      </w:r>
      <w:r>
        <w:t>2) Dominant oscillation periods</w:t>
      </w:r>
      <w:r>
        <w:rPr>
          <w:rFonts w:hint="eastAsia"/>
        </w:rPr>
        <w:t>;(</w:t>
      </w:r>
      <w:r>
        <w:t>3) Root-mean-square (RMS) values. Relative deviations were below 11%.</w:t>
      </w:r>
    </w:p>
    <w:p w14:paraId="198C1204">
      <w:pPr>
        <w:ind w:firstLine="422"/>
        <w:jc w:val="left"/>
        <w:rPr>
          <w:b/>
          <w:bCs/>
        </w:rPr>
      </w:pPr>
      <w:r>
        <w:rPr>
          <w:b/>
          <w:bCs/>
        </w:rPr>
        <w:t>Implications for energy-based emission estimation</w:t>
      </w:r>
    </w:p>
    <w:p w14:paraId="1F54C5CE">
      <w:pPr>
        <w:ind w:firstLine="420"/>
        <w:jc w:val="left"/>
      </w:pPr>
      <w:r>
        <w:t>The validation results demonstrate that the coupled aircraft–runway dynamic model reliably reproduces measured vibration responses across different runway geometries and measurement systems (QAR and high-frequency sensors).</w:t>
      </w:r>
    </w:p>
    <w:p w14:paraId="2C218EAA">
      <w:pPr>
        <w:ind w:firstLine="420"/>
        <w:jc w:val="left"/>
        <w:rPr>
          <w:b/>
          <w:bCs/>
        </w:rPr>
      </w:pPr>
      <w:r>
        <w:t>Since excess fuel consumption and carbon emissions are derived from vibration-induced energy dissipation, accurate reconstruction of dynamic response provides indirect but physically grounded validation of the emission estimation pathway.</w:t>
      </w:r>
    </w:p>
    <w:p w14:paraId="6E128E88">
      <w:pPr>
        <w:ind w:firstLine="0" w:firstLineChars="0"/>
        <w:jc w:val="center"/>
      </w:pPr>
      <w:r>
        <w:rPr>
          <w:rFonts w:hint="eastAsia"/>
        </w:rPr>
        <w:drawing>
          <wp:inline distT="0" distB="0" distL="114300" distR="114300">
            <wp:extent cx="3839845" cy="2879725"/>
            <wp:effectExtent l="0" t="0" r="8255" b="3175"/>
            <wp:docPr id="28" name="图片 28" descr="C:/Users/23538/Desktop/QAR重新生成/最终版/fig.png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23538/Desktop/QAR重新生成/最终版/fig.pngfig"/>
                    <pic:cNvPicPr>
                      <a:picLocks noChangeAspect="1"/>
                    </pic:cNvPicPr>
                  </pic:nvPicPr>
                  <pic:blipFill>
                    <a:blip r:embed="rId26"/>
                    <a:srcRect t="6" b="6"/>
                    <a:stretch>
                      <a:fillRect/>
                    </a:stretch>
                  </pic:blipFill>
                  <pic:spPr>
                    <a:xfrm>
                      <a:off x="0" y="0"/>
                      <a:ext cx="3839845" cy="2879725"/>
                    </a:xfrm>
                    <a:prstGeom prst="rect">
                      <a:avLst/>
                    </a:prstGeom>
                  </pic:spPr>
                </pic:pic>
              </a:graphicData>
            </a:graphic>
          </wp:inline>
        </w:drawing>
      </w:r>
    </w:p>
    <w:p w14:paraId="758D1814">
      <w:pPr>
        <w:pStyle w:val="52"/>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Fig.</w:t>
      </w:r>
      <w:r>
        <w:rPr>
          <w:rFonts w:hint="eastAsia"/>
        </w:rPr>
        <w:t>S</w:t>
      </w:r>
      <w:r>
        <w:t>3.6</w:t>
      </w:r>
      <w:r>
        <w:rPr>
          <w:rFonts w:hint="eastAsia"/>
        </w:rPr>
        <w:t>.</w:t>
      </w:r>
      <w:r>
        <w:t xml:space="preserve"> Correlation analysis between measured and simulated acceleration responses.</w:t>
      </w:r>
    </w:p>
    <w:p w14:paraId="0CC47491">
      <w:pPr>
        <w:tabs>
          <w:tab w:val="center" w:pos="4153"/>
        </w:tabs>
        <w:ind w:firstLine="420"/>
        <w:jc w:val="center"/>
      </w:pPr>
    </w:p>
    <w:p w14:paraId="6AF768CE">
      <w:pPr>
        <w:pStyle w:val="2"/>
        <w:ind w:firstLine="0" w:firstLineChars="0"/>
      </w:pPr>
      <w:r>
        <w:t>Supplementary Note 4. National-scale calculation of roughness-induced carbon emissions</w:t>
      </w:r>
    </w:p>
    <w:p w14:paraId="086831E4">
      <w:pPr>
        <w:pStyle w:val="3"/>
        <w:ind w:firstLine="482"/>
      </w:pPr>
      <w:r>
        <w:t>4.1 Computational framework</w:t>
      </w:r>
    </w:p>
    <w:p w14:paraId="5DFBAFB9">
      <w:pPr>
        <w:ind w:firstLine="420"/>
        <w:jc w:val="left"/>
        <w:rPr>
          <w:szCs w:val="24"/>
        </w:rPr>
      </w:pPr>
      <w:r>
        <w:rPr>
          <w:szCs w:val="24"/>
        </w:rPr>
        <w:t>A standardized computational framework was established to quantify roughness-induced carbon emissions at the airport level. The basic accounting unit was defined as one airport in one calendar year. The workflow for a single accounting unit is illustrated in Fig.</w:t>
      </w:r>
      <w:r>
        <w:rPr>
          <w:rFonts w:hint="eastAsia"/>
          <w:szCs w:val="24"/>
        </w:rPr>
        <w:t>S</w:t>
      </w:r>
      <w:r>
        <w:rPr>
          <w:szCs w:val="24"/>
        </w:rPr>
        <w:t>4.1.</w:t>
      </w:r>
    </w:p>
    <w:p w14:paraId="36C2B55A">
      <w:pPr>
        <w:ind w:firstLine="420"/>
        <w:jc w:val="left"/>
        <w:rPr>
          <w:szCs w:val="24"/>
        </w:rPr>
      </w:pPr>
      <w:r>
        <w:rPr>
          <w:szCs w:val="24"/>
        </w:rPr>
        <w:t>To generate the national emission inventory, this standardized procedure was iteratively applied to all sampled civil airports and all study years.</w:t>
      </w:r>
    </w:p>
    <w:p w14:paraId="778FD8F4">
      <w:pPr>
        <w:pStyle w:val="58"/>
        <w:rPr>
          <w:rFonts w:hint="default"/>
          <w:szCs w:val="24"/>
        </w:rPr>
      </w:pPr>
      <w:r>
        <w:rPr>
          <w:szCs w:val="24"/>
          <w:lang w:bidi="ar"/>
        </w:rPr>
        <w:drawing>
          <wp:inline distT="0" distB="0" distL="114300" distR="114300">
            <wp:extent cx="5039995" cy="3202940"/>
            <wp:effectExtent l="0" t="0" r="1905" b="1016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27"/>
                    <a:stretch>
                      <a:fillRect/>
                    </a:stretch>
                  </pic:blipFill>
                  <pic:spPr>
                    <a:xfrm>
                      <a:off x="0" y="0"/>
                      <a:ext cx="5039995" cy="3202940"/>
                    </a:xfrm>
                    <a:prstGeom prst="rect">
                      <a:avLst/>
                    </a:prstGeom>
                    <a:noFill/>
                    <a:ln>
                      <a:noFill/>
                    </a:ln>
                  </pic:spPr>
                </pic:pic>
              </a:graphicData>
            </a:graphic>
          </wp:inline>
        </w:drawing>
      </w:r>
      <w:r>
        <w:rPr>
          <w:szCs w:val="24"/>
          <w:lang w:bidi="ar"/>
        </w:rPr>
        <w:t xml:space="preserve"> </w:t>
      </w:r>
    </w:p>
    <w:p w14:paraId="4928FA87">
      <w:pPr>
        <w:pStyle w:val="52"/>
      </w:pPr>
      <w:r>
        <w:t>Fig.</w:t>
      </w:r>
      <w:r>
        <w:rPr>
          <w:rFonts w:hint="eastAsia"/>
        </w:rPr>
        <w:t>S</w:t>
      </w:r>
      <w:r>
        <w:t>4.1</w:t>
      </w:r>
      <w:r>
        <w:rPr>
          <w:rFonts w:hint="eastAsia"/>
        </w:rPr>
        <w:t xml:space="preserve">. </w:t>
      </w:r>
      <w:r>
        <w:t>Workflow for airport-level carbon emission calculation.</w:t>
      </w:r>
    </w:p>
    <w:p w14:paraId="434E37C1">
      <w:pPr>
        <w:ind w:firstLine="420"/>
        <w:jc w:val="left"/>
        <w:rPr>
          <w:szCs w:val="24"/>
        </w:rPr>
      </w:pPr>
      <w:r>
        <w:rPr>
          <w:szCs w:val="24"/>
        </w:rPr>
        <w:t>The framework consists of four sequential modules: spatial discretization, pavement parameterization, operational reconstruction, and coupled aggregation.</w:t>
      </w:r>
    </w:p>
    <w:p w14:paraId="5774EBDE">
      <w:pPr>
        <w:ind w:firstLine="422"/>
        <w:jc w:val="left"/>
        <w:rPr>
          <w:b/>
          <w:bCs/>
          <w:szCs w:val="24"/>
        </w:rPr>
      </w:pPr>
      <w:r>
        <w:rPr>
          <w:b/>
          <w:bCs/>
          <w:szCs w:val="24"/>
        </w:rPr>
        <w:t>Step 1</w:t>
      </w:r>
      <w:r>
        <w:rPr>
          <w:rFonts w:hint="eastAsia"/>
          <w:b/>
          <w:bCs/>
          <w:szCs w:val="24"/>
        </w:rPr>
        <w:t xml:space="preserve"> </w:t>
      </w:r>
      <w:r>
        <w:rPr>
          <w:b/>
          <w:bCs/>
          <w:szCs w:val="24"/>
        </w:rPr>
        <w:t>Spatial discretization of airport movement areas</w:t>
      </w:r>
    </w:p>
    <w:p w14:paraId="60739698">
      <w:pPr>
        <w:ind w:firstLine="420"/>
        <w:jc w:val="left"/>
        <w:rPr>
          <w:szCs w:val="24"/>
        </w:rPr>
      </w:pPr>
      <w:r>
        <w:rPr>
          <w:szCs w:val="24"/>
        </w:rPr>
        <w:t>The continuous airport movement area was discretized into computational units.</w:t>
      </w:r>
    </w:p>
    <w:p w14:paraId="465E4AF7">
      <w:pPr>
        <w:ind w:firstLine="420"/>
        <w:jc w:val="left"/>
        <w:rPr>
          <w:szCs w:val="24"/>
        </w:rPr>
      </w:pPr>
      <w:r>
        <w:rPr>
          <w:szCs w:val="24"/>
        </w:rPr>
        <w:t>(1) Base map processing</w:t>
      </w:r>
    </w:p>
    <w:p w14:paraId="3D2D8E4C">
      <w:pPr>
        <w:ind w:firstLine="420"/>
        <w:jc w:val="left"/>
        <w:rPr>
          <w:szCs w:val="24"/>
        </w:rPr>
      </w:pPr>
      <w:r>
        <w:rPr>
          <w:szCs w:val="24"/>
        </w:rPr>
        <w:t>Airport layout drawings were digitized and imported into CAD software for spatial calibration.</w:t>
      </w:r>
    </w:p>
    <w:p w14:paraId="4405C8E8">
      <w:pPr>
        <w:ind w:firstLine="420"/>
        <w:jc w:val="left"/>
        <w:rPr>
          <w:szCs w:val="24"/>
        </w:rPr>
      </w:pPr>
      <w:r>
        <w:rPr>
          <w:rFonts w:hint="eastAsia"/>
          <w:szCs w:val="24"/>
        </w:rPr>
        <w:t>(</w:t>
      </w:r>
      <w:r>
        <w:rPr>
          <w:szCs w:val="24"/>
        </w:rPr>
        <w:t>2) Segment division</w:t>
      </w:r>
    </w:p>
    <w:p w14:paraId="07EF71DD">
      <w:pPr>
        <w:ind w:firstLine="420"/>
        <w:jc w:val="left"/>
        <w:rPr>
          <w:szCs w:val="24"/>
        </w:rPr>
      </w:pPr>
      <w:r>
        <w:rPr>
          <w:szCs w:val="24"/>
        </w:rPr>
        <w:t>The movement area was partitioned into grid segments with a standard length of 100 m. Adaptive segmentation (&lt;100 m) was applied at functional transitions (e.g., runway–taxiway junctions) or structural discontinuities (e.g., asphalt–concrete interfaces).</w:t>
      </w:r>
    </w:p>
    <w:p w14:paraId="4B19A663">
      <w:pPr>
        <w:ind w:firstLine="420"/>
        <w:jc w:val="left"/>
        <w:rPr>
          <w:szCs w:val="24"/>
        </w:rPr>
      </w:pPr>
      <w:r>
        <w:rPr>
          <w:rFonts w:hint="eastAsia"/>
          <w:szCs w:val="24"/>
        </w:rPr>
        <w:t>(</w:t>
      </w:r>
      <w:r>
        <w:rPr>
          <w:szCs w:val="24"/>
        </w:rPr>
        <w:t>3) Unique indexing</w:t>
      </w:r>
    </w:p>
    <w:p w14:paraId="4350E584">
      <w:pPr>
        <w:ind w:firstLine="420"/>
        <w:jc w:val="left"/>
        <w:rPr>
          <w:szCs w:val="24"/>
        </w:rPr>
      </w:pPr>
      <w:r>
        <w:rPr>
          <w:szCs w:val="24"/>
        </w:rPr>
        <w:t>Each segment was assigned a unique identifier, forming the spatial reference for linking pavement properties and aircraft operations.</w:t>
      </w:r>
    </w:p>
    <w:p w14:paraId="3BC9A2FF">
      <w:pPr>
        <w:ind w:firstLine="422"/>
        <w:jc w:val="left"/>
        <w:rPr>
          <w:b/>
          <w:bCs/>
          <w:szCs w:val="24"/>
        </w:rPr>
      </w:pPr>
      <w:r>
        <w:rPr>
          <w:b/>
          <w:bCs/>
          <w:szCs w:val="24"/>
        </w:rPr>
        <w:t>Step 2 Pavement parameterization</w:t>
      </w:r>
    </w:p>
    <w:p w14:paraId="042F26C9">
      <w:pPr>
        <w:ind w:firstLine="420"/>
        <w:jc w:val="left"/>
        <w:rPr>
          <w:szCs w:val="24"/>
        </w:rPr>
      </w:pPr>
      <w:r>
        <w:rPr>
          <w:szCs w:val="24"/>
        </w:rPr>
        <w:t>For each segment, a static pavement attribute dataset was constructed using annual official pavement inspection reports.</w:t>
      </w:r>
    </w:p>
    <w:p w14:paraId="706D12E9">
      <w:pPr>
        <w:ind w:firstLine="420"/>
        <w:jc w:val="left"/>
        <w:rPr>
          <w:szCs w:val="24"/>
        </w:rPr>
      </w:pPr>
      <w:r>
        <w:rPr>
          <w:szCs w:val="24"/>
        </w:rPr>
        <w:t>(1) Attribute extraction</w:t>
      </w:r>
    </w:p>
    <w:p w14:paraId="5D2A7738">
      <w:pPr>
        <w:ind w:firstLine="420"/>
        <w:jc w:val="left"/>
        <w:rPr>
          <w:szCs w:val="24"/>
        </w:rPr>
      </w:pPr>
      <w:r>
        <w:rPr>
          <w:szCs w:val="24"/>
        </w:rPr>
        <w:t>Structural and material parameters were assigned to each segment, including: segment length,</w:t>
      </w:r>
    </w:p>
    <w:p w14:paraId="1358BB08">
      <w:pPr>
        <w:ind w:firstLine="420"/>
        <w:jc w:val="left"/>
        <w:rPr>
          <w:szCs w:val="24"/>
        </w:rPr>
      </w:pPr>
      <w:r>
        <w:rPr>
          <w:szCs w:val="24"/>
        </w:rPr>
        <w:t>layer thicknesses, Young’s modulus, subgrade reaction modulus.</w:t>
      </w:r>
    </w:p>
    <w:p w14:paraId="14BE546F">
      <w:pPr>
        <w:ind w:firstLine="420"/>
        <w:jc w:val="left"/>
        <w:rPr>
          <w:szCs w:val="24"/>
        </w:rPr>
      </w:pPr>
      <w:r>
        <w:rPr>
          <w:szCs w:val="24"/>
        </w:rPr>
        <w:t>(2) Roughness assignment</w:t>
      </w:r>
    </w:p>
    <w:p w14:paraId="4631CE16">
      <w:pPr>
        <w:ind w:firstLine="420"/>
        <w:jc w:val="left"/>
        <w:rPr>
          <w:szCs w:val="24"/>
        </w:rPr>
      </w:pPr>
      <w:r>
        <w:rPr>
          <w:szCs w:val="24"/>
        </w:rPr>
        <w:t>Measured roughness data (IRI) were mapped to each segment. Where necessary, IRI values were converted into equivalent elevation-based representations using the method described in Supplementary Note 1.</w:t>
      </w:r>
    </w:p>
    <w:p w14:paraId="462CD17D">
      <w:pPr>
        <w:ind w:firstLine="420"/>
        <w:jc w:val="left"/>
        <w:rPr>
          <w:szCs w:val="24"/>
        </w:rPr>
      </w:pPr>
      <w:r>
        <w:rPr>
          <w:rFonts w:hint="eastAsia"/>
          <w:szCs w:val="24"/>
        </w:rPr>
        <w:t>(</w:t>
      </w:r>
      <w:r>
        <w:rPr>
          <w:szCs w:val="24"/>
        </w:rPr>
        <w:t>3) Data substitution</w:t>
      </w:r>
    </w:p>
    <w:p w14:paraId="5A2A41EB">
      <w:pPr>
        <w:ind w:firstLine="420"/>
        <w:jc w:val="left"/>
        <w:rPr>
          <w:szCs w:val="24"/>
        </w:rPr>
      </w:pPr>
      <w:r>
        <w:rPr>
          <w:szCs w:val="24"/>
        </w:rPr>
        <w:t>For years or airports with missing records, parameters were substituted based on:</w:t>
      </w:r>
    </w:p>
    <w:p w14:paraId="0B2E5410">
      <w:pPr>
        <w:ind w:firstLine="420"/>
        <w:jc w:val="left"/>
        <w:rPr>
          <w:szCs w:val="24"/>
        </w:rPr>
      </w:pPr>
      <w:r>
        <w:rPr>
          <w:szCs w:val="24"/>
        </w:rPr>
        <w:t>runway classification consistency,</w:t>
      </w:r>
    </w:p>
    <w:p w14:paraId="15C90E47">
      <w:pPr>
        <w:ind w:firstLine="420"/>
        <w:jc w:val="left"/>
        <w:rPr>
          <w:szCs w:val="24"/>
        </w:rPr>
      </w:pPr>
      <w:r>
        <w:rPr>
          <w:szCs w:val="24"/>
        </w:rPr>
        <w:t>temporal proximity of construction period.</w:t>
      </w:r>
    </w:p>
    <w:p w14:paraId="5A338D5C">
      <w:pPr>
        <w:ind w:firstLine="420"/>
        <w:jc w:val="left"/>
        <w:rPr>
          <w:szCs w:val="24"/>
        </w:rPr>
      </w:pPr>
      <w:r>
        <w:rPr>
          <w:szCs w:val="24"/>
        </w:rPr>
        <w:t>Replacement values were selected from airports with comparable structural design characteristics.</w:t>
      </w:r>
    </w:p>
    <w:p w14:paraId="7551A50A">
      <w:pPr>
        <w:ind w:firstLine="422"/>
        <w:jc w:val="left"/>
        <w:rPr>
          <w:b/>
          <w:bCs/>
          <w:szCs w:val="24"/>
          <w:lang w:bidi="ar"/>
        </w:rPr>
      </w:pPr>
      <w:r>
        <w:rPr>
          <w:b/>
          <w:bCs/>
          <w:szCs w:val="24"/>
          <w:lang w:bidi="ar"/>
        </w:rPr>
        <w:t>Step 3 Aircraft ground operation reconstruction</w:t>
      </w:r>
    </w:p>
    <w:p w14:paraId="57794D0D">
      <w:pPr>
        <w:ind w:firstLine="420"/>
        <w:jc w:val="left"/>
        <w:rPr>
          <w:szCs w:val="24"/>
          <w:lang w:bidi="ar"/>
        </w:rPr>
      </w:pPr>
      <w:r>
        <w:rPr>
          <w:szCs w:val="24"/>
          <w:lang w:bidi="ar"/>
        </w:rPr>
        <w:t>Dynamic operational inputs were reconstructed independently of pavement attributes.</w:t>
      </w:r>
    </w:p>
    <w:p w14:paraId="42484C0C">
      <w:pPr>
        <w:ind w:firstLine="420"/>
        <w:jc w:val="left"/>
        <w:rPr>
          <w:szCs w:val="24"/>
          <w:lang w:bidi="ar"/>
        </w:rPr>
      </w:pPr>
      <w:r>
        <w:rPr>
          <w:szCs w:val="24"/>
          <w:lang w:bidi="ar"/>
        </w:rPr>
        <w:t>(1) Trajectory reconstruction</w:t>
      </w:r>
    </w:p>
    <w:p w14:paraId="1E5E6AA8">
      <w:pPr>
        <w:ind w:firstLine="420"/>
        <w:jc w:val="left"/>
        <w:rPr>
          <w:szCs w:val="24"/>
          <w:lang w:bidi="ar"/>
        </w:rPr>
      </w:pPr>
      <w:r>
        <w:rPr>
          <w:szCs w:val="24"/>
          <w:lang w:bidi="ar"/>
        </w:rPr>
        <w:t>High-resolution ADS-B data from the Feichangzhun platform were used to reconstruct taxiing trajectories during take-off and landing.</w:t>
      </w:r>
    </w:p>
    <w:p w14:paraId="01CCD97E">
      <w:pPr>
        <w:ind w:firstLine="420"/>
        <w:jc w:val="left"/>
        <w:rPr>
          <w:szCs w:val="24"/>
          <w:lang w:bidi="ar"/>
        </w:rPr>
      </w:pPr>
      <w:r>
        <w:rPr>
          <w:szCs w:val="24"/>
          <w:lang w:bidi="ar"/>
        </w:rPr>
        <w:t>For each aircraft type, the sequence of traversed segments was identified.</w:t>
      </w:r>
    </w:p>
    <w:p w14:paraId="68AA1B39">
      <w:pPr>
        <w:ind w:firstLine="420"/>
        <w:jc w:val="left"/>
        <w:rPr>
          <w:szCs w:val="24"/>
          <w:lang w:bidi="ar"/>
        </w:rPr>
      </w:pPr>
      <w:r>
        <w:rPr>
          <w:rFonts w:hint="eastAsia"/>
          <w:szCs w:val="24"/>
          <w:lang w:bidi="ar"/>
        </w:rPr>
        <w:t>(</w:t>
      </w:r>
      <w:r>
        <w:rPr>
          <w:szCs w:val="24"/>
          <w:lang w:bidi="ar"/>
        </w:rPr>
        <w:t>2) Speed determination</w:t>
      </w:r>
    </w:p>
    <w:p w14:paraId="7A4D629C">
      <w:pPr>
        <w:ind w:firstLine="420"/>
        <w:jc w:val="left"/>
        <w:rPr>
          <w:szCs w:val="24"/>
          <w:lang w:bidi="ar"/>
        </w:rPr>
      </w:pPr>
      <w:r>
        <w:rPr>
          <w:szCs w:val="24"/>
          <w:lang w:bidi="ar"/>
        </w:rPr>
        <w:t>Reference operational speeds were assigned based on civil aviation engineering guidelines and ICAO recommendations:</w:t>
      </w:r>
    </w:p>
    <w:p w14:paraId="3569F5EE">
      <w:pPr>
        <w:ind w:firstLine="420"/>
        <w:jc w:val="left"/>
        <w:rPr>
          <w:szCs w:val="24"/>
          <w:lang w:bidi="ar"/>
        </w:rPr>
      </w:pPr>
      <w:r>
        <w:rPr>
          <w:szCs w:val="24"/>
          <w:lang w:bidi="ar"/>
        </w:rPr>
        <w:t>standard taxiway speed: 50 km/h</w:t>
      </w:r>
    </w:p>
    <w:p w14:paraId="3F08DD05">
      <w:pPr>
        <w:ind w:firstLine="420"/>
        <w:jc w:val="left"/>
        <w:rPr>
          <w:szCs w:val="24"/>
          <w:lang w:bidi="ar"/>
        </w:rPr>
      </w:pPr>
      <w:r>
        <w:rPr>
          <w:szCs w:val="24"/>
          <w:lang w:bidi="ar"/>
        </w:rPr>
        <w:t>rapid-exit taxiway speed: 90 km/h</w:t>
      </w:r>
    </w:p>
    <w:p w14:paraId="12DD5DEA">
      <w:pPr>
        <w:ind w:firstLine="420"/>
        <w:jc w:val="left"/>
        <w:rPr>
          <w:szCs w:val="24"/>
          <w:lang w:bidi="ar"/>
        </w:rPr>
      </w:pPr>
      <w:r>
        <w:rPr>
          <w:szCs w:val="24"/>
          <w:lang w:bidi="ar"/>
        </w:rPr>
        <w:t>Assuming uniform acceleration/deceleration, segment-level entry speeds and accelerations were calculated.</w:t>
      </w:r>
    </w:p>
    <w:p w14:paraId="08DB36E7">
      <w:pPr>
        <w:ind w:firstLine="420"/>
        <w:jc w:val="left"/>
        <w:rPr>
          <w:szCs w:val="24"/>
        </w:rPr>
      </w:pPr>
      <w:r>
        <w:rPr>
          <w:szCs w:val="24"/>
          <w:lang w:bidi="ar"/>
        </w:rPr>
        <w:t>This procedure generated aircraft-type-specific segment operation tables.</w:t>
      </w:r>
    </w:p>
    <w:p w14:paraId="4C4AD55E">
      <w:pPr>
        <w:ind w:firstLine="422"/>
        <w:jc w:val="left"/>
        <w:rPr>
          <w:b/>
          <w:bCs/>
          <w:szCs w:val="24"/>
        </w:rPr>
      </w:pPr>
      <w:r>
        <w:rPr>
          <w:b/>
          <w:bCs/>
          <w:szCs w:val="24"/>
        </w:rPr>
        <w:t>Step 4 Coupled calculation and inventory aggregation</w:t>
      </w:r>
    </w:p>
    <w:p w14:paraId="08E62041">
      <w:pPr>
        <w:ind w:firstLine="420"/>
        <w:jc w:val="left"/>
        <w:rPr>
          <w:szCs w:val="24"/>
        </w:rPr>
      </w:pPr>
      <w:r>
        <w:rPr>
          <w:szCs w:val="24"/>
        </w:rPr>
        <w:t>Static pavement attributes and dynamic aircraft operations were integrated at the segment level.</w:t>
      </w:r>
    </w:p>
    <w:p w14:paraId="2936CBE0">
      <w:pPr>
        <w:ind w:firstLine="420"/>
        <w:jc w:val="left"/>
        <w:rPr>
          <w:szCs w:val="24"/>
        </w:rPr>
      </w:pPr>
      <w:r>
        <w:rPr>
          <w:szCs w:val="24"/>
        </w:rPr>
        <w:t>(1) Segment-level calculation</w:t>
      </w:r>
      <w:r>
        <w:rPr>
          <w:rFonts w:hint="eastAsia"/>
          <w:szCs w:val="24"/>
        </w:rPr>
        <w:t>:</w:t>
      </w:r>
      <w:r>
        <w:rPr>
          <w:szCs w:val="24"/>
        </w:rPr>
        <w:t xml:space="preserve"> For each aircraft–speed–roughness combination, the coupled aircraft–runway model (Methods 2 and 3 in the main text) was invoked to compute vibration-induced energy dissipation and corresponding carbon emissions for each segment.</w:t>
      </w:r>
    </w:p>
    <w:p w14:paraId="7E843EBA">
      <w:pPr>
        <w:ind w:firstLine="420"/>
        <w:jc w:val="left"/>
        <w:rPr>
          <w:szCs w:val="24"/>
        </w:rPr>
      </w:pPr>
      <w:r>
        <w:rPr>
          <w:szCs w:val="24"/>
        </w:rPr>
        <w:t>(2) Annual aggregation</w:t>
      </w:r>
      <w:r>
        <w:rPr>
          <w:rFonts w:hint="eastAsia"/>
          <w:szCs w:val="24"/>
        </w:rPr>
        <w:t>:</w:t>
      </w:r>
      <w:r>
        <w:rPr>
          <w:szCs w:val="24"/>
        </w:rPr>
        <w:t xml:space="preserve"> Segment-level emissions per movement were multiplied by annual aircraft movement counts from the OAG database.</w:t>
      </w:r>
    </w:p>
    <w:p w14:paraId="0888E3BD">
      <w:pPr>
        <w:ind w:firstLine="420"/>
        <w:jc w:val="left"/>
        <w:rPr>
          <w:szCs w:val="24"/>
        </w:rPr>
      </w:pPr>
      <w:r>
        <w:rPr>
          <w:szCs w:val="24"/>
        </w:rPr>
        <w:t>Summation across aircraft types yielded annual total emissions for each airport.</w:t>
      </w:r>
    </w:p>
    <w:p w14:paraId="1F6AF76E">
      <w:pPr>
        <w:ind w:firstLine="420"/>
        <w:jc w:val="left"/>
        <w:rPr>
          <w:szCs w:val="24"/>
        </w:rPr>
      </w:pPr>
      <w:r>
        <w:rPr>
          <w:szCs w:val="24"/>
        </w:rPr>
        <w:t>The procedure was repeated for all airports, producing the national-scale emission inventory.</w:t>
      </w:r>
    </w:p>
    <w:p w14:paraId="2B36504A">
      <w:pPr>
        <w:pStyle w:val="3"/>
        <w:ind w:firstLine="482"/>
      </w:pPr>
      <w:r>
        <w:t>4.2 Representative case: Shanghai Hongqiao International Airport (2019)</w:t>
      </w:r>
    </w:p>
    <w:p w14:paraId="60940600">
      <w:pPr>
        <w:ind w:firstLine="420"/>
        <w:jc w:val="left"/>
        <w:rPr>
          <w:szCs w:val="24"/>
        </w:rPr>
      </w:pPr>
      <w:r>
        <w:rPr>
          <w:szCs w:val="24"/>
        </w:rPr>
        <w:t>The national emission inventory includes 237 civil airports across a 30-year period. Given the scale of intermediate datasets, a representative airport is presented to illustrate the full implementation of the computational workflow described in Section 4.1.</w:t>
      </w:r>
    </w:p>
    <w:p w14:paraId="3CF0D664">
      <w:pPr>
        <w:ind w:firstLine="420"/>
        <w:jc w:val="left"/>
        <w:rPr>
          <w:szCs w:val="24"/>
        </w:rPr>
      </w:pPr>
      <w:r>
        <w:rPr>
          <w:szCs w:val="24"/>
        </w:rPr>
        <w:t>Shanghai Hongqiao International Airport (2019) was selected as a demonstration case due to its structural and operational diversity. The airport exhibits:</w:t>
      </w:r>
    </w:p>
    <w:p w14:paraId="04F493D7">
      <w:pPr>
        <w:pStyle w:val="42"/>
        <w:ind w:left="420" w:firstLine="0" w:firstLineChars="0"/>
        <w:jc w:val="left"/>
        <w:rPr>
          <w:szCs w:val="24"/>
        </w:rPr>
      </w:pPr>
      <w:r>
        <w:rPr>
          <w:rFonts w:hint="eastAsia"/>
          <w:szCs w:val="24"/>
        </w:rPr>
        <w:t xml:space="preserve">(1) </w:t>
      </w:r>
      <w:r>
        <w:rPr>
          <w:szCs w:val="24"/>
        </w:rPr>
        <w:t>Multiple pavement types</w:t>
      </w:r>
      <w:r>
        <w:rPr>
          <w:rFonts w:hint="eastAsia"/>
          <w:szCs w:val="24"/>
        </w:rPr>
        <w:t>:</w:t>
      </w:r>
      <w:r>
        <w:rPr>
          <w:szCs w:val="24"/>
        </w:rPr>
        <w:t>Two runways comprising both asphalt concrete (flexible) and cement concrete (rigid) pavements;</w:t>
      </w:r>
    </w:p>
    <w:p w14:paraId="7EF58C1D">
      <w:pPr>
        <w:pStyle w:val="42"/>
        <w:ind w:left="420" w:firstLine="0" w:firstLineChars="0"/>
        <w:jc w:val="left"/>
        <w:rPr>
          <w:szCs w:val="24"/>
        </w:rPr>
      </w:pPr>
      <w:r>
        <w:rPr>
          <w:rFonts w:hint="eastAsia"/>
          <w:szCs w:val="24"/>
        </w:rPr>
        <w:t xml:space="preserve">(2) </w:t>
      </w:r>
      <w:r>
        <w:rPr>
          <w:szCs w:val="24"/>
        </w:rPr>
        <w:t>Diverse aircraft fleet composition</w:t>
      </w:r>
      <w:r>
        <w:rPr>
          <w:rFonts w:hint="eastAsia"/>
          <w:szCs w:val="24"/>
        </w:rPr>
        <w:t>:</w:t>
      </w:r>
      <w:r>
        <w:rPr>
          <w:szCs w:val="24"/>
        </w:rPr>
        <w:t>Aircraft movements in 2019 included a broad spectrum of aircraft classes, from regional jets to wide-body aircraft;</w:t>
      </w:r>
    </w:p>
    <w:p w14:paraId="31E934B8">
      <w:pPr>
        <w:pStyle w:val="42"/>
        <w:ind w:left="420" w:firstLine="0" w:firstLineChars="0"/>
        <w:jc w:val="left"/>
        <w:rPr>
          <w:szCs w:val="24"/>
        </w:rPr>
      </w:pPr>
      <w:r>
        <w:rPr>
          <w:rFonts w:hint="eastAsia"/>
          <w:szCs w:val="24"/>
        </w:rPr>
        <w:t xml:space="preserve">(3) </w:t>
      </w:r>
      <w:r>
        <w:rPr>
          <w:szCs w:val="24"/>
        </w:rPr>
        <w:t>Heterogeneous pavement history</w:t>
      </w:r>
      <w:r>
        <w:rPr>
          <w:rFonts w:hint="eastAsia"/>
          <w:szCs w:val="24"/>
        </w:rPr>
        <w:t>:</w:t>
      </w:r>
      <w:r>
        <w:rPr>
          <w:szCs w:val="24"/>
        </w:rPr>
        <w:t>Multiple rehabilitation and overlay stages resulting in spatially heterogeneous pavement zones.</w:t>
      </w:r>
    </w:p>
    <w:p w14:paraId="0C20A1B6">
      <w:pPr>
        <w:ind w:firstLine="420"/>
        <w:jc w:val="left"/>
        <w:rPr>
          <w:szCs w:val="24"/>
        </w:rPr>
      </w:pPr>
      <w:r>
        <w:rPr>
          <w:szCs w:val="24"/>
        </w:rPr>
        <w:t>These characteristics enable illustration of segment-level parameter assignment, aircraft–runway coupling, and aggregation procedures under complex operational conditions.</w:t>
      </w:r>
    </w:p>
    <w:p w14:paraId="3105B8C1">
      <w:pPr>
        <w:pStyle w:val="4"/>
        <w:ind w:firstLine="482"/>
      </w:pPr>
      <w:r>
        <w:t>4.2.1 Spatial discretization of movement areas</w:t>
      </w:r>
    </w:p>
    <w:p w14:paraId="5D090714">
      <w:pPr>
        <w:tabs>
          <w:tab w:val="left" w:pos="720"/>
        </w:tabs>
        <w:ind w:firstLine="420"/>
        <w:jc w:val="left"/>
        <w:rPr>
          <w:szCs w:val="24"/>
        </w:rPr>
      </w:pPr>
      <w:r>
        <w:rPr>
          <w:szCs w:val="24"/>
        </w:rPr>
        <w:t>The original airport layout drawings were digitized and geometrically calibrated using high-resolution satellite imagery and airport design documentation.</w:t>
      </w:r>
    </w:p>
    <w:p w14:paraId="2C289E3C">
      <w:pPr>
        <w:tabs>
          <w:tab w:val="left" w:pos="720"/>
        </w:tabs>
        <w:ind w:firstLine="420"/>
        <w:jc w:val="left"/>
        <w:rPr>
          <w:szCs w:val="24"/>
        </w:rPr>
      </w:pPr>
      <w:r>
        <w:rPr>
          <w:szCs w:val="24"/>
        </w:rPr>
        <w:t>Following the segmentation principles defined in Section 4.1, the entire movement area was discretized into 413 computational units Fig.</w:t>
      </w:r>
      <w:r>
        <w:rPr>
          <w:rFonts w:hint="eastAsia"/>
          <w:szCs w:val="24"/>
        </w:rPr>
        <w:t>S</w:t>
      </w:r>
      <w:r>
        <w:rPr>
          <w:szCs w:val="24"/>
        </w:rPr>
        <w:t>4.2). Two rules governed the segmentation and indexing process:</w:t>
      </w:r>
    </w:p>
    <w:p w14:paraId="72947798">
      <w:pPr>
        <w:tabs>
          <w:tab w:val="left" w:pos="720"/>
        </w:tabs>
        <w:ind w:firstLine="422"/>
        <w:jc w:val="left"/>
        <w:rPr>
          <w:b/>
          <w:bCs/>
          <w:szCs w:val="24"/>
        </w:rPr>
      </w:pPr>
      <w:r>
        <w:rPr>
          <w:b/>
          <w:bCs/>
          <w:szCs w:val="24"/>
        </w:rPr>
        <w:t>(1) Spatial–functional indexing</w:t>
      </w:r>
    </w:p>
    <w:p w14:paraId="29A76810">
      <w:pPr>
        <w:tabs>
          <w:tab w:val="left" w:pos="720"/>
        </w:tabs>
        <w:ind w:firstLine="420"/>
        <w:jc w:val="left"/>
        <w:rPr>
          <w:szCs w:val="24"/>
        </w:rPr>
      </w:pPr>
      <w:r>
        <w:rPr>
          <w:szCs w:val="24"/>
        </w:rPr>
        <w:t>Segments were indexed sequentially:</w:t>
      </w:r>
    </w:p>
    <w:p w14:paraId="33664646">
      <w:pPr>
        <w:pStyle w:val="42"/>
        <w:tabs>
          <w:tab w:val="left" w:pos="720"/>
        </w:tabs>
        <w:ind w:left="420" w:firstLine="0" w:firstLineChars="0"/>
        <w:jc w:val="left"/>
        <w:rPr>
          <w:szCs w:val="24"/>
        </w:rPr>
      </w:pPr>
      <w:r>
        <w:rPr>
          <w:rFonts w:hint="eastAsia"/>
          <w:szCs w:val="24"/>
        </w:rPr>
        <w:tab/>
      </w:r>
      <w:r>
        <w:rPr>
          <w:rFonts w:hint="eastAsia"/>
          <w:szCs w:val="24"/>
        </w:rPr>
        <w:t xml:space="preserve">1) </w:t>
      </w:r>
      <w:r>
        <w:rPr>
          <w:szCs w:val="24"/>
        </w:rPr>
        <w:t>spatial order: north-to-south, west-to-east</w:t>
      </w:r>
    </w:p>
    <w:p w14:paraId="2986A7BB">
      <w:pPr>
        <w:pStyle w:val="42"/>
        <w:tabs>
          <w:tab w:val="left" w:pos="720"/>
        </w:tabs>
        <w:ind w:left="420" w:firstLine="0" w:firstLineChars="0"/>
        <w:jc w:val="left"/>
        <w:rPr>
          <w:szCs w:val="24"/>
        </w:rPr>
      </w:pPr>
      <w:r>
        <w:rPr>
          <w:rFonts w:hint="eastAsia"/>
          <w:szCs w:val="24"/>
        </w:rPr>
        <w:tab/>
      </w:r>
      <w:r>
        <w:rPr>
          <w:rFonts w:hint="eastAsia"/>
          <w:szCs w:val="24"/>
        </w:rPr>
        <w:t>2) functional hierarchy: runway→taxiway→connector→apron</w:t>
      </w:r>
    </w:p>
    <w:p w14:paraId="12C018D4">
      <w:pPr>
        <w:tabs>
          <w:tab w:val="left" w:pos="720"/>
        </w:tabs>
        <w:ind w:firstLine="420"/>
        <w:jc w:val="left"/>
        <w:rPr>
          <w:szCs w:val="24"/>
        </w:rPr>
      </w:pPr>
      <w:r>
        <w:rPr>
          <w:szCs w:val="24"/>
        </w:rPr>
        <w:t>Each segment was assigned a unique spatial identifier to enable linkage between pavement attributes and aircraft operations.</w:t>
      </w:r>
    </w:p>
    <w:p w14:paraId="02DF0598">
      <w:pPr>
        <w:tabs>
          <w:tab w:val="left" w:pos="720"/>
        </w:tabs>
        <w:ind w:firstLine="422"/>
        <w:jc w:val="left"/>
        <w:rPr>
          <w:b/>
          <w:bCs/>
          <w:szCs w:val="24"/>
        </w:rPr>
      </w:pPr>
      <w:r>
        <w:rPr>
          <w:b/>
          <w:bCs/>
          <w:szCs w:val="24"/>
        </w:rPr>
        <w:t>(2) Adaptive discretization strategy</w:t>
      </w:r>
    </w:p>
    <w:p w14:paraId="0A080075">
      <w:pPr>
        <w:tabs>
          <w:tab w:val="left" w:pos="720"/>
        </w:tabs>
        <w:ind w:firstLine="420"/>
        <w:jc w:val="left"/>
        <w:rPr>
          <w:szCs w:val="24"/>
        </w:rPr>
      </w:pPr>
      <w:r>
        <w:rPr>
          <w:szCs w:val="24"/>
        </w:rPr>
        <w:t>Different discretization resolutions were applied according to functional characteristics:</w:t>
      </w:r>
    </w:p>
    <w:p w14:paraId="5666FE68">
      <w:pPr>
        <w:numPr>
          <w:ilvl w:val="0"/>
          <w:numId w:val="2"/>
        </w:numPr>
        <w:tabs>
          <w:tab w:val="left" w:pos="720"/>
        </w:tabs>
        <w:ind w:firstLine="420"/>
        <w:jc w:val="left"/>
        <w:rPr>
          <w:szCs w:val="24"/>
        </w:rPr>
      </w:pPr>
      <w:r>
        <w:rPr>
          <w:szCs w:val="24"/>
        </w:rPr>
        <w:t>Runways and taxiways</w:t>
      </w:r>
    </w:p>
    <w:p w14:paraId="71228584">
      <w:pPr>
        <w:tabs>
          <w:tab w:val="left" w:pos="720"/>
        </w:tabs>
        <w:ind w:left="420" w:leftChars="200" w:firstLine="0" w:firstLineChars="0"/>
        <w:jc w:val="left"/>
        <w:rPr>
          <w:szCs w:val="24"/>
        </w:rPr>
      </w:pPr>
      <w:r>
        <w:rPr>
          <w:szCs w:val="24"/>
        </w:rPr>
        <w:t>Segmented at a standard 100 m interval (with adaptive adjustment at boundaries);</w:t>
      </w:r>
    </w:p>
    <w:p w14:paraId="2F4EC95F">
      <w:pPr>
        <w:numPr>
          <w:ilvl w:val="0"/>
          <w:numId w:val="2"/>
        </w:numPr>
        <w:tabs>
          <w:tab w:val="left" w:pos="720"/>
        </w:tabs>
        <w:ind w:firstLine="420"/>
        <w:jc w:val="left"/>
        <w:rPr>
          <w:szCs w:val="24"/>
        </w:rPr>
      </w:pPr>
      <w:r>
        <w:rPr>
          <w:szCs w:val="24"/>
        </w:rPr>
        <w:t>Apron areas</w:t>
      </w:r>
    </w:p>
    <w:p w14:paraId="6CE492B9">
      <w:pPr>
        <w:tabs>
          <w:tab w:val="left" w:pos="720"/>
        </w:tabs>
        <w:ind w:left="420" w:leftChars="200" w:firstLine="0" w:firstLineChars="0"/>
        <w:jc w:val="left"/>
        <w:rPr>
          <w:szCs w:val="24"/>
        </w:rPr>
      </w:pPr>
      <w:r>
        <w:rPr>
          <w:szCs w:val="24"/>
        </w:rPr>
        <w:t>Larger functional blocks were defined according to inspection and management zones,</w:t>
      </w:r>
    </w:p>
    <w:p w14:paraId="323A81EF">
      <w:pPr>
        <w:tabs>
          <w:tab w:val="left" w:pos="720"/>
        </w:tabs>
        <w:ind w:left="420" w:leftChars="200" w:firstLine="0" w:firstLineChars="0"/>
        <w:jc w:val="left"/>
        <w:rPr>
          <w:szCs w:val="24"/>
        </w:rPr>
      </w:pPr>
      <w:r>
        <w:rPr>
          <w:szCs w:val="24"/>
        </w:rPr>
        <w:t>reflecting structural homogeneity and low taxiing speeds in apron areas.</w:t>
      </w:r>
    </w:p>
    <w:p w14:paraId="3253DA5B">
      <w:pPr>
        <w:tabs>
          <w:tab w:val="left" w:pos="720"/>
        </w:tabs>
        <w:ind w:firstLine="420"/>
        <w:jc w:val="left"/>
        <w:rPr>
          <w:szCs w:val="24"/>
        </w:rPr>
      </w:pPr>
      <w:r>
        <w:rPr>
          <w:szCs w:val="24"/>
        </w:rPr>
        <w:t>This strategy balances computational efficiency and spatial resolution without altering the physical coupling mechanism.</w:t>
      </w:r>
    </w:p>
    <w:p w14:paraId="2547143A">
      <w:pPr>
        <w:ind w:firstLine="420"/>
        <w:jc w:val="center"/>
        <w:rPr>
          <w:kern w:val="2"/>
          <w:szCs w:val="21"/>
        </w:rPr>
      </w:pPr>
      <w:r>
        <w:rPr>
          <w:kern w:val="2"/>
          <w:szCs w:val="21"/>
          <w:lang w:bidi="ar"/>
        </w:rPr>
        <w:t xml:space="preserve"> </w:t>
      </w:r>
    </w:p>
    <w:p w14:paraId="4D7981B4">
      <w:pPr>
        <w:ind w:firstLine="420"/>
        <w:jc w:val="center"/>
        <w:rPr>
          <w:kern w:val="2"/>
          <w:szCs w:val="21"/>
        </w:rPr>
      </w:pPr>
      <w:r>
        <w:rPr>
          <w:kern w:val="2"/>
          <w:szCs w:val="21"/>
          <w:lang w:bidi="ar"/>
        </w:rPr>
        <w:br w:type="page"/>
      </w:r>
    </w:p>
    <w:p w14:paraId="1E3CA097">
      <w:pPr>
        <w:ind w:firstLine="0" w:firstLineChars="0"/>
        <w:jc w:val="center"/>
        <w:rPr>
          <w:kern w:val="2"/>
          <w:szCs w:val="21"/>
        </w:rPr>
      </w:pPr>
      <w:r>
        <w:rPr>
          <w:kern w:val="2"/>
          <w:szCs w:val="21"/>
          <w:lang w:bidi="ar"/>
        </w:rPr>
        <w:drawing>
          <wp:inline distT="0" distB="0" distL="114300" distR="114300">
            <wp:extent cx="8124190" cy="3547110"/>
            <wp:effectExtent l="0" t="0" r="8890" b="381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8"/>
                    <a:stretch>
                      <a:fillRect/>
                    </a:stretch>
                  </pic:blipFill>
                  <pic:spPr>
                    <a:xfrm rot="16200000">
                      <a:off x="0" y="0"/>
                      <a:ext cx="8124190" cy="3547110"/>
                    </a:xfrm>
                    <a:prstGeom prst="rect">
                      <a:avLst/>
                    </a:prstGeom>
                  </pic:spPr>
                </pic:pic>
              </a:graphicData>
            </a:graphic>
          </wp:inline>
        </w:drawing>
      </w:r>
    </w:p>
    <w:p w14:paraId="51D13A27">
      <w:pPr>
        <w:ind w:firstLine="420"/>
        <w:jc w:val="center"/>
        <w:rPr>
          <w:kern w:val="2"/>
          <w:szCs w:val="21"/>
        </w:rPr>
      </w:pPr>
      <w:r>
        <w:rPr>
          <w:kern w:val="2"/>
          <w:szCs w:val="21"/>
        </w:rPr>
        <w:t xml:space="preserve">Fig. </w:t>
      </w:r>
      <w:r>
        <w:rPr>
          <w:rFonts w:hint="eastAsia"/>
          <w:kern w:val="2"/>
          <w:szCs w:val="21"/>
        </w:rPr>
        <w:t>S</w:t>
      </w:r>
      <w:r>
        <w:rPr>
          <w:kern w:val="2"/>
          <w:szCs w:val="21"/>
        </w:rPr>
        <w:t>4.2</w:t>
      </w:r>
      <w:r>
        <w:rPr>
          <w:rFonts w:hint="eastAsia"/>
          <w:kern w:val="2"/>
          <w:szCs w:val="21"/>
        </w:rPr>
        <w:t xml:space="preserve">. </w:t>
      </w:r>
      <w:r>
        <w:rPr>
          <w:kern w:val="2"/>
          <w:szCs w:val="21"/>
        </w:rPr>
        <w:t>Spatial segmentation and indexing of Shanghai Hongqiao International Airport movement areas (2019).</w:t>
      </w:r>
    </w:p>
    <w:p w14:paraId="7F46A84D">
      <w:pPr>
        <w:pStyle w:val="4"/>
        <w:ind w:firstLine="482"/>
      </w:pPr>
      <w:r>
        <w:t>4.2.2 Pavement attribute matrix construction</w:t>
      </w:r>
    </w:p>
    <w:p w14:paraId="3941CBFB">
      <w:pPr>
        <w:ind w:firstLine="420"/>
        <w:rPr>
          <w:szCs w:val="24"/>
        </w:rPr>
      </w:pPr>
      <w:r>
        <w:rPr>
          <w:szCs w:val="24"/>
        </w:rPr>
        <w:t xml:space="preserve">Based on the 413 spatial segments defined in Section 4.2.1, a pavement attribute matrix was constructed for the entire movement area. The matrix includes four categories of parameters: inventory information </w:t>
      </w:r>
      <w:r>
        <w:rPr>
          <w:rFonts w:hint="eastAsia"/>
          <w:szCs w:val="24"/>
        </w:rPr>
        <w:t>(</w:t>
      </w:r>
      <w:r>
        <w:rPr>
          <w:szCs w:val="24"/>
        </w:rPr>
        <w:t xml:space="preserve">construction year, functional zone), structural configuration (layer surface/base/subbase composition, layer thickness, material type), mechanical properties (Young’s modulus of each layer, subgrade reaction modulus, California Bearing Ratio), </w:t>
      </w:r>
      <w:r>
        <w:rPr>
          <w:rFonts w:hint="eastAsia"/>
          <w:szCs w:val="24"/>
        </w:rPr>
        <w:t>s</w:t>
      </w:r>
      <w:r>
        <w:rPr>
          <w:szCs w:val="24"/>
        </w:rPr>
        <w:t>urface functional indicator (roughness)</w:t>
      </w:r>
    </w:p>
    <w:p w14:paraId="0C47DC35">
      <w:pPr>
        <w:ind w:firstLine="420"/>
        <w:rPr>
          <w:szCs w:val="24"/>
        </w:rPr>
      </w:pPr>
      <w:r>
        <w:rPr>
          <w:szCs w:val="24"/>
        </w:rPr>
        <w:t>All input parameters were obtained from the Shanghai Hongqiao International Airport Apron Pavement System Testing and Evaluation Report (2019). The processed and matched attribute dataset is provided in Source Data 2.</w:t>
      </w:r>
    </w:p>
    <w:p w14:paraId="2F5FCB00">
      <w:pPr>
        <w:ind w:firstLine="420"/>
        <w:rPr>
          <w:szCs w:val="24"/>
        </w:rPr>
      </w:pPr>
      <w:r>
        <w:rPr>
          <w:szCs w:val="24"/>
        </w:rPr>
        <w:t>Key components of the attribute matrix are presented below from three dimensions: construction chronology, structural mechanical properties, and roughness characteristics.</w:t>
      </w:r>
    </w:p>
    <w:p w14:paraId="482045AE">
      <w:pPr>
        <w:ind w:firstLine="420"/>
        <w:outlineLvl w:val="3"/>
        <w:rPr>
          <w:szCs w:val="24"/>
        </w:rPr>
      </w:pPr>
      <w:r>
        <w:rPr>
          <w:szCs w:val="24"/>
        </w:rPr>
        <w:t>(1) Construction chronology</w:t>
      </w:r>
    </w:p>
    <w:p w14:paraId="6C9550BC">
      <w:pPr>
        <w:ind w:firstLine="420"/>
        <w:rPr>
          <w:szCs w:val="24"/>
        </w:rPr>
      </w:pPr>
      <w:r>
        <w:rPr>
          <w:szCs w:val="24"/>
        </w:rPr>
        <w:t xml:space="preserve">The pavement system at Shanghai Hongqiao International Airport was developed through multiple construction and rehabilitation phases. Construction years for major functional zones are summarized in Table </w:t>
      </w:r>
      <w:r>
        <w:rPr>
          <w:rFonts w:hint="eastAsia"/>
          <w:szCs w:val="24"/>
        </w:rPr>
        <w:t>S</w:t>
      </w:r>
      <w:r>
        <w:rPr>
          <w:szCs w:val="24"/>
        </w:rPr>
        <w:t>4.1.</w:t>
      </w:r>
    </w:p>
    <w:p w14:paraId="5E9901CD">
      <w:pPr>
        <w:pStyle w:val="52"/>
      </w:pPr>
      <w:r>
        <w:t xml:space="preserve">Table </w:t>
      </w:r>
      <w:r>
        <w:rPr>
          <w:rFonts w:hint="eastAsia"/>
        </w:rPr>
        <w:t>S</w:t>
      </w:r>
      <w:r>
        <w:t>4.1</w:t>
      </w:r>
      <w:r>
        <w:rPr>
          <w:rFonts w:hint="eastAsia"/>
        </w:rPr>
        <w:t>.</w:t>
      </w:r>
      <w:r>
        <w:t xml:space="preserve"> Construction timeline of selected movement-area zones at Shanghai Hongqiao International Airport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19649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000000" w:sz="12" w:space="0"/>
              <w:left w:val="nil"/>
              <w:bottom w:val="single" w:color="000000" w:sz="12" w:space="0"/>
              <w:right w:val="nil"/>
            </w:tcBorders>
            <w:shd w:val="clear" w:color="auto" w:fill="auto"/>
            <w:vAlign w:val="center"/>
          </w:tcPr>
          <w:p w14:paraId="6A1A7A2A">
            <w:pPr>
              <w:pStyle w:val="49"/>
              <w:ind w:firstLine="420"/>
            </w:pPr>
            <w:r>
              <w:t>Part Location</w:t>
            </w:r>
          </w:p>
        </w:tc>
        <w:tc>
          <w:tcPr>
            <w:tcW w:w="2841" w:type="dxa"/>
            <w:tcBorders>
              <w:top w:val="single" w:color="000000" w:sz="12" w:space="0"/>
              <w:left w:val="nil"/>
              <w:bottom w:val="single" w:color="000000" w:sz="12" w:space="0"/>
              <w:right w:val="nil"/>
            </w:tcBorders>
            <w:shd w:val="clear" w:color="auto" w:fill="auto"/>
            <w:vAlign w:val="center"/>
          </w:tcPr>
          <w:p w14:paraId="4915D4E2">
            <w:pPr>
              <w:pStyle w:val="49"/>
              <w:ind w:firstLine="420"/>
            </w:pPr>
            <w:r>
              <w:t>Construction</w:t>
            </w:r>
          </w:p>
        </w:tc>
        <w:tc>
          <w:tcPr>
            <w:tcW w:w="2841" w:type="dxa"/>
            <w:tcBorders>
              <w:top w:val="single" w:color="000000" w:sz="12" w:space="0"/>
              <w:left w:val="nil"/>
              <w:bottom w:val="single" w:color="000000" w:sz="12" w:space="0"/>
              <w:right w:val="nil"/>
            </w:tcBorders>
            <w:shd w:val="clear" w:color="auto" w:fill="auto"/>
            <w:vAlign w:val="center"/>
          </w:tcPr>
          <w:p w14:paraId="39D64EBF">
            <w:pPr>
              <w:pStyle w:val="49"/>
              <w:ind w:firstLine="420"/>
            </w:pPr>
            <w:r>
              <w:rPr>
                <w:rFonts w:hint="eastAsia"/>
              </w:rPr>
              <w:t>Time</w:t>
            </w:r>
          </w:p>
        </w:tc>
      </w:tr>
      <w:tr w14:paraId="4D820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Borders>
              <w:top w:val="single" w:color="000000" w:sz="12" w:space="0"/>
              <w:left w:val="nil"/>
              <w:bottom w:val="nil"/>
              <w:right w:val="nil"/>
            </w:tcBorders>
            <w:shd w:val="clear" w:color="auto" w:fill="auto"/>
            <w:vAlign w:val="center"/>
          </w:tcPr>
          <w:p w14:paraId="7978D811">
            <w:pPr>
              <w:pStyle w:val="49"/>
              <w:ind w:firstLine="420"/>
            </w:pPr>
            <w:r>
              <w:t>East runway</w:t>
            </w:r>
          </w:p>
        </w:tc>
        <w:tc>
          <w:tcPr>
            <w:tcW w:w="2841" w:type="dxa"/>
            <w:tcBorders>
              <w:top w:val="single" w:color="000000" w:sz="12" w:space="0"/>
              <w:left w:val="nil"/>
              <w:bottom w:val="nil"/>
              <w:right w:val="nil"/>
            </w:tcBorders>
            <w:shd w:val="clear" w:color="auto" w:fill="auto"/>
            <w:vAlign w:val="center"/>
          </w:tcPr>
          <w:p w14:paraId="04572D20">
            <w:pPr>
              <w:pStyle w:val="49"/>
              <w:ind w:firstLine="420"/>
            </w:pPr>
            <w:r>
              <w:t>Southern End Section of Runway</w:t>
            </w:r>
          </w:p>
        </w:tc>
        <w:tc>
          <w:tcPr>
            <w:tcW w:w="2841" w:type="dxa"/>
            <w:tcBorders>
              <w:top w:val="single" w:color="000000" w:sz="12" w:space="0"/>
              <w:left w:val="nil"/>
              <w:bottom w:val="nil"/>
              <w:right w:val="nil"/>
            </w:tcBorders>
            <w:shd w:val="clear" w:color="auto" w:fill="auto"/>
            <w:vAlign w:val="center"/>
          </w:tcPr>
          <w:p w14:paraId="51899932">
            <w:pPr>
              <w:pStyle w:val="49"/>
              <w:ind w:firstLine="420"/>
            </w:pPr>
            <w:r>
              <w:t>1992</w:t>
            </w:r>
          </w:p>
        </w:tc>
      </w:tr>
      <w:tr w14:paraId="15F8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nil"/>
              <w:left w:val="nil"/>
              <w:bottom w:val="nil"/>
              <w:right w:val="nil"/>
            </w:tcBorders>
            <w:shd w:val="clear" w:color="auto" w:fill="auto"/>
            <w:vAlign w:val="center"/>
          </w:tcPr>
          <w:p w14:paraId="157805DC">
            <w:pPr>
              <w:pStyle w:val="49"/>
              <w:ind w:firstLine="420"/>
            </w:pPr>
          </w:p>
        </w:tc>
        <w:tc>
          <w:tcPr>
            <w:tcW w:w="2841" w:type="dxa"/>
            <w:tcBorders>
              <w:top w:val="nil"/>
              <w:left w:val="nil"/>
              <w:bottom w:val="nil"/>
              <w:right w:val="nil"/>
            </w:tcBorders>
            <w:shd w:val="clear" w:color="auto" w:fill="auto"/>
            <w:vAlign w:val="center"/>
          </w:tcPr>
          <w:p w14:paraId="17A27203">
            <w:pPr>
              <w:pStyle w:val="49"/>
              <w:ind w:firstLine="420"/>
            </w:pPr>
            <w:r>
              <w:t>Middle Area of Runway</w:t>
            </w:r>
          </w:p>
        </w:tc>
        <w:tc>
          <w:tcPr>
            <w:tcW w:w="2841" w:type="dxa"/>
            <w:tcBorders>
              <w:top w:val="nil"/>
              <w:left w:val="nil"/>
              <w:bottom w:val="nil"/>
              <w:right w:val="nil"/>
            </w:tcBorders>
            <w:shd w:val="clear" w:color="auto" w:fill="auto"/>
            <w:vAlign w:val="center"/>
          </w:tcPr>
          <w:p w14:paraId="0632CD6C">
            <w:pPr>
              <w:pStyle w:val="49"/>
              <w:ind w:firstLine="420"/>
            </w:pPr>
            <w:r>
              <w:t>2011</w:t>
            </w:r>
          </w:p>
        </w:tc>
      </w:tr>
      <w:tr w14:paraId="31FA8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nil"/>
              <w:left w:val="nil"/>
              <w:bottom w:val="nil"/>
              <w:right w:val="nil"/>
            </w:tcBorders>
            <w:shd w:val="clear" w:color="auto" w:fill="auto"/>
            <w:vAlign w:val="center"/>
          </w:tcPr>
          <w:p w14:paraId="7D749F9A">
            <w:pPr>
              <w:pStyle w:val="49"/>
              <w:ind w:firstLine="420"/>
            </w:pPr>
          </w:p>
        </w:tc>
        <w:tc>
          <w:tcPr>
            <w:tcW w:w="2841" w:type="dxa"/>
            <w:tcBorders>
              <w:top w:val="nil"/>
              <w:left w:val="nil"/>
              <w:bottom w:val="single" w:color="auto" w:sz="4" w:space="0"/>
              <w:right w:val="nil"/>
            </w:tcBorders>
            <w:shd w:val="clear" w:color="auto" w:fill="auto"/>
            <w:vAlign w:val="center"/>
          </w:tcPr>
          <w:p w14:paraId="5F9B93DC">
            <w:pPr>
              <w:pStyle w:val="49"/>
              <w:ind w:firstLine="420"/>
            </w:pPr>
            <w:r>
              <w:t>Northern End Section of Runway</w:t>
            </w:r>
          </w:p>
        </w:tc>
        <w:tc>
          <w:tcPr>
            <w:tcW w:w="2841" w:type="dxa"/>
            <w:tcBorders>
              <w:top w:val="nil"/>
              <w:left w:val="nil"/>
              <w:bottom w:val="single" w:color="auto" w:sz="4" w:space="0"/>
              <w:right w:val="nil"/>
            </w:tcBorders>
            <w:shd w:val="clear" w:color="auto" w:fill="auto"/>
            <w:vAlign w:val="center"/>
          </w:tcPr>
          <w:p w14:paraId="1D06981E">
            <w:pPr>
              <w:pStyle w:val="49"/>
              <w:ind w:firstLine="420"/>
            </w:pPr>
            <w:r>
              <w:t>1992</w:t>
            </w:r>
          </w:p>
        </w:tc>
      </w:tr>
      <w:tr w14:paraId="43C0A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nil"/>
              <w:bottom w:val="single" w:color="auto" w:sz="4" w:space="0"/>
              <w:right w:val="nil"/>
            </w:tcBorders>
            <w:shd w:val="clear" w:color="auto" w:fill="auto"/>
            <w:vAlign w:val="center"/>
          </w:tcPr>
          <w:p w14:paraId="6ACFAEB7">
            <w:pPr>
              <w:pStyle w:val="49"/>
              <w:ind w:firstLine="420"/>
            </w:pPr>
            <w:r>
              <w:t>West runway</w:t>
            </w:r>
          </w:p>
        </w:tc>
        <w:tc>
          <w:tcPr>
            <w:tcW w:w="2841" w:type="dxa"/>
            <w:tcBorders>
              <w:top w:val="single" w:color="auto" w:sz="4" w:space="0"/>
              <w:left w:val="nil"/>
              <w:bottom w:val="single" w:color="auto" w:sz="4" w:space="0"/>
              <w:right w:val="nil"/>
            </w:tcBorders>
            <w:shd w:val="clear" w:color="auto" w:fill="auto"/>
            <w:vAlign w:val="center"/>
          </w:tcPr>
          <w:p w14:paraId="1DCC62DE">
            <w:pPr>
              <w:pStyle w:val="49"/>
              <w:ind w:firstLine="420"/>
            </w:pPr>
            <w:r>
              <w:rPr>
                <w:rFonts w:hint="eastAsia"/>
              </w:rPr>
              <w:t>Total Length</w:t>
            </w:r>
          </w:p>
        </w:tc>
        <w:tc>
          <w:tcPr>
            <w:tcW w:w="2841" w:type="dxa"/>
            <w:tcBorders>
              <w:top w:val="single" w:color="auto" w:sz="4" w:space="0"/>
              <w:left w:val="nil"/>
              <w:bottom w:val="single" w:color="auto" w:sz="4" w:space="0"/>
              <w:right w:val="nil"/>
            </w:tcBorders>
            <w:shd w:val="clear" w:color="auto" w:fill="auto"/>
            <w:vAlign w:val="center"/>
          </w:tcPr>
          <w:p w14:paraId="1845C107">
            <w:pPr>
              <w:pStyle w:val="49"/>
              <w:ind w:firstLine="420"/>
            </w:pPr>
            <w:r>
              <w:rPr>
                <w:rFonts w:hint="eastAsia"/>
              </w:rPr>
              <w:t>2010</w:t>
            </w:r>
          </w:p>
        </w:tc>
      </w:tr>
      <w:tr w14:paraId="5DA64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Borders>
              <w:top w:val="single" w:color="auto" w:sz="4" w:space="0"/>
              <w:left w:val="nil"/>
              <w:bottom w:val="nil"/>
              <w:right w:val="single" w:color="auto" w:sz="4" w:space="0"/>
            </w:tcBorders>
            <w:shd w:val="clear" w:color="auto" w:fill="auto"/>
            <w:vAlign w:val="center"/>
          </w:tcPr>
          <w:p w14:paraId="48CD6B48">
            <w:pPr>
              <w:pStyle w:val="49"/>
              <w:ind w:firstLine="420"/>
            </w:pPr>
            <w:r>
              <w:t>Taxiway</w:t>
            </w:r>
          </w:p>
        </w:tc>
        <w:tc>
          <w:tcPr>
            <w:tcW w:w="2841" w:type="dxa"/>
            <w:tcBorders>
              <w:top w:val="single" w:color="auto" w:sz="4" w:space="0"/>
              <w:left w:val="single" w:color="auto" w:sz="4" w:space="0"/>
              <w:bottom w:val="nil"/>
              <w:right w:val="nil"/>
            </w:tcBorders>
            <w:shd w:val="clear" w:color="auto" w:fill="auto"/>
            <w:vAlign w:val="center"/>
          </w:tcPr>
          <w:p w14:paraId="3646AD3C">
            <w:pPr>
              <w:pStyle w:val="49"/>
              <w:ind w:firstLine="420"/>
            </w:pPr>
            <w:r>
              <w:t>Taxiway A</w:t>
            </w:r>
          </w:p>
        </w:tc>
        <w:tc>
          <w:tcPr>
            <w:tcW w:w="2841" w:type="dxa"/>
            <w:tcBorders>
              <w:top w:val="single" w:color="auto" w:sz="4" w:space="0"/>
              <w:left w:val="nil"/>
              <w:bottom w:val="nil"/>
              <w:right w:val="nil"/>
            </w:tcBorders>
            <w:shd w:val="clear" w:color="auto" w:fill="auto"/>
            <w:vAlign w:val="center"/>
          </w:tcPr>
          <w:p w14:paraId="13AAAB03">
            <w:pPr>
              <w:pStyle w:val="49"/>
              <w:ind w:firstLine="420"/>
            </w:pPr>
            <w:r>
              <w:t>1990</w:t>
            </w:r>
          </w:p>
        </w:tc>
      </w:tr>
      <w:tr w14:paraId="58E20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nil"/>
              <w:left w:val="nil"/>
              <w:bottom w:val="nil"/>
              <w:right w:val="single" w:color="auto" w:sz="4" w:space="0"/>
            </w:tcBorders>
            <w:shd w:val="clear" w:color="auto" w:fill="auto"/>
            <w:vAlign w:val="center"/>
          </w:tcPr>
          <w:p w14:paraId="1397F511">
            <w:pPr>
              <w:pStyle w:val="49"/>
              <w:ind w:firstLine="420"/>
            </w:pPr>
          </w:p>
        </w:tc>
        <w:tc>
          <w:tcPr>
            <w:tcW w:w="2841" w:type="dxa"/>
            <w:tcBorders>
              <w:top w:val="nil"/>
              <w:left w:val="single" w:color="auto" w:sz="4" w:space="0"/>
              <w:bottom w:val="nil"/>
              <w:right w:val="nil"/>
            </w:tcBorders>
            <w:shd w:val="clear" w:color="auto" w:fill="auto"/>
            <w:vAlign w:val="center"/>
          </w:tcPr>
          <w:p w14:paraId="35D942D3">
            <w:pPr>
              <w:pStyle w:val="49"/>
              <w:ind w:firstLine="420"/>
            </w:pPr>
            <w:r>
              <w:t xml:space="preserve">Taxiway </w:t>
            </w:r>
            <w:r>
              <w:rPr>
                <w:rFonts w:hint="eastAsia"/>
              </w:rPr>
              <w:t>B</w:t>
            </w:r>
          </w:p>
        </w:tc>
        <w:tc>
          <w:tcPr>
            <w:tcW w:w="2841" w:type="dxa"/>
            <w:tcBorders>
              <w:top w:val="nil"/>
              <w:left w:val="nil"/>
              <w:bottom w:val="nil"/>
              <w:right w:val="nil"/>
            </w:tcBorders>
            <w:shd w:val="clear" w:color="auto" w:fill="auto"/>
            <w:vAlign w:val="center"/>
          </w:tcPr>
          <w:p w14:paraId="4622D647">
            <w:pPr>
              <w:pStyle w:val="49"/>
              <w:ind w:firstLine="420"/>
            </w:pPr>
            <w:r>
              <w:rPr>
                <w:rFonts w:hint="eastAsia"/>
              </w:rPr>
              <w:t>2010</w:t>
            </w:r>
          </w:p>
        </w:tc>
      </w:tr>
      <w:tr w14:paraId="0A9A3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nil"/>
              <w:left w:val="nil"/>
              <w:bottom w:val="single" w:color="auto" w:sz="4" w:space="0"/>
              <w:right w:val="single" w:color="auto" w:sz="4" w:space="0"/>
            </w:tcBorders>
            <w:shd w:val="clear" w:color="auto" w:fill="auto"/>
            <w:vAlign w:val="center"/>
          </w:tcPr>
          <w:p w14:paraId="52B5125A">
            <w:pPr>
              <w:pStyle w:val="49"/>
              <w:ind w:firstLine="420"/>
            </w:pPr>
          </w:p>
        </w:tc>
        <w:tc>
          <w:tcPr>
            <w:tcW w:w="2841" w:type="dxa"/>
            <w:tcBorders>
              <w:top w:val="nil"/>
              <w:left w:val="single" w:color="auto" w:sz="4" w:space="0"/>
              <w:bottom w:val="single" w:color="auto" w:sz="4" w:space="0"/>
              <w:right w:val="nil"/>
            </w:tcBorders>
            <w:shd w:val="clear" w:color="auto" w:fill="auto"/>
            <w:vAlign w:val="center"/>
          </w:tcPr>
          <w:p w14:paraId="515AD6F5">
            <w:pPr>
              <w:pStyle w:val="49"/>
              <w:ind w:firstLine="420"/>
            </w:pPr>
            <w:r>
              <w:t xml:space="preserve">Taxiway </w:t>
            </w:r>
            <w:r>
              <w:rPr>
                <w:rFonts w:hint="eastAsia"/>
              </w:rPr>
              <w:t>C</w:t>
            </w:r>
          </w:p>
        </w:tc>
        <w:tc>
          <w:tcPr>
            <w:tcW w:w="2841" w:type="dxa"/>
            <w:tcBorders>
              <w:top w:val="nil"/>
              <w:left w:val="nil"/>
              <w:bottom w:val="single" w:color="auto" w:sz="4" w:space="0"/>
              <w:right w:val="nil"/>
            </w:tcBorders>
            <w:shd w:val="clear" w:color="auto" w:fill="auto"/>
            <w:vAlign w:val="center"/>
          </w:tcPr>
          <w:p w14:paraId="37CDFA01">
            <w:pPr>
              <w:pStyle w:val="49"/>
              <w:ind w:firstLine="420"/>
            </w:pPr>
            <w:r>
              <w:rPr>
                <w:rFonts w:hint="eastAsia"/>
              </w:rPr>
              <w:t>2010</w:t>
            </w:r>
          </w:p>
        </w:tc>
      </w:tr>
      <w:tr w14:paraId="615FE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0" w:type="dxa"/>
            <w:vMerge w:val="restart"/>
            <w:tcBorders>
              <w:top w:val="single" w:color="auto" w:sz="4" w:space="0"/>
              <w:left w:val="nil"/>
              <w:bottom w:val="single" w:color="auto" w:sz="4" w:space="0"/>
              <w:right w:val="single" w:color="auto" w:sz="4" w:space="0"/>
            </w:tcBorders>
            <w:shd w:val="clear" w:color="auto" w:fill="auto"/>
            <w:vAlign w:val="center"/>
          </w:tcPr>
          <w:p w14:paraId="0FB60E8F">
            <w:pPr>
              <w:pStyle w:val="49"/>
              <w:ind w:firstLine="420"/>
            </w:pPr>
            <w:r>
              <w:t>Rapid exit</w:t>
            </w:r>
          </w:p>
        </w:tc>
        <w:tc>
          <w:tcPr>
            <w:tcW w:w="2841" w:type="dxa"/>
            <w:tcBorders>
              <w:top w:val="single" w:color="auto" w:sz="4" w:space="0"/>
              <w:left w:val="single" w:color="auto" w:sz="4" w:space="0"/>
              <w:bottom w:val="nil"/>
              <w:right w:val="nil"/>
            </w:tcBorders>
            <w:shd w:val="clear" w:color="auto" w:fill="auto"/>
            <w:vAlign w:val="center"/>
          </w:tcPr>
          <w:p w14:paraId="19DEFF56">
            <w:pPr>
              <w:pStyle w:val="49"/>
              <w:ind w:firstLine="420"/>
            </w:pPr>
            <w:r>
              <w:t>Rapid exit A1–A4 (concrete)</w:t>
            </w:r>
          </w:p>
        </w:tc>
        <w:tc>
          <w:tcPr>
            <w:tcW w:w="2841" w:type="dxa"/>
            <w:tcBorders>
              <w:top w:val="single" w:color="auto" w:sz="4" w:space="0"/>
              <w:left w:val="nil"/>
              <w:bottom w:val="nil"/>
              <w:right w:val="nil"/>
            </w:tcBorders>
            <w:shd w:val="clear" w:color="auto" w:fill="auto"/>
            <w:vAlign w:val="center"/>
          </w:tcPr>
          <w:p w14:paraId="395C7BA6">
            <w:pPr>
              <w:pStyle w:val="49"/>
              <w:ind w:firstLine="420"/>
            </w:pPr>
            <w:r>
              <w:t>1990</w:t>
            </w:r>
          </w:p>
        </w:tc>
      </w:tr>
      <w:tr w14:paraId="25085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290CC7C4">
            <w:pPr>
              <w:pStyle w:val="49"/>
              <w:ind w:firstLine="420"/>
            </w:pPr>
          </w:p>
        </w:tc>
        <w:tc>
          <w:tcPr>
            <w:tcW w:w="2841" w:type="dxa"/>
            <w:tcBorders>
              <w:top w:val="nil"/>
              <w:left w:val="single" w:color="auto" w:sz="4" w:space="0"/>
              <w:bottom w:val="nil"/>
              <w:right w:val="nil"/>
            </w:tcBorders>
            <w:shd w:val="clear" w:color="auto" w:fill="auto"/>
            <w:vAlign w:val="center"/>
          </w:tcPr>
          <w:p w14:paraId="787B6194">
            <w:pPr>
              <w:pStyle w:val="49"/>
              <w:ind w:firstLine="420"/>
            </w:pPr>
            <w:r>
              <w:t>Rapid exit A1–A4 (asphalt overlay)</w:t>
            </w:r>
          </w:p>
        </w:tc>
        <w:tc>
          <w:tcPr>
            <w:tcW w:w="2841" w:type="dxa"/>
            <w:tcBorders>
              <w:top w:val="nil"/>
              <w:left w:val="nil"/>
              <w:bottom w:val="nil"/>
              <w:right w:val="nil"/>
            </w:tcBorders>
            <w:shd w:val="clear" w:color="auto" w:fill="auto"/>
            <w:vAlign w:val="center"/>
          </w:tcPr>
          <w:p w14:paraId="5FE9F60E">
            <w:pPr>
              <w:pStyle w:val="49"/>
              <w:ind w:firstLine="420"/>
            </w:pPr>
            <w:r>
              <w:rPr>
                <w:rFonts w:hint="eastAsia"/>
              </w:rPr>
              <w:t>2022</w:t>
            </w:r>
          </w:p>
        </w:tc>
      </w:tr>
      <w:tr w14:paraId="516D5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3637269C">
            <w:pPr>
              <w:pStyle w:val="49"/>
              <w:ind w:firstLine="420"/>
            </w:pPr>
          </w:p>
        </w:tc>
        <w:tc>
          <w:tcPr>
            <w:tcW w:w="2841" w:type="dxa"/>
            <w:tcBorders>
              <w:top w:val="nil"/>
              <w:left w:val="single" w:color="auto" w:sz="4" w:space="0"/>
              <w:bottom w:val="nil"/>
              <w:right w:val="nil"/>
            </w:tcBorders>
            <w:shd w:val="clear" w:color="auto" w:fill="auto"/>
            <w:vAlign w:val="center"/>
          </w:tcPr>
          <w:p w14:paraId="1FAAEE24">
            <w:pPr>
              <w:pStyle w:val="49"/>
              <w:ind w:firstLine="420"/>
            </w:pPr>
            <w:r>
              <w:t>Rapid exit B1–B6 (concrete)</w:t>
            </w:r>
          </w:p>
        </w:tc>
        <w:tc>
          <w:tcPr>
            <w:tcW w:w="2841" w:type="dxa"/>
            <w:tcBorders>
              <w:top w:val="nil"/>
              <w:left w:val="nil"/>
              <w:bottom w:val="nil"/>
              <w:right w:val="nil"/>
            </w:tcBorders>
            <w:shd w:val="clear" w:color="auto" w:fill="auto"/>
            <w:vAlign w:val="center"/>
          </w:tcPr>
          <w:p w14:paraId="23E5802B">
            <w:pPr>
              <w:pStyle w:val="49"/>
              <w:ind w:firstLine="420"/>
            </w:pPr>
            <w:r>
              <w:t>2010</w:t>
            </w:r>
          </w:p>
        </w:tc>
      </w:tr>
      <w:tr w14:paraId="69B08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444992B5">
            <w:pPr>
              <w:pStyle w:val="49"/>
              <w:ind w:firstLine="420"/>
            </w:pPr>
          </w:p>
        </w:tc>
        <w:tc>
          <w:tcPr>
            <w:tcW w:w="2841" w:type="dxa"/>
            <w:tcBorders>
              <w:top w:val="nil"/>
              <w:left w:val="single" w:color="auto" w:sz="4" w:space="0"/>
              <w:bottom w:val="nil"/>
              <w:right w:val="nil"/>
            </w:tcBorders>
            <w:shd w:val="clear" w:color="auto" w:fill="auto"/>
            <w:vAlign w:val="center"/>
          </w:tcPr>
          <w:p w14:paraId="5DFFC8C4">
            <w:pPr>
              <w:pStyle w:val="49"/>
              <w:ind w:firstLine="420"/>
            </w:pPr>
            <w:r>
              <w:t>Rapid exit B1–B6 (asphalt overlay)</w:t>
            </w:r>
          </w:p>
        </w:tc>
        <w:tc>
          <w:tcPr>
            <w:tcW w:w="2841" w:type="dxa"/>
            <w:tcBorders>
              <w:top w:val="nil"/>
              <w:left w:val="nil"/>
              <w:bottom w:val="nil"/>
              <w:right w:val="nil"/>
            </w:tcBorders>
            <w:shd w:val="clear" w:color="auto" w:fill="auto"/>
            <w:vAlign w:val="center"/>
          </w:tcPr>
          <w:p w14:paraId="13C911BD">
            <w:pPr>
              <w:pStyle w:val="49"/>
              <w:ind w:firstLine="420"/>
            </w:pPr>
            <w:r>
              <w:rPr>
                <w:rFonts w:hint="eastAsia"/>
              </w:rPr>
              <w:t>2022</w:t>
            </w:r>
          </w:p>
        </w:tc>
      </w:tr>
      <w:tr w14:paraId="488C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3E8CFFF0">
            <w:pPr>
              <w:pStyle w:val="49"/>
              <w:ind w:firstLine="420"/>
            </w:pPr>
          </w:p>
        </w:tc>
        <w:tc>
          <w:tcPr>
            <w:tcW w:w="2841" w:type="dxa"/>
            <w:tcBorders>
              <w:top w:val="nil"/>
              <w:left w:val="single" w:color="auto" w:sz="4" w:space="0"/>
              <w:bottom w:val="nil"/>
              <w:right w:val="nil"/>
            </w:tcBorders>
            <w:shd w:val="clear" w:color="auto" w:fill="auto"/>
            <w:vAlign w:val="center"/>
          </w:tcPr>
          <w:p w14:paraId="1DC7F3B7">
            <w:pPr>
              <w:pStyle w:val="49"/>
              <w:ind w:firstLine="420"/>
            </w:pPr>
            <w:r>
              <w:t>Rapid exit B7–B8</w:t>
            </w:r>
          </w:p>
        </w:tc>
        <w:tc>
          <w:tcPr>
            <w:tcW w:w="2841" w:type="dxa"/>
            <w:tcBorders>
              <w:top w:val="nil"/>
              <w:left w:val="nil"/>
              <w:bottom w:val="nil"/>
              <w:right w:val="nil"/>
            </w:tcBorders>
            <w:shd w:val="clear" w:color="auto" w:fill="auto"/>
            <w:vAlign w:val="center"/>
          </w:tcPr>
          <w:p w14:paraId="0BAADEB3">
            <w:pPr>
              <w:pStyle w:val="49"/>
              <w:ind w:firstLine="420"/>
            </w:pPr>
            <w:r>
              <w:rPr>
                <w:rFonts w:hint="eastAsia"/>
              </w:rPr>
              <w:t>2010</w:t>
            </w:r>
          </w:p>
        </w:tc>
      </w:tr>
      <w:tr w14:paraId="6D121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7EA6EC85">
            <w:pPr>
              <w:pStyle w:val="49"/>
              <w:ind w:firstLine="420"/>
            </w:pPr>
          </w:p>
        </w:tc>
        <w:tc>
          <w:tcPr>
            <w:tcW w:w="2841" w:type="dxa"/>
            <w:tcBorders>
              <w:top w:val="nil"/>
              <w:left w:val="single" w:color="auto" w:sz="4" w:space="0"/>
              <w:bottom w:val="single" w:color="auto" w:sz="4" w:space="0"/>
              <w:right w:val="nil"/>
            </w:tcBorders>
            <w:shd w:val="clear" w:color="auto" w:fill="auto"/>
            <w:vAlign w:val="center"/>
          </w:tcPr>
          <w:p w14:paraId="45E806A9">
            <w:pPr>
              <w:pStyle w:val="49"/>
              <w:ind w:firstLine="420"/>
            </w:pPr>
            <w:r>
              <w:t>Rapid exit C1–C4</w:t>
            </w:r>
          </w:p>
        </w:tc>
        <w:tc>
          <w:tcPr>
            <w:tcW w:w="2841" w:type="dxa"/>
            <w:tcBorders>
              <w:top w:val="nil"/>
              <w:left w:val="nil"/>
              <w:bottom w:val="single" w:color="auto" w:sz="4" w:space="0"/>
              <w:right w:val="nil"/>
            </w:tcBorders>
            <w:shd w:val="clear" w:color="auto" w:fill="auto"/>
            <w:vAlign w:val="center"/>
          </w:tcPr>
          <w:p w14:paraId="47E09726">
            <w:pPr>
              <w:pStyle w:val="49"/>
              <w:ind w:firstLine="420"/>
            </w:pPr>
            <w:r>
              <w:rPr>
                <w:rFonts w:hint="eastAsia"/>
              </w:rPr>
              <w:t>2010</w:t>
            </w:r>
          </w:p>
        </w:tc>
      </w:tr>
      <w:tr w14:paraId="3C2F0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Borders>
              <w:top w:val="single" w:color="auto" w:sz="4" w:space="0"/>
              <w:left w:val="nil"/>
              <w:bottom w:val="single" w:color="auto" w:sz="4" w:space="0"/>
              <w:right w:val="single" w:color="auto" w:sz="4" w:space="0"/>
            </w:tcBorders>
            <w:shd w:val="clear" w:color="auto" w:fill="auto"/>
            <w:vAlign w:val="center"/>
          </w:tcPr>
          <w:p w14:paraId="6D670EEC">
            <w:pPr>
              <w:pStyle w:val="49"/>
              <w:ind w:firstLine="420"/>
            </w:pPr>
            <w:r>
              <w:t>Connector</w:t>
            </w:r>
          </w:p>
        </w:tc>
        <w:tc>
          <w:tcPr>
            <w:tcW w:w="2841" w:type="dxa"/>
            <w:tcBorders>
              <w:top w:val="single" w:color="auto" w:sz="4" w:space="0"/>
              <w:left w:val="single" w:color="auto" w:sz="4" w:space="0"/>
              <w:bottom w:val="nil"/>
              <w:right w:val="nil"/>
            </w:tcBorders>
            <w:shd w:val="clear" w:color="auto" w:fill="auto"/>
            <w:vAlign w:val="center"/>
          </w:tcPr>
          <w:p w14:paraId="3367BCBD">
            <w:pPr>
              <w:pStyle w:val="49"/>
              <w:ind w:firstLine="420"/>
            </w:pPr>
            <w:r>
              <w:t>Connector D3–D17</w:t>
            </w:r>
          </w:p>
        </w:tc>
        <w:tc>
          <w:tcPr>
            <w:tcW w:w="2841" w:type="dxa"/>
            <w:tcBorders>
              <w:top w:val="single" w:color="auto" w:sz="4" w:space="0"/>
              <w:left w:val="nil"/>
              <w:bottom w:val="nil"/>
              <w:right w:val="nil"/>
            </w:tcBorders>
            <w:shd w:val="clear" w:color="auto" w:fill="auto"/>
            <w:vAlign w:val="center"/>
          </w:tcPr>
          <w:p w14:paraId="7E5CCE32">
            <w:pPr>
              <w:pStyle w:val="49"/>
              <w:ind w:firstLine="420"/>
            </w:pPr>
            <w:r>
              <w:rPr>
                <w:rFonts w:hint="eastAsia"/>
              </w:rPr>
              <w:t>2010</w:t>
            </w:r>
          </w:p>
        </w:tc>
      </w:tr>
      <w:tr w14:paraId="3900B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34AE8A04">
            <w:pPr>
              <w:pStyle w:val="49"/>
              <w:ind w:firstLine="420"/>
            </w:pPr>
          </w:p>
        </w:tc>
        <w:tc>
          <w:tcPr>
            <w:tcW w:w="2841" w:type="dxa"/>
            <w:tcBorders>
              <w:top w:val="nil"/>
              <w:left w:val="single" w:color="auto" w:sz="4" w:space="0"/>
              <w:bottom w:val="nil"/>
              <w:right w:val="nil"/>
            </w:tcBorders>
            <w:shd w:val="clear" w:color="auto" w:fill="auto"/>
            <w:vAlign w:val="center"/>
          </w:tcPr>
          <w:p w14:paraId="49DB8C81">
            <w:pPr>
              <w:pStyle w:val="49"/>
              <w:ind w:firstLine="420"/>
            </w:pPr>
            <w:r>
              <w:t>Connector H1–H7</w:t>
            </w:r>
          </w:p>
        </w:tc>
        <w:tc>
          <w:tcPr>
            <w:tcW w:w="2841" w:type="dxa"/>
            <w:tcBorders>
              <w:top w:val="nil"/>
              <w:left w:val="nil"/>
              <w:bottom w:val="nil"/>
              <w:right w:val="nil"/>
            </w:tcBorders>
            <w:shd w:val="clear" w:color="auto" w:fill="auto"/>
            <w:vAlign w:val="center"/>
          </w:tcPr>
          <w:p w14:paraId="09783D44">
            <w:pPr>
              <w:pStyle w:val="49"/>
              <w:ind w:firstLine="420"/>
            </w:pPr>
            <w:r>
              <w:rPr>
                <w:rFonts w:hint="eastAsia"/>
              </w:rPr>
              <w:t>2010</w:t>
            </w:r>
          </w:p>
        </w:tc>
      </w:tr>
      <w:tr w14:paraId="6024F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548765FD">
            <w:pPr>
              <w:pStyle w:val="49"/>
              <w:ind w:firstLine="420"/>
            </w:pPr>
          </w:p>
        </w:tc>
        <w:tc>
          <w:tcPr>
            <w:tcW w:w="2841" w:type="dxa"/>
            <w:tcBorders>
              <w:top w:val="nil"/>
              <w:left w:val="single" w:color="auto" w:sz="4" w:space="0"/>
              <w:bottom w:val="nil"/>
              <w:right w:val="nil"/>
            </w:tcBorders>
            <w:shd w:val="clear" w:color="auto" w:fill="auto"/>
            <w:vAlign w:val="center"/>
          </w:tcPr>
          <w:p w14:paraId="0B47BA38">
            <w:pPr>
              <w:pStyle w:val="49"/>
              <w:ind w:firstLine="420"/>
            </w:pPr>
            <w:r>
              <w:t>Connector T1</w:t>
            </w:r>
          </w:p>
        </w:tc>
        <w:tc>
          <w:tcPr>
            <w:tcW w:w="2841" w:type="dxa"/>
            <w:tcBorders>
              <w:top w:val="nil"/>
              <w:left w:val="nil"/>
              <w:bottom w:val="nil"/>
              <w:right w:val="nil"/>
            </w:tcBorders>
            <w:shd w:val="clear" w:color="auto" w:fill="auto"/>
            <w:vAlign w:val="center"/>
          </w:tcPr>
          <w:p w14:paraId="3AC7A418">
            <w:pPr>
              <w:pStyle w:val="49"/>
              <w:ind w:firstLine="420"/>
            </w:pPr>
            <w:r>
              <w:t>1990</w:t>
            </w:r>
          </w:p>
        </w:tc>
      </w:tr>
      <w:tr w14:paraId="3FF1E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0023A36A">
            <w:pPr>
              <w:pStyle w:val="49"/>
              <w:ind w:firstLine="420"/>
            </w:pPr>
          </w:p>
        </w:tc>
        <w:tc>
          <w:tcPr>
            <w:tcW w:w="2841" w:type="dxa"/>
            <w:tcBorders>
              <w:top w:val="nil"/>
              <w:left w:val="single" w:color="auto" w:sz="4" w:space="0"/>
              <w:bottom w:val="nil"/>
              <w:right w:val="nil"/>
            </w:tcBorders>
            <w:shd w:val="clear" w:color="auto" w:fill="auto"/>
            <w:vAlign w:val="center"/>
          </w:tcPr>
          <w:p w14:paraId="78F812E1">
            <w:pPr>
              <w:pStyle w:val="49"/>
              <w:ind w:firstLine="420"/>
            </w:pPr>
            <w:r>
              <w:t>Connector T6</w:t>
            </w:r>
          </w:p>
        </w:tc>
        <w:tc>
          <w:tcPr>
            <w:tcW w:w="2841" w:type="dxa"/>
            <w:tcBorders>
              <w:top w:val="nil"/>
              <w:left w:val="nil"/>
              <w:bottom w:val="nil"/>
              <w:right w:val="nil"/>
            </w:tcBorders>
            <w:shd w:val="clear" w:color="auto" w:fill="auto"/>
            <w:vAlign w:val="center"/>
          </w:tcPr>
          <w:p w14:paraId="1DE56A79">
            <w:pPr>
              <w:pStyle w:val="49"/>
              <w:ind w:firstLine="420"/>
            </w:pPr>
            <w:r>
              <w:t>1990</w:t>
            </w:r>
          </w:p>
        </w:tc>
      </w:tr>
      <w:tr w14:paraId="0F4D6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4A6585CF">
            <w:pPr>
              <w:pStyle w:val="49"/>
              <w:ind w:firstLine="420"/>
            </w:pPr>
          </w:p>
        </w:tc>
        <w:tc>
          <w:tcPr>
            <w:tcW w:w="2841" w:type="dxa"/>
            <w:tcBorders>
              <w:top w:val="nil"/>
              <w:left w:val="single" w:color="auto" w:sz="4" w:space="0"/>
              <w:bottom w:val="nil"/>
              <w:right w:val="nil"/>
            </w:tcBorders>
            <w:shd w:val="clear" w:color="auto" w:fill="auto"/>
            <w:vAlign w:val="center"/>
          </w:tcPr>
          <w:p w14:paraId="65198D42">
            <w:pPr>
              <w:pStyle w:val="49"/>
              <w:ind w:firstLine="420"/>
            </w:pPr>
            <w:r>
              <w:t>Connector H1</w:t>
            </w:r>
          </w:p>
        </w:tc>
        <w:tc>
          <w:tcPr>
            <w:tcW w:w="2841" w:type="dxa"/>
            <w:tcBorders>
              <w:top w:val="nil"/>
              <w:left w:val="nil"/>
              <w:bottom w:val="nil"/>
              <w:right w:val="nil"/>
            </w:tcBorders>
            <w:shd w:val="clear" w:color="auto" w:fill="auto"/>
            <w:vAlign w:val="center"/>
          </w:tcPr>
          <w:p w14:paraId="37B9A614">
            <w:pPr>
              <w:pStyle w:val="49"/>
              <w:ind w:firstLine="420"/>
            </w:pPr>
            <w:r>
              <w:t>2010</w:t>
            </w:r>
          </w:p>
        </w:tc>
      </w:tr>
      <w:tr w14:paraId="2C289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6ECA978B">
            <w:pPr>
              <w:pStyle w:val="49"/>
              <w:ind w:firstLine="420"/>
            </w:pPr>
          </w:p>
        </w:tc>
        <w:tc>
          <w:tcPr>
            <w:tcW w:w="2841" w:type="dxa"/>
            <w:tcBorders>
              <w:top w:val="nil"/>
              <w:left w:val="single" w:color="auto" w:sz="4" w:space="0"/>
              <w:bottom w:val="nil"/>
              <w:right w:val="nil"/>
            </w:tcBorders>
            <w:shd w:val="clear" w:color="auto" w:fill="auto"/>
            <w:vAlign w:val="center"/>
          </w:tcPr>
          <w:p w14:paraId="2C8A2EFE">
            <w:pPr>
              <w:pStyle w:val="49"/>
              <w:ind w:firstLine="420"/>
            </w:pPr>
            <w:r>
              <w:t>Connector H4</w:t>
            </w:r>
          </w:p>
        </w:tc>
        <w:tc>
          <w:tcPr>
            <w:tcW w:w="2841" w:type="dxa"/>
            <w:tcBorders>
              <w:top w:val="nil"/>
              <w:left w:val="nil"/>
              <w:bottom w:val="nil"/>
              <w:right w:val="nil"/>
            </w:tcBorders>
            <w:shd w:val="clear" w:color="auto" w:fill="auto"/>
            <w:vAlign w:val="center"/>
          </w:tcPr>
          <w:p w14:paraId="4CEF0A42">
            <w:pPr>
              <w:pStyle w:val="49"/>
              <w:ind w:firstLine="420"/>
            </w:pPr>
            <w:r>
              <w:t>2010</w:t>
            </w:r>
          </w:p>
        </w:tc>
      </w:tr>
      <w:tr w14:paraId="07C1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4BC0B880">
            <w:pPr>
              <w:pStyle w:val="49"/>
              <w:ind w:firstLine="420"/>
            </w:pPr>
          </w:p>
        </w:tc>
        <w:tc>
          <w:tcPr>
            <w:tcW w:w="2841" w:type="dxa"/>
            <w:tcBorders>
              <w:top w:val="nil"/>
              <w:left w:val="single" w:color="auto" w:sz="4" w:space="0"/>
              <w:bottom w:val="nil"/>
              <w:right w:val="nil"/>
            </w:tcBorders>
            <w:shd w:val="clear" w:color="auto" w:fill="auto"/>
            <w:vAlign w:val="center"/>
          </w:tcPr>
          <w:p w14:paraId="673D8CF4">
            <w:pPr>
              <w:pStyle w:val="49"/>
              <w:ind w:firstLine="420"/>
            </w:pPr>
            <w:r>
              <w:t>Connector H7</w:t>
            </w:r>
          </w:p>
        </w:tc>
        <w:tc>
          <w:tcPr>
            <w:tcW w:w="2841" w:type="dxa"/>
            <w:tcBorders>
              <w:top w:val="nil"/>
              <w:left w:val="nil"/>
              <w:bottom w:val="nil"/>
              <w:right w:val="nil"/>
            </w:tcBorders>
            <w:shd w:val="clear" w:color="auto" w:fill="auto"/>
            <w:vAlign w:val="center"/>
          </w:tcPr>
          <w:p w14:paraId="49BDB797">
            <w:pPr>
              <w:pStyle w:val="49"/>
              <w:ind w:firstLine="420"/>
            </w:pPr>
            <w:r>
              <w:t>2010</w:t>
            </w:r>
          </w:p>
        </w:tc>
      </w:tr>
      <w:tr w14:paraId="52AFF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0ED5BD4D">
            <w:pPr>
              <w:pStyle w:val="49"/>
              <w:ind w:firstLine="420"/>
            </w:pPr>
          </w:p>
        </w:tc>
        <w:tc>
          <w:tcPr>
            <w:tcW w:w="2841" w:type="dxa"/>
            <w:tcBorders>
              <w:top w:val="nil"/>
              <w:left w:val="single" w:color="auto" w:sz="4" w:space="0"/>
              <w:bottom w:val="nil"/>
              <w:right w:val="nil"/>
            </w:tcBorders>
            <w:shd w:val="clear" w:color="auto" w:fill="auto"/>
            <w:vAlign w:val="center"/>
          </w:tcPr>
          <w:p w14:paraId="285D1A8B">
            <w:pPr>
              <w:pStyle w:val="49"/>
              <w:ind w:firstLine="420"/>
            </w:pPr>
            <w:r>
              <w:t>Connector K0</w:t>
            </w:r>
          </w:p>
        </w:tc>
        <w:tc>
          <w:tcPr>
            <w:tcW w:w="2841" w:type="dxa"/>
            <w:tcBorders>
              <w:top w:val="nil"/>
              <w:left w:val="nil"/>
              <w:bottom w:val="nil"/>
              <w:right w:val="nil"/>
            </w:tcBorders>
            <w:shd w:val="clear" w:color="auto" w:fill="auto"/>
            <w:vAlign w:val="center"/>
          </w:tcPr>
          <w:p w14:paraId="0D95B06C">
            <w:pPr>
              <w:pStyle w:val="49"/>
              <w:ind w:firstLine="420"/>
            </w:pPr>
            <w:r>
              <w:t>1995</w:t>
            </w:r>
          </w:p>
        </w:tc>
      </w:tr>
      <w:tr w14:paraId="5DE38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34DAA7D1">
            <w:pPr>
              <w:pStyle w:val="49"/>
              <w:ind w:firstLine="420"/>
            </w:pPr>
          </w:p>
        </w:tc>
        <w:tc>
          <w:tcPr>
            <w:tcW w:w="2841" w:type="dxa"/>
            <w:tcBorders>
              <w:top w:val="nil"/>
              <w:left w:val="single" w:color="auto" w:sz="4" w:space="0"/>
              <w:bottom w:val="nil"/>
              <w:right w:val="nil"/>
            </w:tcBorders>
            <w:shd w:val="clear" w:color="auto" w:fill="auto"/>
            <w:vAlign w:val="center"/>
          </w:tcPr>
          <w:p w14:paraId="285EE904">
            <w:pPr>
              <w:pStyle w:val="49"/>
              <w:ind w:firstLine="420"/>
            </w:pPr>
            <w:r>
              <w:t>Connector K1</w:t>
            </w:r>
          </w:p>
        </w:tc>
        <w:tc>
          <w:tcPr>
            <w:tcW w:w="2841" w:type="dxa"/>
            <w:tcBorders>
              <w:top w:val="nil"/>
              <w:left w:val="nil"/>
              <w:bottom w:val="nil"/>
              <w:right w:val="nil"/>
            </w:tcBorders>
            <w:shd w:val="clear" w:color="auto" w:fill="auto"/>
            <w:vAlign w:val="center"/>
          </w:tcPr>
          <w:p w14:paraId="0FDC228C">
            <w:pPr>
              <w:pStyle w:val="49"/>
              <w:ind w:firstLine="420"/>
            </w:pPr>
            <w:r>
              <w:t>1995</w:t>
            </w:r>
          </w:p>
        </w:tc>
      </w:tr>
      <w:tr w14:paraId="7188D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555E6346">
            <w:pPr>
              <w:pStyle w:val="49"/>
              <w:ind w:firstLine="420"/>
            </w:pPr>
          </w:p>
        </w:tc>
        <w:tc>
          <w:tcPr>
            <w:tcW w:w="2841" w:type="dxa"/>
            <w:tcBorders>
              <w:top w:val="nil"/>
              <w:left w:val="single" w:color="auto" w:sz="4" w:space="0"/>
              <w:bottom w:val="nil"/>
              <w:right w:val="nil"/>
            </w:tcBorders>
            <w:shd w:val="clear" w:color="auto" w:fill="auto"/>
            <w:vAlign w:val="center"/>
          </w:tcPr>
          <w:p w14:paraId="544965F5">
            <w:pPr>
              <w:pStyle w:val="49"/>
              <w:ind w:firstLine="420"/>
            </w:pPr>
            <w:r>
              <w:t>Connector K2</w:t>
            </w:r>
          </w:p>
        </w:tc>
        <w:tc>
          <w:tcPr>
            <w:tcW w:w="2841" w:type="dxa"/>
            <w:tcBorders>
              <w:top w:val="nil"/>
              <w:left w:val="nil"/>
              <w:bottom w:val="nil"/>
              <w:right w:val="nil"/>
            </w:tcBorders>
            <w:shd w:val="clear" w:color="auto" w:fill="auto"/>
            <w:vAlign w:val="center"/>
          </w:tcPr>
          <w:p w14:paraId="36C45571">
            <w:pPr>
              <w:pStyle w:val="49"/>
              <w:ind w:firstLine="420"/>
            </w:pPr>
            <w:r>
              <w:t>1995</w:t>
            </w:r>
          </w:p>
        </w:tc>
      </w:tr>
      <w:tr w14:paraId="3492D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7A33663A">
            <w:pPr>
              <w:pStyle w:val="49"/>
              <w:ind w:firstLine="420"/>
            </w:pPr>
          </w:p>
        </w:tc>
        <w:tc>
          <w:tcPr>
            <w:tcW w:w="2841" w:type="dxa"/>
            <w:tcBorders>
              <w:top w:val="nil"/>
              <w:left w:val="single" w:color="auto" w:sz="4" w:space="0"/>
              <w:bottom w:val="nil"/>
              <w:right w:val="nil"/>
            </w:tcBorders>
            <w:shd w:val="clear" w:color="auto" w:fill="auto"/>
            <w:vAlign w:val="center"/>
          </w:tcPr>
          <w:p w14:paraId="53790028">
            <w:pPr>
              <w:pStyle w:val="49"/>
              <w:ind w:firstLine="420"/>
            </w:pPr>
            <w:r>
              <w:t>Connector K4</w:t>
            </w:r>
          </w:p>
        </w:tc>
        <w:tc>
          <w:tcPr>
            <w:tcW w:w="2841" w:type="dxa"/>
            <w:tcBorders>
              <w:top w:val="nil"/>
              <w:left w:val="nil"/>
              <w:bottom w:val="nil"/>
              <w:right w:val="nil"/>
            </w:tcBorders>
            <w:shd w:val="clear" w:color="auto" w:fill="auto"/>
            <w:vAlign w:val="center"/>
          </w:tcPr>
          <w:p w14:paraId="717E6A52">
            <w:pPr>
              <w:pStyle w:val="49"/>
              <w:ind w:firstLine="420"/>
            </w:pPr>
            <w:r>
              <w:rPr>
                <w:rFonts w:hint="eastAsia"/>
              </w:rPr>
              <w:t>2</w:t>
            </w:r>
            <w:r>
              <w:t>018</w:t>
            </w:r>
          </w:p>
        </w:tc>
      </w:tr>
      <w:tr w14:paraId="304E5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5B863440">
            <w:pPr>
              <w:pStyle w:val="49"/>
              <w:ind w:firstLine="420"/>
            </w:pPr>
          </w:p>
        </w:tc>
        <w:tc>
          <w:tcPr>
            <w:tcW w:w="2841" w:type="dxa"/>
            <w:tcBorders>
              <w:top w:val="nil"/>
              <w:left w:val="single" w:color="auto" w:sz="4" w:space="0"/>
              <w:bottom w:val="single" w:color="auto" w:sz="4" w:space="0"/>
              <w:right w:val="nil"/>
            </w:tcBorders>
            <w:shd w:val="clear" w:color="auto" w:fill="auto"/>
            <w:vAlign w:val="center"/>
          </w:tcPr>
          <w:p w14:paraId="062EEDDF">
            <w:pPr>
              <w:pStyle w:val="49"/>
              <w:ind w:firstLine="420"/>
            </w:pPr>
            <w:r>
              <w:t>Connector K5</w:t>
            </w:r>
          </w:p>
        </w:tc>
        <w:tc>
          <w:tcPr>
            <w:tcW w:w="2841" w:type="dxa"/>
            <w:tcBorders>
              <w:top w:val="nil"/>
              <w:left w:val="nil"/>
              <w:bottom w:val="single" w:color="auto" w:sz="4" w:space="0"/>
              <w:right w:val="nil"/>
            </w:tcBorders>
            <w:shd w:val="clear" w:color="auto" w:fill="auto"/>
            <w:vAlign w:val="center"/>
          </w:tcPr>
          <w:p w14:paraId="1DB27526">
            <w:pPr>
              <w:pStyle w:val="49"/>
              <w:ind w:firstLine="420"/>
            </w:pPr>
            <w:r>
              <w:rPr>
                <w:rFonts w:hint="eastAsia"/>
              </w:rPr>
              <w:t>2</w:t>
            </w:r>
            <w:r>
              <w:t>018</w:t>
            </w:r>
          </w:p>
        </w:tc>
      </w:tr>
      <w:tr w14:paraId="0B14E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auto" w:sz="4" w:space="0"/>
              <w:right w:val="single" w:color="auto" w:sz="4" w:space="0"/>
            </w:tcBorders>
            <w:shd w:val="clear" w:color="auto" w:fill="auto"/>
            <w:vAlign w:val="center"/>
          </w:tcPr>
          <w:p w14:paraId="6E844163">
            <w:pPr>
              <w:pStyle w:val="49"/>
              <w:ind w:firstLine="420"/>
            </w:pPr>
          </w:p>
        </w:tc>
        <w:tc>
          <w:tcPr>
            <w:tcW w:w="2841" w:type="dxa"/>
            <w:tcBorders>
              <w:top w:val="single" w:color="auto" w:sz="4" w:space="0"/>
              <w:left w:val="single" w:color="auto" w:sz="4" w:space="0"/>
              <w:bottom w:val="nil"/>
              <w:right w:val="nil"/>
            </w:tcBorders>
            <w:shd w:val="clear" w:color="auto" w:fill="auto"/>
            <w:vAlign w:val="center"/>
          </w:tcPr>
          <w:p w14:paraId="04A87358">
            <w:pPr>
              <w:pStyle w:val="49"/>
              <w:ind w:firstLine="420"/>
            </w:pPr>
            <w:r>
              <w:t>Connector K6</w:t>
            </w:r>
          </w:p>
        </w:tc>
        <w:tc>
          <w:tcPr>
            <w:tcW w:w="2841" w:type="dxa"/>
            <w:tcBorders>
              <w:top w:val="single" w:color="auto" w:sz="4" w:space="0"/>
              <w:left w:val="nil"/>
              <w:bottom w:val="nil"/>
              <w:right w:val="nil"/>
            </w:tcBorders>
            <w:shd w:val="clear" w:color="auto" w:fill="auto"/>
            <w:vAlign w:val="center"/>
          </w:tcPr>
          <w:p w14:paraId="65F08426">
            <w:pPr>
              <w:pStyle w:val="49"/>
              <w:ind w:firstLine="420"/>
            </w:pPr>
            <w:r>
              <w:t>1995</w:t>
            </w:r>
          </w:p>
        </w:tc>
      </w:tr>
      <w:tr w14:paraId="4D2E8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40" w:type="dxa"/>
            <w:vMerge w:val="continue"/>
            <w:tcBorders>
              <w:top w:val="single" w:color="auto" w:sz="4" w:space="0"/>
              <w:left w:val="nil"/>
              <w:bottom w:val="single" w:color="000000" w:sz="12" w:space="0"/>
              <w:right w:val="single" w:color="auto" w:sz="4" w:space="0"/>
            </w:tcBorders>
            <w:shd w:val="clear" w:color="auto" w:fill="auto"/>
            <w:vAlign w:val="center"/>
          </w:tcPr>
          <w:p w14:paraId="0A2AFB92">
            <w:pPr>
              <w:pStyle w:val="49"/>
              <w:ind w:firstLine="420"/>
            </w:pPr>
          </w:p>
        </w:tc>
        <w:tc>
          <w:tcPr>
            <w:tcW w:w="2841" w:type="dxa"/>
            <w:tcBorders>
              <w:top w:val="nil"/>
              <w:left w:val="single" w:color="auto" w:sz="4" w:space="0"/>
              <w:bottom w:val="single" w:color="000000" w:sz="12" w:space="0"/>
              <w:right w:val="nil"/>
            </w:tcBorders>
            <w:shd w:val="clear" w:color="auto" w:fill="auto"/>
            <w:vAlign w:val="center"/>
          </w:tcPr>
          <w:p w14:paraId="7148580D">
            <w:pPr>
              <w:pStyle w:val="49"/>
              <w:ind w:firstLine="420"/>
            </w:pPr>
            <w:r>
              <w:t>Connector K7</w:t>
            </w:r>
          </w:p>
        </w:tc>
        <w:tc>
          <w:tcPr>
            <w:tcW w:w="2841" w:type="dxa"/>
            <w:tcBorders>
              <w:top w:val="nil"/>
              <w:left w:val="nil"/>
              <w:bottom w:val="single" w:color="000000" w:sz="12" w:space="0"/>
              <w:right w:val="nil"/>
            </w:tcBorders>
            <w:shd w:val="clear" w:color="auto" w:fill="auto"/>
            <w:vAlign w:val="center"/>
          </w:tcPr>
          <w:p w14:paraId="5D516999">
            <w:pPr>
              <w:pStyle w:val="49"/>
              <w:ind w:firstLine="420"/>
            </w:pPr>
            <w:r>
              <w:t>1995</w:t>
            </w:r>
          </w:p>
        </w:tc>
      </w:tr>
    </w:tbl>
    <w:p w14:paraId="4301C5EC">
      <w:pPr>
        <w:ind w:firstLine="420"/>
        <w:jc w:val="center"/>
        <w:rPr>
          <w:kern w:val="2"/>
          <w:szCs w:val="21"/>
        </w:rPr>
      </w:pPr>
    </w:p>
    <w:p w14:paraId="61896F59">
      <w:pPr>
        <w:ind w:firstLine="420"/>
        <w:jc w:val="center"/>
        <w:rPr>
          <w:kern w:val="2"/>
          <w:szCs w:val="21"/>
        </w:rPr>
      </w:pPr>
    </w:p>
    <w:p w14:paraId="786D63F2">
      <w:pPr>
        <w:ind w:firstLine="422"/>
        <w:outlineLvl w:val="3"/>
        <w:rPr>
          <w:b/>
          <w:bCs/>
          <w:szCs w:val="24"/>
        </w:rPr>
      </w:pPr>
      <w:r>
        <w:rPr>
          <w:b/>
          <w:bCs/>
          <w:szCs w:val="24"/>
        </w:rPr>
        <w:t>(2) Structural configuration and mechanical properties</w:t>
      </w:r>
    </w:p>
    <w:p w14:paraId="00000D5E">
      <w:pPr>
        <w:ind w:firstLine="420"/>
        <w:rPr>
          <w:szCs w:val="24"/>
        </w:rPr>
      </w:pPr>
      <w:r>
        <w:rPr>
          <w:szCs w:val="24"/>
        </w:rPr>
        <w:t>For the coupled aircraft–runway dynamic model, the pavement structure was represented as three vertical functional layers: surface layer, base layer and subgrade. Physical and mechanical parameters were assigned separately for each layer.</w:t>
      </w:r>
    </w:p>
    <w:p w14:paraId="4F27B463">
      <w:pPr>
        <w:pStyle w:val="42"/>
        <w:numPr>
          <w:ilvl w:val="0"/>
          <w:numId w:val="3"/>
        </w:numPr>
        <w:ind w:left="420" w:leftChars="200"/>
        <w:rPr>
          <w:szCs w:val="24"/>
        </w:rPr>
      </w:pPr>
      <w:r>
        <w:rPr>
          <w:szCs w:val="24"/>
        </w:rPr>
        <w:t>Surface layer</w:t>
      </w:r>
    </w:p>
    <w:p w14:paraId="71EBF593">
      <w:pPr>
        <w:ind w:firstLine="420"/>
        <w:rPr>
          <w:szCs w:val="24"/>
        </w:rPr>
      </w:pPr>
      <w:r>
        <w:rPr>
          <w:szCs w:val="24"/>
        </w:rPr>
        <w:t>The surface layer directly interacts with aircraft tires and governs local contact deformation behavior. Parameters include structural configuration and mechanical properties.</w:t>
      </w:r>
    </w:p>
    <w:p w14:paraId="0C5BDF37">
      <w:pPr>
        <w:tabs>
          <w:tab w:val="left" w:pos="1440"/>
        </w:tabs>
        <w:ind w:firstLine="420"/>
        <w:rPr>
          <w:szCs w:val="24"/>
        </w:rPr>
      </w:pPr>
      <w:r>
        <w:rPr>
          <w:szCs w:val="24"/>
        </w:rPr>
        <w:t>(a) Structural configuration and thickness</w:t>
      </w:r>
    </w:p>
    <w:p w14:paraId="442EAC10">
      <w:pPr>
        <w:tabs>
          <w:tab w:val="left" w:pos="1440"/>
        </w:tabs>
        <w:ind w:firstLine="420"/>
        <w:rPr>
          <w:szCs w:val="24"/>
        </w:rPr>
      </w:pPr>
      <w:r>
        <w:rPr>
          <w:szCs w:val="24"/>
        </w:rPr>
        <w:t xml:space="preserve">Based on the 2019 inspection report, surface material type and layer thickness were extracted for each functional zone. Due to data confidentiality constraints, Table </w:t>
      </w:r>
      <w:r>
        <w:rPr>
          <w:rFonts w:hint="eastAsia"/>
          <w:szCs w:val="24"/>
          <w:lang w:val="en-US" w:eastAsia="zh-CN"/>
        </w:rPr>
        <w:t>S</w:t>
      </w:r>
      <w:r>
        <w:rPr>
          <w:szCs w:val="24"/>
        </w:rPr>
        <w:t>4.2 presents representative, anonymized structural configurations.</w:t>
      </w:r>
    </w:p>
    <w:p w14:paraId="1EF50CAE">
      <w:pPr>
        <w:tabs>
          <w:tab w:val="left" w:pos="1440"/>
        </w:tabs>
        <w:ind w:firstLine="420"/>
        <w:rPr>
          <w:szCs w:val="24"/>
        </w:rPr>
      </w:pPr>
      <w:r>
        <w:rPr>
          <w:szCs w:val="24"/>
        </w:rPr>
        <w:t>(b) Mechanical properties</w:t>
      </w:r>
    </w:p>
    <w:p w14:paraId="2BBCA48A">
      <w:pPr>
        <w:tabs>
          <w:tab w:val="left" w:pos="1440"/>
        </w:tabs>
        <w:ind w:firstLine="420"/>
        <w:rPr>
          <w:szCs w:val="24"/>
        </w:rPr>
      </w:pPr>
      <w:r>
        <w:rPr>
          <w:szCs w:val="24"/>
        </w:rPr>
        <w:t xml:space="preserve">Mechanical parameters of surface materials were obtained from the 2019 field testing campaign conducted in accordance with: Technical Specification for Civil Airport Pavement Evaluation and Management (MH/T 5024–2019) </w:t>
      </w:r>
      <w:r>
        <w:rPr>
          <w:rFonts w:hint="eastAsia"/>
          <w:szCs w:val="24"/>
        </w:rPr>
        <w:t>and</w:t>
      </w:r>
      <w:r>
        <w:rPr>
          <w:szCs w:val="24"/>
        </w:rPr>
        <w:t xml:space="preserve"> Technical Specification for Field Testing of Civil Airport Pavements (MH/T 5110–2015)</w:t>
      </w:r>
      <w:r>
        <w:rPr>
          <w:rFonts w:hint="eastAsia"/>
          <w:szCs w:val="24"/>
        </w:rPr>
        <w:t>.</w:t>
      </w:r>
    </w:p>
    <w:p w14:paraId="6AFB996D">
      <w:pPr>
        <w:tabs>
          <w:tab w:val="left" w:pos="1440"/>
        </w:tabs>
        <w:ind w:firstLine="420"/>
        <w:rPr>
          <w:szCs w:val="24"/>
        </w:rPr>
      </w:pPr>
      <w:r>
        <w:rPr>
          <w:szCs w:val="24"/>
        </w:rPr>
        <w:t>A total of 80 borehole core samples were collected across the movement area, followed by laboratory mechanical testing.</w:t>
      </w:r>
    </w:p>
    <w:p w14:paraId="5C3F7548">
      <w:pPr>
        <w:pStyle w:val="52"/>
      </w:pPr>
      <w:r>
        <w:t xml:space="preserve">Table </w:t>
      </w:r>
      <w:r>
        <w:rPr>
          <w:rFonts w:hint="eastAsia"/>
        </w:rPr>
        <w:t>S</w:t>
      </w:r>
      <w:r>
        <w:t>4.2</w:t>
      </w:r>
      <w:r>
        <w:rPr>
          <w:rFonts w:hint="eastAsia"/>
        </w:rPr>
        <w:t>.</w:t>
      </w:r>
      <w:r>
        <w:t xml:space="preserve"> Representative surface layer material types and thicknesses at Shanghai Hongqiao International Airport</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6"/>
        <w:gridCol w:w="1875"/>
        <w:gridCol w:w="2550"/>
        <w:gridCol w:w="1961"/>
      </w:tblGrid>
      <w:tr w14:paraId="073D1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tcBorders>
              <w:top w:val="single" w:color="000000" w:sz="12" w:space="0"/>
              <w:left w:val="nil"/>
              <w:bottom w:val="single" w:color="000000" w:sz="12" w:space="0"/>
              <w:right w:val="nil"/>
            </w:tcBorders>
            <w:shd w:val="clear" w:color="auto" w:fill="auto"/>
            <w:vAlign w:val="center"/>
          </w:tcPr>
          <w:p w14:paraId="21178404">
            <w:pPr>
              <w:pStyle w:val="49"/>
              <w:ind w:firstLine="420"/>
            </w:pPr>
            <w:r>
              <w:t>Functional zone</w:t>
            </w:r>
          </w:p>
        </w:tc>
        <w:tc>
          <w:tcPr>
            <w:tcW w:w="1100" w:type="pct"/>
            <w:tcBorders>
              <w:top w:val="single" w:color="000000" w:sz="12" w:space="0"/>
              <w:left w:val="nil"/>
              <w:bottom w:val="single" w:color="000000" w:sz="12" w:space="0"/>
              <w:right w:val="nil"/>
            </w:tcBorders>
            <w:shd w:val="clear" w:color="auto" w:fill="auto"/>
            <w:vAlign w:val="center"/>
          </w:tcPr>
          <w:p w14:paraId="2BD865C2">
            <w:pPr>
              <w:pStyle w:val="49"/>
              <w:ind w:firstLine="420"/>
            </w:pPr>
            <w:r>
              <w:t>Location</w:t>
            </w:r>
          </w:p>
        </w:tc>
        <w:tc>
          <w:tcPr>
            <w:tcW w:w="1496" w:type="pct"/>
            <w:tcBorders>
              <w:top w:val="single" w:color="000000" w:sz="12" w:space="0"/>
              <w:left w:val="nil"/>
              <w:bottom w:val="single" w:color="000000" w:sz="12" w:space="0"/>
              <w:right w:val="nil"/>
            </w:tcBorders>
            <w:shd w:val="clear" w:color="auto" w:fill="auto"/>
            <w:vAlign w:val="center"/>
          </w:tcPr>
          <w:p w14:paraId="7364B72A">
            <w:pPr>
              <w:pStyle w:val="49"/>
              <w:ind w:firstLine="420"/>
            </w:pPr>
            <w:r>
              <w:t>Surface material</w:t>
            </w:r>
          </w:p>
        </w:tc>
        <w:tc>
          <w:tcPr>
            <w:tcW w:w="1150" w:type="pct"/>
            <w:tcBorders>
              <w:top w:val="single" w:color="000000" w:sz="12" w:space="0"/>
              <w:left w:val="nil"/>
              <w:bottom w:val="single" w:color="000000" w:sz="12" w:space="0"/>
              <w:right w:val="nil"/>
            </w:tcBorders>
            <w:shd w:val="clear" w:color="auto" w:fill="auto"/>
            <w:vAlign w:val="center"/>
          </w:tcPr>
          <w:p w14:paraId="62F9A55C">
            <w:pPr>
              <w:pStyle w:val="49"/>
              <w:ind w:firstLine="420"/>
            </w:pPr>
            <w:r>
              <w:t>Thickness (cm)</w:t>
            </w:r>
          </w:p>
        </w:tc>
      </w:tr>
      <w:tr w14:paraId="146C6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restart"/>
            <w:tcBorders>
              <w:top w:val="single" w:color="000000" w:sz="12" w:space="0"/>
              <w:left w:val="nil"/>
              <w:bottom w:val="nil"/>
              <w:right w:val="nil"/>
            </w:tcBorders>
            <w:shd w:val="clear" w:color="auto" w:fill="auto"/>
            <w:vAlign w:val="center"/>
          </w:tcPr>
          <w:p w14:paraId="5ADCF888">
            <w:pPr>
              <w:pStyle w:val="49"/>
              <w:ind w:firstLine="420"/>
            </w:pPr>
            <w:r>
              <w:t>Runway section</w:t>
            </w:r>
          </w:p>
        </w:tc>
        <w:tc>
          <w:tcPr>
            <w:tcW w:w="1100" w:type="pct"/>
            <w:tcBorders>
              <w:top w:val="single" w:color="000000" w:sz="12" w:space="0"/>
              <w:left w:val="nil"/>
              <w:bottom w:val="nil"/>
              <w:right w:val="nil"/>
            </w:tcBorders>
            <w:shd w:val="clear" w:color="auto" w:fill="auto"/>
            <w:vAlign w:val="center"/>
          </w:tcPr>
          <w:p w14:paraId="5D58B882">
            <w:pPr>
              <w:pStyle w:val="49"/>
              <w:ind w:firstLine="420"/>
            </w:pPr>
            <w:r>
              <w:t>South L1</w:t>
            </w:r>
          </w:p>
        </w:tc>
        <w:tc>
          <w:tcPr>
            <w:tcW w:w="1496" w:type="pct"/>
            <w:tcBorders>
              <w:top w:val="single" w:color="000000" w:sz="12" w:space="0"/>
              <w:left w:val="nil"/>
              <w:bottom w:val="nil"/>
              <w:right w:val="nil"/>
            </w:tcBorders>
            <w:shd w:val="clear" w:color="auto" w:fill="auto"/>
            <w:vAlign w:val="center"/>
          </w:tcPr>
          <w:p w14:paraId="42E2256C">
            <w:pPr>
              <w:pStyle w:val="49"/>
              <w:ind w:firstLine="420"/>
            </w:pPr>
            <w:r>
              <w:t>Cement concrete</w:t>
            </w:r>
          </w:p>
        </w:tc>
        <w:tc>
          <w:tcPr>
            <w:tcW w:w="1150" w:type="pct"/>
            <w:tcBorders>
              <w:top w:val="single" w:color="000000" w:sz="12" w:space="0"/>
              <w:left w:val="nil"/>
              <w:bottom w:val="nil"/>
              <w:right w:val="nil"/>
            </w:tcBorders>
            <w:shd w:val="clear" w:color="auto" w:fill="auto"/>
            <w:vAlign w:val="center"/>
          </w:tcPr>
          <w:p w14:paraId="5907B57A">
            <w:pPr>
              <w:pStyle w:val="49"/>
              <w:ind w:firstLine="420"/>
            </w:pPr>
            <w:r>
              <w:t>42</w:t>
            </w:r>
          </w:p>
        </w:tc>
      </w:tr>
      <w:tr w14:paraId="523EB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nil"/>
              <w:right w:val="nil"/>
            </w:tcBorders>
            <w:shd w:val="clear" w:color="auto" w:fill="auto"/>
            <w:vAlign w:val="center"/>
          </w:tcPr>
          <w:p w14:paraId="3141DEAD">
            <w:pPr>
              <w:pStyle w:val="49"/>
              <w:ind w:firstLine="420"/>
            </w:pPr>
          </w:p>
        </w:tc>
        <w:tc>
          <w:tcPr>
            <w:tcW w:w="1100" w:type="pct"/>
            <w:tcBorders>
              <w:top w:val="nil"/>
              <w:left w:val="nil"/>
              <w:bottom w:val="nil"/>
              <w:right w:val="nil"/>
            </w:tcBorders>
            <w:shd w:val="clear" w:color="auto" w:fill="auto"/>
            <w:vAlign w:val="center"/>
          </w:tcPr>
          <w:p w14:paraId="6C2E7F4A">
            <w:pPr>
              <w:pStyle w:val="49"/>
              <w:ind w:firstLine="420"/>
            </w:pPr>
            <w:r>
              <w:t>Middle L2</w:t>
            </w:r>
          </w:p>
        </w:tc>
        <w:tc>
          <w:tcPr>
            <w:tcW w:w="1496" w:type="pct"/>
            <w:tcBorders>
              <w:top w:val="nil"/>
              <w:left w:val="nil"/>
              <w:bottom w:val="nil"/>
              <w:right w:val="nil"/>
            </w:tcBorders>
            <w:shd w:val="clear" w:color="auto" w:fill="auto"/>
            <w:vAlign w:val="center"/>
          </w:tcPr>
          <w:p w14:paraId="640D4891">
            <w:pPr>
              <w:pStyle w:val="49"/>
              <w:ind w:firstLine="420"/>
            </w:pPr>
            <w:r>
              <w:t>Cement concrete</w:t>
            </w:r>
          </w:p>
        </w:tc>
        <w:tc>
          <w:tcPr>
            <w:tcW w:w="1150" w:type="pct"/>
            <w:tcBorders>
              <w:top w:val="nil"/>
              <w:left w:val="nil"/>
              <w:bottom w:val="nil"/>
              <w:right w:val="nil"/>
            </w:tcBorders>
            <w:shd w:val="clear" w:color="auto" w:fill="auto"/>
            <w:vAlign w:val="center"/>
          </w:tcPr>
          <w:p w14:paraId="584C2F10">
            <w:pPr>
              <w:pStyle w:val="49"/>
              <w:ind w:firstLine="420"/>
            </w:pPr>
            <w:r>
              <w:t>38</w:t>
            </w:r>
          </w:p>
        </w:tc>
      </w:tr>
      <w:tr w14:paraId="14FD5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single" w:color="auto" w:sz="4" w:space="0"/>
              <w:right w:val="nil"/>
            </w:tcBorders>
            <w:shd w:val="clear" w:color="auto" w:fill="auto"/>
            <w:vAlign w:val="center"/>
          </w:tcPr>
          <w:p w14:paraId="23DD572E">
            <w:pPr>
              <w:pStyle w:val="49"/>
              <w:ind w:firstLine="420"/>
            </w:pPr>
          </w:p>
        </w:tc>
        <w:tc>
          <w:tcPr>
            <w:tcW w:w="1100" w:type="pct"/>
            <w:tcBorders>
              <w:top w:val="nil"/>
              <w:left w:val="nil"/>
              <w:bottom w:val="single" w:color="auto" w:sz="4" w:space="0"/>
              <w:right w:val="nil"/>
            </w:tcBorders>
            <w:shd w:val="clear" w:color="auto" w:fill="auto"/>
            <w:vAlign w:val="center"/>
          </w:tcPr>
          <w:p w14:paraId="72447364">
            <w:pPr>
              <w:pStyle w:val="49"/>
              <w:ind w:firstLine="420"/>
            </w:pPr>
            <w:r>
              <w:t>North L3</w:t>
            </w:r>
          </w:p>
        </w:tc>
        <w:tc>
          <w:tcPr>
            <w:tcW w:w="1496" w:type="pct"/>
            <w:tcBorders>
              <w:top w:val="nil"/>
              <w:left w:val="nil"/>
              <w:bottom w:val="single" w:color="auto" w:sz="4" w:space="0"/>
              <w:right w:val="nil"/>
            </w:tcBorders>
            <w:shd w:val="clear" w:color="auto" w:fill="auto"/>
            <w:vAlign w:val="center"/>
          </w:tcPr>
          <w:p w14:paraId="5CD67A41">
            <w:pPr>
              <w:pStyle w:val="49"/>
              <w:ind w:firstLine="420"/>
            </w:pPr>
            <w:r>
              <w:t>Cement concrete</w:t>
            </w:r>
          </w:p>
        </w:tc>
        <w:tc>
          <w:tcPr>
            <w:tcW w:w="1150" w:type="pct"/>
            <w:tcBorders>
              <w:top w:val="nil"/>
              <w:left w:val="nil"/>
              <w:bottom w:val="single" w:color="auto" w:sz="4" w:space="0"/>
              <w:right w:val="nil"/>
            </w:tcBorders>
            <w:shd w:val="clear" w:color="auto" w:fill="auto"/>
            <w:vAlign w:val="center"/>
          </w:tcPr>
          <w:p w14:paraId="68FD194B">
            <w:pPr>
              <w:pStyle w:val="49"/>
              <w:ind w:firstLine="420"/>
            </w:pPr>
            <w:r>
              <w:t>42</w:t>
            </w:r>
          </w:p>
        </w:tc>
      </w:tr>
      <w:tr w14:paraId="59F33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restart"/>
            <w:tcBorders>
              <w:top w:val="single" w:color="auto" w:sz="4" w:space="0"/>
              <w:left w:val="nil"/>
              <w:bottom w:val="nil"/>
              <w:right w:val="nil"/>
            </w:tcBorders>
            <w:shd w:val="clear" w:color="auto" w:fill="auto"/>
            <w:vAlign w:val="center"/>
          </w:tcPr>
          <w:p w14:paraId="3F6BA078">
            <w:pPr>
              <w:pStyle w:val="49"/>
              <w:ind w:firstLine="420"/>
            </w:pPr>
            <w:r>
              <w:t>Runway section</w:t>
            </w:r>
          </w:p>
        </w:tc>
        <w:tc>
          <w:tcPr>
            <w:tcW w:w="1100" w:type="pct"/>
            <w:tcBorders>
              <w:top w:val="single" w:color="auto" w:sz="4" w:space="0"/>
              <w:left w:val="nil"/>
              <w:bottom w:val="nil"/>
              <w:right w:val="nil"/>
            </w:tcBorders>
            <w:shd w:val="clear" w:color="auto" w:fill="auto"/>
            <w:vAlign w:val="center"/>
          </w:tcPr>
          <w:p w14:paraId="09FDEA88">
            <w:pPr>
              <w:pStyle w:val="49"/>
              <w:ind w:firstLine="420"/>
            </w:pPr>
            <w:r>
              <w:t>South (partial)</w:t>
            </w:r>
          </w:p>
        </w:tc>
        <w:tc>
          <w:tcPr>
            <w:tcW w:w="1496" w:type="pct"/>
            <w:tcBorders>
              <w:top w:val="single" w:color="auto" w:sz="4" w:space="0"/>
              <w:left w:val="nil"/>
              <w:bottom w:val="nil"/>
              <w:right w:val="nil"/>
            </w:tcBorders>
            <w:shd w:val="clear" w:color="auto" w:fill="auto"/>
            <w:vAlign w:val="center"/>
          </w:tcPr>
          <w:p w14:paraId="54AB8429">
            <w:pPr>
              <w:pStyle w:val="49"/>
              <w:ind w:firstLine="420"/>
            </w:pPr>
            <w:r>
              <w:t>Cement concrete</w:t>
            </w:r>
          </w:p>
        </w:tc>
        <w:tc>
          <w:tcPr>
            <w:tcW w:w="1150" w:type="pct"/>
            <w:tcBorders>
              <w:top w:val="single" w:color="auto" w:sz="4" w:space="0"/>
              <w:left w:val="nil"/>
              <w:bottom w:val="nil"/>
              <w:right w:val="nil"/>
            </w:tcBorders>
            <w:shd w:val="clear" w:color="auto" w:fill="auto"/>
            <w:vAlign w:val="center"/>
          </w:tcPr>
          <w:p w14:paraId="1D2E16A7">
            <w:pPr>
              <w:pStyle w:val="49"/>
              <w:ind w:firstLine="420"/>
            </w:pPr>
            <w:r>
              <w:t>30</w:t>
            </w:r>
          </w:p>
        </w:tc>
      </w:tr>
      <w:tr w14:paraId="0025A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nil"/>
              <w:right w:val="nil"/>
            </w:tcBorders>
            <w:shd w:val="clear" w:color="auto" w:fill="auto"/>
            <w:vAlign w:val="center"/>
          </w:tcPr>
          <w:p w14:paraId="4CD212EC">
            <w:pPr>
              <w:pStyle w:val="49"/>
              <w:ind w:firstLine="420"/>
            </w:pPr>
          </w:p>
        </w:tc>
        <w:tc>
          <w:tcPr>
            <w:tcW w:w="1100" w:type="pct"/>
            <w:tcBorders>
              <w:top w:val="nil"/>
              <w:left w:val="nil"/>
              <w:bottom w:val="nil"/>
              <w:right w:val="nil"/>
            </w:tcBorders>
            <w:shd w:val="clear" w:color="auto" w:fill="auto"/>
            <w:vAlign w:val="center"/>
          </w:tcPr>
          <w:p w14:paraId="23395E5D">
            <w:pPr>
              <w:pStyle w:val="49"/>
              <w:ind w:firstLine="420"/>
            </w:pPr>
            <w:r>
              <w:t>Middle (partial)</w:t>
            </w:r>
          </w:p>
        </w:tc>
        <w:tc>
          <w:tcPr>
            <w:tcW w:w="1496" w:type="pct"/>
            <w:tcBorders>
              <w:top w:val="nil"/>
              <w:left w:val="nil"/>
              <w:bottom w:val="nil"/>
              <w:right w:val="nil"/>
            </w:tcBorders>
            <w:shd w:val="clear" w:color="auto" w:fill="auto"/>
            <w:vAlign w:val="center"/>
          </w:tcPr>
          <w:p w14:paraId="002DDBFB">
            <w:pPr>
              <w:pStyle w:val="49"/>
              <w:ind w:firstLine="420"/>
            </w:pPr>
            <w:r>
              <w:t>Asphalt concrete + cement concrete</w:t>
            </w:r>
          </w:p>
        </w:tc>
        <w:tc>
          <w:tcPr>
            <w:tcW w:w="1150" w:type="pct"/>
            <w:tcBorders>
              <w:top w:val="nil"/>
              <w:left w:val="nil"/>
              <w:bottom w:val="nil"/>
              <w:right w:val="nil"/>
            </w:tcBorders>
            <w:shd w:val="clear" w:color="auto" w:fill="auto"/>
            <w:vAlign w:val="center"/>
          </w:tcPr>
          <w:p w14:paraId="2EDC9639">
            <w:pPr>
              <w:pStyle w:val="49"/>
              <w:ind w:firstLine="420"/>
            </w:pPr>
            <w:r>
              <w:t>74+15</w:t>
            </w:r>
          </w:p>
        </w:tc>
      </w:tr>
      <w:tr w14:paraId="599D4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nil"/>
              <w:right w:val="nil"/>
            </w:tcBorders>
            <w:shd w:val="clear" w:color="auto" w:fill="auto"/>
            <w:vAlign w:val="center"/>
          </w:tcPr>
          <w:p w14:paraId="08D3BAF0">
            <w:pPr>
              <w:pStyle w:val="49"/>
              <w:ind w:firstLine="420"/>
            </w:pPr>
          </w:p>
        </w:tc>
        <w:tc>
          <w:tcPr>
            <w:tcW w:w="1100" w:type="pct"/>
            <w:tcBorders>
              <w:top w:val="nil"/>
              <w:left w:val="nil"/>
              <w:bottom w:val="nil"/>
              <w:right w:val="nil"/>
            </w:tcBorders>
            <w:shd w:val="clear" w:color="auto" w:fill="auto"/>
            <w:vAlign w:val="center"/>
          </w:tcPr>
          <w:p w14:paraId="56D6637E">
            <w:pPr>
              <w:pStyle w:val="49"/>
              <w:ind w:firstLine="420"/>
            </w:pPr>
            <w:r>
              <w:t>Middle (partial)</w:t>
            </w:r>
          </w:p>
        </w:tc>
        <w:tc>
          <w:tcPr>
            <w:tcW w:w="1496" w:type="pct"/>
            <w:tcBorders>
              <w:top w:val="nil"/>
              <w:left w:val="nil"/>
              <w:bottom w:val="nil"/>
              <w:right w:val="nil"/>
            </w:tcBorders>
            <w:shd w:val="clear" w:color="auto" w:fill="auto"/>
            <w:vAlign w:val="center"/>
          </w:tcPr>
          <w:p w14:paraId="6A25D5C7">
            <w:pPr>
              <w:pStyle w:val="49"/>
              <w:ind w:firstLine="420"/>
            </w:pPr>
            <w:r>
              <w:t>Asphalt concrete</w:t>
            </w:r>
          </w:p>
        </w:tc>
        <w:tc>
          <w:tcPr>
            <w:tcW w:w="1150" w:type="pct"/>
            <w:tcBorders>
              <w:top w:val="nil"/>
              <w:left w:val="nil"/>
              <w:bottom w:val="nil"/>
              <w:right w:val="nil"/>
            </w:tcBorders>
            <w:shd w:val="clear" w:color="auto" w:fill="auto"/>
            <w:vAlign w:val="center"/>
          </w:tcPr>
          <w:p w14:paraId="35ACE569">
            <w:pPr>
              <w:pStyle w:val="49"/>
              <w:ind w:firstLine="420"/>
            </w:pPr>
            <w:r>
              <w:t>24</w:t>
            </w:r>
          </w:p>
        </w:tc>
      </w:tr>
      <w:tr w14:paraId="50BF5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single" w:color="auto" w:sz="4" w:space="0"/>
              <w:right w:val="nil"/>
            </w:tcBorders>
            <w:shd w:val="clear" w:color="auto" w:fill="auto"/>
            <w:vAlign w:val="center"/>
          </w:tcPr>
          <w:p w14:paraId="10E1980E">
            <w:pPr>
              <w:pStyle w:val="49"/>
              <w:ind w:firstLine="420"/>
            </w:pPr>
          </w:p>
        </w:tc>
        <w:tc>
          <w:tcPr>
            <w:tcW w:w="1100" w:type="pct"/>
            <w:tcBorders>
              <w:top w:val="nil"/>
              <w:left w:val="nil"/>
              <w:bottom w:val="single" w:color="auto" w:sz="4" w:space="0"/>
              <w:right w:val="nil"/>
            </w:tcBorders>
            <w:shd w:val="clear" w:color="auto" w:fill="auto"/>
            <w:vAlign w:val="center"/>
          </w:tcPr>
          <w:p w14:paraId="51EF145E">
            <w:pPr>
              <w:pStyle w:val="49"/>
              <w:ind w:firstLine="420"/>
            </w:pPr>
            <w:r>
              <w:t>North (partial)</w:t>
            </w:r>
          </w:p>
        </w:tc>
        <w:tc>
          <w:tcPr>
            <w:tcW w:w="1496" w:type="pct"/>
            <w:tcBorders>
              <w:top w:val="nil"/>
              <w:left w:val="nil"/>
              <w:bottom w:val="single" w:color="auto" w:sz="4" w:space="0"/>
              <w:right w:val="nil"/>
            </w:tcBorders>
            <w:shd w:val="clear" w:color="auto" w:fill="auto"/>
            <w:vAlign w:val="center"/>
          </w:tcPr>
          <w:p w14:paraId="24AF4EF0">
            <w:pPr>
              <w:pStyle w:val="49"/>
              <w:ind w:firstLine="420"/>
            </w:pPr>
            <w:r>
              <w:t>Cement concrete</w:t>
            </w:r>
          </w:p>
        </w:tc>
        <w:tc>
          <w:tcPr>
            <w:tcW w:w="1150" w:type="pct"/>
            <w:tcBorders>
              <w:top w:val="nil"/>
              <w:left w:val="nil"/>
              <w:bottom w:val="single" w:color="auto" w:sz="4" w:space="0"/>
              <w:right w:val="nil"/>
            </w:tcBorders>
            <w:shd w:val="clear" w:color="auto" w:fill="auto"/>
            <w:vAlign w:val="center"/>
          </w:tcPr>
          <w:p w14:paraId="2516A5E8">
            <w:pPr>
              <w:pStyle w:val="49"/>
              <w:ind w:firstLine="420"/>
            </w:pPr>
            <w:r>
              <w:t>30</w:t>
            </w:r>
          </w:p>
        </w:tc>
      </w:tr>
      <w:tr w14:paraId="57AAE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restart"/>
            <w:tcBorders>
              <w:top w:val="single" w:color="auto" w:sz="4" w:space="0"/>
              <w:left w:val="nil"/>
              <w:bottom w:val="nil"/>
              <w:right w:val="nil"/>
            </w:tcBorders>
            <w:shd w:val="clear" w:color="auto" w:fill="auto"/>
            <w:vAlign w:val="center"/>
          </w:tcPr>
          <w:p w14:paraId="48AC18CB">
            <w:pPr>
              <w:pStyle w:val="49"/>
              <w:ind w:firstLine="420"/>
            </w:pPr>
            <w:r>
              <w:t>Taxiway section</w:t>
            </w:r>
          </w:p>
        </w:tc>
        <w:tc>
          <w:tcPr>
            <w:tcW w:w="1100" w:type="pct"/>
            <w:tcBorders>
              <w:top w:val="single" w:color="auto" w:sz="4" w:space="0"/>
              <w:left w:val="nil"/>
              <w:bottom w:val="nil"/>
              <w:right w:val="nil"/>
            </w:tcBorders>
            <w:shd w:val="clear" w:color="auto" w:fill="auto"/>
            <w:vAlign w:val="center"/>
          </w:tcPr>
          <w:p w14:paraId="3F91E7BE">
            <w:pPr>
              <w:pStyle w:val="49"/>
              <w:ind w:firstLine="420"/>
            </w:pPr>
            <w:r>
              <w:t>South L4</w:t>
            </w:r>
          </w:p>
        </w:tc>
        <w:tc>
          <w:tcPr>
            <w:tcW w:w="1496" w:type="pct"/>
            <w:tcBorders>
              <w:top w:val="single" w:color="auto" w:sz="4" w:space="0"/>
              <w:left w:val="nil"/>
              <w:bottom w:val="nil"/>
              <w:right w:val="nil"/>
            </w:tcBorders>
            <w:shd w:val="clear" w:color="auto" w:fill="auto"/>
            <w:vAlign w:val="center"/>
          </w:tcPr>
          <w:p w14:paraId="0EDEF3A1">
            <w:pPr>
              <w:pStyle w:val="49"/>
              <w:ind w:firstLine="420"/>
            </w:pPr>
            <w:r>
              <w:t>Cement concrete</w:t>
            </w:r>
          </w:p>
        </w:tc>
        <w:tc>
          <w:tcPr>
            <w:tcW w:w="1150" w:type="pct"/>
            <w:tcBorders>
              <w:top w:val="single" w:color="auto" w:sz="4" w:space="0"/>
              <w:left w:val="nil"/>
              <w:bottom w:val="nil"/>
              <w:right w:val="nil"/>
            </w:tcBorders>
            <w:shd w:val="clear" w:color="auto" w:fill="auto"/>
            <w:vAlign w:val="center"/>
          </w:tcPr>
          <w:p w14:paraId="0F34E750">
            <w:pPr>
              <w:pStyle w:val="49"/>
              <w:ind w:firstLine="420"/>
            </w:pPr>
            <w:r>
              <w:t>42</w:t>
            </w:r>
          </w:p>
        </w:tc>
      </w:tr>
      <w:tr w14:paraId="2068A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nil"/>
              <w:right w:val="nil"/>
            </w:tcBorders>
            <w:shd w:val="clear" w:color="auto" w:fill="auto"/>
            <w:vAlign w:val="center"/>
          </w:tcPr>
          <w:p w14:paraId="0E32922A">
            <w:pPr>
              <w:pStyle w:val="49"/>
              <w:ind w:firstLine="420"/>
            </w:pPr>
          </w:p>
        </w:tc>
        <w:tc>
          <w:tcPr>
            <w:tcW w:w="1100" w:type="pct"/>
            <w:tcBorders>
              <w:top w:val="nil"/>
              <w:left w:val="nil"/>
              <w:bottom w:val="nil"/>
              <w:right w:val="nil"/>
            </w:tcBorders>
            <w:shd w:val="clear" w:color="auto" w:fill="auto"/>
            <w:vAlign w:val="center"/>
          </w:tcPr>
          <w:p w14:paraId="07E67AA2">
            <w:pPr>
              <w:pStyle w:val="49"/>
              <w:ind w:firstLine="420"/>
            </w:pPr>
            <w:r>
              <w:t>Middle L5</w:t>
            </w:r>
          </w:p>
        </w:tc>
        <w:tc>
          <w:tcPr>
            <w:tcW w:w="1496" w:type="pct"/>
            <w:tcBorders>
              <w:top w:val="nil"/>
              <w:left w:val="nil"/>
              <w:bottom w:val="nil"/>
              <w:right w:val="nil"/>
            </w:tcBorders>
            <w:shd w:val="clear" w:color="auto" w:fill="auto"/>
            <w:vAlign w:val="center"/>
          </w:tcPr>
          <w:p w14:paraId="6B2B0986">
            <w:pPr>
              <w:pStyle w:val="49"/>
              <w:ind w:firstLine="420"/>
            </w:pPr>
            <w:r>
              <w:t>Cement concrete</w:t>
            </w:r>
          </w:p>
        </w:tc>
        <w:tc>
          <w:tcPr>
            <w:tcW w:w="1150" w:type="pct"/>
            <w:tcBorders>
              <w:top w:val="nil"/>
              <w:left w:val="nil"/>
              <w:bottom w:val="nil"/>
              <w:right w:val="nil"/>
            </w:tcBorders>
            <w:shd w:val="clear" w:color="auto" w:fill="auto"/>
            <w:vAlign w:val="center"/>
          </w:tcPr>
          <w:p w14:paraId="560C395D">
            <w:pPr>
              <w:pStyle w:val="49"/>
              <w:ind w:firstLine="420"/>
            </w:pPr>
            <w:r>
              <w:t>38</w:t>
            </w:r>
          </w:p>
        </w:tc>
      </w:tr>
      <w:tr w14:paraId="1178D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single" w:color="auto" w:sz="4" w:space="0"/>
              <w:right w:val="nil"/>
            </w:tcBorders>
            <w:shd w:val="clear" w:color="auto" w:fill="auto"/>
            <w:vAlign w:val="center"/>
          </w:tcPr>
          <w:p w14:paraId="7F1E65A1">
            <w:pPr>
              <w:pStyle w:val="49"/>
              <w:ind w:firstLine="420"/>
            </w:pPr>
          </w:p>
        </w:tc>
        <w:tc>
          <w:tcPr>
            <w:tcW w:w="1100" w:type="pct"/>
            <w:tcBorders>
              <w:top w:val="nil"/>
              <w:left w:val="nil"/>
              <w:bottom w:val="single" w:color="auto" w:sz="4" w:space="0"/>
              <w:right w:val="nil"/>
            </w:tcBorders>
            <w:shd w:val="clear" w:color="auto" w:fill="auto"/>
            <w:vAlign w:val="center"/>
          </w:tcPr>
          <w:p w14:paraId="0E6692EA">
            <w:pPr>
              <w:pStyle w:val="49"/>
              <w:ind w:firstLine="420"/>
            </w:pPr>
            <w:r>
              <w:t>North L6</w:t>
            </w:r>
          </w:p>
        </w:tc>
        <w:tc>
          <w:tcPr>
            <w:tcW w:w="1496" w:type="pct"/>
            <w:tcBorders>
              <w:top w:val="nil"/>
              <w:left w:val="nil"/>
              <w:bottom w:val="single" w:color="auto" w:sz="4" w:space="0"/>
              <w:right w:val="nil"/>
            </w:tcBorders>
            <w:shd w:val="clear" w:color="auto" w:fill="auto"/>
            <w:vAlign w:val="center"/>
          </w:tcPr>
          <w:p w14:paraId="3D244892">
            <w:pPr>
              <w:pStyle w:val="49"/>
              <w:ind w:firstLine="420"/>
            </w:pPr>
            <w:r>
              <w:t>Cement concrete</w:t>
            </w:r>
          </w:p>
        </w:tc>
        <w:tc>
          <w:tcPr>
            <w:tcW w:w="1150" w:type="pct"/>
            <w:tcBorders>
              <w:top w:val="nil"/>
              <w:left w:val="nil"/>
              <w:bottom w:val="single" w:color="auto" w:sz="4" w:space="0"/>
              <w:right w:val="nil"/>
            </w:tcBorders>
            <w:shd w:val="clear" w:color="auto" w:fill="auto"/>
            <w:vAlign w:val="center"/>
          </w:tcPr>
          <w:p w14:paraId="407BE7E2">
            <w:pPr>
              <w:pStyle w:val="49"/>
              <w:ind w:firstLine="420"/>
            </w:pPr>
            <w:r>
              <w:t>42</w:t>
            </w:r>
          </w:p>
        </w:tc>
      </w:tr>
      <w:tr w14:paraId="44B6F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restart"/>
            <w:tcBorders>
              <w:top w:val="single" w:color="auto" w:sz="4" w:space="0"/>
              <w:left w:val="nil"/>
              <w:bottom w:val="nil"/>
              <w:right w:val="nil"/>
            </w:tcBorders>
            <w:shd w:val="clear" w:color="auto" w:fill="auto"/>
            <w:vAlign w:val="center"/>
          </w:tcPr>
          <w:p w14:paraId="5834CF09">
            <w:pPr>
              <w:pStyle w:val="49"/>
              <w:ind w:firstLine="420"/>
            </w:pPr>
            <w:r>
              <w:t>Connector taxiway</w:t>
            </w:r>
          </w:p>
        </w:tc>
        <w:tc>
          <w:tcPr>
            <w:tcW w:w="1100" w:type="pct"/>
            <w:tcBorders>
              <w:top w:val="single" w:color="auto" w:sz="4" w:space="0"/>
              <w:left w:val="nil"/>
              <w:bottom w:val="nil"/>
              <w:right w:val="nil"/>
            </w:tcBorders>
            <w:shd w:val="clear" w:color="auto" w:fill="auto"/>
            <w:vAlign w:val="center"/>
          </w:tcPr>
          <w:p w14:paraId="30436C81">
            <w:pPr>
              <w:pStyle w:val="49"/>
              <w:ind w:firstLine="420"/>
            </w:pPr>
            <w:r>
              <w:t>Sections 1–3</w:t>
            </w:r>
          </w:p>
        </w:tc>
        <w:tc>
          <w:tcPr>
            <w:tcW w:w="1496" w:type="pct"/>
            <w:tcBorders>
              <w:top w:val="single" w:color="auto" w:sz="4" w:space="0"/>
              <w:left w:val="nil"/>
              <w:bottom w:val="nil"/>
              <w:right w:val="nil"/>
            </w:tcBorders>
            <w:shd w:val="clear" w:color="auto" w:fill="auto"/>
            <w:vAlign w:val="center"/>
          </w:tcPr>
          <w:p w14:paraId="24E9ABFF">
            <w:pPr>
              <w:pStyle w:val="49"/>
              <w:ind w:firstLine="420"/>
            </w:pPr>
            <w:r>
              <w:t>Cement concrete</w:t>
            </w:r>
          </w:p>
        </w:tc>
        <w:tc>
          <w:tcPr>
            <w:tcW w:w="1150" w:type="pct"/>
            <w:tcBorders>
              <w:top w:val="single" w:color="auto" w:sz="4" w:space="0"/>
              <w:left w:val="nil"/>
              <w:bottom w:val="nil"/>
              <w:right w:val="nil"/>
            </w:tcBorders>
            <w:shd w:val="clear" w:color="auto" w:fill="auto"/>
            <w:vAlign w:val="center"/>
          </w:tcPr>
          <w:p w14:paraId="6E3BE81C">
            <w:pPr>
              <w:pStyle w:val="49"/>
              <w:ind w:firstLine="420"/>
            </w:pPr>
            <w:r>
              <w:t>42</w:t>
            </w:r>
          </w:p>
        </w:tc>
      </w:tr>
      <w:tr w14:paraId="4FD63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nil"/>
              <w:right w:val="nil"/>
            </w:tcBorders>
            <w:shd w:val="clear" w:color="auto" w:fill="auto"/>
            <w:vAlign w:val="center"/>
          </w:tcPr>
          <w:p w14:paraId="07A54215">
            <w:pPr>
              <w:pStyle w:val="49"/>
              <w:ind w:firstLine="420"/>
            </w:pPr>
          </w:p>
        </w:tc>
        <w:tc>
          <w:tcPr>
            <w:tcW w:w="1100" w:type="pct"/>
            <w:tcBorders>
              <w:top w:val="nil"/>
              <w:left w:val="nil"/>
              <w:bottom w:val="single" w:color="auto" w:sz="4" w:space="0"/>
              <w:right w:val="nil"/>
            </w:tcBorders>
            <w:shd w:val="clear" w:color="auto" w:fill="auto"/>
            <w:vAlign w:val="center"/>
          </w:tcPr>
          <w:p w14:paraId="290B064B">
            <w:pPr>
              <w:pStyle w:val="49"/>
              <w:ind w:firstLine="420"/>
            </w:pPr>
            <w:r>
              <w:t>Section 4</w:t>
            </w:r>
          </w:p>
        </w:tc>
        <w:tc>
          <w:tcPr>
            <w:tcW w:w="1496" w:type="pct"/>
            <w:tcBorders>
              <w:top w:val="nil"/>
              <w:left w:val="nil"/>
              <w:bottom w:val="single" w:color="auto" w:sz="4" w:space="0"/>
              <w:right w:val="nil"/>
            </w:tcBorders>
            <w:shd w:val="clear" w:color="auto" w:fill="auto"/>
            <w:vAlign w:val="center"/>
          </w:tcPr>
          <w:p w14:paraId="228EB957">
            <w:pPr>
              <w:pStyle w:val="49"/>
              <w:ind w:firstLine="420"/>
            </w:pPr>
            <w:r>
              <w:t>Cement concrete</w:t>
            </w:r>
          </w:p>
        </w:tc>
        <w:tc>
          <w:tcPr>
            <w:tcW w:w="1150" w:type="pct"/>
            <w:tcBorders>
              <w:top w:val="nil"/>
              <w:left w:val="nil"/>
              <w:bottom w:val="single" w:color="auto" w:sz="4" w:space="0"/>
              <w:right w:val="nil"/>
            </w:tcBorders>
            <w:shd w:val="clear" w:color="auto" w:fill="auto"/>
            <w:vAlign w:val="center"/>
          </w:tcPr>
          <w:p w14:paraId="052EFF8F">
            <w:pPr>
              <w:pStyle w:val="49"/>
              <w:ind w:firstLine="420"/>
            </w:pPr>
            <w:r>
              <w:t>38</w:t>
            </w:r>
          </w:p>
        </w:tc>
      </w:tr>
      <w:tr w14:paraId="6D60F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tcBorders>
              <w:top w:val="single" w:color="auto" w:sz="4" w:space="0"/>
              <w:left w:val="nil"/>
              <w:bottom w:val="single" w:color="auto" w:sz="4" w:space="0"/>
              <w:right w:val="nil"/>
            </w:tcBorders>
            <w:shd w:val="clear" w:color="auto" w:fill="auto"/>
            <w:vAlign w:val="center"/>
          </w:tcPr>
          <w:p w14:paraId="3D22F6DB">
            <w:pPr>
              <w:pStyle w:val="49"/>
              <w:ind w:firstLine="420"/>
            </w:pPr>
            <w:r>
              <w:t>Rapid-exit taxiway</w:t>
            </w:r>
          </w:p>
        </w:tc>
        <w:tc>
          <w:tcPr>
            <w:tcW w:w="1100" w:type="pct"/>
            <w:tcBorders>
              <w:top w:val="single" w:color="auto" w:sz="4" w:space="0"/>
              <w:left w:val="nil"/>
              <w:bottom w:val="single" w:color="auto" w:sz="4" w:space="0"/>
              <w:right w:val="nil"/>
            </w:tcBorders>
            <w:shd w:val="clear" w:color="auto" w:fill="auto"/>
            <w:vAlign w:val="center"/>
          </w:tcPr>
          <w:p w14:paraId="5E15178F">
            <w:pPr>
              <w:pStyle w:val="49"/>
              <w:ind w:firstLine="420"/>
            </w:pPr>
            <w:r>
              <w:t>Sections 1–4</w:t>
            </w:r>
          </w:p>
        </w:tc>
        <w:tc>
          <w:tcPr>
            <w:tcW w:w="1496" w:type="pct"/>
            <w:tcBorders>
              <w:top w:val="single" w:color="auto" w:sz="4" w:space="0"/>
              <w:left w:val="nil"/>
              <w:bottom w:val="single" w:color="auto" w:sz="4" w:space="0"/>
              <w:right w:val="nil"/>
            </w:tcBorders>
            <w:shd w:val="clear" w:color="auto" w:fill="auto"/>
            <w:vAlign w:val="center"/>
          </w:tcPr>
          <w:p w14:paraId="25B70681">
            <w:pPr>
              <w:pStyle w:val="49"/>
              <w:ind w:firstLine="420"/>
            </w:pPr>
            <w:r>
              <w:t>Cement concrete</w:t>
            </w:r>
          </w:p>
        </w:tc>
        <w:tc>
          <w:tcPr>
            <w:tcW w:w="1150" w:type="pct"/>
            <w:tcBorders>
              <w:top w:val="single" w:color="auto" w:sz="4" w:space="0"/>
              <w:left w:val="nil"/>
              <w:bottom w:val="single" w:color="auto" w:sz="4" w:space="0"/>
              <w:right w:val="nil"/>
            </w:tcBorders>
            <w:shd w:val="clear" w:color="auto" w:fill="auto"/>
            <w:vAlign w:val="center"/>
          </w:tcPr>
          <w:p w14:paraId="3B0DE5B9">
            <w:pPr>
              <w:pStyle w:val="49"/>
              <w:ind w:firstLine="420"/>
            </w:pPr>
            <w:r>
              <w:t>38</w:t>
            </w:r>
          </w:p>
        </w:tc>
      </w:tr>
      <w:tr w14:paraId="1C7B4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restart"/>
            <w:tcBorders>
              <w:top w:val="nil"/>
              <w:left w:val="nil"/>
              <w:bottom w:val="nil"/>
              <w:right w:val="nil"/>
            </w:tcBorders>
            <w:shd w:val="clear" w:color="auto" w:fill="auto"/>
            <w:vAlign w:val="center"/>
          </w:tcPr>
          <w:p w14:paraId="5118864D">
            <w:pPr>
              <w:pStyle w:val="49"/>
              <w:ind w:firstLine="420"/>
            </w:pPr>
            <w:r>
              <w:t>Apron</w:t>
            </w:r>
          </w:p>
        </w:tc>
        <w:tc>
          <w:tcPr>
            <w:tcW w:w="1100" w:type="pct"/>
            <w:tcBorders>
              <w:top w:val="single" w:color="auto" w:sz="4" w:space="0"/>
              <w:left w:val="nil"/>
              <w:bottom w:val="nil"/>
              <w:right w:val="nil"/>
            </w:tcBorders>
            <w:shd w:val="clear" w:color="auto" w:fill="auto"/>
            <w:vAlign w:val="center"/>
          </w:tcPr>
          <w:p w14:paraId="7BC7D529">
            <w:pPr>
              <w:pStyle w:val="49"/>
              <w:ind w:firstLine="420"/>
            </w:pPr>
            <w:r>
              <w:t>Apron 1</w:t>
            </w:r>
          </w:p>
        </w:tc>
        <w:tc>
          <w:tcPr>
            <w:tcW w:w="1496" w:type="pct"/>
            <w:tcBorders>
              <w:top w:val="single" w:color="auto" w:sz="4" w:space="0"/>
              <w:left w:val="nil"/>
              <w:bottom w:val="nil"/>
              <w:right w:val="nil"/>
            </w:tcBorders>
            <w:shd w:val="clear" w:color="auto" w:fill="auto"/>
          </w:tcPr>
          <w:p w14:paraId="38729C3D">
            <w:pPr>
              <w:pStyle w:val="49"/>
              <w:ind w:firstLine="420"/>
            </w:pPr>
            <w:r>
              <w:t>Cement concrete</w:t>
            </w:r>
          </w:p>
        </w:tc>
        <w:tc>
          <w:tcPr>
            <w:tcW w:w="1150" w:type="pct"/>
            <w:tcBorders>
              <w:top w:val="single" w:color="auto" w:sz="4" w:space="0"/>
              <w:left w:val="nil"/>
              <w:bottom w:val="nil"/>
              <w:right w:val="nil"/>
            </w:tcBorders>
            <w:shd w:val="clear" w:color="auto" w:fill="auto"/>
            <w:vAlign w:val="center"/>
          </w:tcPr>
          <w:p w14:paraId="5ECDBA3E">
            <w:pPr>
              <w:pStyle w:val="49"/>
              <w:ind w:firstLine="420"/>
            </w:pPr>
            <w:r>
              <w:t>39</w:t>
            </w:r>
          </w:p>
        </w:tc>
      </w:tr>
      <w:tr w14:paraId="24C1E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nil"/>
              <w:right w:val="nil"/>
            </w:tcBorders>
            <w:shd w:val="clear" w:color="auto" w:fill="auto"/>
            <w:vAlign w:val="center"/>
          </w:tcPr>
          <w:p w14:paraId="26F873A9">
            <w:pPr>
              <w:pStyle w:val="49"/>
              <w:ind w:firstLine="420"/>
            </w:pPr>
          </w:p>
        </w:tc>
        <w:tc>
          <w:tcPr>
            <w:tcW w:w="1100" w:type="pct"/>
            <w:tcBorders>
              <w:top w:val="nil"/>
              <w:left w:val="nil"/>
              <w:bottom w:val="nil"/>
              <w:right w:val="nil"/>
            </w:tcBorders>
            <w:shd w:val="clear" w:color="auto" w:fill="auto"/>
            <w:vAlign w:val="center"/>
          </w:tcPr>
          <w:p w14:paraId="2ED65D87">
            <w:pPr>
              <w:pStyle w:val="49"/>
              <w:ind w:firstLine="420"/>
            </w:pPr>
            <w:r>
              <w:t>Apron 6</w:t>
            </w:r>
          </w:p>
        </w:tc>
        <w:tc>
          <w:tcPr>
            <w:tcW w:w="1496" w:type="pct"/>
            <w:tcBorders>
              <w:top w:val="nil"/>
              <w:left w:val="nil"/>
              <w:bottom w:val="nil"/>
              <w:right w:val="nil"/>
            </w:tcBorders>
            <w:shd w:val="clear" w:color="auto" w:fill="auto"/>
          </w:tcPr>
          <w:p w14:paraId="65250393">
            <w:pPr>
              <w:pStyle w:val="49"/>
              <w:ind w:firstLine="420"/>
            </w:pPr>
            <w:r>
              <w:t>Cement concrete</w:t>
            </w:r>
          </w:p>
        </w:tc>
        <w:tc>
          <w:tcPr>
            <w:tcW w:w="1150" w:type="pct"/>
            <w:tcBorders>
              <w:top w:val="nil"/>
              <w:left w:val="nil"/>
              <w:bottom w:val="nil"/>
              <w:right w:val="nil"/>
            </w:tcBorders>
            <w:shd w:val="clear" w:color="auto" w:fill="auto"/>
            <w:vAlign w:val="center"/>
          </w:tcPr>
          <w:p w14:paraId="0DE31EBE">
            <w:pPr>
              <w:pStyle w:val="49"/>
              <w:ind w:firstLine="420"/>
            </w:pPr>
            <w:r>
              <w:t>41</w:t>
            </w:r>
          </w:p>
        </w:tc>
      </w:tr>
      <w:tr w14:paraId="28637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pct"/>
            <w:vMerge w:val="continue"/>
            <w:tcBorders>
              <w:top w:val="nil"/>
              <w:left w:val="nil"/>
              <w:bottom w:val="single" w:color="000000" w:sz="12" w:space="0"/>
              <w:right w:val="nil"/>
            </w:tcBorders>
            <w:shd w:val="clear" w:color="auto" w:fill="auto"/>
            <w:vAlign w:val="center"/>
          </w:tcPr>
          <w:p w14:paraId="2B85F752">
            <w:pPr>
              <w:pStyle w:val="49"/>
              <w:ind w:firstLine="420"/>
            </w:pPr>
          </w:p>
        </w:tc>
        <w:tc>
          <w:tcPr>
            <w:tcW w:w="1100" w:type="pct"/>
            <w:tcBorders>
              <w:top w:val="nil"/>
              <w:left w:val="nil"/>
              <w:bottom w:val="single" w:color="000000" w:sz="12" w:space="0"/>
              <w:right w:val="nil"/>
            </w:tcBorders>
            <w:shd w:val="clear" w:color="auto" w:fill="auto"/>
            <w:vAlign w:val="center"/>
          </w:tcPr>
          <w:p w14:paraId="3CEFEA0E">
            <w:pPr>
              <w:pStyle w:val="49"/>
              <w:ind w:firstLine="420"/>
            </w:pPr>
            <w:r>
              <w:t>Apron 10</w:t>
            </w:r>
          </w:p>
        </w:tc>
        <w:tc>
          <w:tcPr>
            <w:tcW w:w="1496" w:type="pct"/>
            <w:tcBorders>
              <w:top w:val="nil"/>
              <w:left w:val="nil"/>
              <w:bottom w:val="single" w:color="000000" w:sz="12" w:space="0"/>
              <w:right w:val="nil"/>
            </w:tcBorders>
            <w:shd w:val="clear" w:color="auto" w:fill="auto"/>
          </w:tcPr>
          <w:p w14:paraId="1C1AEDD4">
            <w:pPr>
              <w:pStyle w:val="49"/>
              <w:ind w:firstLine="420"/>
            </w:pPr>
            <w:r>
              <w:t>Cement concrete</w:t>
            </w:r>
          </w:p>
        </w:tc>
        <w:tc>
          <w:tcPr>
            <w:tcW w:w="1150" w:type="pct"/>
            <w:tcBorders>
              <w:top w:val="nil"/>
              <w:left w:val="nil"/>
              <w:bottom w:val="single" w:color="000000" w:sz="12" w:space="0"/>
              <w:right w:val="nil"/>
            </w:tcBorders>
            <w:shd w:val="clear" w:color="auto" w:fill="auto"/>
            <w:vAlign w:val="center"/>
          </w:tcPr>
          <w:p w14:paraId="2F73922F">
            <w:pPr>
              <w:pStyle w:val="49"/>
              <w:ind w:firstLine="420"/>
            </w:pPr>
            <w:r>
              <w:t>38</w:t>
            </w:r>
          </w:p>
        </w:tc>
      </w:tr>
    </w:tbl>
    <w:p w14:paraId="4709DA1F">
      <w:pPr>
        <w:ind w:firstLine="0" w:firstLineChars="0"/>
        <w:rPr>
          <w:kern w:val="2"/>
          <w:szCs w:val="21"/>
        </w:rPr>
      </w:pPr>
    </w:p>
    <w:p w14:paraId="79398327">
      <w:pPr>
        <w:pStyle w:val="52"/>
      </w:pPr>
      <w:r>
        <w:t xml:space="preserve">Table </w:t>
      </w:r>
      <w:r>
        <w:rPr>
          <w:rFonts w:hint="eastAsia"/>
        </w:rPr>
        <w:t>S</w:t>
      </w:r>
      <w:r>
        <w:t>4.3</w:t>
      </w:r>
      <w:r>
        <w:rPr>
          <w:rFonts w:hint="eastAsia"/>
        </w:rPr>
        <w:t>.</w:t>
      </w:r>
      <w:r>
        <w:t xml:space="preserve"> Representative measured mechanical properties of surface layer materials</w:t>
      </w:r>
    </w:p>
    <w:tbl>
      <w:tblPr>
        <w:tblStyle w:val="16"/>
        <w:tblW w:w="5000" w:type="pct"/>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1052"/>
        <w:gridCol w:w="1420"/>
        <w:gridCol w:w="1821"/>
        <w:gridCol w:w="1432"/>
        <w:gridCol w:w="1787"/>
      </w:tblGrid>
      <w:tr w14:paraId="55D4DC4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PrEx>
        <w:tc>
          <w:tcPr>
            <w:tcW w:w="593" w:type="pct"/>
            <w:tcBorders>
              <w:top w:val="single" w:color="000000" w:sz="12" w:space="0"/>
              <w:left w:val="nil"/>
              <w:bottom w:val="single" w:color="000000" w:sz="12" w:space="0"/>
              <w:right w:val="nil"/>
            </w:tcBorders>
            <w:shd w:val="clear" w:color="auto" w:fill="auto"/>
            <w:vAlign w:val="center"/>
          </w:tcPr>
          <w:p w14:paraId="08B97C9B">
            <w:pPr>
              <w:pStyle w:val="49"/>
            </w:pPr>
            <w:r>
              <w:t>Core ID</w:t>
            </w:r>
          </w:p>
        </w:tc>
        <w:tc>
          <w:tcPr>
            <w:tcW w:w="617" w:type="pct"/>
            <w:tcBorders>
              <w:top w:val="single" w:color="000000" w:sz="12" w:space="0"/>
              <w:left w:val="nil"/>
              <w:bottom w:val="single" w:color="000000" w:sz="12" w:space="0"/>
              <w:right w:val="nil"/>
            </w:tcBorders>
            <w:shd w:val="clear" w:color="auto" w:fill="auto"/>
            <w:vAlign w:val="center"/>
          </w:tcPr>
          <w:p w14:paraId="60F18F9B">
            <w:pPr>
              <w:pStyle w:val="49"/>
            </w:pPr>
            <w:r>
              <w:t>Diameter (mm)</w:t>
            </w:r>
          </w:p>
        </w:tc>
        <w:tc>
          <w:tcPr>
            <w:tcW w:w="833" w:type="pct"/>
            <w:tcBorders>
              <w:top w:val="single" w:color="000000" w:sz="12" w:space="0"/>
              <w:left w:val="nil"/>
              <w:bottom w:val="single" w:color="000000" w:sz="12" w:space="0"/>
              <w:right w:val="nil"/>
            </w:tcBorders>
            <w:shd w:val="clear" w:color="auto" w:fill="auto"/>
            <w:vAlign w:val="center"/>
          </w:tcPr>
          <w:p w14:paraId="5510A927">
            <w:pPr>
              <w:pStyle w:val="49"/>
            </w:pPr>
            <w:r>
              <w:t>Failure load (kN)</w:t>
            </w:r>
          </w:p>
        </w:tc>
        <w:tc>
          <w:tcPr>
            <w:tcW w:w="1068" w:type="pct"/>
            <w:tcBorders>
              <w:top w:val="single" w:color="000000" w:sz="12" w:space="0"/>
              <w:left w:val="nil"/>
              <w:bottom w:val="single" w:color="000000" w:sz="12" w:space="0"/>
              <w:right w:val="nil"/>
            </w:tcBorders>
            <w:shd w:val="clear" w:color="auto" w:fill="auto"/>
            <w:vAlign w:val="center"/>
          </w:tcPr>
          <w:p w14:paraId="19D3E109">
            <w:pPr>
              <w:pStyle w:val="49"/>
            </w:pPr>
            <w:r>
              <w:t>Splitting tensile strength (MPa)</w:t>
            </w:r>
          </w:p>
        </w:tc>
        <w:tc>
          <w:tcPr>
            <w:tcW w:w="840" w:type="pct"/>
            <w:tcBorders>
              <w:top w:val="single" w:color="000000" w:sz="12" w:space="0"/>
              <w:left w:val="nil"/>
              <w:bottom w:val="single" w:color="000000" w:sz="12" w:space="0"/>
              <w:right w:val="nil"/>
            </w:tcBorders>
            <w:shd w:val="clear" w:color="auto" w:fill="auto"/>
            <w:vAlign w:val="center"/>
          </w:tcPr>
          <w:p w14:paraId="026480E5">
            <w:pPr>
              <w:pStyle w:val="49"/>
            </w:pPr>
            <w:r>
              <w:t>Flexural strength (MPa)</w:t>
            </w:r>
          </w:p>
        </w:tc>
        <w:tc>
          <w:tcPr>
            <w:tcW w:w="1048" w:type="pct"/>
            <w:tcBorders>
              <w:top w:val="single" w:color="000000" w:sz="12" w:space="0"/>
              <w:left w:val="nil"/>
              <w:bottom w:val="single" w:color="000000" w:sz="12" w:space="0"/>
              <w:right w:val="nil"/>
            </w:tcBorders>
            <w:shd w:val="clear" w:color="auto" w:fill="auto"/>
            <w:vAlign w:val="center"/>
          </w:tcPr>
          <w:p w14:paraId="514DC086">
            <w:pPr>
              <w:pStyle w:val="49"/>
            </w:pPr>
            <w:r>
              <w:t>Flexural modulus (GPa)</w:t>
            </w:r>
          </w:p>
        </w:tc>
      </w:tr>
      <w:tr w14:paraId="7DCEB66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593" w:type="pct"/>
            <w:tcBorders>
              <w:top w:val="single" w:color="000000" w:sz="12" w:space="0"/>
              <w:left w:val="nil"/>
              <w:bottom w:val="nil"/>
              <w:right w:val="nil"/>
            </w:tcBorders>
            <w:shd w:val="clear" w:color="auto" w:fill="auto"/>
            <w:vAlign w:val="center"/>
          </w:tcPr>
          <w:p w14:paraId="4CBB00F5">
            <w:pPr>
              <w:pStyle w:val="49"/>
            </w:pPr>
            <w:r>
              <w:t>Runway 1#</w:t>
            </w:r>
          </w:p>
        </w:tc>
        <w:tc>
          <w:tcPr>
            <w:tcW w:w="617" w:type="pct"/>
            <w:tcBorders>
              <w:top w:val="single" w:color="000000" w:sz="12" w:space="0"/>
              <w:left w:val="nil"/>
              <w:bottom w:val="nil"/>
              <w:right w:val="nil"/>
            </w:tcBorders>
            <w:shd w:val="clear" w:color="auto" w:fill="auto"/>
            <w:vAlign w:val="center"/>
          </w:tcPr>
          <w:p w14:paraId="039F218D">
            <w:pPr>
              <w:pStyle w:val="49"/>
            </w:pPr>
            <w:r>
              <w:t>150</w:t>
            </w:r>
          </w:p>
        </w:tc>
        <w:tc>
          <w:tcPr>
            <w:tcW w:w="833" w:type="pct"/>
            <w:tcBorders>
              <w:top w:val="single" w:color="000000" w:sz="12" w:space="0"/>
              <w:left w:val="nil"/>
              <w:bottom w:val="nil"/>
              <w:right w:val="nil"/>
            </w:tcBorders>
            <w:shd w:val="clear" w:color="auto" w:fill="auto"/>
            <w:vAlign w:val="center"/>
          </w:tcPr>
          <w:p w14:paraId="4BE76156">
            <w:pPr>
              <w:pStyle w:val="49"/>
            </w:pPr>
            <w:r>
              <w:t xml:space="preserve">227.41 </w:t>
            </w:r>
          </w:p>
        </w:tc>
        <w:tc>
          <w:tcPr>
            <w:tcW w:w="1068" w:type="pct"/>
            <w:tcBorders>
              <w:top w:val="single" w:color="000000" w:sz="12" w:space="0"/>
              <w:left w:val="nil"/>
              <w:bottom w:val="nil"/>
              <w:right w:val="nil"/>
            </w:tcBorders>
            <w:shd w:val="clear" w:color="auto" w:fill="auto"/>
            <w:vAlign w:val="center"/>
          </w:tcPr>
          <w:p w14:paraId="22203351">
            <w:pPr>
              <w:pStyle w:val="49"/>
            </w:pPr>
            <w:r>
              <w:t xml:space="preserve">4.76 </w:t>
            </w:r>
          </w:p>
        </w:tc>
        <w:tc>
          <w:tcPr>
            <w:tcW w:w="840" w:type="pct"/>
            <w:tcBorders>
              <w:top w:val="single" w:color="000000" w:sz="12" w:space="0"/>
              <w:left w:val="nil"/>
              <w:bottom w:val="nil"/>
              <w:right w:val="nil"/>
            </w:tcBorders>
            <w:shd w:val="clear" w:color="auto" w:fill="auto"/>
            <w:vAlign w:val="center"/>
          </w:tcPr>
          <w:p w14:paraId="72BF7EE9">
            <w:pPr>
              <w:pStyle w:val="49"/>
            </w:pPr>
            <w:r>
              <w:t xml:space="preserve">5.87 </w:t>
            </w:r>
          </w:p>
        </w:tc>
        <w:tc>
          <w:tcPr>
            <w:tcW w:w="1048" w:type="pct"/>
            <w:tcBorders>
              <w:top w:val="single" w:color="000000" w:sz="12" w:space="0"/>
              <w:left w:val="nil"/>
              <w:bottom w:val="nil"/>
              <w:right w:val="nil"/>
            </w:tcBorders>
            <w:shd w:val="clear" w:color="auto" w:fill="auto"/>
            <w:vAlign w:val="center"/>
          </w:tcPr>
          <w:p w14:paraId="144E5ED5">
            <w:pPr>
              <w:pStyle w:val="49"/>
            </w:pPr>
            <w:r>
              <w:t>39.4</w:t>
            </w:r>
          </w:p>
        </w:tc>
      </w:tr>
      <w:tr w14:paraId="495720A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593" w:type="pct"/>
            <w:tcBorders>
              <w:top w:val="nil"/>
              <w:left w:val="nil"/>
              <w:bottom w:val="single" w:color="000000" w:sz="12" w:space="0"/>
              <w:right w:val="nil"/>
            </w:tcBorders>
            <w:shd w:val="clear" w:color="auto" w:fill="auto"/>
          </w:tcPr>
          <w:p w14:paraId="368DFCE4">
            <w:pPr>
              <w:pStyle w:val="49"/>
            </w:pPr>
            <w:r>
              <w:t>Apron 67#</w:t>
            </w:r>
          </w:p>
        </w:tc>
        <w:tc>
          <w:tcPr>
            <w:tcW w:w="617" w:type="pct"/>
            <w:tcBorders>
              <w:top w:val="nil"/>
              <w:left w:val="nil"/>
              <w:bottom w:val="single" w:color="000000" w:sz="12" w:space="0"/>
              <w:right w:val="nil"/>
            </w:tcBorders>
            <w:shd w:val="clear" w:color="auto" w:fill="auto"/>
          </w:tcPr>
          <w:p w14:paraId="11DB4F7B">
            <w:pPr>
              <w:pStyle w:val="49"/>
            </w:pPr>
            <w:r>
              <w:t>150</w:t>
            </w:r>
          </w:p>
        </w:tc>
        <w:tc>
          <w:tcPr>
            <w:tcW w:w="833" w:type="pct"/>
            <w:tcBorders>
              <w:top w:val="nil"/>
              <w:left w:val="nil"/>
              <w:bottom w:val="single" w:color="000000" w:sz="12" w:space="0"/>
              <w:right w:val="nil"/>
            </w:tcBorders>
            <w:shd w:val="clear" w:color="auto" w:fill="auto"/>
          </w:tcPr>
          <w:p w14:paraId="4BDED550">
            <w:pPr>
              <w:pStyle w:val="49"/>
            </w:pPr>
            <w:r>
              <w:t>119.54</w:t>
            </w:r>
          </w:p>
        </w:tc>
        <w:tc>
          <w:tcPr>
            <w:tcW w:w="1068" w:type="pct"/>
            <w:tcBorders>
              <w:top w:val="nil"/>
              <w:left w:val="nil"/>
              <w:bottom w:val="single" w:color="000000" w:sz="12" w:space="0"/>
              <w:right w:val="nil"/>
            </w:tcBorders>
            <w:shd w:val="clear" w:color="auto" w:fill="auto"/>
          </w:tcPr>
          <w:p w14:paraId="35225BBD">
            <w:pPr>
              <w:pStyle w:val="49"/>
            </w:pPr>
            <w:r>
              <w:t>3.38</w:t>
            </w:r>
          </w:p>
        </w:tc>
        <w:tc>
          <w:tcPr>
            <w:tcW w:w="840" w:type="pct"/>
            <w:tcBorders>
              <w:top w:val="nil"/>
              <w:left w:val="nil"/>
              <w:bottom w:val="single" w:color="000000" w:sz="12" w:space="0"/>
              <w:right w:val="nil"/>
            </w:tcBorders>
            <w:shd w:val="clear" w:color="auto" w:fill="auto"/>
          </w:tcPr>
          <w:p w14:paraId="4B05EF01">
            <w:pPr>
              <w:pStyle w:val="49"/>
            </w:pPr>
            <w:r>
              <w:t>4.3</w:t>
            </w:r>
          </w:p>
        </w:tc>
        <w:tc>
          <w:tcPr>
            <w:tcW w:w="1048" w:type="pct"/>
            <w:tcBorders>
              <w:top w:val="nil"/>
              <w:left w:val="nil"/>
              <w:bottom w:val="single" w:color="000000" w:sz="12" w:space="0"/>
              <w:right w:val="nil"/>
            </w:tcBorders>
            <w:shd w:val="clear" w:color="auto" w:fill="auto"/>
          </w:tcPr>
          <w:p w14:paraId="4A1E9394">
            <w:pPr>
              <w:pStyle w:val="49"/>
            </w:pPr>
            <w:r>
              <w:t>37.3</w:t>
            </w:r>
          </w:p>
        </w:tc>
      </w:tr>
    </w:tbl>
    <w:p w14:paraId="4D96429F">
      <w:pPr>
        <w:ind w:firstLine="420"/>
        <w:rPr>
          <w:szCs w:val="24"/>
        </w:rPr>
      </w:pPr>
      <w:r>
        <w:rPr>
          <w:szCs w:val="24"/>
          <w:lang w:bidi="ar"/>
        </w:rPr>
        <w:t xml:space="preserve"> </w:t>
      </w:r>
    </w:p>
    <w:p w14:paraId="2FD7A961">
      <w:pPr>
        <w:pStyle w:val="42"/>
        <w:numPr>
          <w:ilvl w:val="0"/>
          <w:numId w:val="3"/>
        </w:numPr>
        <w:ind w:left="420" w:leftChars="200"/>
        <w:rPr>
          <w:szCs w:val="24"/>
        </w:rPr>
      </w:pPr>
      <w:r>
        <w:rPr>
          <w:szCs w:val="24"/>
        </w:rPr>
        <w:t>Base layer structural configuration and mechanical properties</w:t>
      </w:r>
    </w:p>
    <w:p w14:paraId="23E0C9B2">
      <w:pPr>
        <w:ind w:firstLine="420"/>
        <w:rPr>
          <w:szCs w:val="24"/>
        </w:rPr>
      </w:pPr>
      <w:r>
        <w:rPr>
          <w:szCs w:val="24"/>
          <w:lang w:bidi="ar"/>
        </w:rPr>
        <w:t>The base layer transfers and distributes pavement loads. Its representation includes structural configuration and mechanical properties.</w:t>
      </w:r>
    </w:p>
    <w:p w14:paraId="7ED11096">
      <w:pPr>
        <w:ind w:firstLine="420"/>
        <w:rPr>
          <w:szCs w:val="24"/>
        </w:rPr>
      </w:pPr>
      <w:r>
        <w:rPr>
          <w:szCs w:val="24"/>
        </w:rPr>
        <w:t xml:space="preserve">(a) Structural configuration and thickness. The base material across the movement area consists of cement-stabilized crushed stone. Representative thickness values for selected functional zones are provided in Table </w:t>
      </w:r>
      <w:r>
        <w:rPr>
          <w:rFonts w:hint="eastAsia"/>
          <w:szCs w:val="24"/>
        </w:rPr>
        <w:t>S</w:t>
      </w:r>
      <w:r>
        <w:rPr>
          <w:szCs w:val="24"/>
        </w:rPr>
        <w:t>4.4 (anonymized for confidentiality).</w:t>
      </w:r>
    </w:p>
    <w:p w14:paraId="55566886">
      <w:pPr>
        <w:ind w:firstLine="420"/>
        <w:rPr>
          <w:szCs w:val="24"/>
          <w:lang w:bidi="ar"/>
        </w:rPr>
      </w:pPr>
      <w:r>
        <w:rPr>
          <w:szCs w:val="24"/>
          <w:lang w:bidi="ar"/>
        </w:rPr>
        <w:t>(b) Mechanical properties</w:t>
      </w:r>
    </w:p>
    <w:p w14:paraId="40643F1F">
      <w:pPr>
        <w:ind w:firstLine="420"/>
        <w:rPr>
          <w:szCs w:val="24"/>
          <w:lang w:bidi="ar"/>
        </w:rPr>
      </w:pPr>
      <w:r>
        <w:rPr>
          <w:szCs w:val="24"/>
          <w:lang w:bidi="ar"/>
        </w:rPr>
        <w:t>In-situ testing of base-layer elastic modulus for operating pavements is limited in practice. Parameter calibration was therefore conducted in accordance with Design of Civil Airport Cement Concrete Pavements (MH/T 5004–2025) and Design of Civil Airport Asphalt Pavements (MH/T 5010–2025)</w:t>
      </w:r>
    </w:p>
    <w:p w14:paraId="1B7A355C">
      <w:pPr>
        <w:ind w:firstLine="420"/>
        <w:rPr>
          <w:rFonts w:ascii="宋体" w:hAnsi="宋体" w:cs="宋体"/>
          <w:szCs w:val="24"/>
          <w:lang w:bidi="ar"/>
        </w:rPr>
      </w:pPr>
      <w:r>
        <w:rPr>
          <w:szCs w:val="24"/>
          <w:lang w:bidi="ar"/>
        </w:rPr>
        <w:t xml:space="preserve">Representative elastic modulus ranges were assigned for different functional zones to reflect structural design levels and service conditions. The adopted values are summarized in Table </w:t>
      </w:r>
      <w:r>
        <w:rPr>
          <w:rFonts w:hint="eastAsia"/>
          <w:szCs w:val="24"/>
          <w:lang w:bidi="ar"/>
        </w:rPr>
        <w:t>S</w:t>
      </w:r>
      <w:r>
        <w:rPr>
          <w:szCs w:val="24"/>
          <w:lang w:bidi="ar"/>
        </w:rPr>
        <w:t>4.5.</w:t>
      </w:r>
    </w:p>
    <w:p w14:paraId="2B535B4A">
      <w:pPr>
        <w:pStyle w:val="52"/>
      </w:pPr>
      <w:r>
        <w:t xml:space="preserve">Table </w:t>
      </w:r>
      <w:r>
        <w:rPr>
          <w:rFonts w:hint="eastAsia"/>
        </w:rPr>
        <w:t>S</w:t>
      </w:r>
      <w:r>
        <w:t>4.4</w:t>
      </w:r>
      <w:r>
        <w:rPr>
          <w:rFonts w:hint="eastAsia"/>
        </w:rPr>
        <w:t>.</w:t>
      </w:r>
      <w:r>
        <w:t xml:space="preserve"> Representative base layer material and thickness</w:t>
      </w:r>
    </w:p>
    <w:tbl>
      <w:tblPr>
        <w:tblStyle w:val="16"/>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8"/>
        <w:gridCol w:w="2422"/>
        <w:gridCol w:w="3477"/>
      </w:tblGrid>
      <w:tr w14:paraId="1EC80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tcBorders>
              <w:top w:val="single" w:color="000000" w:sz="12" w:space="0"/>
              <w:left w:val="nil"/>
              <w:bottom w:val="single" w:color="000000" w:sz="12" w:space="0"/>
              <w:right w:val="nil"/>
            </w:tcBorders>
            <w:shd w:val="clear" w:color="auto" w:fill="auto"/>
            <w:vAlign w:val="center"/>
          </w:tcPr>
          <w:p w14:paraId="57A76E3A">
            <w:pPr>
              <w:pStyle w:val="49"/>
            </w:pPr>
            <w:r>
              <w:t>Location</w:t>
            </w:r>
          </w:p>
        </w:tc>
        <w:tc>
          <w:tcPr>
            <w:tcW w:w="2422" w:type="dxa"/>
            <w:tcBorders>
              <w:top w:val="single" w:color="000000" w:sz="12" w:space="0"/>
              <w:left w:val="nil"/>
              <w:bottom w:val="single" w:color="000000" w:sz="12" w:space="0"/>
              <w:right w:val="nil"/>
            </w:tcBorders>
            <w:shd w:val="clear" w:color="auto" w:fill="auto"/>
            <w:vAlign w:val="center"/>
          </w:tcPr>
          <w:p w14:paraId="189A9FFD">
            <w:pPr>
              <w:pStyle w:val="49"/>
            </w:pPr>
            <w:r>
              <w:t>Base material</w:t>
            </w:r>
          </w:p>
        </w:tc>
        <w:tc>
          <w:tcPr>
            <w:tcW w:w="3477" w:type="dxa"/>
            <w:tcBorders>
              <w:top w:val="single" w:color="000000" w:sz="12" w:space="0"/>
              <w:left w:val="nil"/>
              <w:bottom w:val="single" w:color="000000" w:sz="12" w:space="0"/>
              <w:right w:val="nil"/>
            </w:tcBorders>
            <w:shd w:val="clear" w:color="auto" w:fill="auto"/>
            <w:vAlign w:val="center"/>
          </w:tcPr>
          <w:p w14:paraId="7092D12C">
            <w:pPr>
              <w:pStyle w:val="49"/>
            </w:pPr>
            <w:r>
              <w:t>Thickness</w:t>
            </w:r>
            <w:r>
              <w:rPr>
                <w:rFonts w:hint="eastAsia"/>
              </w:rPr>
              <w:t>（</w:t>
            </w:r>
            <w:r>
              <w:t>cm</w:t>
            </w:r>
            <w:r>
              <w:rPr>
                <w:rFonts w:hint="eastAsia"/>
              </w:rPr>
              <w:t>）</w:t>
            </w:r>
          </w:p>
        </w:tc>
      </w:tr>
      <w:tr w14:paraId="3FE66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tcBorders>
              <w:top w:val="single" w:color="000000" w:sz="12" w:space="0"/>
              <w:left w:val="nil"/>
              <w:bottom w:val="nil"/>
              <w:right w:val="nil"/>
            </w:tcBorders>
            <w:shd w:val="clear" w:color="auto" w:fill="auto"/>
            <w:vAlign w:val="center"/>
          </w:tcPr>
          <w:p w14:paraId="34C07622">
            <w:pPr>
              <w:pStyle w:val="49"/>
            </w:pPr>
            <w:r>
              <w:t>Taxiway–bypass connection</w:t>
            </w:r>
          </w:p>
        </w:tc>
        <w:tc>
          <w:tcPr>
            <w:tcW w:w="2422" w:type="dxa"/>
            <w:tcBorders>
              <w:top w:val="single" w:color="000000" w:sz="12" w:space="0"/>
              <w:left w:val="nil"/>
              <w:bottom w:val="nil"/>
              <w:right w:val="nil"/>
            </w:tcBorders>
            <w:shd w:val="clear" w:color="auto" w:fill="auto"/>
            <w:vAlign w:val="center"/>
          </w:tcPr>
          <w:p w14:paraId="01B7E50B">
            <w:pPr>
              <w:pStyle w:val="49"/>
            </w:pPr>
            <w:r>
              <w:t>Cement-stabilized crushed stone</w:t>
            </w:r>
          </w:p>
        </w:tc>
        <w:tc>
          <w:tcPr>
            <w:tcW w:w="3477" w:type="dxa"/>
            <w:tcBorders>
              <w:top w:val="single" w:color="000000" w:sz="12" w:space="0"/>
              <w:left w:val="nil"/>
              <w:bottom w:val="nil"/>
              <w:right w:val="nil"/>
            </w:tcBorders>
            <w:shd w:val="clear" w:color="auto" w:fill="auto"/>
            <w:vAlign w:val="center"/>
          </w:tcPr>
          <w:p w14:paraId="4D9F4529">
            <w:pPr>
              <w:pStyle w:val="49"/>
            </w:pPr>
            <w:r>
              <w:t>36</w:t>
            </w:r>
          </w:p>
        </w:tc>
      </w:tr>
      <w:tr w14:paraId="7711D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tcBorders>
              <w:top w:val="nil"/>
              <w:left w:val="nil"/>
              <w:bottom w:val="single" w:color="000000" w:sz="12" w:space="0"/>
              <w:right w:val="nil"/>
            </w:tcBorders>
            <w:shd w:val="clear" w:color="auto" w:fill="auto"/>
            <w:vAlign w:val="center"/>
          </w:tcPr>
          <w:p w14:paraId="06D59622">
            <w:pPr>
              <w:pStyle w:val="49"/>
            </w:pPr>
            <w:r>
              <w:t>Apron zone</w:t>
            </w:r>
          </w:p>
        </w:tc>
        <w:tc>
          <w:tcPr>
            <w:tcW w:w="2422" w:type="dxa"/>
            <w:tcBorders>
              <w:top w:val="nil"/>
              <w:left w:val="nil"/>
              <w:bottom w:val="single" w:color="000000" w:sz="12" w:space="0"/>
              <w:right w:val="nil"/>
            </w:tcBorders>
            <w:shd w:val="clear" w:color="auto" w:fill="auto"/>
            <w:vAlign w:val="center"/>
          </w:tcPr>
          <w:p w14:paraId="71D54872">
            <w:pPr>
              <w:pStyle w:val="49"/>
            </w:pPr>
            <w:r>
              <w:t>Cement-stabilized crushed stone</w:t>
            </w:r>
          </w:p>
        </w:tc>
        <w:tc>
          <w:tcPr>
            <w:tcW w:w="3477" w:type="dxa"/>
            <w:tcBorders>
              <w:top w:val="nil"/>
              <w:left w:val="nil"/>
              <w:bottom w:val="single" w:color="000000" w:sz="12" w:space="0"/>
              <w:right w:val="nil"/>
            </w:tcBorders>
            <w:shd w:val="clear" w:color="auto" w:fill="auto"/>
            <w:vAlign w:val="center"/>
          </w:tcPr>
          <w:p w14:paraId="2A6CAA4F">
            <w:pPr>
              <w:pStyle w:val="49"/>
            </w:pPr>
            <w:r>
              <w:t>46</w:t>
            </w:r>
          </w:p>
        </w:tc>
      </w:tr>
    </w:tbl>
    <w:p w14:paraId="7A0CFD3D">
      <w:pPr>
        <w:ind w:firstLine="420"/>
        <w:jc w:val="center"/>
        <w:rPr>
          <w:kern w:val="2"/>
          <w:szCs w:val="21"/>
        </w:rPr>
      </w:pPr>
    </w:p>
    <w:p w14:paraId="6157D57B">
      <w:pPr>
        <w:ind w:firstLine="420"/>
        <w:jc w:val="center"/>
        <w:rPr>
          <w:kern w:val="2"/>
          <w:szCs w:val="21"/>
        </w:rPr>
      </w:pPr>
      <w:r>
        <w:rPr>
          <w:kern w:val="2"/>
          <w:szCs w:val="21"/>
        </w:rPr>
        <w:t xml:space="preserve">Table </w:t>
      </w:r>
      <w:r>
        <w:rPr>
          <w:rFonts w:hint="eastAsia"/>
          <w:kern w:val="2"/>
          <w:szCs w:val="21"/>
        </w:rPr>
        <w:t>S</w:t>
      </w:r>
      <w:r>
        <w:rPr>
          <w:kern w:val="2"/>
          <w:szCs w:val="21"/>
        </w:rPr>
        <w:t>4.5</w:t>
      </w:r>
      <w:r>
        <w:rPr>
          <w:rFonts w:hint="eastAsia"/>
          <w:kern w:val="2"/>
          <w:szCs w:val="21"/>
          <w:lang w:val="en-US" w:eastAsia="zh-CN"/>
        </w:rPr>
        <w:t>.</w:t>
      </w:r>
      <w:r>
        <w:rPr>
          <w:kern w:val="2"/>
          <w:szCs w:val="21"/>
        </w:rPr>
        <w:t xml:space="preserve"> Representative elastic modulus ranges for base layer materials</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561B5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000000" w:sz="12" w:space="0"/>
              <w:left w:val="nil"/>
              <w:bottom w:val="single" w:color="000000" w:sz="12" w:space="0"/>
              <w:right w:val="nil"/>
            </w:tcBorders>
            <w:shd w:val="clear" w:color="auto" w:fill="auto"/>
          </w:tcPr>
          <w:p w14:paraId="6ACC6FED">
            <w:pPr>
              <w:pStyle w:val="49"/>
              <w:ind w:firstLine="420"/>
            </w:pPr>
            <w:r>
              <w:t>Functional zone</w:t>
            </w:r>
          </w:p>
        </w:tc>
        <w:tc>
          <w:tcPr>
            <w:tcW w:w="4261" w:type="dxa"/>
            <w:tcBorders>
              <w:top w:val="single" w:color="000000" w:sz="12" w:space="0"/>
              <w:left w:val="nil"/>
              <w:bottom w:val="single" w:color="000000" w:sz="12" w:space="0"/>
              <w:right w:val="nil"/>
            </w:tcBorders>
            <w:shd w:val="clear" w:color="auto" w:fill="auto"/>
          </w:tcPr>
          <w:p w14:paraId="5034EA0C">
            <w:pPr>
              <w:pStyle w:val="49"/>
              <w:ind w:firstLine="420"/>
            </w:pPr>
            <w:r>
              <w:t>Elastic modulus (MPa)</w:t>
            </w:r>
          </w:p>
        </w:tc>
      </w:tr>
      <w:tr w14:paraId="42353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000000" w:sz="12" w:space="0"/>
              <w:left w:val="nil"/>
              <w:bottom w:val="nil"/>
              <w:right w:val="nil"/>
            </w:tcBorders>
            <w:shd w:val="clear" w:color="auto" w:fill="auto"/>
          </w:tcPr>
          <w:p w14:paraId="2031C434">
            <w:pPr>
              <w:pStyle w:val="49"/>
              <w:ind w:firstLine="420"/>
            </w:pPr>
            <w:r>
              <w:t>Runway</w:t>
            </w:r>
          </w:p>
        </w:tc>
        <w:tc>
          <w:tcPr>
            <w:tcW w:w="4261" w:type="dxa"/>
            <w:tcBorders>
              <w:top w:val="single" w:color="000000" w:sz="12" w:space="0"/>
              <w:left w:val="nil"/>
              <w:bottom w:val="nil"/>
              <w:right w:val="nil"/>
            </w:tcBorders>
            <w:shd w:val="clear" w:color="auto" w:fill="auto"/>
          </w:tcPr>
          <w:p w14:paraId="63F8A6F1">
            <w:pPr>
              <w:pStyle w:val="49"/>
              <w:ind w:firstLine="420"/>
            </w:pPr>
            <w:r>
              <w:t>2600~3000</w:t>
            </w:r>
          </w:p>
        </w:tc>
      </w:tr>
      <w:tr w14:paraId="1A43A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nil"/>
              <w:left w:val="nil"/>
              <w:bottom w:val="nil"/>
              <w:right w:val="nil"/>
            </w:tcBorders>
            <w:shd w:val="clear" w:color="auto" w:fill="auto"/>
          </w:tcPr>
          <w:p w14:paraId="60520C03">
            <w:pPr>
              <w:pStyle w:val="49"/>
              <w:ind w:firstLine="420"/>
            </w:pPr>
            <w:r>
              <w:t>Taxiway</w:t>
            </w:r>
          </w:p>
        </w:tc>
        <w:tc>
          <w:tcPr>
            <w:tcW w:w="4261" w:type="dxa"/>
            <w:tcBorders>
              <w:top w:val="nil"/>
              <w:left w:val="nil"/>
              <w:bottom w:val="nil"/>
              <w:right w:val="nil"/>
            </w:tcBorders>
            <w:shd w:val="clear" w:color="auto" w:fill="auto"/>
          </w:tcPr>
          <w:p w14:paraId="2512EA17">
            <w:pPr>
              <w:pStyle w:val="49"/>
              <w:ind w:firstLine="420"/>
            </w:pPr>
            <w:r>
              <w:t>2400~2800</w:t>
            </w:r>
          </w:p>
        </w:tc>
      </w:tr>
      <w:tr w14:paraId="479B8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nil"/>
              <w:left w:val="nil"/>
              <w:bottom w:val="nil"/>
              <w:right w:val="nil"/>
            </w:tcBorders>
            <w:shd w:val="clear" w:color="auto" w:fill="auto"/>
          </w:tcPr>
          <w:p w14:paraId="31C74118">
            <w:pPr>
              <w:pStyle w:val="49"/>
              <w:ind w:firstLine="420"/>
            </w:pPr>
            <w:r>
              <w:t>Apron</w:t>
            </w:r>
          </w:p>
        </w:tc>
        <w:tc>
          <w:tcPr>
            <w:tcW w:w="4261" w:type="dxa"/>
            <w:tcBorders>
              <w:top w:val="nil"/>
              <w:left w:val="nil"/>
              <w:bottom w:val="nil"/>
              <w:right w:val="nil"/>
            </w:tcBorders>
            <w:shd w:val="clear" w:color="auto" w:fill="auto"/>
          </w:tcPr>
          <w:p w14:paraId="66B40D66">
            <w:pPr>
              <w:pStyle w:val="49"/>
              <w:ind w:firstLine="420"/>
            </w:pPr>
            <w:r>
              <w:t>2200~2600</w:t>
            </w:r>
          </w:p>
        </w:tc>
      </w:tr>
      <w:tr w14:paraId="599AC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nil"/>
              <w:left w:val="nil"/>
              <w:bottom w:val="single" w:color="000000" w:sz="12" w:space="0"/>
              <w:right w:val="nil"/>
            </w:tcBorders>
            <w:shd w:val="clear" w:color="auto" w:fill="auto"/>
          </w:tcPr>
          <w:p w14:paraId="339D0F69">
            <w:pPr>
              <w:pStyle w:val="49"/>
              <w:ind w:firstLine="420"/>
            </w:pPr>
            <w:r>
              <w:t>Other zones</w:t>
            </w:r>
          </w:p>
        </w:tc>
        <w:tc>
          <w:tcPr>
            <w:tcW w:w="4261" w:type="dxa"/>
            <w:tcBorders>
              <w:top w:val="nil"/>
              <w:left w:val="nil"/>
              <w:bottom w:val="single" w:color="000000" w:sz="12" w:space="0"/>
              <w:right w:val="nil"/>
            </w:tcBorders>
            <w:shd w:val="clear" w:color="auto" w:fill="auto"/>
          </w:tcPr>
          <w:p w14:paraId="6FC5E915">
            <w:pPr>
              <w:pStyle w:val="49"/>
              <w:ind w:firstLine="420"/>
            </w:pPr>
            <w:r>
              <w:t>2000~2400</w:t>
            </w:r>
          </w:p>
        </w:tc>
      </w:tr>
    </w:tbl>
    <w:p w14:paraId="2E1A7DCE">
      <w:pPr>
        <w:ind w:firstLine="0" w:firstLineChars="0"/>
        <w:rPr>
          <w:rFonts w:ascii="宋体" w:hAnsi="宋体" w:cs="宋体"/>
          <w:szCs w:val="24"/>
          <w:lang w:bidi="ar"/>
        </w:rPr>
      </w:pPr>
    </w:p>
    <w:p w14:paraId="39D3799B">
      <w:pPr>
        <w:pStyle w:val="42"/>
        <w:numPr>
          <w:ilvl w:val="0"/>
          <w:numId w:val="3"/>
        </w:numPr>
        <w:ind w:left="420" w:leftChars="200"/>
        <w:rPr>
          <w:szCs w:val="24"/>
        </w:rPr>
      </w:pPr>
      <w:r>
        <w:rPr>
          <w:szCs w:val="24"/>
        </w:rPr>
        <w:t>Subgrade support characteristics and modulus of subgrade reaction</w:t>
      </w:r>
    </w:p>
    <w:p w14:paraId="4B44CB69">
      <w:pPr>
        <w:ind w:firstLine="420"/>
        <w:rPr>
          <w:szCs w:val="24"/>
        </w:rPr>
      </w:pPr>
      <w:r>
        <w:rPr>
          <w:szCs w:val="24"/>
        </w:rPr>
        <w:t>In the aircraft–pavement coupled dynamic model, the modulus of subgrade reaction (k-value) governs the vertical support stiffness of the pavement system and directly influences structural deformation under wheel loading. Field measurements typically provide the composite reaction modulus at the top of the base layer, rather than the intrinsic subgrade modulus required as a model input. Therefore, a standardized back-calculation procedure was adopted to derive the subgrade parameters.</w:t>
      </w:r>
    </w:p>
    <w:p w14:paraId="69563FB0">
      <w:pPr>
        <w:ind w:firstLine="420"/>
        <w:rPr>
          <w:szCs w:val="24"/>
        </w:rPr>
      </w:pPr>
      <w:r>
        <w:rPr>
          <w:szCs w:val="24"/>
        </w:rPr>
        <w:t>(a) Field measurements</w:t>
      </w:r>
    </w:p>
    <w:p w14:paraId="4BC13DBF">
      <w:pPr>
        <w:ind w:firstLine="420"/>
        <w:rPr>
          <w:szCs w:val="24"/>
        </w:rPr>
      </w:pPr>
      <w:r>
        <w:rPr>
          <w:szCs w:val="24"/>
        </w:rPr>
        <w:t xml:space="preserve">Measured reaction moduli at the top of the base layer were extracted from the official pavement inspection report for different functional zones of the airfield. These values represent the combined structural stiffness of the base and subgrade system. Owing to data confidentiality requirements, only anonymized representative measurements are presented (Table </w:t>
      </w:r>
      <w:r>
        <w:rPr>
          <w:rFonts w:hint="eastAsia"/>
          <w:szCs w:val="24"/>
        </w:rPr>
        <w:t>S</w:t>
      </w:r>
      <w:r>
        <w:rPr>
          <w:szCs w:val="24"/>
        </w:rPr>
        <w:t>4.6).</w:t>
      </w:r>
    </w:p>
    <w:p w14:paraId="1E715DA1">
      <w:pPr>
        <w:ind w:firstLine="420"/>
        <w:rPr>
          <w:szCs w:val="24"/>
        </w:rPr>
      </w:pPr>
      <w:r>
        <w:rPr>
          <w:szCs w:val="24"/>
        </w:rPr>
        <w:t>(b) Standardized parameter back-calculation</w:t>
      </w:r>
    </w:p>
    <w:p w14:paraId="45BCFF0C">
      <w:pPr>
        <w:ind w:firstLine="420"/>
        <w:rPr>
          <w:szCs w:val="24"/>
        </w:rPr>
      </w:pPr>
      <w:r>
        <w:rPr>
          <w:szCs w:val="24"/>
        </w:rPr>
        <w:t>To obtain the subgrade reaction modulus for model implementation, we followed the conversion methodology specified in the Code for Design of Civil Airport Cement Concrete Pavement (MH/T 5004–2025). The nomographic relationship between surface modulus, base thickness, and subgrade modulus (Fig.</w:t>
      </w:r>
      <w:r>
        <w:rPr>
          <w:rFonts w:hint="eastAsia"/>
          <w:szCs w:val="24"/>
        </w:rPr>
        <w:t>S</w:t>
      </w:r>
      <w:r>
        <w:rPr>
          <w:szCs w:val="24"/>
        </w:rPr>
        <w:t>4.3) was used to remove the structural contribution of the base layer and isolate the intrinsic subgrade stiffness.</w:t>
      </w:r>
    </w:p>
    <w:p w14:paraId="15635B70">
      <w:pPr>
        <w:ind w:firstLine="420"/>
        <w:rPr>
          <w:szCs w:val="24"/>
        </w:rPr>
      </w:pPr>
      <w:r>
        <w:rPr>
          <w:szCs w:val="24"/>
        </w:rPr>
        <w:t xml:space="preserve">The resulting subgrade reaction moduli for representative zones are reported in Table </w:t>
      </w:r>
      <w:r>
        <w:rPr>
          <w:rFonts w:hint="eastAsia"/>
          <w:szCs w:val="24"/>
        </w:rPr>
        <w:t>S</w:t>
      </w:r>
      <w:r>
        <w:rPr>
          <w:szCs w:val="24"/>
        </w:rPr>
        <w:t>4.7 (anonymized). These calibrated values were subsequently incorporated into the finite-element representation of the runway foundation.</w:t>
      </w:r>
    </w:p>
    <w:p w14:paraId="7B2A3185">
      <w:pPr>
        <w:ind w:firstLine="420"/>
        <w:jc w:val="center"/>
        <w:rPr>
          <w:kern w:val="2"/>
          <w:szCs w:val="21"/>
        </w:rPr>
      </w:pPr>
      <w:r>
        <w:rPr>
          <w:kern w:val="2"/>
          <w:szCs w:val="21"/>
        </w:rPr>
        <w:t xml:space="preserve">Table </w:t>
      </w:r>
      <w:r>
        <w:rPr>
          <w:rFonts w:hint="eastAsia"/>
          <w:kern w:val="2"/>
          <w:szCs w:val="21"/>
        </w:rPr>
        <w:t>S</w:t>
      </w:r>
      <w:r>
        <w:rPr>
          <w:kern w:val="2"/>
          <w:szCs w:val="21"/>
        </w:rPr>
        <w:t>4.6</w:t>
      </w:r>
      <w:r>
        <w:rPr>
          <w:rFonts w:hint="eastAsia"/>
          <w:kern w:val="2"/>
          <w:szCs w:val="21"/>
        </w:rPr>
        <w:t>.</w:t>
      </w:r>
      <w:r>
        <w:rPr>
          <w:kern w:val="2"/>
          <w:szCs w:val="21"/>
        </w:rPr>
        <w:t xml:space="preserve"> Measured reaction modulus at the top of the base layer</w:t>
      </w:r>
    </w:p>
    <w:tbl>
      <w:tblPr>
        <w:tblStyle w:val="15"/>
        <w:tblW w:w="4980" w:type="pct"/>
        <w:jc w:val="center"/>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Layout w:type="autofit"/>
        <w:tblCellMar>
          <w:top w:w="0" w:type="dxa"/>
          <w:left w:w="0" w:type="dxa"/>
          <w:bottom w:w="0" w:type="dxa"/>
          <w:right w:w="0" w:type="dxa"/>
        </w:tblCellMar>
      </w:tblPr>
      <w:tblGrid>
        <w:gridCol w:w="3980"/>
        <w:gridCol w:w="4293"/>
      </w:tblGrid>
      <w:tr w14:paraId="144649D0">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12" w:hRule="atLeast"/>
          <w:jc w:val="center"/>
        </w:trPr>
        <w:tc>
          <w:tcPr>
            <w:tcW w:w="3980" w:type="dxa"/>
            <w:tcBorders>
              <w:top w:val="single" w:color="000000" w:sz="12" w:space="0"/>
              <w:left w:val="nil"/>
              <w:bottom w:val="single" w:color="000000" w:sz="12" w:space="0"/>
              <w:right w:val="nil"/>
            </w:tcBorders>
            <w:shd w:val="clear" w:color="auto" w:fill="auto"/>
            <w:vAlign w:val="center"/>
          </w:tcPr>
          <w:p w14:paraId="5CE746C5">
            <w:pPr>
              <w:pStyle w:val="49"/>
              <w:ind w:firstLine="420"/>
            </w:pPr>
            <w:r>
              <w:t>Zone</w:t>
            </w:r>
          </w:p>
        </w:tc>
        <w:tc>
          <w:tcPr>
            <w:tcW w:w="4293" w:type="dxa"/>
            <w:tcBorders>
              <w:top w:val="single" w:color="000000" w:sz="12" w:space="0"/>
              <w:left w:val="nil"/>
              <w:bottom w:val="single" w:color="000000" w:sz="12" w:space="0"/>
              <w:right w:val="nil"/>
            </w:tcBorders>
            <w:shd w:val="clear" w:color="auto" w:fill="auto"/>
            <w:vAlign w:val="center"/>
          </w:tcPr>
          <w:p w14:paraId="4026B14D">
            <w:pPr>
              <w:pStyle w:val="49"/>
              <w:ind w:firstLine="420"/>
            </w:pPr>
            <w:r>
              <w:t>Base-top reaction modulus</w:t>
            </w:r>
            <w:r>
              <w:rPr>
                <w:rFonts w:hint="eastAsia"/>
              </w:rPr>
              <w:t>（</w:t>
            </w:r>
            <w:r>
              <w:t>MN/m</w:t>
            </w:r>
            <w:r>
              <w:rPr>
                <w:vertAlign w:val="superscript"/>
              </w:rPr>
              <w:t>3</w:t>
            </w:r>
            <w:r>
              <w:rPr>
                <w:rFonts w:hint="eastAsia"/>
              </w:rPr>
              <w:t>）</w:t>
            </w:r>
          </w:p>
        </w:tc>
      </w:tr>
      <w:tr w14:paraId="3064A17A">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single" w:color="000000" w:sz="12" w:space="0"/>
              <w:left w:val="nil"/>
              <w:bottom w:val="nil"/>
              <w:right w:val="nil"/>
            </w:tcBorders>
            <w:shd w:val="clear" w:color="auto" w:fill="auto"/>
            <w:vAlign w:val="center"/>
          </w:tcPr>
          <w:p w14:paraId="785CF4ED">
            <w:pPr>
              <w:pStyle w:val="49"/>
              <w:ind w:firstLine="420"/>
            </w:pPr>
            <w:r>
              <w:t>Runway segment A</w:t>
            </w:r>
          </w:p>
        </w:tc>
        <w:tc>
          <w:tcPr>
            <w:tcW w:w="4293" w:type="dxa"/>
            <w:tcBorders>
              <w:top w:val="single" w:color="000000" w:sz="12" w:space="0"/>
              <w:left w:val="nil"/>
              <w:bottom w:val="nil"/>
              <w:right w:val="nil"/>
            </w:tcBorders>
            <w:shd w:val="clear" w:color="auto" w:fill="auto"/>
            <w:vAlign w:val="center"/>
          </w:tcPr>
          <w:p w14:paraId="2CE69135">
            <w:pPr>
              <w:pStyle w:val="49"/>
              <w:ind w:firstLine="420"/>
            </w:pPr>
            <w:r>
              <w:t>129</w:t>
            </w:r>
          </w:p>
        </w:tc>
      </w:tr>
      <w:tr w14:paraId="03D0A19A">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nil"/>
              <w:right w:val="nil"/>
            </w:tcBorders>
            <w:shd w:val="clear" w:color="auto" w:fill="auto"/>
            <w:vAlign w:val="center"/>
          </w:tcPr>
          <w:p w14:paraId="653B4BA9">
            <w:pPr>
              <w:pStyle w:val="49"/>
              <w:ind w:firstLine="420"/>
            </w:pPr>
            <w:r>
              <w:t>Runway segment B</w:t>
            </w:r>
          </w:p>
        </w:tc>
        <w:tc>
          <w:tcPr>
            <w:tcW w:w="4293" w:type="dxa"/>
            <w:tcBorders>
              <w:top w:val="nil"/>
              <w:left w:val="nil"/>
              <w:bottom w:val="nil"/>
              <w:right w:val="nil"/>
            </w:tcBorders>
            <w:shd w:val="clear" w:color="auto" w:fill="auto"/>
            <w:vAlign w:val="center"/>
          </w:tcPr>
          <w:p w14:paraId="20845684">
            <w:pPr>
              <w:pStyle w:val="49"/>
              <w:ind w:firstLine="420"/>
            </w:pPr>
            <w:r>
              <w:t>148</w:t>
            </w:r>
          </w:p>
        </w:tc>
      </w:tr>
      <w:tr w14:paraId="26C47FAA">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nil"/>
              <w:right w:val="nil"/>
            </w:tcBorders>
            <w:shd w:val="clear" w:color="auto" w:fill="auto"/>
            <w:vAlign w:val="center"/>
          </w:tcPr>
          <w:p w14:paraId="5D27F6BF">
            <w:pPr>
              <w:pStyle w:val="49"/>
              <w:ind w:firstLine="420"/>
            </w:pPr>
            <w:r>
              <w:t>Runway segment C</w:t>
            </w:r>
          </w:p>
        </w:tc>
        <w:tc>
          <w:tcPr>
            <w:tcW w:w="4293" w:type="dxa"/>
            <w:tcBorders>
              <w:top w:val="nil"/>
              <w:left w:val="nil"/>
              <w:bottom w:val="nil"/>
              <w:right w:val="nil"/>
            </w:tcBorders>
            <w:shd w:val="clear" w:color="auto" w:fill="auto"/>
            <w:vAlign w:val="center"/>
          </w:tcPr>
          <w:p w14:paraId="3DA190C7">
            <w:pPr>
              <w:pStyle w:val="49"/>
              <w:ind w:firstLine="420"/>
            </w:pPr>
            <w:r>
              <w:t>136</w:t>
            </w:r>
          </w:p>
        </w:tc>
      </w:tr>
      <w:tr w14:paraId="4CA96DC5">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nil"/>
              <w:right w:val="nil"/>
            </w:tcBorders>
            <w:shd w:val="clear" w:color="auto" w:fill="auto"/>
            <w:vAlign w:val="center"/>
          </w:tcPr>
          <w:p w14:paraId="05A20096">
            <w:pPr>
              <w:pStyle w:val="49"/>
              <w:ind w:firstLine="420"/>
            </w:pPr>
            <w:r>
              <w:t>Taxiway 1</w:t>
            </w:r>
          </w:p>
        </w:tc>
        <w:tc>
          <w:tcPr>
            <w:tcW w:w="4293" w:type="dxa"/>
            <w:tcBorders>
              <w:top w:val="nil"/>
              <w:left w:val="nil"/>
              <w:bottom w:val="nil"/>
              <w:right w:val="nil"/>
            </w:tcBorders>
            <w:shd w:val="clear" w:color="auto" w:fill="auto"/>
            <w:vAlign w:val="center"/>
          </w:tcPr>
          <w:p w14:paraId="7152C1F9">
            <w:pPr>
              <w:pStyle w:val="49"/>
              <w:ind w:firstLine="420"/>
            </w:pPr>
            <w:r>
              <w:t>127</w:t>
            </w:r>
          </w:p>
        </w:tc>
      </w:tr>
      <w:tr w14:paraId="622227FA">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nil"/>
              <w:right w:val="nil"/>
            </w:tcBorders>
            <w:shd w:val="clear" w:color="auto" w:fill="auto"/>
            <w:vAlign w:val="center"/>
          </w:tcPr>
          <w:p w14:paraId="730B5055">
            <w:pPr>
              <w:pStyle w:val="49"/>
              <w:ind w:firstLine="420"/>
            </w:pPr>
            <w:r>
              <w:t>Taxiway 2</w:t>
            </w:r>
          </w:p>
        </w:tc>
        <w:tc>
          <w:tcPr>
            <w:tcW w:w="4293" w:type="dxa"/>
            <w:tcBorders>
              <w:top w:val="nil"/>
              <w:left w:val="nil"/>
              <w:bottom w:val="nil"/>
              <w:right w:val="nil"/>
            </w:tcBorders>
            <w:shd w:val="clear" w:color="auto" w:fill="auto"/>
            <w:vAlign w:val="center"/>
          </w:tcPr>
          <w:p w14:paraId="7BF4B2F4">
            <w:pPr>
              <w:pStyle w:val="49"/>
              <w:ind w:firstLine="420"/>
            </w:pPr>
            <w:r>
              <w:t>134</w:t>
            </w:r>
          </w:p>
        </w:tc>
      </w:tr>
      <w:tr w14:paraId="19E564EB">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nil"/>
              <w:right w:val="nil"/>
            </w:tcBorders>
            <w:shd w:val="clear" w:color="auto" w:fill="auto"/>
            <w:vAlign w:val="center"/>
          </w:tcPr>
          <w:p w14:paraId="01AD6B57">
            <w:pPr>
              <w:pStyle w:val="49"/>
              <w:ind w:firstLine="420"/>
            </w:pPr>
            <w:r>
              <w:t>Apron 1</w:t>
            </w:r>
          </w:p>
        </w:tc>
        <w:tc>
          <w:tcPr>
            <w:tcW w:w="4293" w:type="dxa"/>
            <w:tcBorders>
              <w:top w:val="nil"/>
              <w:left w:val="nil"/>
              <w:bottom w:val="nil"/>
              <w:right w:val="nil"/>
            </w:tcBorders>
            <w:shd w:val="clear" w:color="auto" w:fill="auto"/>
            <w:vAlign w:val="center"/>
          </w:tcPr>
          <w:p w14:paraId="757DCAD7">
            <w:pPr>
              <w:pStyle w:val="49"/>
              <w:ind w:firstLine="420"/>
            </w:pPr>
            <w:r>
              <w:t>92</w:t>
            </w:r>
          </w:p>
        </w:tc>
      </w:tr>
      <w:tr w14:paraId="2948DAB6">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nil"/>
              <w:right w:val="nil"/>
            </w:tcBorders>
            <w:shd w:val="clear" w:color="auto" w:fill="auto"/>
            <w:vAlign w:val="center"/>
          </w:tcPr>
          <w:p w14:paraId="5220EC58">
            <w:pPr>
              <w:pStyle w:val="49"/>
              <w:ind w:firstLine="420"/>
            </w:pPr>
            <w:r>
              <w:t>Apron 2</w:t>
            </w:r>
          </w:p>
        </w:tc>
        <w:tc>
          <w:tcPr>
            <w:tcW w:w="4293" w:type="dxa"/>
            <w:tcBorders>
              <w:top w:val="nil"/>
              <w:left w:val="nil"/>
              <w:bottom w:val="nil"/>
              <w:right w:val="nil"/>
            </w:tcBorders>
            <w:shd w:val="clear" w:color="auto" w:fill="auto"/>
            <w:vAlign w:val="center"/>
          </w:tcPr>
          <w:p w14:paraId="7E51FB2B">
            <w:pPr>
              <w:pStyle w:val="49"/>
              <w:ind w:firstLine="420"/>
            </w:pPr>
            <w:r>
              <w:t>81</w:t>
            </w:r>
          </w:p>
        </w:tc>
      </w:tr>
      <w:tr w14:paraId="0D78D2E1">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3980" w:type="dxa"/>
            <w:tcBorders>
              <w:top w:val="nil"/>
              <w:left w:val="nil"/>
              <w:bottom w:val="single" w:color="000000" w:sz="12" w:space="0"/>
              <w:right w:val="nil"/>
            </w:tcBorders>
            <w:shd w:val="clear" w:color="auto" w:fill="auto"/>
            <w:vAlign w:val="center"/>
          </w:tcPr>
          <w:p w14:paraId="349423EF">
            <w:pPr>
              <w:pStyle w:val="49"/>
              <w:ind w:firstLine="420"/>
            </w:pPr>
            <w:r>
              <w:t>Apron 3</w:t>
            </w:r>
          </w:p>
        </w:tc>
        <w:tc>
          <w:tcPr>
            <w:tcW w:w="4293" w:type="dxa"/>
            <w:tcBorders>
              <w:top w:val="nil"/>
              <w:left w:val="nil"/>
              <w:bottom w:val="single" w:color="000000" w:sz="12" w:space="0"/>
              <w:right w:val="nil"/>
            </w:tcBorders>
            <w:shd w:val="clear" w:color="auto" w:fill="auto"/>
            <w:vAlign w:val="center"/>
          </w:tcPr>
          <w:p w14:paraId="730F34E0">
            <w:pPr>
              <w:pStyle w:val="49"/>
              <w:ind w:firstLine="420"/>
            </w:pPr>
            <w:r>
              <w:t>78</w:t>
            </w:r>
          </w:p>
        </w:tc>
      </w:tr>
    </w:tbl>
    <w:p w14:paraId="6B1105EE">
      <w:pPr>
        <w:ind w:firstLine="0" w:firstLineChars="0"/>
        <w:rPr>
          <w:kern w:val="2"/>
          <w:szCs w:val="21"/>
        </w:rPr>
      </w:pPr>
    </w:p>
    <w:p w14:paraId="65827C0D">
      <w:pPr>
        <w:ind w:firstLine="420"/>
        <w:jc w:val="center"/>
        <w:rPr>
          <w:kern w:val="2"/>
          <w:szCs w:val="21"/>
        </w:rPr>
      </w:pPr>
      <w:r>
        <w:rPr>
          <w:kern w:val="2"/>
          <w:szCs w:val="21"/>
          <w:lang w:bidi="ar"/>
        </w:rPr>
        <w:drawing>
          <wp:inline distT="0" distB="0" distL="114300" distR="114300">
            <wp:extent cx="3176270" cy="2242185"/>
            <wp:effectExtent l="0" t="0" r="11430" b="571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9"/>
                    <a:stretch>
                      <a:fillRect/>
                    </a:stretch>
                  </pic:blipFill>
                  <pic:spPr>
                    <a:xfrm>
                      <a:off x="0" y="0"/>
                      <a:ext cx="3176270" cy="2242185"/>
                    </a:xfrm>
                    <a:prstGeom prst="rect">
                      <a:avLst/>
                    </a:prstGeom>
                    <a:noFill/>
                    <a:ln>
                      <a:noFill/>
                    </a:ln>
                  </pic:spPr>
                </pic:pic>
              </a:graphicData>
            </a:graphic>
          </wp:inline>
        </w:drawing>
      </w:r>
      <w:r>
        <w:rPr>
          <w:kern w:val="2"/>
          <w:szCs w:val="21"/>
          <w:lang w:bidi="ar"/>
        </w:rPr>
        <w:t xml:space="preserve"> </w:t>
      </w:r>
    </w:p>
    <w:p w14:paraId="27154104">
      <w:pPr>
        <w:pStyle w:val="52"/>
      </w:pPr>
      <w:r>
        <w:t>Fig.S4.3. Conversion relationship between base-top reaction modulus and subgrade reaction modulus</w:t>
      </w:r>
    </w:p>
    <w:p w14:paraId="52D436B6">
      <w:pPr>
        <w:ind w:firstLine="0" w:firstLineChars="0"/>
        <w:jc w:val="center"/>
        <w:rPr>
          <w:kern w:val="2"/>
          <w:szCs w:val="21"/>
          <w:lang w:bidi="ar"/>
        </w:rPr>
      </w:pPr>
    </w:p>
    <w:p w14:paraId="1F54F95A">
      <w:pPr>
        <w:pStyle w:val="52"/>
      </w:pPr>
      <w:r>
        <w:t>Table S4.7. Back-calculated subgrade reaction modulus</w:t>
      </w:r>
    </w:p>
    <w:tbl>
      <w:tblPr>
        <w:tblStyle w:val="15"/>
        <w:tblW w:w="5000" w:type="pct"/>
        <w:jc w:val="center"/>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Layout w:type="autofit"/>
        <w:tblCellMar>
          <w:top w:w="0" w:type="dxa"/>
          <w:left w:w="0" w:type="dxa"/>
          <w:bottom w:w="0" w:type="dxa"/>
          <w:right w:w="0" w:type="dxa"/>
        </w:tblCellMar>
      </w:tblPr>
      <w:tblGrid>
        <w:gridCol w:w="4236"/>
        <w:gridCol w:w="4070"/>
      </w:tblGrid>
      <w:tr w14:paraId="34A7E928">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12" w:hRule="atLeast"/>
          <w:jc w:val="center"/>
        </w:trPr>
        <w:tc>
          <w:tcPr>
            <w:tcW w:w="2550" w:type="pct"/>
            <w:tcBorders>
              <w:top w:val="single" w:color="000000" w:sz="12" w:space="0"/>
              <w:left w:val="nil"/>
              <w:bottom w:val="single" w:color="000000" w:sz="12" w:space="0"/>
              <w:right w:val="nil"/>
            </w:tcBorders>
            <w:shd w:val="clear" w:color="auto" w:fill="auto"/>
          </w:tcPr>
          <w:p w14:paraId="3A63E04D">
            <w:pPr>
              <w:ind w:firstLine="420"/>
              <w:jc w:val="center"/>
            </w:pPr>
            <w:r>
              <w:t>Zone</w:t>
            </w:r>
          </w:p>
        </w:tc>
        <w:tc>
          <w:tcPr>
            <w:tcW w:w="2450" w:type="pct"/>
            <w:tcBorders>
              <w:top w:val="single" w:color="000000" w:sz="12" w:space="0"/>
              <w:left w:val="nil"/>
              <w:bottom w:val="single" w:color="000000" w:sz="12" w:space="0"/>
              <w:right w:val="nil"/>
            </w:tcBorders>
            <w:shd w:val="clear" w:color="auto" w:fill="auto"/>
            <w:vAlign w:val="center"/>
          </w:tcPr>
          <w:p w14:paraId="05C99BBB">
            <w:pPr>
              <w:pStyle w:val="49"/>
              <w:ind w:firstLine="420"/>
            </w:pPr>
            <w:r>
              <w:t>Subgrade reaction modulus</w:t>
            </w:r>
            <w:r>
              <w:rPr>
                <w:rFonts w:hint="eastAsia"/>
              </w:rPr>
              <w:t>（</w:t>
            </w:r>
            <w:r>
              <w:t>MN/m</w:t>
            </w:r>
            <w:r>
              <w:rPr>
                <w:vertAlign w:val="superscript"/>
              </w:rPr>
              <w:t>3</w:t>
            </w:r>
            <w:r>
              <w:rPr>
                <w:rFonts w:hint="eastAsia"/>
              </w:rPr>
              <w:t>）</w:t>
            </w:r>
          </w:p>
        </w:tc>
      </w:tr>
      <w:tr w14:paraId="4C4CC0B4">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single" w:color="000000" w:sz="12" w:space="0"/>
              <w:left w:val="nil"/>
              <w:bottom w:val="nil"/>
              <w:right w:val="nil"/>
            </w:tcBorders>
            <w:shd w:val="clear" w:color="auto" w:fill="auto"/>
          </w:tcPr>
          <w:p w14:paraId="7DD108C7">
            <w:pPr>
              <w:ind w:firstLine="420"/>
              <w:jc w:val="center"/>
            </w:pPr>
            <w:r>
              <w:t>Runway segment A</w:t>
            </w:r>
          </w:p>
        </w:tc>
        <w:tc>
          <w:tcPr>
            <w:tcW w:w="2450" w:type="pct"/>
            <w:tcBorders>
              <w:top w:val="single" w:color="000000" w:sz="12" w:space="0"/>
              <w:left w:val="nil"/>
              <w:bottom w:val="nil"/>
              <w:right w:val="nil"/>
            </w:tcBorders>
            <w:shd w:val="clear" w:color="auto" w:fill="auto"/>
            <w:vAlign w:val="center"/>
          </w:tcPr>
          <w:p w14:paraId="15D551F1">
            <w:pPr>
              <w:pStyle w:val="49"/>
              <w:ind w:firstLine="420"/>
            </w:pPr>
            <w:r>
              <w:t>87</w:t>
            </w:r>
          </w:p>
        </w:tc>
      </w:tr>
      <w:tr w14:paraId="62BF48C3">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nil"/>
              <w:right w:val="nil"/>
            </w:tcBorders>
            <w:shd w:val="clear" w:color="auto" w:fill="auto"/>
          </w:tcPr>
          <w:p w14:paraId="13EA828A">
            <w:pPr>
              <w:ind w:firstLine="420"/>
              <w:jc w:val="center"/>
            </w:pPr>
            <w:r>
              <w:t>Runway segment B</w:t>
            </w:r>
          </w:p>
        </w:tc>
        <w:tc>
          <w:tcPr>
            <w:tcW w:w="2450" w:type="pct"/>
            <w:tcBorders>
              <w:top w:val="nil"/>
              <w:left w:val="nil"/>
              <w:bottom w:val="nil"/>
              <w:right w:val="nil"/>
            </w:tcBorders>
            <w:shd w:val="clear" w:color="auto" w:fill="auto"/>
            <w:vAlign w:val="center"/>
          </w:tcPr>
          <w:p w14:paraId="4500045B">
            <w:pPr>
              <w:pStyle w:val="49"/>
              <w:ind w:firstLine="420"/>
            </w:pPr>
            <w:r>
              <w:t>106</w:t>
            </w:r>
          </w:p>
        </w:tc>
      </w:tr>
      <w:tr w14:paraId="4DB6470E">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nil"/>
              <w:right w:val="nil"/>
            </w:tcBorders>
            <w:shd w:val="clear" w:color="auto" w:fill="auto"/>
          </w:tcPr>
          <w:p w14:paraId="4A92DBCB">
            <w:pPr>
              <w:ind w:firstLine="420"/>
              <w:jc w:val="center"/>
            </w:pPr>
            <w:r>
              <w:t>Runway segment C</w:t>
            </w:r>
          </w:p>
        </w:tc>
        <w:tc>
          <w:tcPr>
            <w:tcW w:w="2450" w:type="pct"/>
            <w:tcBorders>
              <w:top w:val="nil"/>
              <w:left w:val="nil"/>
              <w:bottom w:val="nil"/>
              <w:right w:val="nil"/>
            </w:tcBorders>
            <w:shd w:val="clear" w:color="auto" w:fill="auto"/>
            <w:vAlign w:val="center"/>
          </w:tcPr>
          <w:p w14:paraId="7C7B2371">
            <w:pPr>
              <w:pStyle w:val="49"/>
              <w:ind w:firstLine="420"/>
            </w:pPr>
            <w:r>
              <w:t>90</w:t>
            </w:r>
          </w:p>
        </w:tc>
      </w:tr>
      <w:tr w14:paraId="0E9843C7">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nil"/>
              <w:right w:val="nil"/>
            </w:tcBorders>
            <w:shd w:val="clear" w:color="auto" w:fill="auto"/>
          </w:tcPr>
          <w:p w14:paraId="0C3DA261">
            <w:pPr>
              <w:ind w:firstLine="420"/>
              <w:jc w:val="center"/>
            </w:pPr>
            <w:r>
              <w:t>Taxiway 1</w:t>
            </w:r>
          </w:p>
        </w:tc>
        <w:tc>
          <w:tcPr>
            <w:tcW w:w="2450" w:type="pct"/>
            <w:tcBorders>
              <w:top w:val="nil"/>
              <w:left w:val="nil"/>
              <w:bottom w:val="nil"/>
              <w:right w:val="nil"/>
            </w:tcBorders>
            <w:shd w:val="clear" w:color="auto" w:fill="auto"/>
            <w:vAlign w:val="center"/>
          </w:tcPr>
          <w:p w14:paraId="22F20D6E">
            <w:pPr>
              <w:pStyle w:val="49"/>
              <w:ind w:firstLine="420"/>
            </w:pPr>
            <w:r>
              <w:t>85</w:t>
            </w:r>
          </w:p>
        </w:tc>
      </w:tr>
      <w:tr w14:paraId="2C85F357">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nil"/>
              <w:right w:val="nil"/>
            </w:tcBorders>
            <w:shd w:val="clear" w:color="auto" w:fill="auto"/>
          </w:tcPr>
          <w:p w14:paraId="68984542">
            <w:pPr>
              <w:ind w:firstLine="420"/>
              <w:jc w:val="center"/>
            </w:pPr>
            <w:r>
              <w:t>Taxiway 2</w:t>
            </w:r>
          </w:p>
        </w:tc>
        <w:tc>
          <w:tcPr>
            <w:tcW w:w="2450" w:type="pct"/>
            <w:tcBorders>
              <w:top w:val="nil"/>
              <w:left w:val="nil"/>
              <w:bottom w:val="nil"/>
              <w:right w:val="nil"/>
            </w:tcBorders>
            <w:shd w:val="clear" w:color="auto" w:fill="auto"/>
            <w:vAlign w:val="center"/>
          </w:tcPr>
          <w:p w14:paraId="1FBBA284">
            <w:pPr>
              <w:pStyle w:val="49"/>
              <w:ind w:firstLine="420"/>
            </w:pPr>
            <w:r>
              <w:t>90</w:t>
            </w:r>
          </w:p>
        </w:tc>
      </w:tr>
      <w:tr w14:paraId="12DCB585">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nil"/>
              <w:right w:val="nil"/>
            </w:tcBorders>
            <w:shd w:val="clear" w:color="auto" w:fill="auto"/>
          </w:tcPr>
          <w:p w14:paraId="44A2DFC9">
            <w:pPr>
              <w:ind w:firstLine="420"/>
              <w:jc w:val="center"/>
            </w:pPr>
            <w:r>
              <w:t>Apron 1</w:t>
            </w:r>
          </w:p>
        </w:tc>
        <w:tc>
          <w:tcPr>
            <w:tcW w:w="2450" w:type="pct"/>
            <w:tcBorders>
              <w:top w:val="nil"/>
              <w:left w:val="nil"/>
              <w:bottom w:val="nil"/>
              <w:right w:val="nil"/>
            </w:tcBorders>
            <w:shd w:val="clear" w:color="auto" w:fill="auto"/>
            <w:vAlign w:val="center"/>
          </w:tcPr>
          <w:p w14:paraId="31B317E8">
            <w:pPr>
              <w:pStyle w:val="49"/>
              <w:ind w:firstLine="420"/>
            </w:pPr>
            <w:r>
              <w:t>39</w:t>
            </w:r>
          </w:p>
        </w:tc>
      </w:tr>
      <w:tr w14:paraId="15192510">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nil"/>
              <w:right w:val="nil"/>
            </w:tcBorders>
            <w:shd w:val="clear" w:color="auto" w:fill="auto"/>
          </w:tcPr>
          <w:p w14:paraId="1484BA4E">
            <w:pPr>
              <w:ind w:firstLine="420"/>
              <w:jc w:val="center"/>
            </w:pPr>
            <w:r>
              <w:t>Apron 2</w:t>
            </w:r>
          </w:p>
        </w:tc>
        <w:tc>
          <w:tcPr>
            <w:tcW w:w="2450" w:type="pct"/>
            <w:tcBorders>
              <w:top w:val="nil"/>
              <w:left w:val="nil"/>
              <w:bottom w:val="nil"/>
              <w:right w:val="nil"/>
            </w:tcBorders>
            <w:shd w:val="clear" w:color="auto" w:fill="auto"/>
            <w:vAlign w:val="center"/>
          </w:tcPr>
          <w:p w14:paraId="457495FA">
            <w:pPr>
              <w:pStyle w:val="49"/>
              <w:ind w:firstLine="420"/>
            </w:pPr>
            <w:r>
              <w:t>29</w:t>
            </w:r>
          </w:p>
        </w:tc>
      </w:tr>
      <w:tr w14:paraId="574B23DE">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269" w:hRule="atLeast"/>
          <w:jc w:val="center"/>
        </w:trPr>
        <w:tc>
          <w:tcPr>
            <w:tcW w:w="2550" w:type="pct"/>
            <w:tcBorders>
              <w:top w:val="nil"/>
              <w:left w:val="nil"/>
              <w:bottom w:val="single" w:color="000000" w:sz="12" w:space="0"/>
              <w:right w:val="nil"/>
            </w:tcBorders>
            <w:shd w:val="clear" w:color="auto" w:fill="auto"/>
          </w:tcPr>
          <w:p w14:paraId="644F75B2">
            <w:pPr>
              <w:ind w:firstLine="420"/>
              <w:jc w:val="center"/>
            </w:pPr>
            <w:r>
              <w:t>Apron 3</w:t>
            </w:r>
          </w:p>
        </w:tc>
        <w:tc>
          <w:tcPr>
            <w:tcW w:w="2450" w:type="pct"/>
            <w:tcBorders>
              <w:top w:val="nil"/>
              <w:left w:val="nil"/>
              <w:bottom w:val="single" w:color="000000" w:sz="12" w:space="0"/>
              <w:right w:val="nil"/>
            </w:tcBorders>
            <w:shd w:val="clear" w:color="auto" w:fill="auto"/>
            <w:vAlign w:val="center"/>
          </w:tcPr>
          <w:p w14:paraId="520E8135">
            <w:pPr>
              <w:pStyle w:val="49"/>
              <w:ind w:firstLine="420"/>
            </w:pPr>
            <w:r>
              <w:t>27</w:t>
            </w:r>
          </w:p>
        </w:tc>
      </w:tr>
    </w:tbl>
    <w:p w14:paraId="12B7E940">
      <w:pPr>
        <w:ind w:firstLine="420"/>
        <w:outlineLvl w:val="3"/>
        <w:rPr>
          <w:szCs w:val="24"/>
        </w:rPr>
      </w:pPr>
      <w:r>
        <w:rPr>
          <w:szCs w:val="24"/>
        </w:rPr>
        <w:t>(3) Roughness excitation characteristics</w:t>
      </w:r>
    </w:p>
    <w:p w14:paraId="4C50A4BA">
      <w:pPr>
        <w:ind w:firstLine="420"/>
        <w:rPr>
          <w:szCs w:val="24"/>
        </w:rPr>
      </w:pPr>
      <w:r>
        <w:rPr>
          <w:szCs w:val="24"/>
        </w:rPr>
        <w:t>As the direct external excitation driving aircraft–pavement coupled vibration and the associated energy dissipation, the geometric characteristics of the pavement surface constitute a critical model input. In this study, the International Roughness Index (IRI) was adopted as the macroscopic descriptor to construct an excitation-source matrix covering the entire airfield.</w:t>
      </w:r>
    </w:p>
    <w:p w14:paraId="4DA41189">
      <w:pPr>
        <w:ind w:firstLine="420"/>
        <w:rPr>
          <w:szCs w:val="24"/>
        </w:rPr>
      </w:pPr>
      <w:r>
        <w:rPr>
          <w:szCs w:val="24"/>
        </w:rPr>
        <w:t>a. Spatial distribution of measured roughness.</w:t>
      </w:r>
    </w:p>
    <w:p w14:paraId="06CED272">
      <w:pPr>
        <w:ind w:firstLine="420"/>
        <w:rPr>
          <w:szCs w:val="24"/>
        </w:rPr>
      </w:pPr>
      <w:r>
        <w:rPr>
          <w:szCs w:val="24"/>
        </w:rPr>
        <w:t xml:space="preserve">Based on the official pavement inspection report, measured IRI values were extracted for all functional zones within the airside area. The number of test sections and survey lines in representative areas are summarized in Table </w:t>
      </w:r>
      <w:r>
        <w:rPr>
          <w:rFonts w:hint="eastAsia"/>
          <w:szCs w:val="24"/>
        </w:rPr>
        <w:t>S</w:t>
      </w:r>
      <w:r>
        <w:rPr>
          <w:szCs w:val="24"/>
        </w:rPr>
        <w:t>4.8. Owing to data confidentiality requirements, only partially anonymized statistics are presented here.</w:t>
      </w:r>
    </w:p>
    <w:p w14:paraId="2739B207">
      <w:pPr>
        <w:ind w:firstLine="420"/>
        <w:rPr>
          <w:szCs w:val="24"/>
        </w:rPr>
      </w:pPr>
      <w:r>
        <w:rPr>
          <w:szCs w:val="24"/>
        </w:rPr>
        <w:t>b. Reconstruction from statistical index to time-domain excitation.</w:t>
      </w:r>
    </w:p>
    <w:p w14:paraId="4C22F963">
      <w:pPr>
        <w:ind w:firstLine="420"/>
        <w:rPr>
          <w:szCs w:val="24"/>
        </w:rPr>
      </w:pPr>
      <w:r>
        <w:rPr>
          <w:szCs w:val="24"/>
        </w:rPr>
        <w:t>Because IRI is a single aggregated indicator, it cannot be directly used as input for time-domain dynamic simulation. Therefore, following the physically constrained conversion framework described in Supplementary Section 1.2, the measured IRI values for each segmented unit were transformed into equivalent three-dimensional stochastic roughness spectra. These spectra were subsequently reconstructed into spatial-domain elevation fields and used as excitation inputs in the coupled dynamic model.</w:t>
      </w:r>
    </w:p>
    <w:p w14:paraId="1C162041">
      <w:pPr>
        <w:pStyle w:val="52"/>
      </w:pPr>
      <w:r>
        <w:t xml:space="preserve">Table </w:t>
      </w:r>
      <w:r>
        <w:rPr>
          <w:rFonts w:hint="eastAsia"/>
        </w:rPr>
        <w:t>S</w:t>
      </w:r>
      <w:r>
        <w:t>4.8</w:t>
      </w:r>
      <w:r>
        <w:rPr>
          <w:rFonts w:hint="eastAsia"/>
        </w:rPr>
        <w:t>.</w:t>
      </w:r>
      <w:r>
        <w:t xml:space="preserve"> Measured IRI statistics for selected pavement zones at Hongqiao Airport</w:t>
      </w:r>
    </w:p>
    <w:tbl>
      <w:tblPr>
        <w:tblStyle w:val="16"/>
        <w:tblW w:w="8522"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8"/>
        <w:gridCol w:w="2605"/>
        <w:gridCol w:w="2899"/>
      </w:tblGrid>
      <w:tr w14:paraId="3B6E7E9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single" w:color="000000" w:sz="12" w:space="0"/>
              <w:left w:val="nil"/>
              <w:bottom w:val="single" w:color="000000" w:sz="12" w:space="0"/>
              <w:right w:val="nil"/>
            </w:tcBorders>
            <w:shd w:val="clear" w:color="auto" w:fill="auto"/>
            <w:vAlign w:val="center"/>
          </w:tcPr>
          <w:p w14:paraId="1EBD84D8">
            <w:pPr>
              <w:pStyle w:val="49"/>
            </w:pPr>
            <w:r>
              <w:t>Zone</w:t>
            </w:r>
          </w:p>
        </w:tc>
        <w:tc>
          <w:tcPr>
            <w:tcW w:w="2605" w:type="dxa"/>
            <w:tcBorders>
              <w:top w:val="single" w:color="000000" w:sz="12" w:space="0"/>
              <w:left w:val="nil"/>
              <w:bottom w:val="single" w:color="000000" w:sz="12" w:space="0"/>
              <w:right w:val="nil"/>
            </w:tcBorders>
            <w:shd w:val="clear" w:color="auto" w:fill="auto"/>
          </w:tcPr>
          <w:p w14:paraId="7B2ED42F">
            <w:pPr>
              <w:pStyle w:val="49"/>
            </w:pPr>
            <w:r>
              <w:t>Number of survey lines</w:t>
            </w:r>
          </w:p>
        </w:tc>
        <w:tc>
          <w:tcPr>
            <w:tcW w:w="2899" w:type="dxa"/>
            <w:tcBorders>
              <w:top w:val="single" w:color="000000" w:sz="12" w:space="0"/>
              <w:left w:val="nil"/>
              <w:bottom w:val="single" w:color="000000" w:sz="12" w:space="0"/>
              <w:right w:val="nil"/>
            </w:tcBorders>
            <w:shd w:val="clear" w:color="auto" w:fill="auto"/>
            <w:vAlign w:val="center"/>
          </w:tcPr>
          <w:p w14:paraId="79FF76DB">
            <w:pPr>
              <w:pStyle w:val="49"/>
            </w:pPr>
            <w:r>
              <w:t>Number of test sections</w:t>
            </w:r>
          </w:p>
        </w:tc>
      </w:tr>
      <w:tr w14:paraId="5E07D61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single" w:color="000000" w:sz="12" w:space="0"/>
              <w:left w:val="nil"/>
              <w:bottom w:val="nil"/>
              <w:right w:val="nil"/>
            </w:tcBorders>
            <w:shd w:val="clear" w:color="auto" w:fill="auto"/>
            <w:vAlign w:val="center"/>
          </w:tcPr>
          <w:p w14:paraId="17463DEF">
            <w:pPr>
              <w:pStyle w:val="49"/>
            </w:pPr>
            <w:r>
              <w:t>Representative runway</w:t>
            </w:r>
          </w:p>
        </w:tc>
        <w:tc>
          <w:tcPr>
            <w:tcW w:w="2605" w:type="dxa"/>
            <w:tcBorders>
              <w:top w:val="single" w:color="000000" w:sz="12" w:space="0"/>
              <w:left w:val="nil"/>
              <w:bottom w:val="nil"/>
              <w:right w:val="nil"/>
            </w:tcBorders>
            <w:shd w:val="clear" w:color="auto" w:fill="auto"/>
          </w:tcPr>
          <w:p w14:paraId="7DAB985C">
            <w:pPr>
              <w:pStyle w:val="49"/>
            </w:pPr>
            <w:r>
              <w:t>4</w:t>
            </w:r>
          </w:p>
        </w:tc>
        <w:tc>
          <w:tcPr>
            <w:tcW w:w="2899" w:type="dxa"/>
            <w:tcBorders>
              <w:top w:val="single" w:color="000000" w:sz="12" w:space="0"/>
              <w:left w:val="nil"/>
              <w:bottom w:val="nil"/>
              <w:right w:val="nil"/>
            </w:tcBorders>
            <w:shd w:val="clear" w:color="auto" w:fill="auto"/>
            <w:vAlign w:val="center"/>
          </w:tcPr>
          <w:p w14:paraId="33A7160A">
            <w:pPr>
              <w:pStyle w:val="49"/>
            </w:pPr>
            <w:r>
              <w:t>328</w:t>
            </w:r>
          </w:p>
        </w:tc>
      </w:tr>
      <w:tr w14:paraId="6294C59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nil"/>
              <w:left w:val="nil"/>
              <w:bottom w:val="nil"/>
              <w:right w:val="nil"/>
            </w:tcBorders>
            <w:shd w:val="clear" w:color="auto" w:fill="auto"/>
            <w:vAlign w:val="center"/>
          </w:tcPr>
          <w:p w14:paraId="375C76D4">
            <w:pPr>
              <w:pStyle w:val="49"/>
            </w:pPr>
            <w:r>
              <w:t>Taxiway 1</w:t>
            </w:r>
          </w:p>
        </w:tc>
        <w:tc>
          <w:tcPr>
            <w:tcW w:w="2605" w:type="dxa"/>
            <w:tcBorders>
              <w:top w:val="nil"/>
              <w:left w:val="nil"/>
              <w:bottom w:val="nil"/>
              <w:right w:val="nil"/>
            </w:tcBorders>
            <w:shd w:val="clear" w:color="auto" w:fill="auto"/>
          </w:tcPr>
          <w:p w14:paraId="1736E1D2">
            <w:pPr>
              <w:pStyle w:val="49"/>
            </w:pPr>
            <w:r>
              <w:t>2</w:t>
            </w:r>
          </w:p>
        </w:tc>
        <w:tc>
          <w:tcPr>
            <w:tcW w:w="2899" w:type="dxa"/>
            <w:tcBorders>
              <w:top w:val="nil"/>
              <w:left w:val="nil"/>
              <w:bottom w:val="nil"/>
              <w:right w:val="nil"/>
            </w:tcBorders>
            <w:shd w:val="clear" w:color="auto" w:fill="auto"/>
            <w:vAlign w:val="center"/>
          </w:tcPr>
          <w:p w14:paraId="06DA8017">
            <w:pPr>
              <w:pStyle w:val="49"/>
            </w:pPr>
            <w:r>
              <w:t>302</w:t>
            </w:r>
          </w:p>
        </w:tc>
      </w:tr>
      <w:tr w14:paraId="5E035E2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nil"/>
              <w:left w:val="nil"/>
              <w:bottom w:val="nil"/>
              <w:right w:val="nil"/>
            </w:tcBorders>
            <w:shd w:val="clear" w:color="auto" w:fill="auto"/>
            <w:vAlign w:val="center"/>
          </w:tcPr>
          <w:p w14:paraId="7F801461">
            <w:pPr>
              <w:pStyle w:val="49"/>
            </w:pPr>
            <w:r>
              <w:t>Taxiway 2</w:t>
            </w:r>
          </w:p>
        </w:tc>
        <w:tc>
          <w:tcPr>
            <w:tcW w:w="2605" w:type="dxa"/>
            <w:tcBorders>
              <w:top w:val="nil"/>
              <w:left w:val="nil"/>
              <w:bottom w:val="nil"/>
              <w:right w:val="nil"/>
            </w:tcBorders>
            <w:shd w:val="clear" w:color="auto" w:fill="auto"/>
          </w:tcPr>
          <w:p w14:paraId="57F857F5">
            <w:pPr>
              <w:pStyle w:val="49"/>
            </w:pPr>
            <w:r>
              <w:t>2</w:t>
            </w:r>
          </w:p>
        </w:tc>
        <w:tc>
          <w:tcPr>
            <w:tcW w:w="2899" w:type="dxa"/>
            <w:tcBorders>
              <w:top w:val="nil"/>
              <w:left w:val="nil"/>
              <w:bottom w:val="nil"/>
              <w:right w:val="nil"/>
            </w:tcBorders>
            <w:shd w:val="clear" w:color="auto" w:fill="auto"/>
            <w:vAlign w:val="center"/>
          </w:tcPr>
          <w:p w14:paraId="6676E224">
            <w:pPr>
              <w:pStyle w:val="49"/>
            </w:pPr>
            <w:r>
              <w:t>163</w:t>
            </w:r>
          </w:p>
        </w:tc>
      </w:tr>
      <w:tr w14:paraId="2745180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nil"/>
              <w:left w:val="nil"/>
              <w:bottom w:val="nil"/>
              <w:right w:val="nil"/>
            </w:tcBorders>
            <w:shd w:val="clear" w:color="auto" w:fill="auto"/>
            <w:vAlign w:val="center"/>
          </w:tcPr>
          <w:p w14:paraId="58EA031A">
            <w:pPr>
              <w:pStyle w:val="49"/>
            </w:pPr>
            <w:r>
              <w:t>Connector 1</w:t>
            </w:r>
          </w:p>
        </w:tc>
        <w:tc>
          <w:tcPr>
            <w:tcW w:w="2605" w:type="dxa"/>
            <w:tcBorders>
              <w:top w:val="nil"/>
              <w:left w:val="nil"/>
              <w:bottom w:val="nil"/>
              <w:right w:val="nil"/>
            </w:tcBorders>
            <w:shd w:val="clear" w:color="auto" w:fill="auto"/>
          </w:tcPr>
          <w:p w14:paraId="42F8C2C1">
            <w:pPr>
              <w:pStyle w:val="49"/>
            </w:pPr>
            <w:r>
              <w:t>2</w:t>
            </w:r>
          </w:p>
        </w:tc>
        <w:tc>
          <w:tcPr>
            <w:tcW w:w="2899" w:type="dxa"/>
            <w:tcBorders>
              <w:top w:val="nil"/>
              <w:left w:val="nil"/>
              <w:bottom w:val="nil"/>
              <w:right w:val="nil"/>
            </w:tcBorders>
            <w:shd w:val="clear" w:color="auto" w:fill="auto"/>
            <w:vAlign w:val="center"/>
          </w:tcPr>
          <w:p w14:paraId="4EED705F">
            <w:pPr>
              <w:pStyle w:val="49"/>
            </w:pPr>
            <w:r>
              <w:t>15</w:t>
            </w:r>
          </w:p>
        </w:tc>
      </w:tr>
      <w:tr w14:paraId="1EE4DB7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nil"/>
              <w:left w:val="nil"/>
              <w:bottom w:val="nil"/>
              <w:right w:val="nil"/>
            </w:tcBorders>
            <w:shd w:val="clear" w:color="auto" w:fill="auto"/>
            <w:vAlign w:val="center"/>
          </w:tcPr>
          <w:p w14:paraId="3D450138">
            <w:pPr>
              <w:pStyle w:val="49"/>
            </w:pPr>
            <w:r>
              <w:t>Connector 2</w:t>
            </w:r>
          </w:p>
        </w:tc>
        <w:tc>
          <w:tcPr>
            <w:tcW w:w="2605" w:type="dxa"/>
            <w:tcBorders>
              <w:top w:val="nil"/>
              <w:left w:val="nil"/>
              <w:bottom w:val="nil"/>
              <w:right w:val="nil"/>
            </w:tcBorders>
            <w:shd w:val="clear" w:color="auto" w:fill="auto"/>
          </w:tcPr>
          <w:p w14:paraId="13A34429">
            <w:pPr>
              <w:pStyle w:val="49"/>
            </w:pPr>
            <w:r>
              <w:t>2</w:t>
            </w:r>
          </w:p>
        </w:tc>
        <w:tc>
          <w:tcPr>
            <w:tcW w:w="2899" w:type="dxa"/>
            <w:tcBorders>
              <w:top w:val="nil"/>
              <w:left w:val="nil"/>
              <w:bottom w:val="nil"/>
              <w:right w:val="nil"/>
            </w:tcBorders>
            <w:shd w:val="clear" w:color="auto" w:fill="auto"/>
            <w:vAlign w:val="center"/>
          </w:tcPr>
          <w:p w14:paraId="08CDD995">
            <w:pPr>
              <w:pStyle w:val="49"/>
            </w:pPr>
            <w:r>
              <w:t>25</w:t>
            </w:r>
          </w:p>
        </w:tc>
      </w:tr>
      <w:tr w14:paraId="28B6EDC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18" w:type="dxa"/>
            <w:tcBorders>
              <w:top w:val="nil"/>
              <w:left w:val="nil"/>
              <w:bottom w:val="single" w:color="000000" w:sz="12" w:space="0"/>
              <w:right w:val="nil"/>
            </w:tcBorders>
            <w:shd w:val="clear" w:color="auto" w:fill="auto"/>
            <w:vAlign w:val="center"/>
          </w:tcPr>
          <w:p w14:paraId="6CB8CF7F">
            <w:pPr>
              <w:pStyle w:val="49"/>
            </w:pPr>
            <w:r>
              <w:t>Connector 3</w:t>
            </w:r>
          </w:p>
        </w:tc>
        <w:tc>
          <w:tcPr>
            <w:tcW w:w="2605" w:type="dxa"/>
            <w:tcBorders>
              <w:top w:val="nil"/>
              <w:left w:val="nil"/>
              <w:bottom w:val="single" w:color="000000" w:sz="12" w:space="0"/>
              <w:right w:val="nil"/>
            </w:tcBorders>
            <w:shd w:val="clear" w:color="auto" w:fill="auto"/>
          </w:tcPr>
          <w:p w14:paraId="03ED1C3C">
            <w:pPr>
              <w:pStyle w:val="49"/>
            </w:pPr>
            <w:r>
              <w:t>2</w:t>
            </w:r>
          </w:p>
        </w:tc>
        <w:tc>
          <w:tcPr>
            <w:tcW w:w="2899" w:type="dxa"/>
            <w:tcBorders>
              <w:top w:val="nil"/>
              <w:left w:val="nil"/>
              <w:bottom w:val="single" w:color="000000" w:sz="12" w:space="0"/>
              <w:right w:val="nil"/>
            </w:tcBorders>
            <w:shd w:val="clear" w:color="auto" w:fill="auto"/>
            <w:vAlign w:val="center"/>
          </w:tcPr>
          <w:p w14:paraId="255129A4">
            <w:pPr>
              <w:pStyle w:val="49"/>
            </w:pPr>
            <w:r>
              <w:t>44</w:t>
            </w:r>
          </w:p>
        </w:tc>
      </w:tr>
    </w:tbl>
    <w:p w14:paraId="7A1CB396">
      <w:pPr>
        <w:pStyle w:val="4"/>
        <w:ind w:firstLine="482"/>
      </w:pPr>
      <w:r>
        <w:t>4.2.3</w:t>
      </w:r>
      <w:r>
        <w:rPr>
          <w:rFonts w:hint="eastAsia"/>
        </w:rPr>
        <w:t xml:space="preserve"> </w:t>
      </w:r>
      <w:r>
        <w:t>Reconstruction of aircraft ground-taxi operations</w:t>
      </w:r>
    </w:p>
    <w:p w14:paraId="0FAE1C76">
      <w:pPr>
        <w:ind w:firstLine="420" w:firstLineChars="0"/>
        <w:rPr>
          <w:szCs w:val="24"/>
        </w:rPr>
      </w:pPr>
      <w:r>
        <w:rPr>
          <w:szCs w:val="24"/>
        </w:rPr>
        <w:t>To parameterize aircraft-specific dynamic loading conditions in the coupled aircraft–pavement model, ground-taxi operations at Shanghai Hongqiao International Airport in 2019 were reconstructed by integrating fleet composition, spatial routing and segment-level speed profiles into a unified dynamic dataset.</w:t>
      </w:r>
    </w:p>
    <w:p w14:paraId="36C92E98">
      <w:pPr>
        <w:ind w:firstLine="420"/>
        <w:rPr>
          <w:szCs w:val="24"/>
        </w:rPr>
      </w:pPr>
      <w:r>
        <w:rPr>
          <w:szCs w:val="24"/>
        </w:rPr>
        <w:t>(1) Fleet composition</w:t>
      </w:r>
    </w:p>
    <w:p w14:paraId="5793E65C">
      <w:pPr>
        <w:ind w:firstLine="420"/>
        <w:rPr>
          <w:szCs w:val="24"/>
        </w:rPr>
      </w:pPr>
      <w:r>
        <w:rPr>
          <w:szCs w:val="24"/>
        </w:rPr>
        <w:t>Aircraft movement data were obtained from the OAG database. A total of 31 aircraft types operated at the airport in 2019 (Table</w:t>
      </w:r>
      <w:r>
        <w:rPr>
          <w:rFonts w:hint="eastAsia"/>
          <w:szCs w:val="24"/>
        </w:rPr>
        <w:t xml:space="preserve"> S</w:t>
      </w:r>
      <w:r>
        <w:rPr>
          <w:szCs w:val="24"/>
        </w:rPr>
        <w:t>4.9), spanning regional, narrow-body and wide-body categories. The fleet included the ARJ21-700 regional jet, the dominant A320 and B737 narrow-body families, and wide-body aircraft such as A330/A350 and B747/B777/B787 series. This diversified fleet structure enables the model to capture variability in landing-gear configuration, wheel load distribution and structural dynamic response under identical pavement roughness excitation.</w:t>
      </w:r>
    </w:p>
    <w:p w14:paraId="217C5879">
      <w:pPr>
        <w:pStyle w:val="52"/>
      </w:pPr>
      <w:r>
        <w:t xml:space="preserve">Table </w:t>
      </w:r>
      <w:r>
        <w:rPr>
          <w:rFonts w:hint="eastAsia"/>
        </w:rPr>
        <w:t>S</w:t>
      </w:r>
      <w:r>
        <w:t>4.9</w:t>
      </w:r>
      <w:r>
        <w:rPr>
          <w:rFonts w:hint="eastAsia"/>
        </w:rPr>
        <w:t>.</w:t>
      </w:r>
      <w:r>
        <w:t xml:space="preserve"> Aircraft types operating at Shanghai Hongqiao International Airport in 2019</w:t>
      </w:r>
    </w:p>
    <w:tbl>
      <w:tblPr>
        <w:tblStyle w:val="15"/>
        <w:tblW w:w="0" w:type="auto"/>
        <w:tblInd w:w="63" w:type="dxa"/>
        <w:tblBorders>
          <w:top w:val="single" w:color="auto" w:sz="4" w:space="0"/>
          <w:left w:val="none" w:color="auto" w:sz="6" w:space="0"/>
          <w:bottom w:val="single" w:color="auto" w:sz="4" w:space="0"/>
          <w:right w:val="none" w:color="auto" w:sz="6" w:space="0"/>
          <w:insideH w:val="outset" w:color="auto" w:sz="6" w:space="0"/>
          <w:insideV w:val="outset" w:color="auto" w:sz="6" w:space="0"/>
        </w:tblBorders>
        <w:tblLayout w:type="autofit"/>
        <w:tblCellMar>
          <w:top w:w="0" w:type="dxa"/>
          <w:left w:w="0" w:type="dxa"/>
          <w:bottom w:w="0" w:type="dxa"/>
          <w:right w:w="0" w:type="dxa"/>
        </w:tblCellMar>
      </w:tblPr>
      <w:tblGrid>
        <w:gridCol w:w="1060"/>
        <w:gridCol w:w="1070"/>
        <w:gridCol w:w="1364"/>
        <w:gridCol w:w="3899"/>
        <w:gridCol w:w="940"/>
      </w:tblGrid>
      <w:tr w14:paraId="452947F1">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single" w:color="000000" w:sz="12" w:space="0"/>
              <w:left w:val="nil"/>
              <w:bottom w:val="single" w:color="000000" w:sz="12" w:space="0"/>
              <w:right w:val="nil"/>
            </w:tcBorders>
            <w:shd w:val="clear" w:color="auto" w:fill="auto"/>
            <w:tcMar>
              <w:top w:w="30" w:type="dxa"/>
              <w:left w:w="45" w:type="dxa"/>
              <w:bottom w:w="30" w:type="dxa"/>
              <w:right w:w="45" w:type="dxa"/>
            </w:tcMar>
            <w:vAlign w:val="center"/>
          </w:tcPr>
          <w:p w14:paraId="5081DC5E">
            <w:pPr>
              <w:pStyle w:val="49"/>
            </w:pPr>
            <w:r>
              <w:t>Aircraft category</w:t>
            </w:r>
          </w:p>
        </w:tc>
        <w:tc>
          <w:tcPr>
            <w:tcW w:w="977" w:type="dxa"/>
            <w:tcBorders>
              <w:top w:val="single" w:color="000000" w:sz="12" w:space="0"/>
              <w:left w:val="nil"/>
              <w:bottom w:val="single" w:color="000000" w:sz="12" w:space="0"/>
              <w:right w:val="nil"/>
            </w:tcBorders>
            <w:shd w:val="clear" w:color="auto" w:fill="auto"/>
            <w:tcMar>
              <w:top w:w="30" w:type="dxa"/>
              <w:left w:w="45" w:type="dxa"/>
              <w:bottom w:w="30" w:type="dxa"/>
              <w:right w:w="45" w:type="dxa"/>
            </w:tcMar>
            <w:vAlign w:val="center"/>
          </w:tcPr>
          <w:p w14:paraId="31CBF6B0">
            <w:pPr>
              <w:pStyle w:val="49"/>
            </w:pPr>
            <w:r>
              <w:t>Manufacturer</w:t>
            </w:r>
          </w:p>
        </w:tc>
        <w:tc>
          <w:tcPr>
            <w:tcW w:w="1364" w:type="dxa"/>
            <w:tcBorders>
              <w:top w:val="single" w:color="000000" w:sz="12" w:space="0"/>
              <w:left w:val="nil"/>
              <w:bottom w:val="single" w:color="000000" w:sz="12" w:space="0"/>
              <w:right w:val="nil"/>
            </w:tcBorders>
            <w:shd w:val="clear" w:color="auto" w:fill="auto"/>
            <w:tcMar>
              <w:top w:w="30" w:type="dxa"/>
              <w:left w:w="45" w:type="dxa"/>
              <w:bottom w:w="30" w:type="dxa"/>
              <w:right w:w="45" w:type="dxa"/>
            </w:tcMar>
            <w:vAlign w:val="center"/>
          </w:tcPr>
          <w:p w14:paraId="512D8517">
            <w:pPr>
              <w:pStyle w:val="49"/>
            </w:pPr>
            <w:r>
              <w:t>ICAO code family</w:t>
            </w:r>
          </w:p>
        </w:tc>
        <w:tc>
          <w:tcPr>
            <w:tcW w:w="3903" w:type="dxa"/>
            <w:tcBorders>
              <w:top w:val="single" w:color="000000" w:sz="12" w:space="0"/>
              <w:left w:val="nil"/>
              <w:bottom w:val="single" w:color="000000" w:sz="12" w:space="0"/>
              <w:right w:val="nil"/>
            </w:tcBorders>
            <w:shd w:val="clear" w:color="auto" w:fill="auto"/>
            <w:tcMar>
              <w:top w:w="30" w:type="dxa"/>
              <w:left w:w="45" w:type="dxa"/>
              <w:bottom w:w="30" w:type="dxa"/>
              <w:right w:w="45" w:type="dxa"/>
            </w:tcMar>
            <w:vAlign w:val="center"/>
          </w:tcPr>
          <w:p w14:paraId="3A872415">
            <w:pPr>
              <w:pStyle w:val="49"/>
            </w:pPr>
            <w:r>
              <w:t>Representative models</w:t>
            </w:r>
          </w:p>
        </w:tc>
        <w:tc>
          <w:tcPr>
            <w:tcW w:w="0" w:type="auto"/>
            <w:tcBorders>
              <w:top w:val="single" w:color="000000" w:sz="12" w:space="0"/>
              <w:left w:val="nil"/>
              <w:bottom w:val="single" w:color="000000" w:sz="12" w:space="0"/>
              <w:right w:val="nil"/>
            </w:tcBorders>
            <w:shd w:val="clear" w:color="auto" w:fill="auto"/>
            <w:tcMar>
              <w:top w:w="30" w:type="dxa"/>
              <w:left w:w="45" w:type="dxa"/>
              <w:bottom w:w="30" w:type="dxa"/>
              <w:right w:w="45" w:type="dxa"/>
            </w:tcMar>
            <w:vAlign w:val="center"/>
          </w:tcPr>
          <w:p w14:paraId="40EDB564">
            <w:pPr>
              <w:pStyle w:val="49"/>
            </w:pPr>
            <w:r>
              <w:t xml:space="preserve">Operational routing </w:t>
            </w:r>
            <w:r>
              <w:rPr>
                <w:rFonts w:hint="eastAsia"/>
              </w:rPr>
              <w:t>class</w:t>
            </w:r>
          </w:p>
        </w:tc>
      </w:tr>
      <w:tr w14:paraId="1CEE6F0B">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single" w:color="000000" w:sz="12" w:space="0"/>
              <w:left w:val="nil"/>
              <w:bottom w:val="nil"/>
              <w:right w:val="nil"/>
            </w:tcBorders>
            <w:shd w:val="clear" w:color="auto" w:fill="auto"/>
            <w:tcMar>
              <w:top w:w="30" w:type="dxa"/>
              <w:left w:w="45" w:type="dxa"/>
              <w:bottom w:w="30" w:type="dxa"/>
              <w:right w:w="45" w:type="dxa"/>
            </w:tcMar>
            <w:vAlign w:val="center"/>
          </w:tcPr>
          <w:p w14:paraId="19C8E3F4">
            <w:pPr>
              <w:pStyle w:val="49"/>
            </w:pPr>
            <w:r>
              <w:t>Wide-body</w:t>
            </w:r>
          </w:p>
        </w:tc>
        <w:tc>
          <w:tcPr>
            <w:tcW w:w="977" w:type="dxa"/>
            <w:tcBorders>
              <w:top w:val="single" w:color="000000" w:sz="12" w:space="0"/>
              <w:left w:val="nil"/>
              <w:bottom w:val="nil"/>
              <w:right w:val="nil"/>
            </w:tcBorders>
            <w:shd w:val="clear" w:color="auto" w:fill="auto"/>
            <w:tcMar>
              <w:top w:w="30" w:type="dxa"/>
              <w:left w:w="45" w:type="dxa"/>
              <w:bottom w:w="30" w:type="dxa"/>
              <w:right w:w="45" w:type="dxa"/>
            </w:tcMar>
            <w:vAlign w:val="center"/>
          </w:tcPr>
          <w:p w14:paraId="57833588">
            <w:pPr>
              <w:pStyle w:val="49"/>
            </w:pPr>
          </w:p>
        </w:tc>
        <w:tc>
          <w:tcPr>
            <w:tcW w:w="1364" w:type="dxa"/>
            <w:tcBorders>
              <w:top w:val="single" w:color="000000" w:sz="12" w:space="0"/>
              <w:left w:val="nil"/>
              <w:bottom w:val="nil"/>
              <w:right w:val="nil"/>
            </w:tcBorders>
            <w:shd w:val="clear" w:color="auto" w:fill="auto"/>
            <w:tcMar>
              <w:top w:w="30" w:type="dxa"/>
              <w:left w:w="45" w:type="dxa"/>
              <w:bottom w:w="30" w:type="dxa"/>
              <w:right w:w="45" w:type="dxa"/>
            </w:tcMar>
            <w:vAlign w:val="center"/>
          </w:tcPr>
          <w:p w14:paraId="45E9C4FE">
            <w:pPr>
              <w:pStyle w:val="49"/>
            </w:pPr>
            <w:r>
              <w:t>A330/A350</w:t>
            </w:r>
          </w:p>
        </w:tc>
        <w:tc>
          <w:tcPr>
            <w:tcW w:w="3903" w:type="dxa"/>
            <w:tcBorders>
              <w:top w:val="single" w:color="000000" w:sz="12" w:space="0"/>
              <w:left w:val="nil"/>
              <w:bottom w:val="nil"/>
              <w:right w:val="nil"/>
            </w:tcBorders>
            <w:shd w:val="clear" w:color="auto" w:fill="auto"/>
            <w:tcMar>
              <w:top w:w="30" w:type="dxa"/>
              <w:left w:w="45" w:type="dxa"/>
              <w:bottom w:w="30" w:type="dxa"/>
              <w:right w:w="45" w:type="dxa"/>
            </w:tcMar>
            <w:vAlign w:val="center"/>
          </w:tcPr>
          <w:p w14:paraId="157A2A27">
            <w:pPr>
              <w:pStyle w:val="49"/>
            </w:pPr>
            <w:r>
              <w:t>A330, A330-200, A330-300, A350, A350-900, A350-1000</w:t>
            </w:r>
          </w:p>
        </w:tc>
        <w:tc>
          <w:tcPr>
            <w:tcW w:w="0" w:type="auto"/>
            <w:tcBorders>
              <w:top w:val="single" w:color="000000" w:sz="12" w:space="0"/>
              <w:left w:val="nil"/>
              <w:bottom w:val="nil"/>
              <w:right w:val="nil"/>
            </w:tcBorders>
            <w:shd w:val="clear" w:color="auto" w:fill="auto"/>
            <w:tcMar>
              <w:top w:w="30" w:type="dxa"/>
              <w:bottom w:w="30" w:type="dxa"/>
            </w:tcMar>
            <w:vAlign w:val="center"/>
          </w:tcPr>
          <w:p w14:paraId="07FD1857">
            <w:pPr>
              <w:pStyle w:val="49"/>
            </w:pPr>
            <w:r>
              <w:t xml:space="preserve"> D/E </w:t>
            </w:r>
          </w:p>
        </w:tc>
      </w:tr>
      <w:tr w14:paraId="0513ACC5">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7E1342DF">
            <w:pPr>
              <w:pStyle w:val="49"/>
            </w:pPr>
          </w:p>
        </w:tc>
        <w:tc>
          <w:tcPr>
            <w:tcW w:w="977"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50AF71E2">
            <w:pPr>
              <w:pStyle w:val="49"/>
            </w:pPr>
            <w:r>
              <w:t>Boeing</w:t>
            </w:r>
          </w:p>
        </w:tc>
        <w:tc>
          <w:tcPr>
            <w:tcW w:w="1364"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34E7BE94">
            <w:pPr>
              <w:pStyle w:val="49"/>
            </w:pPr>
            <w:r>
              <w:t>B747/B777/B787</w:t>
            </w:r>
          </w:p>
        </w:tc>
        <w:tc>
          <w:tcPr>
            <w:tcW w:w="3903" w:type="dxa"/>
            <w:tcBorders>
              <w:top w:val="nil"/>
              <w:left w:val="nil"/>
              <w:bottom w:val="single" w:color="auto" w:sz="4" w:space="0"/>
              <w:right w:val="nil"/>
            </w:tcBorders>
            <w:shd w:val="clear" w:color="auto" w:fill="auto"/>
            <w:tcMar>
              <w:top w:w="30" w:type="dxa"/>
              <w:bottom w:w="30" w:type="dxa"/>
            </w:tcMar>
            <w:vAlign w:val="center"/>
          </w:tcPr>
          <w:p w14:paraId="586387F6">
            <w:pPr>
              <w:pStyle w:val="49"/>
            </w:pPr>
            <w:r>
              <w:t>B747, B747-400, B777, B777-300, B777-300ER, B787, B787-8, B787-9</w:t>
            </w:r>
          </w:p>
        </w:tc>
        <w:tc>
          <w:tcPr>
            <w:tcW w:w="0" w:type="auto"/>
            <w:tcBorders>
              <w:top w:val="nil"/>
              <w:left w:val="nil"/>
              <w:bottom w:val="single" w:color="auto" w:sz="4" w:space="0"/>
              <w:right w:val="nil"/>
            </w:tcBorders>
            <w:shd w:val="clear" w:color="auto" w:fill="auto"/>
            <w:tcMar>
              <w:top w:w="30" w:type="dxa"/>
              <w:left w:w="45" w:type="dxa"/>
              <w:bottom w:w="30" w:type="dxa"/>
              <w:right w:w="45" w:type="dxa"/>
            </w:tcMar>
            <w:vAlign w:val="center"/>
          </w:tcPr>
          <w:p w14:paraId="471D069E">
            <w:pPr>
              <w:pStyle w:val="49"/>
            </w:pPr>
          </w:p>
        </w:tc>
      </w:tr>
      <w:tr w14:paraId="16BD430D">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single" w:color="auto" w:sz="4" w:space="0"/>
              <w:left w:val="nil"/>
              <w:bottom w:val="nil"/>
              <w:right w:val="nil"/>
            </w:tcBorders>
            <w:shd w:val="clear" w:color="auto" w:fill="auto"/>
            <w:tcMar>
              <w:top w:w="30" w:type="dxa"/>
              <w:left w:w="45" w:type="dxa"/>
              <w:bottom w:w="30" w:type="dxa"/>
              <w:right w:w="45" w:type="dxa"/>
            </w:tcMar>
            <w:vAlign w:val="center"/>
          </w:tcPr>
          <w:p w14:paraId="36EA41FA">
            <w:pPr>
              <w:pStyle w:val="49"/>
            </w:pPr>
            <w:r>
              <w:t>Narrow-body</w:t>
            </w:r>
          </w:p>
        </w:tc>
        <w:tc>
          <w:tcPr>
            <w:tcW w:w="977" w:type="dxa"/>
            <w:tcBorders>
              <w:top w:val="single" w:color="auto" w:sz="4" w:space="0"/>
              <w:left w:val="nil"/>
              <w:bottom w:val="nil"/>
              <w:right w:val="nil"/>
            </w:tcBorders>
            <w:shd w:val="clear" w:color="auto" w:fill="auto"/>
            <w:tcMar>
              <w:top w:w="30" w:type="dxa"/>
              <w:left w:w="45" w:type="dxa"/>
              <w:bottom w:w="30" w:type="dxa"/>
              <w:right w:w="45" w:type="dxa"/>
            </w:tcMar>
            <w:vAlign w:val="center"/>
          </w:tcPr>
          <w:p w14:paraId="3B809DDE">
            <w:pPr>
              <w:pStyle w:val="49"/>
            </w:pPr>
          </w:p>
        </w:tc>
        <w:tc>
          <w:tcPr>
            <w:tcW w:w="1364" w:type="dxa"/>
            <w:tcBorders>
              <w:top w:val="single" w:color="auto" w:sz="4" w:space="0"/>
              <w:left w:val="nil"/>
              <w:bottom w:val="nil"/>
              <w:right w:val="nil"/>
            </w:tcBorders>
            <w:shd w:val="clear" w:color="auto" w:fill="auto"/>
            <w:tcMar>
              <w:top w:w="30" w:type="dxa"/>
              <w:left w:w="45" w:type="dxa"/>
              <w:bottom w:w="30" w:type="dxa"/>
              <w:right w:w="45" w:type="dxa"/>
            </w:tcMar>
            <w:vAlign w:val="center"/>
          </w:tcPr>
          <w:p w14:paraId="3C4C3494">
            <w:pPr>
              <w:pStyle w:val="49"/>
            </w:pPr>
            <w:r>
              <w:t>A320 Family</w:t>
            </w:r>
          </w:p>
        </w:tc>
        <w:tc>
          <w:tcPr>
            <w:tcW w:w="3903" w:type="dxa"/>
            <w:tcBorders>
              <w:top w:val="single" w:color="auto" w:sz="4" w:space="0"/>
              <w:left w:val="nil"/>
              <w:bottom w:val="nil"/>
              <w:right w:val="nil"/>
            </w:tcBorders>
            <w:shd w:val="clear" w:color="auto" w:fill="auto"/>
            <w:tcMar>
              <w:top w:w="30" w:type="dxa"/>
              <w:left w:w="45" w:type="dxa"/>
              <w:bottom w:w="30" w:type="dxa"/>
              <w:right w:w="45" w:type="dxa"/>
            </w:tcMar>
            <w:vAlign w:val="center"/>
          </w:tcPr>
          <w:p w14:paraId="342AD458">
            <w:pPr>
              <w:pStyle w:val="49"/>
            </w:pPr>
            <w:r>
              <w:t>A319, A320, A320neo, A321, A321neo</w:t>
            </w:r>
          </w:p>
        </w:tc>
        <w:tc>
          <w:tcPr>
            <w:tcW w:w="0" w:type="auto"/>
            <w:tcBorders>
              <w:top w:val="single" w:color="auto" w:sz="4" w:space="0"/>
              <w:left w:val="nil"/>
              <w:bottom w:val="nil"/>
              <w:right w:val="nil"/>
            </w:tcBorders>
            <w:shd w:val="clear" w:color="auto" w:fill="auto"/>
            <w:tcMar>
              <w:top w:w="30" w:type="dxa"/>
              <w:bottom w:w="30" w:type="dxa"/>
            </w:tcMar>
            <w:vAlign w:val="center"/>
          </w:tcPr>
          <w:p w14:paraId="473E08FB">
            <w:pPr>
              <w:pStyle w:val="49"/>
            </w:pPr>
            <w:r>
              <w:t xml:space="preserve"> C </w:t>
            </w:r>
          </w:p>
        </w:tc>
      </w:tr>
      <w:tr w14:paraId="1CC2F502">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nil"/>
              <w:left w:val="nil"/>
              <w:bottom w:val="nil"/>
              <w:right w:val="nil"/>
            </w:tcBorders>
            <w:shd w:val="clear" w:color="auto" w:fill="auto"/>
            <w:tcMar>
              <w:top w:w="30" w:type="dxa"/>
              <w:left w:w="45" w:type="dxa"/>
              <w:bottom w:w="30" w:type="dxa"/>
              <w:right w:w="45" w:type="dxa"/>
            </w:tcMar>
            <w:vAlign w:val="center"/>
          </w:tcPr>
          <w:p w14:paraId="08107281">
            <w:pPr>
              <w:pStyle w:val="49"/>
            </w:pPr>
          </w:p>
        </w:tc>
        <w:tc>
          <w:tcPr>
            <w:tcW w:w="977" w:type="dxa"/>
            <w:tcBorders>
              <w:top w:val="nil"/>
              <w:left w:val="nil"/>
              <w:bottom w:val="nil"/>
              <w:right w:val="nil"/>
            </w:tcBorders>
            <w:shd w:val="clear" w:color="auto" w:fill="auto"/>
            <w:tcMar>
              <w:top w:w="30" w:type="dxa"/>
              <w:left w:w="45" w:type="dxa"/>
              <w:bottom w:w="30" w:type="dxa"/>
              <w:right w:w="45" w:type="dxa"/>
            </w:tcMar>
            <w:vAlign w:val="center"/>
          </w:tcPr>
          <w:p w14:paraId="6C80915B">
            <w:pPr>
              <w:pStyle w:val="49"/>
            </w:pPr>
            <w:r>
              <w:t>Boeing</w:t>
            </w:r>
          </w:p>
        </w:tc>
        <w:tc>
          <w:tcPr>
            <w:tcW w:w="1364" w:type="dxa"/>
            <w:tcBorders>
              <w:top w:val="nil"/>
              <w:left w:val="nil"/>
              <w:bottom w:val="nil"/>
              <w:right w:val="nil"/>
            </w:tcBorders>
            <w:shd w:val="clear" w:color="auto" w:fill="auto"/>
            <w:tcMar>
              <w:top w:w="30" w:type="dxa"/>
              <w:left w:w="45" w:type="dxa"/>
              <w:bottom w:w="30" w:type="dxa"/>
              <w:right w:w="45" w:type="dxa"/>
            </w:tcMar>
            <w:vAlign w:val="center"/>
          </w:tcPr>
          <w:p w14:paraId="60FCB9FC">
            <w:pPr>
              <w:pStyle w:val="49"/>
            </w:pPr>
            <w:r>
              <w:t>B737 Family</w:t>
            </w:r>
          </w:p>
        </w:tc>
        <w:tc>
          <w:tcPr>
            <w:tcW w:w="3903" w:type="dxa"/>
            <w:tcBorders>
              <w:top w:val="nil"/>
              <w:left w:val="nil"/>
              <w:bottom w:val="nil"/>
              <w:right w:val="nil"/>
            </w:tcBorders>
            <w:shd w:val="clear" w:color="auto" w:fill="auto"/>
            <w:tcMar>
              <w:top w:w="30" w:type="dxa"/>
              <w:bottom w:w="30" w:type="dxa"/>
            </w:tcMar>
            <w:vAlign w:val="center"/>
          </w:tcPr>
          <w:p w14:paraId="1C6CC537">
            <w:pPr>
              <w:pStyle w:val="49"/>
            </w:pPr>
            <w:r>
              <w:t>B737-200, B737-300 B737-300(winglets), B737-600, B737-700, B737-800, B737-800(winglets), B737 MAX 8</w:t>
            </w:r>
          </w:p>
        </w:tc>
        <w:tc>
          <w:tcPr>
            <w:tcW w:w="0" w:type="auto"/>
            <w:tcBorders>
              <w:top w:val="nil"/>
              <w:left w:val="nil"/>
              <w:bottom w:val="nil"/>
              <w:right w:val="nil"/>
            </w:tcBorders>
            <w:shd w:val="clear" w:color="auto" w:fill="auto"/>
            <w:tcMar>
              <w:top w:w="30" w:type="dxa"/>
              <w:left w:w="45" w:type="dxa"/>
              <w:bottom w:w="30" w:type="dxa"/>
              <w:right w:w="45" w:type="dxa"/>
            </w:tcMar>
            <w:vAlign w:val="center"/>
          </w:tcPr>
          <w:p w14:paraId="0DB2FE74">
            <w:pPr>
              <w:pStyle w:val="49"/>
            </w:pPr>
          </w:p>
        </w:tc>
      </w:tr>
      <w:tr w14:paraId="6C502B0B">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426BFE01">
            <w:pPr>
              <w:pStyle w:val="49"/>
            </w:pPr>
          </w:p>
        </w:tc>
        <w:tc>
          <w:tcPr>
            <w:tcW w:w="977"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4E622240">
            <w:pPr>
              <w:pStyle w:val="49"/>
            </w:pPr>
            <w:r>
              <w:t>Boeing</w:t>
            </w:r>
          </w:p>
        </w:tc>
        <w:tc>
          <w:tcPr>
            <w:tcW w:w="1364"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4681A8D5">
            <w:pPr>
              <w:pStyle w:val="49"/>
            </w:pPr>
            <w:r>
              <w:t>B757</w:t>
            </w:r>
          </w:p>
        </w:tc>
        <w:tc>
          <w:tcPr>
            <w:tcW w:w="3903" w:type="dxa"/>
            <w:tcBorders>
              <w:top w:val="nil"/>
              <w:left w:val="nil"/>
              <w:bottom w:val="single" w:color="auto" w:sz="4" w:space="0"/>
              <w:right w:val="nil"/>
            </w:tcBorders>
            <w:shd w:val="clear" w:color="auto" w:fill="auto"/>
            <w:tcMar>
              <w:top w:w="30" w:type="dxa"/>
              <w:left w:w="45" w:type="dxa"/>
              <w:bottom w:w="30" w:type="dxa"/>
              <w:right w:w="45" w:type="dxa"/>
            </w:tcMar>
            <w:vAlign w:val="center"/>
          </w:tcPr>
          <w:p w14:paraId="238D9870">
            <w:pPr>
              <w:pStyle w:val="49"/>
            </w:pPr>
            <w:r>
              <w:t>B757</w:t>
            </w:r>
          </w:p>
        </w:tc>
        <w:tc>
          <w:tcPr>
            <w:tcW w:w="0" w:type="auto"/>
            <w:tcBorders>
              <w:top w:val="nil"/>
              <w:left w:val="nil"/>
              <w:bottom w:val="single" w:color="auto" w:sz="4" w:space="0"/>
              <w:right w:val="nil"/>
            </w:tcBorders>
            <w:shd w:val="clear" w:color="auto" w:fill="auto"/>
            <w:tcMar>
              <w:top w:w="30" w:type="dxa"/>
              <w:left w:w="45" w:type="dxa"/>
              <w:bottom w:w="30" w:type="dxa"/>
              <w:right w:w="45" w:type="dxa"/>
            </w:tcMar>
            <w:vAlign w:val="center"/>
          </w:tcPr>
          <w:p w14:paraId="6A70BB59">
            <w:pPr>
              <w:pStyle w:val="49"/>
            </w:pPr>
          </w:p>
        </w:tc>
      </w:tr>
      <w:tr w14:paraId="61B22533">
        <w:tblPrEx>
          <w:tblBorders>
            <w:top w:val="single" w:color="auto" w:sz="4" w:space="0"/>
            <w:left w:val="none" w:color="auto" w:sz="6" w:space="0"/>
            <w:bottom w:val="single" w:color="auto" w:sz="4"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5" w:hRule="atLeast"/>
        </w:trPr>
        <w:tc>
          <w:tcPr>
            <w:tcW w:w="855" w:type="dxa"/>
            <w:tcBorders>
              <w:top w:val="single" w:color="auto" w:sz="4" w:space="0"/>
              <w:left w:val="nil"/>
              <w:bottom w:val="single" w:color="000000" w:sz="12" w:space="0"/>
              <w:right w:val="nil"/>
            </w:tcBorders>
            <w:shd w:val="clear" w:color="auto" w:fill="auto"/>
            <w:tcMar>
              <w:top w:w="30" w:type="dxa"/>
              <w:left w:w="45" w:type="dxa"/>
              <w:bottom w:w="30" w:type="dxa"/>
              <w:right w:w="45" w:type="dxa"/>
            </w:tcMar>
            <w:vAlign w:val="center"/>
          </w:tcPr>
          <w:p w14:paraId="66344C44">
            <w:pPr>
              <w:pStyle w:val="49"/>
            </w:pPr>
            <w:r>
              <w:t>Regional</w:t>
            </w:r>
          </w:p>
        </w:tc>
        <w:tc>
          <w:tcPr>
            <w:tcW w:w="977" w:type="dxa"/>
            <w:tcBorders>
              <w:top w:val="single" w:color="auto" w:sz="4" w:space="0"/>
              <w:left w:val="nil"/>
              <w:bottom w:val="single" w:color="000000" w:sz="12" w:space="0"/>
              <w:right w:val="nil"/>
            </w:tcBorders>
            <w:shd w:val="clear" w:color="auto" w:fill="auto"/>
            <w:tcMar>
              <w:top w:w="30" w:type="dxa"/>
              <w:left w:w="45" w:type="dxa"/>
              <w:bottom w:w="30" w:type="dxa"/>
              <w:right w:w="45" w:type="dxa"/>
            </w:tcMar>
            <w:vAlign w:val="center"/>
          </w:tcPr>
          <w:p w14:paraId="1C79291D">
            <w:pPr>
              <w:pStyle w:val="49"/>
            </w:pPr>
            <w:r>
              <w:t>COMAC</w:t>
            </w:r>
          </w:p>
        </w:tc>
        <w:tc>
          <w:tcPr>
            <w:tcW w:w="1364" w:type="dxa"/>
            <w:tcBorders>
              <w:top w:val="single" w:color="auto" w:sz="4" w:space="0"/>
              <w:left w:val="nil"/>
              <w:bottom w:val="single" w:color="000000" w:sz="12" w:space="0"/>
              <w:right w:val="nil"/>
            </w:tcBorders>
            <w:shd w:val="clear" w:color="auto" w:fill="auto"/>
            <w:tcMar>
              <w:top w:w="30" w:type="dxa"/>
              <w:left w:w="45" w:type="dxa"/>
              <w:bottom w:w="30" w:type="dxa"/>
              <w:right w:w="45" w:type="dxa"/>
            </w:tcMar>
            <w:vAlign w:val="center"/>
          </w:tcPr>
          <w:p w14:paraId="0B2BFC4C">
            <w:pPr>
              <w:pStyle w:val="49"/>
            </w:pPr>
            <w:r>
              <w:t>ARJ21</w:t>
            </w:r>
          </w:p>
        </w:tc>
        <w:tc>
          <w:tcPr>
            <w:tcW w:w="3903" w:type="dxa"/>
            <w:tcBorders>
              <w:top w:val="single" w:color="auto" w:sz="4" w:space="0"/>
              <w:left w:val="nil"/>
              <w:bottom w:val="single" w:color="000000" w:sz="12" w:space="0"/>
              <w:right w:val="nil"/>
            </w:tcBorders>
            <w:shd w:val="clear" w:color="auto" w:fill="auto"/>
            <w:tcMar>
              <w:top w:w="30" w:type="dxa"/>
              <w:left w:w="45" w:type="dxa"/>
              <w:bottom w:w="30" w:type="dxa"/>
              <w:right w:w="45" w:type="dxa"/>
            </w:tcMar>
            <w:vAlign w:val="center"/>
          </w:tcPr>
          <w:p w14:paraId="6B882486">
            <w:pPr>
              <w:pStyle w:val="49"/>
            </w:pPr>
            <w:r>
              <w:t>ARJ21-700</w:t>
            </w:r>
          </w:p>
        </w:tc>
        <w:tc>
          <w:tcPr>
            <w:tcW w:w="0" w:type="auto"/>
            <w:tcBorders>
              <w:top w:val="single" w:color="auto" w:sz="4" w:space="0"/>
              <w:left w:val="nil"/>
              <w:bottom w:val="single" w:color="000000" w:sz="12" w:space="0"/>
              <w:right w:val="nil"/>
            </w:tcBorders>
            <w:shd w:val="clear" w:color="auto" w:fill="auto"/>
            <w:tcMar>
              <w:top w:w="30" w:type="dxa"/>
              <w:left w:w="45" w:type="dxa"/>
              <w:bottom w:w="30" w:type="dxa"/>
              <w:right w:w="45" w:type="dxa"/>
            </w:tcMar>
            <w:vAlign w:val="center"/>
          </w:tcPr>
          <w:p w14:paraId="3119D894">
            <w:pPr>
              <w:pStyle w:val="49"/>
            </w:pPr>
            <w:r>
              <w:rPr>
                <w:rFonts w:hint="eastAsia"/>
              </w:rPr>
              <w:t>C</w:t>
            </w:r>
          </w:p>
        </w:tc>
      </w:tr>
    </w:tbl>
    <w:p w14:paraId="74FB2702">
      <w:pPr>
        <w:ind w:firstLine="420"/>
        <w:rPr>
          <w:rFonts w:ascii="宋体" w:hAnsi="宋体" w:cs="宋体"/>
          <w:szCs w:val="24"/>
          <w:lang w:bidi="ar"/>
        </w:rPr>
      </w:pPr>
    </w:p>
    <w:p w14:paraId="4EAE6BDB">
      <w:pPr>
        <w:ind w:firstLine="420"/>
        <w:rPr>
          <w:szCs w:val="24"/>
        </w:rPr>
      </w:pPr>
      <w:r>
        <w:rPr>
          <w:szCs w:val="24"/>
        </w:rPr>
        <w:t>(2) Trajectory clustering and standardized routing</w:t>
      </w:r>
      <w:r>
        <w:rPr>
          <w:rFonts w:hint="eastAsia"/>
          <w:szCs w:val="24"/>
        </w:rPr>
        <w:t>.</w:t>
      </w:r>
      <w:r>
        <w:rPr>
          <w:szCs w:val="24"/>
        </w:rPr>
        <w:t xml:space="preserve"> </w:t>
      </w:r>
    </w:p>
    <w:p w14:paraId="05174E54">
      <w:pPr>
        <w:ind w:firstLine="420"/>
        <w:rPr>
          <w:szCs w:val="24"/>
        </w:rPr>
      </w:pPr>
      <w:r>
        <w:rPr>
          <w:szCs w:val="24"/>
        </w:rPr>
        <w:t>To ensure computational tractability while preserving physical realism, aircraft ground trajectories were clustered and standardized.</w:t>
      </w:r>
    </w:p>
    <w:p w14:paraId="12B1C4E4">
      <w:pPr>
        <w:ind w:firstLine="420"/>
        <w:rPr>
          <w:szCs w:val="24"/>
        </w:rPr>
      </w:pPr>
      <w:r>
        <w:rPr>
          <w:rFonts w:hint="eastAsia"/>
          <w:szCs w:val="24"/>
        </w:rPr>
        <w:t>①</w:t>
      </w:r>
      <w:r>
        <w:rPr>
          <w:szCs w:val="24"/>
        </w:rPr>
        <w:t>Trajectory consistency verification.ADS-B trajectory data retrieved from the Feichangzhun platform were analyzed for representative aircraft types (e.g., A330, A321, B737; Fig.</w:t>
      </w:r>
      <w:r>
        <w:rPr>
          <w:rFonts w:hint="eastAsia"/>
          <w:szCs w:val="24"/>
        </w:rPr>
        <w:t>S</w:t>
      </w:r>
      <w:r>
        <w:rPr>
          <w:szCs w:val="24"/>
        </w:rPr>
        <w:t>4.4a–c). Spatial overlay analysis shows that aircraft within the same ICAO reference category exhibit highly consistent taxi patterns. In particular, Code C aircraft (e.g., B737/A320) and Code D aircraft (e.g., A330/B787) display strong overlap in their use of primary taxiways and connector segments.</w:t>
      </w:r>
    </w:p>
    <w:p w14:paraId="12859EE7">
      <w:pPr>
        <w:pStyle w:val="58"/>
        <w:rPr>
          <w:rFonts w:hint="default"/>
        </w:rPr>
      </w:pPr>
      <w:r>
        <w:drawing>
          <wp:inline distT="0" distB="0" distL="114300" distR="114300">
            <wp:extent cx="1625600" cy="4641215"/>
            <wp:effectExtent l="0" t="0" r="6985" b="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30"/>
                    <a:srcRect l="6538"/>
                    <a:stretch>
                      <a:fillRect/>
                    </a:stretch>
                  </pic:blipFill>
                  <pic:spPr>
                    <a:xfrm rot="16200000">
                      <a:off x="0" y="0"/>
                      <a:ext cx="1625600" cy="4641215"/>
                    </a:xfrm>
                    <a:prstGeom prst="rect">
                      <a:avLst/>
                    </a:prstGeom>
                    <a:noFill/>
                    <a:ln>
                      <a:noFill/>
                    </a:ln>
                  </pic:spPr>
                </pic:pic>
              </a:graphicData>
            </a:graphic>
          </wp:inline>
        </w:drawing>
      </w:r>
    </w:p>
    <w:p w14:paraId="02A55071">
      <w:pPr>
        <w:tabs>
          <w:tab w:val="left" w:pos="1338"/>
        </w:tabs>
        <w:ind w:firstLine="420"/>
        <w:jc w:val="center"/>
        <w:rPr>
          <w:kern w:val="2"/>
          <w:szCs w:val="21"/>
        </w:rPr>
      </w:pPr>
      <w:r>
        <w:rPr>
          <w:kern w:val="2"/>
          <w:szCs w:val="21"/>
        </w:rPr>
        <w:t>(a) A330 arrival taxi trajectory.</w:t>
      </w:r>
    </w:p>
    <w:p w14:paraId="4FCAC004">
      <w:pPr>
        <w:pStyle w:val="58"/>
        <w:rPr>
          <w:rFonts w:hint="default"/>
        </w:rPr>
      </w:pPr>
      <w:r>
        <w:rPr>
          <w:lang w:bidi="ar"/>
        </w:rPr>
        <w:drawing>
          <wp:inline distT="0" distB="0" distL="114300" distR="114300">
            <wp:extent cx="1622425" cy="4677410"/>
            <wp:effectExtent l="0" t="0" r="8890" b="317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31"/>
                    <a:stretch>
                      <a:fillRect/>
                    </a:stretch>
                  </pic:blipFill>
                  <pic:spPr>
                    <a:xfrm rot="16200000">
                      <a:off x="0" y="0"/>
                      <a:ext cx="1622425" cy="4677410"/>
                    </a:xfrm>
                    <a:prstGeom prst="rect">
                      <a:avLst/>
                    </a:prstGeom>
                    <a:noFill/>
                    <a:ln>
                      <a:noFill/>
                    </a:ln>
                  </pic:spPr>
                </pic:pic>
              </a:graphicData>
            </a:graphic>
          </wp:inline>
        </w:drawing>
      </w:r>
      <w:r>
        <w:rPr>
          <w:lang w:bidi="ar"/>
        </w:rPr>
        <w:t xml:space="preserve"> </w:t>
      </w:r>
    </w:p>
    <w:p w14:paraId="06BFD7BA">
      <w:pPr>
        <w:tabs>
          <w:tab w:val="left" w:pos="3347"/>
        </w:tabs>
        <w:ind w:firstLine="420" w:firstLineChars="0"/>
        <w:jc w:val="center"/>
        <w:rPr>
          <w:kern w:val="2"/>
          <w:szCs w:val="21"/>
        </w:rPr>
      </w:pPr>
      <w:r>
        <w:rPr>
          <w:kern w:val="2"/>
          <w:szCs w:val="21"/>
        </w:rPr>
        <w:t>(b) A321 arrival taxi trajectory.</w:t>
      </w:r>
    </w:p>
    <w:p w14:paraId="1FBA11D0">
      <w:pPr>
        <w:pStyle w:val="58"/>
        <w:rPr>
          <w:rFonts w:hint="default"/>
        </w:rPr>
      </w:pPr>
      <w:r>
        <w:drawing>
          <wp:inline distT="0" distB="0" distL="114300" distR="114300">
            <wp:extent cx="1768475" cy="4689475"/>
            <wp:effectExtent l="0" t="0" r="9525" b="952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32"/>
                    <a:stretch>
                      <a:fillRect/>
                    </a:stretch>
                  </pic:blipFill>
                  <pic:spPr>
                    <a:xfrm rot="16200000">
                      <a:off x="0" y="0"/>
                      <a:ext cx="1768475" cy="4689475"/>
                    </a:xfrm>
                    <a:prstGeom prst="rect">
                      <a:avLst/>
                    </a:prstGeom>
                    <a:noFill/>
                    <a:ln>
                      <a:noFill/>
                    </a:ln>
                  </pic:spPr>
                </pic:pic>
              </a:graphicData>
            </a:graphic>
          </wp:inline>
        </w:drawing>
      </w:r>
    </w:p>
    <w:p w14:paraId="615CB3E2">
      <w:pPr>
        <w:ind w:firstLine="420"/>
        <w:jc w:val="center"/>
        <w:rPr>
          <w:kern w:val="2"/>
          <w:szCs w:val="21"/>
        </w:rPr>
      </w:pPr>
      <w:r>
        <w:rPr>
          <w:kern w:val="2"/>
          <w:szCs w:val="21"/>
        </w:rPr>
        <w:t>(c) B737 arrival taxi trajectory.</w:t>
      </w:r>
    </w:p>
    <w:p w14:paraId="46DEA593">
      <w:pPr>
        <w:pStyle w:val="52"/>
      </w:pPr>
      <w:r>
        <w:t>Fig</w:t>
      </w:r>
      <w:r>
        <w:rPr>
          <w:rFonts w:hint="eastAsia"/>
        </w:rPr>
        <w:t>.S</w:t>
      </w:r>
      <w:r>
        <w:t>4.4</w:t>
      </w:r>
      <w:r>
        <w:rPr>
          <w:rFonts w:hint="eastAsia"/>
        </w:rPr>
        <w:t>.</w:t>
      </w:r>
      <w:r>
        <w:t xml:space="preserve"> Observed arrival taxi trajectories of representative aircraft types at Shanghai Hongqiao International Airport</w:t>
      </w:r>
    </w:p>
    <w:p w14:paraId="03CE6489">
      <w:pPr>
        <w:ind w:firstLine="420"/>
        <w:rPr>
          <w:szCs w:val="24"/>
        </w:rPr>
      </w:pPr>
      <w:r>
        <w:rPr>
          <w:rFonts w:hint="eastAsia" w:ascii="宋体" w:hAnsi="宋体" w:cs="宋体"/>
          <w:szCs w:val="24"/>
          <w:lang w:bidi="ar"/>
        </w:rPr>
        <w:t>②</w:t>
      </w:r>
      <w:r>
        <w:rPr>
          <w:szCs w:val="24"/>
        </w:rPr>
        <w:t xml:space="preserve">Standard route construction.Based on this consistency, a simplified “Code C–dominant” routing strategy was adopted. Standard taxi routes defined for Code C aircraft were used as the computational baseline for Code D aircraft. Combining official airport operational procedures and terminal layout, four standard arrival–departure routing configurations were defined according to terminal zone (east/west) and runway operating direction (north/south) (Fig. </w:t>
      </w:r>
      <w:r>
        <w:rPr>
          <w:rFonts w:hint="eastAsia"/>
          <w:szCs w:val="24"/>
        </w:rPr>
        <w:t>S</w:t>
      </w:r>
      <w:r>
        <w:rPr>
          <w:szCs w:val="24"/>
        </w:rPr>
        <w:t>4.5).</w:t>
      </w:r>
    </w:p>
    <w:p w14:paraId="397E34A5">
      <w:pPr>
        <w:ind w:firstLine="420"/>
        <w:rPr>
          <w:szCs w:val="24"/>
        </w:rPr>
      </w:pPr>
      <w:r>
        <w:rPr>
          <w:rFonts w:hint="eastAsia" w:ascii="宋体" w:hAnsi="宋体" w:cs="宋体"/>
          <w:szCs w:val="24"/>
          <w:lang w:bidi="ar"/>
        </w:rPr>
        <w:t>③</w:t>
      </w:r>
      <w:r>
        <w:rPr>
          <w:szCs w:val="24"/>
        </w:rPr>
        <w:t>Spatial matching.Each standard route was projected onto the segmented pavement map established in Supplementary Note 4.2.1. This generated aircraft-type-specific ordered segment lists, explicitly identifying the pavement units traversed during each arrival and departure operation.</w:t>
      </w:r>
    </w:p>
    <w:p w14:paraId="2E71F581">
      <w:pPr>
        <w:pStyle w:val="58"/>
        <w:ind w:firstLine="840" w:firstLineChars="400"/>
        <w:jc w:val="left"/>
        <w:rPr>
          <w:rFonts w:hint="default"/>
        </w:rPr>
      </w:pPr>
      <w:r>
        <w:drawing>
          <wp:inline distT="0" distB="0" distL="114300" distR="114300">
            <wp:extent cx="4319905" cy="2310130"/>
            <wp:effectExtent l="0" t="0" r="10795" b="1270"/>
            <wp:docPr id="16" name="图片 16" descr="微信图片_20260125141738_7779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60125141738_7779_64"/>
                    <pic:cNvPicPr>
                      <a:picLocks noChangeAspect="1"/>
                    </pic:cNvPicPr>
                  </pic:nvPicPr>
                  <pic:blipFill>
                    <a:blip r:embed="rId33"/>
                    <a:stretch>
                      <a:fillRect/>
                    </a:stretch>
                  </pic:blipFill>
                  <pic:spPr>
                    <a:xfrm>
                      <a:off x="0" y="0"/>
                      <a:ext cx="4319905" cy="2310130"/>
                    </a:xfrm>
                    <a:prstGeom prst="rect">
                      <a:avLst/>
                    </a:prstGeom>
                  </pic:spPr>
                </pic:pic>
              </a:graphicData>
            </a:graphic>
          </wp:inline>
        </w:drawing>
      </w:r>
    </w:p>
    <w:p w14:paraId="07DBE9B4">
      <w:pPr>
        <w:pStyle w:val="58"/>
        <w:rPr>
          <w:rFonts w:hint="default"/>
        </w:rPr>
      </w:pPr>
      <w:r>
        <w:t>(a) Southbound runway operation.</w:t>
      </w:r>
    </w:p>
    <w:p w14:paraId="6291F406">
      <w:pPr>
        <w:pStyle w:val="58"/>
        <w:rPr>
          <w:rFonts w:hint="default"/>
        </w:rPr>
      </w:pPr>
      <w:r>
        <w:drawing>
          <wp:inline distT="0" distB="0" distL="114300" distR="114300">
            <wp:extent cx="4319905" cy="2518410"/>
            <wp:effectExtent l="0" t="0" r="10795" b="8890"/>
            <wp:docPr id="20" name="图片 20" descr="微信图片_20260125145504_7789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60125145504_7789_64"/>
                    <pic:cNvPicPr>
                      <a:picLocks noChangeAspect="1"/>
                    </pic:cNvPicPr>
                  </pic:nvPicPr>
                  <pic:blipFill>
                    <a:blip r:embed="rId34"/>
                    <a:stretch>
                      <a:fillRect/>
                    </a:stretch>
                  </pic:blipFill>
                  <pic:spPr>
                    <a:xfrm>
                      <a:off x="0" y="0"/>
                      <a:ext cx="4319905" cy="2518410"/>
                    </a:xfrm>
                    <a:prstGeom prst="rect">
                      <a:avLst/>
                    </a:prstGeom>
                  </pic:spPr>
                </pic:pic>
              </a:graphicData>
            </a:graphic>
          </wp:inline>
        </w:drawing>
      </w:r>
    </w:p>
    <w:p w14:paraId="254D05A1">
      <w:pPr>
        <w:pStyle w:val="58"/>
        <w:rPr>
          <w:rFonts w:hint="default"/>
        </w:rPr>
      </w:pPr>
      <w:r>
        <w:t>(b) Northbound runway operation.</w:t>
      </w:r>
    </w:p>
    <w:p w14:paraId="1625B422">
      <w:pPr>
        <w:pStyle w:val="52"/>
      </w:pPr>
      <w:r>
        <w:t>Fig</w:t>
      </w:r>
      <w:r>
        <w:rPr>
          <w:rFonts w:hint="eastAsia"/>
        </w:rPr>
        <w:t>.</w:t>
      </w:r>
      <w:r>
        <w:t>4.5</w:t>
      </w:r>
      <w:r>
        <w:rPr>
          <w:rFonts w:hint="eastAsia"/>
        </w:rPr>
        <w:t>.</w:t>
      </w:r>
      <w:r>
        <w:t xml:space="preserve"> Standardized arrival–departure routing configurations at Shanghai Hongqiao International Airport</w:t>
      </w:r>
    </w:p>
    <w:p w14:paraId="3B4A7565">
      <w:pPr>
        <w:ind w:firstLine="420"/>
        <w:rPr>
          <w:szCs w:val="24"/>
        </w:rPr>
      </w:pPr>
      <w:r>
        <w:rPr>
          <w:szCs w:val="24"/>
        </w:rPr>
        <w:t>(3) Speed control at key nodes and segment-level kinematic reconstruction. After spatial routes were determined, aircraft motion states were reconstructed at the segment level. Speed constraints were defined according to the Civil Airport Airfield Technical Standards and ICAO design recommendations:</w:t>
      </w:r>
    </w:p>
    <w:p w14:paraId="5D986E94">
      <w:pPr>
        <w:ind w:firstLine="420"/>
        <w:rPr>
          <w:szCs w:val="24"/>
        </w:rPr>
      </w:pPr>
      <w:r>
        <w:rPr>
          <w:rFonts w:hint="eastAsia" w:ascii="宋体" w:hAnsi="宋体" w:cs="宋体"/>
          <w:szCs w:val="24"/>
          <w:lang w:bidi="ar"/>
        </w:rPr>
        <w:t xml:space="preserve">① </w:t>
      </w:r>
      <w:r>
        <w:rPr>
          <w:szCs w:val="24"/>
        </w:rPr>
        <w:t>Runway exit speed (rapid-exit taxiway): 90 km/h (Code 4E/4F operational assumption);</w:t>
      </w:r>
    </w:p>
    <w:p w14:paraId="07DDDE2E">
      <w:pPr>
        <w:ind w:firstLine="420"/>
        <w:rPr>
          <w:szCs w:val="24"/>
        </w:rPr>
      </w:pPr>
      <w:r>
        <w:rPr>
          <w:rFonts w:hint="eastAsia" w:ascii="宋体" w:hAnsi="宋体" w:cs="宋体"/>
          <w:szCs w:val="24"/>
          <w:lang w:bidi="ar"/>
        </w:rPr>
        <w:t>②</w:t>
      </w:r>
      <w:r>
        <w:rPr>
          <w:szCs w:val="24"/>
        </w:rPr>
        <w:t>Maximum conventional taxiway speed: 50 km/h;</w:t>
      </w:r>
    </w:p>
    <w:p w14:paraId="36CF161E">
      <w:pPr>
        <w:ind w:firstLine="420"/>
        <w:rPr>
          <w:szCs w:val="24"/>
        </w:rPr>
      </w:pPr>
      <w:r>
        <w:rPr>
          <w:rFonts w:hint="eastAsia"/>
          <w:szCs w:val="24"/>
        </w:rPr>
        <w:t>③</w:t>
      </w:r>
      <w:r>
        <w:rPr>
          <w:szCs w:val="24"/>
        </w:rPr>
        <w:t>Parking stand terminal speed: 0 km/h.</w:t>
      </w:r>
    </w:p>
    <w:p w14:paraId="026C70AF">
      <w:pPr>
        <w:ind w:firstLine="420"/>
        <w:rPr>
          <w:szCs w:val="24"/>
        </w:rPr>
      </w:pPr>
      <w:r>
        <w:rPr>
          <w:szCs w:val="24"/>
          <w:lang w:bidi="ar"/>
        </w:rPr>
        <w:t>Between adjacent operational nodes (e.g., touchdown point, turning intersections, stand position), aircraft motion was assumed to follow uniformly accelerated or decelerated kinematics. For each 100 m pavement segment, entry speed, exit speed and acceleration were calculated using standard kinematic equations. This procedure was repeated for all 31 aircraft types under both arrival and departure scenarios. The resulting aircraft–segment dynamic dataset (Source Data 3) provides the time-resolved velocity and acceleration inputs required by the coupled vibration–energy dissipation model.</w:t>
      </w:r>
    </w:p>
    <w:p w14:paraId="267E46B9">
      <w:pPr>
        <w:pStyle w:val="4"/>
        <w:ind w:firstLine="482"/>
      </w:pPr>
      <w:r>
        <w:t>4.2.4 Segment-level calculation and annual aggregation</w:t>
      </w:r>
    </w:p>
    <w:p w14:paraId="1B7B4065">
      <w:pPr>
        <w:ind w:firstLine="420"/>
        <w:rPr>
          <w:szCs w:val="24"/>
        </w:rPr>
      </w:pPr>
      <w:r>
        <w:rPr>
          <w:szCs w:val="24"/>
        </w:rPr>
        <w:t>Following spatial discretization, pavement attribute parameterization and aircraft trajectory reconstruction, additional energy dissipation and emission inventories attributable to pavement roughness were calculated using the coupled aircraft–pavement dynamic model.</w:t>
      </w:r>
    </w:p>
    <w:p w14:paraId="469F76B7">
      <w:pPr>
        <w:ind w:firstLine="420"/>
        <w:rPr>
          <w:szCs w:val="24"/>
        </w:rPr>
      </w:pPr>
      <w:r>
        <w:rPr>
          <w:szCs w:val="24"/>
        </w:rPr>
        <w:t>(1) Segment-level energy dissipation</w:t>
      </w:r>
      <w:r>
        <w:rPr>
          <w:rFonts w:hint="eastAsia"/>
          <w:szCs w:val="24"/>
        </w:rPr>
        <w:t>.</w:t>
      </w:r>
      <w:r>
        <w:rPr>
          <w:szCs w:val="24"/>
        </w:rPr>
        <w:t xml:space="preserve"> The aircraft segment-operation table (Supplementary Note 4.2.3) was coupled with the pavement attribute matrix (Supplementary Note 4.2.2) through segment identifiers.</w:t>
      </w:r>
    </w:p>
    <w:p w14:paraId="2EED43F9">
      <w:pPr>
        <w:ind w:firstLine="420"/>
        <w:rPr>
          <w:szCs w:val="24"/>
        </w:rPr>
      </w:pPr>
      <w:r>
        <w:rPr>
          <w:szCs w:val="24"/>
        </w:rPr>
        <w:t>For each aircraft–segment combination, additional vibration-induced energy dissipation was calculated using the emission model described in Methods 2–3 of the main text. The calculation accounts for aircraft type–specific mass and landing gear configuration, segment-level structural parameters, andlocal pavement roughness excitation.</w:t>
      </w:r>
    </w:p>
    <w:p w14:paraId="45A4CF34">
      <w:pPr>
        <w:ind w:firstLine="420"/>
        <w:rPr>
          <w:rFonts w:ascii="宋体" w:hAnsi="宋体" w:cs="宋体"/>
          <w:szCs w:val="24"/>
          <w:lang w:bidi="ar"/>
        </w:rPr>
      </w:pPr>
      <w:r>
        <w:rPr>
          <w:szCs w:val="24"/>
        </w:rPr>
        <w:t>Traversing all segments along standardized taxi routes generated a segment-resolved additional energy consumption table (Source Data 4), providing energy dissipation per aircraft per metre of taxi distance.</w:t>
      </w:r>
    </w:p>
    <w:p w14:paraId="3984CE08">
      <w:pPr>
        <w:pStyle w:val="52"/>
      </w:pPr>
      <w:r>
        <w:t>Table</w:t>
      </w:r>
      <w:r>
        <w:rPr>
          <w:rFonts w:hint="eastAsia"/>
        </w:rPr>
        <w:t xml:space="preserve"> S</w:t>
      </w:r>
      <w:r>
        <w:t>4.10</w:t>
      </w:r>
      <w:r>
        <w:rPr>
          <w:rFonts w:hint="eastAsia"/>
        </w:rPr>
        <w:t>.</w:t>
      </w:r>
      <w:r>
        <w:t xml:space="preserve"> Aircraft movements by type (Shanghai Hongqiao International Airport, 2019)</w:t>
      </w:r>
    </w:p>
    <w:tbl>
      <w:tblPr>
        <w:tblStyle w:val="16"/>
        <w:tblW w:w="0" w:type="auto"/>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5AACB10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bottom w:val="single" w:color="000000" w:sz="12" w:space="0"/>
              <w:tl2br w:val="nil"/>
              <w:tr2bl w:val="nil"/>
            </w:tcBorders>
            <w:vAlign w:val="bottom"/>
          </w:tcPr>
          <w:p w14:paraId="2E8CB209">
            <w:pPr>
              <w:pStyle w:val="49"/>
              <w:rPr>
                <w:rFonts w:ascii="宋体" w:hAnsi="宋体" w:cs="宋体"/>
                <w:szCs w:val="24"/>
                <w:lang w:bidi="ar"/>
              </w:rPr>
            </w:pPr>
            <w:r>
              <w:t>Specific Aircraft Name</w:t>
            </w:r>
          </w:p>
        </w:tc>
        <w:tc>
          <w:tcPr>
            <w:tcW w:w="2130" w:type="dxa"/>
            <w:tcBorders>
              <w:bottom w:val="single" w:color="000000" w:sz="12" w:space="0"/>
              <w:tl2br w:val="nil"/>
              <w:tr2bl w:val="nil"/>
            </w:tcBorders>
            <w:vAlign w:val="bottom"/>
          </w:tcPr>
          <w:p w14:paraId="77340878">
            <w:pPr>
              <w:pStyle w:val="49"/>
              <w:rPr>
                <w:rFonts w:ascii="宋体" w:hAnsi="宋体" w:cs="宋体"/>
                <w:szCs w:val="24"/>
                <w:lang w:bidi="ar"/>
              </w:rPr>
            </w:pPr>
            <w:r>
              <w:t>Frequency</w:t>
            </w:r>
          </w:p>
        </w:tc>
        <w:tc>
          <w:tcPr>
            <w:tcW w:w="2131" w:type="dxa"/>
            <w:tcBorders>
              <w:bottom w:val="single" w:color="000000" w:sz="12" w:space="0"/>
              <w:tl2br w:val="nil"/>
              <w:tr2bl w:val="nil"/>
            </w:tcBorders>
            <w:shd w:val="clear" w:color="auto" w:fill="auto"/>
            <w:vAlign w:val="bottom"/>
          </w:tcPr>
          <w:p w14:paraId="57BB85BF">
            <w:pPr>
              <w:pStyle w:val="49"/>
              <w:rPr>
                <w:rFonts w:ascii="宋体" w:hAnsi="宋体" w:cs="宋体"/>
                <w:szCs w:val="24"/>
                <w:lang w:bidi="ar"/>
              </w:rPr>
            </w:pPr>
            <w:r>
              <w:t>Specific Aircraft Name</w:t>
            </w:r>
          </w:p>
        </w:tc>
        <w:tc>
          <w:tcPr>
            <w:tcW w:w="2131" w:type="dxa"/>
            <w:tcBorders>
              <w:bottom w:val="single" w:color="000000" w:sz="12" w:space="0"/>
              <w:right w:val="nil"/>
              <w:tl2br w:val="nil"/>
              <w:tr2bl w:val="nil"/>
            </w:tcBorders>
            <w:shd w:val="clear" w:color="auto" w:fill="auto"/>
            <w:vAlign w:val="bottom"/>
          </w:tcPr>
          <w:p w14:paraId="62F1BF04">
            <w:pPr>
              <w:pStyle w:val="49"/>
              <w:rPr>
                <w:rFonts w:ascii="宋体" w:hAnsi="宋体" w:cs="宋体"/>
                <w:szCs w:val="24"/>
                <w:lang w:bidi="ar"/>
              </w:rPr>
            </w:pPr>
            <w:r>
              <w:t>Frequency</w:t>
            </w:r>
          </w:p>
        </w:tc>
      </w:tr>
      <w:tr w14:paraId="4DD0596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000000" w:sz="12" w:space="0"/>
              <w:left w:val="nil"/>
              <w:tl2br w:val="nil"/>
              <w:tr2bl w:val="nil"/>
            </w:tcBorders>
            <w:vAlign w:val="bottom"/>
          </w:tcPr>
          <w:p w14:paraId="03D6F2DB">
            <w:pPr>
              <w:pStyle w:val="49"/>
              <w:rPr>
                <w:rFonts w:ascii="宋体" w:hAnsi="宋体" w:cs="宋体"/>
                <w:szCs w:val="24"/>
                <w:lang w:bidi="ar"/>
              </w:rPr>
            </w:pPr>
            <w:r>
              <w:t xml:space="preserve"> A319</w:t>
            </w:r>
          </w:p>
        </w:tc>
        <w:tc>
          <w:tcPr>
            <w:tcW w:w="2130" w:type="dxa"/>
            <w:tcBorders>
              <w:top w:val="single" w:color="000000" w:sz="12" w:space="0"/>
              <w:tl2br w:val="nil"/>
              <w:tr2bl w:val="nil"/>
            </w:tcBorders>
            <w:vAlign w:val="bottom"/>
          </w:tcPr>
          <w:p w14:paraId="5BA993CB">
            <w:pPr>
              <w:pStyle w:val="49"/>
              <w:rPr>
                <w:rFonts w:ascii="宋体" w:hAnsi="宋体" w:cs="宋体"/>
                <w:szCs w:val="24"/>
                <w:lang w:bidi="ar"/>
              </w:rPr>
            </w:pPr>
            <w:r>
              <w:t>171</w:t>
            </w:r>
          </w:p>
        </w:tc>
        <w:tc>
          <w:tcPr>
            <w:tcW w:w="2131" w:type="dxa"/>
            <w:tcBorders>
              <w:top w:val="single" w:color="000000" w:sz="12" w:space="0"/>
              <w:tl2br w:val="nil"/>
              <w:tr2bl w:val="nil"/>
            </w:tcBorders>
            <w:shd w:val="clear" w:color="auto" w:fill="auto"/>
            <w:vAlign w:val="bottom"/>
          </w:tcPr>
          <w:p w14:paraId="2B278D45">
            <w:pPr>
              <w:pStyle w:val="49"/>
            </w:pPr>
            <w:r>
              <w:t>B737-600</w:t>
            </w:r>
          </w:p>
        </w:tc>
        <w:tc>
          <w:tcPr>
            <w:tcW w:w="2131" w:type="dxa"/>
            <w:tcBorders>
              <w:top w:val="single" w:color="000000" w:sz="12" w:space="0"/>
              <w:right w:val="nil"/>
              <w:tl2br w:val="nil"/>
              <w:tr2bl w:val="nil"/>
            </w:tcBorders>
            <w:shd w:val="clear" w:color="auto" w:fill="auto"/>
            <w:vAlign w:val="bottom"/>
          </w:tcPr>
          <w:p w14:paraId="6096B2FD">
            <w:pPr>
              <w:pStyle w:val="49"/>
            </w:pPr>
            <w:r>
              <w:t>3</w:t>
            </w:r>
          </w:p>
        </w:tc>
      </w:tr>
      <w:tr w14:paraId="39FA0BD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vAlign w:val="bottom"/>
          </w:tcPr>
          <w:p w14:paraId="66A09307">
            <w:pPr>
              <w:pStyle w:val="49"/>
              <w:rPr>
                <w:rFonts w:ascii="宋体" w:hAnsi="宋体" w:cs="宋体"/>
                <w:szCs w:val="24"/>
                <w:lang w:bidi="ar"/>
              </w:rPr>
            </w:pPr>
            <w:r>
              <w:t xml:space="preserve"> A320</w:t>
            </w:r>
          </w:p>
        </w:tc>
        <w:tc>
          <w:tcPr>
            <w:tcW w:w="2130" w:type="dxa"/>
            <w:tcBorders>
              <w:tl2br w:val="nil"/>
              <w:tr2bl w:val="nil"/>
            </w:tcBorders>
            <w:vAlign w:val="bottom"/>
          </w:tcPr>
          <w:p w14:paraId="179931F6">
            <w:pPr>
              <w:pStyle w:val="49"/>
              <w:rPr>
                <w:rFonts w:ascii="宋体" w:hAnsi="宋体" w:cs="宋体"/>
                <w:szCs w:val="24"/>
                <w:lang w:bidi="ar"/>
              </w:rPr>
            </w:pPr>
            <w:r>
              <w:t>28481</w:t>
            </w:r>
          </w:p>
        </w:tc>
        <w:tc>
          <w:tcPr>
            <w:tcW w:w="2131" w:type="dxa"/>
            <w:tcBorders>
              <w:tl2br w:val="nil"/>
              <w:tr2bl w:val="nil"/>
            </w:tcBorders>
            <w:shd w:val="clear" w:color="auto" w:fill="auto"/>
            <w:vAlign w:val="bottom"/>
          </w:tcPr>
          <w:p w14:paraId="1983F491">
            <w:pPr>
              <w:pStyle w:val="49"/>
            </w:pPr>
            <w:r>
              <w:t>B737-700</w:t>
            </w:r>
          </w:p>
        </w:tc>
        <w:tc>
          <w:tcPr>
            <w:tcW w:w="2131" w:type="dxa"/>
            <w:tcBorders>
              <w:right w:val="nil"/>
              <w:tl2br w:val="nil"/>
              <w:tr2bl w:val="nil"/>
            </w:tcBorders>
            <w:shd w:val="clear" w:color="auto" w:fill="auto"/>
            <w:vAlign w:val="bottom"/>
          </w:tcPr>
          <w:p w14:paraId="022DF609">
            <w:pPr>
              <w:pStyle w:val="49"/>
            </w:pPr>
            <w:r>
              <w:t>1632</w:t>
            </w:r>
          </w:p>
        </w:tc>
      </w:tr>
      <w:tr w14:paraId="556521F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vAlign w:val="bottom"/>
          </w:tcPr>
          <w:p w14:paraId="01C3621B">
            <w:pPr>
              <w:pStyle w:val="49"/>
              <w:rPr>
                <w:rFonts w:ascii="宋体" w:hAnsi="宋体" w:cs="宋体"/>
                <w:szCs w:val="24"/>
                <w:lang w:bidi="ar"/>
              </w:rPr>
            </w:pPr>
            <w:r>
              <w:t xml:space="preserve"> A320 (Sharklets)</w:t>
            </w:r>
          </w:p>
        </w:tc>
        <w:tc>
          <w:tcPr>
            <w:tcW w:w="2130" w:type="dxa"/>
            <w:tcBorders>
              <w:tl2br w:val="nil"/>
              <w:tr2bl w:val="nil"/>
            </w:tcBorders>
            <w:vAlign w:val="bottom"/>
          </w:tcPr>
          <w:p w14:paraId="4CB01C1E">
            <w:pPr>
              <w:pStyle w:val="49"/>
              <w:rPr>
                <w:rFonts w:ascii="宋体" w:hAnsi="宋体" w:cs="宋体"/>
                <w:szCs w:val="24"/>
                <w:lang w:bidi="ar"/>
              </w:rPr>
            </w:pPr>
            <w:r>
              <w:t>710</w:t>
            </w:r>
          </w:p>
        </w:tc>
        <w:tc>
          <w:tcPr>
            <w:tcW w:w="2131" w:type="dxa"/>
            <w:tcBorders>
              <w:tl2br w:val="nil"/>
              <w:tr2bl w:val="nil"/>
            </w:tcBorders>
            <w:shd w:val="clear" w:color="auto" w:fill="auto"/>
            <w:vAlign w:val="bottom"/>
          </w:tcPr>
          <w:p w14:paraId="0E30A9DF">
            <w:pPr>
              <w:pStyle w:val="49"/>
            </w:pPr>
            <w:r>
              <w:t>B737-800(winglets)</w:t>
            </w:r>
          </w:p>
        </w:tc>
        <w:tc>
          <w:tcPr>
            <w:tcW w:w="2131" w:type="dxa"/>
            <w:tcBorders>
              <w:right w:val="nil"/>
              <w:tl2br w:val="nil"/>
              <w:tr2bl w:val="nil"/>
            </w:tcBorders>
            <w:shd w:val="clear" w:color="auto" w:fill="auto"/>
            <w:vAlign w:val="bottom"/>
          </w:tcPr>
          <w:p w14:paraId="679734D5">
            <w:pPr>
              <w:pStyle w:val="49"/>
            </w:pPr>
            <w:r>
              <w:t>3188</w:t>
            </w:r>
          </w:p>
        </w:tc>
      </w:tr>
      <w:tr w14:paraId="7E998F2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vAlign w:val="bottom"/>
          </w:tcPr>
          <w:p w14:paraId="5A277007">
            <w:pPr>
              <w:pStyle w:val="49"/>
              <w:rPr>
                <w:rFonts w:ascii="宋体" w:hAnsi="宋体" w:cs="宋体"/>
                <w:szCs w:val="24"/>
                <w:lang w:bidi="ar"/>
              </w:rPr>
            </w:pPr>
            <w:r>
              <w:t xml:space="preserve"> A320neo</w:t>
            </w:r>
          </w:p>
        </w:tc>
        <w:tc>
          <w:tcPr>
            <w:tcW w:w="2130" w:type="dxa"/>
            <w:tcBorders>
              <w:tl2br w:val="nil"/>
              <w:tr2bl w:val="nil"/>
            </w:tcBorders>
            <w:vAlign w:val="bottom"/>
          </w:tcPr>
          <w:p w14:paraId="403B21AA">
            <w:pPr>
              <w:pStyle w:val="49"/>
              <w:rPr>
                <w:rFonts w:ascii="宋体" w:hAnsi="宋体" w:cs="宋体"/>
                <w:szCs w:val="24"/>
                <w:lang w:bidi="ar"/>
              </w:rPr>
            </w:pPr>
            <w:r>
              <w:t>2</w:t>
            </w:r>
          </w:p>
        </w:tc>
        <w:tc>
          <w:tcPr>
            <w:tcW w:w="2131" w:type="dxa"/>
            <w:tcBorders>
              <w:tl2br w:val="nil"/>
              <w:tr2bl w:val="nil"/>
            </w:tcBorders>
            <w:shd w:val="clear" w:color="auto" w:fill="auto"/>
            <w:vAlign w:val="bottom"/>
          </w:tcPr>
          <w:p w14:paraId="01D84048">
            <w:pPr>
              <w:pStyle w:val="49"/>
            </w:pPr>
            <w:r>
              <w:t>B737-800</w:t>
            </w:r>
          </w:p>
        </w:tc>
        <w:tc>
          <w:tcPr>
            <w:tcW w:w="2131" w:type="dxa"/>
            <w:tcBorders>
              <w:right w:val="nil"/>
              <w:tl2br w:val="nil"/>
              <w:tr2bl w:val="nil"/>
            </w:tcBorders>
            <w:shd w:val="clear" w:color="auto" w:fill="auto"/>
            <w:vAlign w:val="bottom"/>
          </w:tcPr>
          <w:p w14:paraId="715F40D8">
            <w:pPr>
              <w:pStyle w:val="49"/>
            </w:pPr>
            <w:r>
              <w:t>32041</w:t>
            </w:r>
          </w:p>
        </w:tc>
      </w:tr>
      <w:tr w14:paraId="119729E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vAlign w:val="bottom"/>
          </w:tcPr>
          <w:p w14:paraId="4B0C5989">
            <w:pPr>
              <w:pStyle w:val="49"/>
              <w:rPr>
                <w:rFonts w:ascii="宋体" w:hAnsi="宋体" w:cs="宋体"/>
                <w:szCs w:val="24"/>
                <w:lang w:bidi="ar"/>
              </w:rPr>
            </w:pPr>
            <w:r>
              <w:t xml:space="preserve"> A321</w:t>
            </w:r>
          </w:p>
        </w:tc>
        <w:tc>
          <w:tcPr>
            <w:tcW w:w="2130" w:type="dxa"/>
            <w:tcBorders>
              <w:tl2br w:val="nil"/>
              <w:tr2bl w:val="nil"/>
            </w:tcBorders>
            <w:vAlign w:val="bottom"/>
          </w:tcPr>
          <w:p w14:paraId="74A309C9">
            <w:pPr>
              <w:pStyle w:val="49"/>
              <w:rPr>
                <w:rFonts w:ascii="宋体" w:hAnsi="宋体" w:cs="宋体"/>
                <w:szCs w:val="24"/>
                <w:lang w:bidi="ar"/>
              </w:rPr>
            </w:pPr>
            <w:r>
              <w:t>18481</w:t>
            </w:r>
          </w:p>
        </w:tc>
        <w:tc>
          <w:tcPr>
            <w:tcW w:w="2131" w:type="dxa"/>
            <w:tcBorders>
              <w:tl2br w:val="nil"/>
              <w:tr2bl w:val="nil"/>
            </w:tcBorders>
            <w:shd w:val="clear" w:color="auto" w:fill="auto"/>
            <w:vAlign w:val="bottom"/>
          </w:tcPr>
          <w:p w14:paraId="1D1E3209">
            <w:pPr>
              <w:pStyle w:val="49"/>
            </w:pPr>
            <w:r>
              <w:t>B737MAX8</w:t>
            </w:r>
          </w:p>
        </w:tc>
        <w:tc>
          <w:tcPr>
            <w:tcW w:w="2131" w:type="dxa"/>
            <w:tcBorders>
              <w:right w:val="nil"/>
              <w:tl2br w:val="nil"/>
              <w:tr2bl w:val="nil"/>
            </w:tcBorders>
            <w:shd w:val="clear" w:color="auto" w:fill="auto"/>
            <w:vAlign w:val="bottom"/>
          </w:tcPr>
          <w:p w14:paraId="3B2119D8">
            <w:pPr>
              <w:pStyle w:val="49"/>
            </w:pPr>
            <w:r>
              <w:t>89</w:t>
            </w:r>
          </w:p>
        </w:tc>
      </w:tr>
      <w:tr w14:paraId="5F0433B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vAlign w:val="bottom"/>
          </w:tcPr>
          <w:p w14:paraId="58E579BB">
            <w:pPr>
              <w:pStyle w:val="49"/>
              <w:rPr>
                <w:rFonts w:ascii="宋体" w:hAnsi="宋体" w:cs="宋体"/>
                <w:szCs w:val="24"/>
                <w:lang w:bidi="ar"/>
              </w:rPr>
            </w:pPr>
            <w:r>
              <w:t xml:space="preserve"> A321neo</w:t>
            </w:r>
          </w:p>
        </w:tc>
        <w:tc>
          <w:tcPr>
            <w:tcW w:w="2130" w:type="dxa"/>
            <w:tcBorders>
              <w:tl2br w:val="nil"/>
              <w:tr2bl w:val="nil"/>
            </w:tcBorders>
            <w:vAlign w:val="bottom"/>
          </w:tcPr>
          <w:p w14:paraId="25E2D76B">
            <w:pPr>
              <w:pStyle w:val="49"/>
              <w:rPr>
                <w:rFonts w:ascii="宋体" w:hAnsi="宋体" w:cs="宋体"/>
                <w:szCs w:val="24"/>
                <w:lang w:bidi="ar"/>
              </w:rPr>
            </w:pPr>
            <w:r>
              <w:t>351</w:t>
            </w:r>
          </w:p>
        </w:tc>
        <w:tc>
          <w:tcPr>
            <w:tcW w:w="2131" w:type="dxa"/>
            <w:tcBorders>
              <w:tl2br w:val="nil"/>
              <w:tr2bl w:val="nil"/>
            </w:tcBorders>
            <w:shd w:val="clear" w:color="auto" w:fill="auto"/>
            <w:vAlign w:val="bottom"/>
          </w:tcPr>
          <w:p w14:paraId="71AFD7C5">
            <w:pPr>
              <w:pStyle w:val="49"/>
            </w:pPr>
            <w:r>
              <w:t>B747</w:t>
            </w:r>
          </w:p>
        </w:tc>
        <w:tc>
          <w:tcPr>
            <w:tcW w:w="2131" w:type="dxa"/>
            <w:tcBorders>
              <w:right w:val="nil"/>
              <w:tl2br w:val="nil"/>
              <w:tr2bl w:val="nil"/>
            </w:tcBorders>
            <w:shd w:val="clear" w:color="auto" w:fill="auto"/>
            <w:vAlign w:val="bottom"/>
          </w:tcPr>
          <w:p w14:paraId="5C637F5D">
            <w:pPr>
              <w:pStyle w:val="49"/>
            </w:pPr>
            <w:r>
              <w:t>365</w:t>
            </w:r>
          </w:p>
        </w:tc>
      </w:tr>
      <w:tr w14:paraId="4EC7BA3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vAlign w:val="bottom"/>
          </w:tcPr>
          <w:p w14:paraId="15479264">
            <w:pPr>
              <w:pStyle w:val="49"/>
              <w:rPr>
                <w:rFonts w:ascii="宋体" w:hAnsi="宋体" w:cs="宋体"/>
                <w:szCs w:val="24"/>
                <w:lang w:bidi="ar"/>
              </w:rPr>
            </w:pPr>
            <w:r>
              <w:t xml:space="preserve"> A330</w:t>
            </w:r>
          </w:p>
        </w:tc>
        <w:tc>
          <w:tcPr>
            <w:tcW w:w="2130" w:type="dxa"/>
            <w:tcBorders>
              <w:tl2br w:val="nil"/>
              <w:tr2bl w:val="nil"/>
            </w:tcBorders>
            <w:vAlign w:val="bottom"/>
          </w:tcPr>
          <w:p w14:paraId="14BC85C0">
            <w:pPr>
              <w:pStyle w:val="49"/>
              <w:rPr>
                <w:rFonts w:ascii="宋体" w:hAnsi="宋体" w:cs="宋体"/>
                <w:szCs w:val="24"/>
                <w:lang w:bidi="ar"/>
              </w:rPr>
            </w:pPr>
            <w:r>
              <w:t>2648</w:t>
            </w:r>
          </w:p>
        </w:tc>
        <w:tc>
          <w:tcPr>
            <w:tcW w:w="2131" w:type="dxa"/>
            <w:tcBorders>
              <w:tl2br w:val="nil"/>
              <w:tr2bl w:val="nil"/>
            </w:tcBorders>
            <w:shd w:val="clear" w:color="auto" w:fill="auto"/>
            <w:vAlign w:val="bottom"/>
          </w:tcPr>
          <w:p w14:paraId="71FD658A">
            <w:pPr>
              <w:pStyle w:val="49"/>
            </w:pPr>
            <w:r>
              <w:t>B747-400</w:t>
            </w:r>
          </w:p>
        </w:tc>
        <w:tc>
          <w:tcPr>
            <w:tcW w:w="2131" w:type="dxa"/>
            <w:tcBorders>
              <w:right w:val="nil"/>
              <w:tl2br w:val="nil"/>
              <w:tr2bl w:val="nil"/>
            </w:tcBorders>
            <w:shd w:val="clear" w:color="auto" w:fill="auto"/>
            <w:vAlign w:val="bottom"/>
          </w:tcPr>
          <w:p w14:paraId="02F7FA6E">
            <w:pPr>
              <w:pStyle w:val="49"/>
            </w:pPr>
            <w:r>
              <w:t>133</w:t>
            </w:r>
          </w:p>
        </w:tc>
      </w:tr>
      <w:tr w14:paraId="71E9329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51A3422C">
            <w:pPr>
              <w:pStyle w:val="49"/>
            </w:pPr>
            <w:r>
              <w:t xml:space="preserve"> A330-200</w:t>
            </w:r>
          </w:p>
        </w:tc>
        <w:tc>
          <w:tcPr>
            <w:tcW w:w="2130" w:type="dxa"/>
            <w:tcBorders>
              <w:tl2br w:val="nil"/>
              <w:tr2bl w:val="nil"/>
            </w:tcBorders>
            <w:shd w:val="clear" w:color="auto" w:fill="auto"/>
            <w:vAlign w:val="bottom"/>
          </w:tcPr>
          <w:p w14:paraId="71E11677">
            <w:pPr>
              <w:pStyle w:val="49"/>
            </w:pPr>
            <w:r>
              <w:t>2776</w:t>
            </w:r>
          </w:p>
        </w:tc>
        <w:tc>
          <w:tcPr>
            <w:tcW w:w="2131" w:type="dxa"/>
            <w:tcBorders>
              <w:tl2br w:val="nil"/>
              <w:tr2bl w:val="nil"/>
            </w:tcBorders>
            <w:shd w:val="clear" w:color="auto" w:fill="auto"/>
            <w:vAlign w:val="bottom"/>
          </w:tcPr>
          <w:p w14:paraId="26DEFA53">
            <w:pPr>
              <w:pStyle w:val="49"/>
            </w:pPr>
            <w:r>
              <w:t>B757</w:t>
            </w:r>
          </w:p>
        </w:tc>
        <w:tc>
          <w:tcPr>
            <w:tcW w:w="2131" w:type="dxa"/>
            <w:tcBorders>
              <w:right w:val="nil"/>
              <w:tl2br w:val="nil"/>
              <w:tr2bl w:val="nil"/>
            </w:tcBorders>
            <w:shd w:val="clear" w:color="auto" w:fill="auto"/>
            <w:vAlign w:val="bottom"/>
          </w:tcPr>
          <w:p w14:paraId="521C3A36">
            <w:pPr>
              <w:pStyle w:val="49"/>
            </w:pPr>
            <w:r>
              <w:t>351</w:t>
            </w:r>
          </w:p>
        </w:tc>
      </w:tr>
      <w:tr w14:paraId="4D330CD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1FE15D53">
            <w:pPr>
              <w:pStyle w:val="49"/>
            </w:pPr>
            <w:r>
              <w:t xml:space="preserve"> A330-300</w:t>
            </w:r>
          </w:p>
        </w:tc>
        <w:tc>
          <w:tcPr>
            <w:tcW w:w="2130" w:type="dxa"/>
            <w:tcBorders>
              <w:tl2br w:val="nil"/>
              <w:tr2bl w:val="nil"/>
            </w:tcBorders>
            <w:shd w:val="clear" w:color="auto" w:fill="auto"/>
            <w:vAlign w:val="bottom"/>
          </w:tcPr>
          <w:p w14:paraId="62CA11C4">
            <w:pPr>
              <w:pStyle w:val="49"/>
            </w:pPr>
            <w:r>
              <w:t>10655</w:t>
            </w:r>
          </w:p>
        </w:tc>
        <w:tc>
          <w:tcPr>
            <w:tcW w:w="2131" w:type="dxa"/>
            <w:tcBorders>
              <w:tl2br w:val="nil"/>
              <w:tr2bl w:val="nil"/>
            </w:tcBorders>
            <w:shd w:val="clear" w:color="auto" w:fill="auto"/>
            <w:vAlign w:val="bottom"/>
          </w:tcPr>
          <w:p w14:paraId="378B4ED2">
            <w:pPr>
              <w:pStyle w:val="49"/>
            </w:pPr>
            <w:r>
              <w:t>B777</w:t>
            </w:r>
          </w:p>
        </w:tc>
        <w:tc>
          <w:tcPr>
            <w:tcW w:w="2131" w:type="dxa"/>
            <w:tcBorders>
              <w:right w:val="nil"/>
              <w:tl2br w:val="nil"/>
              <w:tr2bl w:val="nil"/>
            </w:tcBorders>
            <w:shd w:val="clear" w:color="auto" w:fill="auto"/>
            <w:vAlign w:val="bottom"/>
          </w:tcPr>
          <w:p w14:paraId="042EBE09">
            <w:pPr>
              <w:pStyle w:val="49"/>
            </w:pPr>
            <w:r>
              <w:t>10</w:t>
            </w:r>
          </w:p>
        </w:tc>
      </w:tr>
      <w:tr w14:paraId="6F6FA9F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010EE80E">
            <w:pPr>
              <w:pStyle w:val="49"/>
            </w:pPr>
            <w:r>
              <w:t xml:space="preserve"> A350</w:t>
            </w:r>
          </w:p>
        </w:tc>
        <w:tc>
          <w:tcPr>
            <w:tcW w:w="2130" w:type="dxa"/>
            <w:tcBorders>
              <w:tl2br w:val="nil"/>
              <w:tr2bl w:val="nil"/>
            </w:tcBorders>
            <w:shd w:val="clear" w:color="auto" w:fill="auto"/>
            <w:vAlign w:val="bottom"/>
          </w:tcPr>
          <w:p w14:paraId="13BE60BF">
            <w:pPr>
              <w:pStyle w:val="49"/>
            </w:pPr>
            <w:r>
              <w:t>168</w:t>
            </w:r>
          </w:p>
        </w:tc>
        <w:tc>
          <w:tcPr>
            <w:tcW w:w="2131" w:type="dxa"/>
            <w:tcBorders>
              <w:tl2br w:val="nil"/>
              <w:tr2bl w:val="nil"/>
            </w:tcBorders>
            <w:shd w:val="clear" w:color="auto" w:fill="auto"/>
            <w:vAlign w:val="bottom"/>
          </w:tcPr>
          <w:p w14:paraId="3978FBB1">
            <w:pPr>
              <w:pStyle w:val="49"/>
            </w:pPr>
            <w:r>
              <w:t>B777-300</w:t>
            </w:r>
          </w:p>
        </w:tc>
        <w:tc>
          <w:tcPr>
            <w:tcW w:w="2131" w:type="dxa"/>
            <w:tcBorders>
              <w:right w:val="nil"/>
              <w:tl2br w:val="nil"/>
              <w:tr2bl w:val="nil"/>
            </w:tcBorders>
            <w:shd w:val="clear" w:color="auto" w:fill="auto"/>
            <w:vAlign w:val="bottom"/>
          </w:tcPr>
          <w:p w14:paraId="0186548F">
            <w:pPr>
              <w:pStyle w:val="49"/>
            </w:pPr>
            <w:r>
              <w:t>1787</w:t>
            </w:r>
          </w:p>
        </w:tc>
      </w:tr>
      <w:tr w14:paraId="15A5A4F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7BD98693">
            <w:pPr>
              <w:pStyle w:val="49"/>
            </w:pPr>
            <w:r>
              <w:t xml:space="preserve"> A350-1000</w:t>
            </w:r>
          </w:p>
        </w:tc>
        <w:tc>
          <w:tcPr>
            <w:tcW w:w="2130" w:type="dxa"/>
            <w:tcBorders>
              <w:tl2br w:val="nil"/>
              <w:tr2bl w:val="nil"/>
            </w:tcBorders>
            <w:shd w:val="clear" w:color="auto" w:fill="auto"/>
            <w:vAlign w:val="bottom"/>
          </w:tcPr>
          <w:p w14:paraId="7B09CE29">
            <w:pPr>
              <w:pStyle w:val="49"/>
            </w:pPr>
            <w:r>
              <w:t>40</w:t>
            </w:r>
          </w:p>
        </w:tc>
        <w:tc>
          <w:tcPr>
            <w:tcW w:w="2131" w:type="dxa"/>
            <w:tcBorders>
              <w:tl2br w:val="nil"/>
              <w:tr2bl w:val="nil"/>
            </w:tcBorders>
            <w:shd w:val="clear" w:color="auto" w:fill="auto"/>
            <w:vAlign w:val="bottom"/>
          </w:tcPr>
          <w:p w14:paraId="04DA8935">
            <w:pPr>
              <w:pStyle w:val="49"/>
            </w:pPr>
            <w:r>
              <w:t>B777-300ER</w:t>
            </w:r>
          </w:p>
        </w:tc>
        <w:tc>
          <w:tcPr>
            <w:tcW w:w="2131" w:type="dxa"/>
            <w:tcBorders>
              <w:right w:val="nil"/>
              <w:tl2br w:val="nil"/>
              <w:tr2bl w:val="nil"/>
            </w:tcBorders>
            <w:shd w:val="clear" w:color="auto" w:fill="auto"/>
            <w:vAlign w:val="bottom"/>
          </w:tcPr>
          <w:p w14:paraId="0D7336FC">
            <w:pPr>
              <w:pStyle w:val="49"/>
            </w:pPr>
            <w:r>
              <w:t>2155</w:t>
            </w:r>
          </w:p>
        </w:tc>
      </w:tr>
      <w:tr w14:paraId="032A7CD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6BA6A580">
            <w:pPr>
              <w:pStyle w:val="49"/>
            </w:pPr>
            <w:r>
              <w:t xml:space="preserve"> A350-900</w:t>
            </w:r>
          </w:p>
        </w:tc>
        <w:tc>
          <w:tcPr>
            <w:tcW w:w="2130" w:type="dxa"/>
            <w:tcBorders>
              <w:tl2br w:val="nil"/>
              <w:tr2bl w:val="nil"/>
            </w:tcBorders>
            <w:shd w:val="clear" w:color="auto" w:fill="auto"/>
            <w:vAlign w:val="bottom"/>
          </w:tcPr>
          <w:p w14:paraId="35FC2D23">
            <w:pPr>
              <w:pStyle w:val="49"/>
            </w:pPr>
            <w:r>
              <w:t>1850</w:t>
            </w:r>
          </w:p>
        </w:tc>
        <w:tc>
          <w:tcPr>
            <w:tcW w:w="2131" w:type="dxa"/>
            <w:tcBorders>
              <w:tl2br w:val="nil"/>
              <w:tr2bl w:val="nil"/>
            </w:tcBorders>
            <w:shd w:val="clear" w:color="auto" w:fill="auto"/>
            <w:vAlign w:val="bottom"/>
          </w:tcPr>
          <w:p w14:paraId="7E2C5973">
            <w:pPr>
              <w:pStyle w:val="49"/>
            </w:pPr>
            <w:r>
              <w:t>B787</w:t>
            </w:r>
          </w:p>
        </w:tc>
        <w:tc>
          <w:tcPr>
            <w:tcW w:w="2131" w:type="dxa"/>
            <w:tcBorders>
              <w:right w:val="nil"/>
              <w:tl2br w:val="nil"/>
              <w:tr2bl w:val="nil"/>
            </w:tcBorders>
            <w:shd w:val="clear" w:color="auto" w:fill="auto"/>
            <w:vAlign w:val="bottom"/>
          </w:tcPr>
          <w:p w14:paraId="37699491">
            <w:pPr>
              <w:pStyle w:val="49"/>
            </w:pPr>
            <w:r>
              <w:t>187</w:t>
            </w:r>
          </w:p>
        </w:tc>
      </w:tr>
      <w:tr w14:paraId="4CF57B1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2046EAB2">
            <w:pPr>
              <w:pStyle w:val="49"/>
            </w:pPr>
            <w:r>
              <w:t>B737</w:t>
            </w:r>
          </w:p>
        </w:tc>
        <w:tc>
          <w:tcPr>
            <w:tcW w:w="2130" w:type="dxa"/>
            <w:tcBorders>
              <w:tl2br w:val="nil"/>
              <w:tr2bl w:val="nil"/>
            </w:tcBorders>
            <w:shd w:val="clear" w:color="auto" w:fill="auto"/>
            <w:vAlign w:val="bottom"/>
          </w:tcPr>
          <w:p w14:paraId="2E1FAC62">
            <w:pPr>
              <w:pStyle w:val="49"/>
            </w:pPr>
            <w:r>
              <w:t>14867</w:t>
            </w:r>
          </w:p>
        </w:tc>
        <w:tc>
          <w:tcPr>
            <w:tcW w:w="2131" w:type="dxa"/>
            <w:tcBorders>
              <w:tl2br w:val="nil"/>
              <w:tr2bl w:val="nil"/>
            </w:tcBorders>
            <w:shd w:val="clear" w:color="auto" w:fill="auto"/>
            <w:vAlign w:val="bottom"/>
          </w:tcPr>
          <w:p w14:paraId="1EF07DBF">
            <w:pPr>
              <w:pStyle w:val="49"/>
            </w:pPr>
            <w:r>
              <w:t>B787-8</w:t>
            </w:r>
          </w:p>
        </w:tc>
        <w:tc>
          <w:tcPr>
            <w:tcW w:w="2131" w:type="dxa"/>
            <w:tcBorders>
              <w:right w:val="nil"/>
              <w:tl2br w:val="nil"/>
              <w:tr2bl w:val="nil"/>
            </w:tcBorders>
            <w:shd w:val="clear" w:color="auto" w:fill="auto"/>
            <w:vAlign w:val="bottom"/>
          </w:tcPr>
          <w:p w14:paraId="04F96BFA">
            <w:pPr>
              <w:pStyle w:val="49"/>
            </w:pPr>
            <w:r>
              <w:t>402</w:t>
            </w:r>
          </w:p>
        </w:tc>
      </w:tr>
      <w:tr w14:paraId="651F44E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0C3770D3">
            <w:pPr>
              <w:pStyle w:val="49"/>
            </w:pPr>
            <w:r>
              <w:t>B737-200</w:t>
            </w:r>
          </w:p>
        </w:tc>
        <w:tc>
          <w:tcPr>
            <w:tcW w:w="2130" w:type="dxa"/>
            <w:tcBorders>
              <w:tl2br w:val="nil"/>
              <w:tr2bl w:val="nil"/>
            </w:tcBorders>
            <w:shd w:val="clear" w:color="auto" w:fill="auto"/>
            <w:vAlign w:val="bottom"/>
          </w:tcPr>
          <w:p w14:paraId="4C79BE31">
            <w:pPr>
              <w:pStyle w:val="49"/>
            </w:pPr>
            <w:r>
              <w:t>57</w:t>
            </w:r>
          </w:p>
        </w:tc>
        <w:tc>
          <w:tcPr>
            <w:tcW w:w="2131" w:type="dxa"/>
            <w:tcBorders>
              <w:tl2br w:val="nil"/>
              <w:tr2bl w:val="nil"/>
            </w:tcBorders>
            <w:shd w:val="clear" w:color="auto" w:fill="auto"/>
            <w:vAlign w:val="bottom"/>
          </w:tcPr>
          <w:p w14:paraId="545A449B">
            <w:pPr>
              <w:pStyle w:val="49"/>
            </w:pPr>
            <w:r>
              <w:t>B787-9</w:t>
            </w:r>
          </w:p>
        </w:tc>
        <w:tc>
          <w:tcPr>
            <w:tcW w:w="2131" w:type="dxa"/>
            <w:tcBorders>
              <w:right w:val="nil"/>
              <w:tl2br w:val="nil"/>
              <w:tr2bl w:val="nil"/>
            </w:tcBorders>
            <w:shd w:val="clear" w:color="auto" w:fill="auto"/>
            <w:vAlign w:val="bottom"/>
          </w:tcPr>
          <w:p w14:paraId="0AE513FA">
            <w:pPr>
              <w:pStyle w:val="49"/>
            </w:pPr>
            <w:r>
              <w:t>5178</w:t>
            </w:r>
          </w:p>
        </w:tc>
      </w:tr>
      <w:tr w14:paraId="0F2E5B9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l2br w:val="nil"/>
              <w:tr2bl w:val="nil"/>
            </w:tcBorders>
            <w:shd w:val="clear" w:color="auto" w:fill="auto"/>
            <w:vAlign w:val="bottom"/>
          </w:tcPr>
          <w:p w14:paraId="10353A4F">
            <w:pPr>
              <w:pStyle w:val="49"/>
            </w:pPr>
            <w:r>
              <w:t>B737-300(winglets)</w:t>
            </w:r>
          </w:p>
        </w:tc>
        <w:tc>
          <w:tcPr>
            <w:tcW w:w="2130" w:type="dxa"/>
            <w:tcBorders>
              <w:tl2br w:val="nil"/>
              <w:tr2bl w:val="nil"/>
            </w:tcBorders>
            <w:shd w:val="clear" w:color="auto" w:fill="auto"/>
            <w:vAlign w:val="bottom"/>
          </w:tcPr>
          <w:p w14:paraId="17DFDDB6">
            <w:pPr>
              <w:pStyle w:val="49"/>
            </w:pPr>
            <w:r>
              <w:t>6</w:t>
            </w:r>
          </w:p>
        </w:tc>
        <w:tc>
          <w:tcPr>
            <w:tcW w:w="2131" w:type="dxa"/>
            <w:tcBorders>
              <w:tl2br w:val="nil"/>
              <w:tr2bl w:val="nil"/>
            </w:tcBorders>
            <w:shd w:val="clear" w:color="auto" w:fill="auto"/>
            <w:vAlign w:val="bottom"/>
          </w:tcPr>
          <w:p w14:paraId="5BC2E1A8">
            <w:pPr>
              <w:pStyle w:val="49"/>
            </w:pPr>
            <w:r>
              <w:t>ComacARJ21-700</w:t>
            </w:r>
          </w:p>
        </w:tc>
        <w:tc>
          <w:tcPr>
            <w:tcW w:w="2131" w:type="dxa"/>
            <w:tcBorders>
              <w:right w:val="nil"/>
              <w:tl2br w:val="nil"/>
              <w:tr2bl w:val="nil"/>
            </w:tcBorders>
            <w:shd w:val="clear" w:color="auto" w:fill="auto"/>
            <w:vAlign w:val="bottom"/>
          </w:tcPr>
          <w:p w14:paraId="2287AB9B">
            <w:pPr>
              <w:pStyle w:val="49"/>
            </w:pPr>
            <w:r>
              <w:t>157</w:t>
            </w:r>
          </w:p>
        </w:tc>
      </w:tr>
      <w:tr w14:paraId="4D31D0C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l2br w:val="nil"/>
              <w:tr2bl w:val="nil"/>
            </w:tcBorders>
            <w:shd w:val="clear" w:color="auto" w:fill="auto"/>
            <w:vAlign w:val="bottom"/>
          </w:tcPr>
          <w:p w14:paraId="17E4A620">
            <w:pPr>
              <w:pStyle w:val="49"/>
            </w:pPr>
            <w:r>
              <w:t>B737-300</w:t>
            </w:r>
          </w:p>
        </w:tc>
        <w:tc>
          <w:tcPr>
            <w:tcW w:w="2130" w:type="dxa"/>
            <w:tcBorders>
              <w:tl2br w:val="nil"/>
              <w:tr2bl w:val="nil"/>
            </w:tcBorders>
            <w:shd w:val="clear" w:color="auto" w:fill="auto"/>
            <w:vAlign w:val="bottom"/>
          </w:tcPr>
          <w:p w14:paraId="550A105A">
            <w:pPr>
              <w:pStyle w:val="49"/>
            </w:pPr>
            <w:r>
              <w:t>494</w:t>
            </w:r>
          </w:p>
        </w:tc>
        <w:tc>
          <w:tcPr>
            <w:tcW w:w="2131" w:type="dxa"/>
            <w:tcBorders>
              <w:tl2br w:val="nil"/>
              <w:tr2bl w:val="nil"/>
            </w:tcBorders>
          </w:tcPr>
          <w:p w14:paraId="01300D5E">
            <w:pPr>
              <w:ind w:firstLine="420"/>
              <w:rPr>
                <w:rFonts w:ascii="宋体" w:hAnsi="宋体" w:cs="宋体"/>
                <w:szCs w:val="24"/>
                <w:lang w:bidi="ar"/>
              </w:rPr>
            </w:pPr>
          </w:p>
        </w:tc>
        <w:tc>
          <w:tcPr>
            <w:tcW w:w="0" w:type="auto"/>
            <w:tcBorders>
              <w:right w:val="nil"/>
              <w:tl2br w:val="nil"/>
              <w:tr2bl w:val="nil"/>
            </w:tcBorders>
          </w:tcPr>
          <w:p w14:paraId="3EE03430">
            <w:pPr>
              <w:ind w:firstLine="420"/>
              <w:rPr>
                <w:rFonts w:ascii="宋体" w:hAnsi="宋体" w:cs="宋体"/>
                <w:szCs w:val="24"/>
                <w:lang w:bidi="ar"/>
              </w:rPr>
            </w:pPr>
          </w:p>
        </w:tc>
      </w:tr>
    </w:tbl>
    <w:p w14:paraId="25100B7B">
      <w:pPr>
        <w:ind w:firstLine="420"/>
        <w:rPr>
          <w:szCs w:val="24"/>
        </w:rPr>
      </w:pPr>
      <w:r>
        <w:rPr>
          <w:szCs w:val="24"/>
        </w:rPr>
        <w:t>(2) Traffic volume allocation</w:t>
      </w:r>
      <w:r>
        <w:rPr>
          <w:rFonts w:hint="eastAsia"/>
          <w:szCs w:val="24"/>
        </w:rPr>
        <w:t>.</w:t>
      </w:r>
      <w:r>
        <w:rPr>
          <w:szCs w:val="24"/>
        </w:rPr>
        <w:t xml:space="preserve"> Annual aircraft movement data for 2019 were obtained from the OAG database (Table </w:t>
      </w:r>
      <w:r>
        <w:rPr>
          <w:rFonts w:hint="eastAsia"/>
          <w:szCs w:val="24"/>
          <w:lang w:val="en-US" w:eastAsia="zh-CN"/>
        </w:rPr>
        <w:t>S</w:t>
      </w:r>
      <w:r>
        <w:rPr>
          <w:szCs w:val="24"/>
        </w:rPr>
        <w:t>4.10). Because OAG data do not specify runway usage or operating direction, traffic was allocated according to published statistics from Shanghai Hongqiao International Airport:</w:t>
      </w:r>
    </w:p>
    <w:p w14:paraId="1C20ADDC">
      <w:pPr>
        <w:ind w:firstLine="420"/>
        <w:rPr>
          <w:szCs w:val="24"/>
        </w:rPr>
      </w:pPr>
      <w:r>
        <w:rPr>
          <w:szCs w:val="24"/>
        </w:rPr>
        <w:t>West runway (west terminal zone): 84.6% of movements</w:t>
      </w:r>
    </w:p>
    <w:p w14:paraId="09E5B910">
      <w:pPr>
        <w:ind w:firstLine="420"/>
        <w:rPr>
          <w:szCs w:val="24"/>
        </w:rPr>
      </w:pPr>
      <w:r>
        <w:rPr>
          <w:szCs w:val="24"/>
        </w:rPr>
        <w:t>East runway (east terminal zone): 15.4%</w:t>
      </w:r>
    </w:p>
    <w:p w14:paraId="2B05B00F">
      <w:pPr>
        <w:ind w:firstLine="420"/>
        <w:rPr>
          <w:szCs w:val="24"/>
        </w:rPr>
      </w:pPr>
      <w:r>
        <w:rPr>
          <w:szCs w:val="24"/>
        </w:rPr>
        <w:t>Northbound vs southbound operation: assumed 1:1</w:t>
      </w:r>
    </w:p>
    <w:p w14:paraId="0DF892AC">
      <w:pPr>
        <w:ind w:firstLine="420"/>
        <w:rPr>
          <w:szCs w:val="24"/>
        </w:rPr>
      </w:pPr>
      <w:r>
        <w:rPr>
          <w:szCs w:val="24"/>
        </w:rPr>
        <w:t>Arrival vs departure movements: assumed 1:1</w:t>
      </w:r>
    </w:p>
    <w:p w14:paraId="5667BF57">
      <w:pPr>
        <w:ind w:firstLine="420"/>
        <w:rPr>
          <w:szCs w:val="24"/>
        </w:rPr>
      </w:pPr>
      <w:r>
        <w:rPr>
          <w:szCs w:val="24"/>
        </w:rPr>
        <w:t>Based on these proportions, annual aircraft movements were mapped to specific physical routing configurations defined in Supplementary Note 4.2.3.</w:t>
      </w:r>
    </w:p>
    <w:p w14:paraId="648A5BF5">
      <w:pPr>
        <w:pStyle w:val="52"/>
      </w:pPr>
      <w:r>
        <w:rPr>
          <w:rFonts w:hint="eastAsia"/>
        </w:rPr>
        <w:t>Table S4.11.</w:t>
      </w:r>
      <w:r>
        <w:t xml:space="preserve"> </w:t>
      </w:r>
      <w:r>
        <w:rPr>
          <w:rFonts w:hint="eastAsia"/>
        </w:rPr>
        <w:t>Additional Energy Consumption Caused by Pavement Unevenness During Single Taxiing of Different Aircraft Types at Hongqiao Airport in 2019</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07702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000000" w:sz="12" w:space="0"/>
              <w:left w:val="nil"/>
              <w:bottom w:val="single" w:color="000000" w:sz="12" w:space="0"/>
            </w:tcBorders>
            <w:shd w:val="clear" w:color="auto" w:fill="auto"/>
            <w:vAlign w:val="center"/>
          </w:tcPr>
          <w:p w14:paraId="75D7F37B">
            <w:pPr>
              <w:pStyle w:val="49"/>
            </w:pPr>
            <w:r>
              <w:rPr>
                <w:rFonts w:hint="eastAsia"/>
              </w:rPr>
              <w:t>Aircraft Type</w:t>
            </w:r>
          </w:p>
        </w:tc>
        <w:tc>
          <w:tcPr>
            <w:tcW w:w="2130" w:type="dxa"/>
            <w:tcBorders>
              <w:top w:val="single" w:color="000000" w:sz="12" w:space="0"/>
              <w:bottom w:val="single" w:color="000000" w:sz="12" w:space="0"/>
            </w:tcBorders>
            <w:shd w:val="clear" w:color="auto" w:fill="auto"/>
            <w:vAlign w:val="center"/>
          </w:tcPr>
          <w:p w14:paraId="030FD170">
            <w:pPr>
              <w:pStyle w:val="49"/>
            </w:pPr>
            <w:r>
              <w:rPr>
                <w:rFonts w:hint="eastAsia"/>
              </w:rPr>
              <w:t>Energy / MJ</w:t>
            </w:r>
          </w:p>
        </w:tc>
        <w:tc>
          <w:tcPr>
            <w:tcW w:w="2131" w:type="dxa"/>
            <w:tcBorders>
              <w:top w:val="single" w:color="000000" w:sz="12" w:space="0"/>
              <w:bottom w:val="single" w:color="000000" w:sz="12" w:space="0"/>
            </w:tcBorders>
            <w:shd w:val="clear" w:color="auto" w:fill="auto"/>
            <w:vAlign w:val="center"/>
          </w:tcPr>
          <w:p w14:paraId="191DDDF8">
            <w:pPr>
              <w:pStyle w:val="49"/>
            </w:pPr>
            <w:r>
              <w:rPr>
                <w:rFonts w:hint="eastAsia"/>
              </w:rPr>
              <w:t>Aircraft Type</w:t>
            </w:r>
          </w:p>
        </w:tc>
        <w:tc>
          <w:tcPr>
            <w:tcW w:w="2131" w:type="dxa"/>
            <w:tcBorders>
              <w:top w:val="single" w:color="000000" w:sz="12" w:space="0"/>
              <w:bottom w:val="single" w:color="000000" w:sz="12" w:space="0"/>
              <w:right w:val="nil"/>
            </w:tcBorders>
            <w:shd w:val="clear" w:color="auto" w:fill="auto"/>
            <w:vAlign w:val="center"/>
          </w:tcPr>
          <w:p w14:paraId="6053478A">
            <w:pPr>
              <w:pStyle w:val="49"/>
            </w:pPr>
            <w:r>
              <w:rPr>
                <w:rFonts w:hint="eastAsia"/>
              </w:rPr>
              <w:t>Energy / MJ</w:t>
            </w:r>
          </w:p>
        </w:tc>
      </w:tr>
      <w:tr w14:paraId="4FF71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130" w:type="dxa"/>
            <w:tcBorders>
              <w:top w:val="single" w:color="000000" w:sz="12" w:space="0"/>
              <w:left w:val="nil"/>
            </w:tcBorders>
            <w:shd w:val="clear" w:color="auto" w:fill="auto"/>
            <w:vAlign w:val="bottom"/>
          </w:tcPr>
          <w:p w14:paraId="14B074F4">
            <w:pPr>
              <w:pStyle w:val="49"/>
            </w:pPr>
            <w:r>
              <w:rPr>
                <w:rFonts w:hint="eastAsia"/>
              </w:rPr>
              <w:t xml:space="preserve"> A319</w:t>
            </w:r>
          </w:p>
        </w:tc>
        <w:tc>
          <w:tcPr>
            <w:tcW w:w="2130" w:type="dxa"/>
            <w:tcBorders>
              <w:top w:val="single" w:color="000000" w:sz="12" w:space="0"/>
            </w:tcBorders>
            <w:shd w:val="clear" w:color="auto" w:fill="auto"/>
            <w:vAlign w:val="bottom"/>
          </w:tcPr>
          <w:p w14:paraId="35299DD8">
            <w:pPr>
              <w:pStyle w:val="49"/>
            </w:pPr>
            <w:r>
              <w:rPr>
                <w:rFonts w:hint="eastAsia"/>
              </w:rPr>
              <w:t>0.114333333</w:t>
            </w:r>
          </w:p>
        </w:tc>
        <w:tc>
          <w:tcPr>
            <w:tcW w:w="2131" w:type="dxa"/>
            <w:tcBorders>
              <w:top w:val="single" w:color="000000" w:sz="12" w:space="0"/>
            </w:tcBorders>
            <w:shd w:val="clear" w:color="auto" w:fill="auto"/>
            <w:vAlign w:val="bottom"/>
          </w:tcPr>
          <w:p w14:paraId="47BFC6A5">
            <w:pPr>
              <w:pStyle w:val="49"/>
            </w:pPr>
            <w:r>
              <w:rPr>
                <w:rFonts w:hint="eastAsia"/>
              </w:rPr>
              <w:t>B737-600</w:t>
            </w:r>
          </w:p>
        </w:tc>
        <w:tc>
          <w:tcPr>
            <w:tcW w:w="2131" w:type="dxa"/>
            <w:tcBorders>
              <w:top w:val="single" w:color="000000" w:sz="12" w:space="0"/>
              <w:right w:val="nil"/>
            </w:tcBorders>
            <w:shd w:val="clear" w:color="auto" w:fill="auto"/>
            <w:vAlign w:val="center"/>
          </w:tcPr>
          <w:p w14:paraId="3535DAE0">
            <w:pPr>
              <w:pStyle w:val="49"/>
            </w:pPr>
            <w:r>
              <w:rPr>
                <w:rFonts w:hint="eastAsia"/>
              </w:rPr>
              <w:t>0.114333333</w:t>
            </w:r>
          </w:p>
        </w:tc>
      </w:tr>
      <w:tr w14:paraId="66835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cBorders>
            <w:shd w:val="clear" w:color="auto" w:fill="auto"/>
            <w:vAlign w:val="bottom"/>
          </w:tcPr>
          <w:p w14:paraId="3C12C75E">
            <w:pPr>
              <w:pStyle w:val="49"/>
            </w:pPr>
            <w:r>
              <w:rPr>
                <w:rFonts w:hint="eastAsia"/>
              </w:rPr>
              <w:t xml:space="preserve"> A320</w:t>
            </w:r>
          </w:p>
        </w:tc>
        <w:tc>
          <w:tcPr>
            <w:tcW w:w="2130" w:type="dxa"/>
            <w:shd w:val="clear" w:color="auto" w:fill="auto"/>
            <w:vAlign w:val="bottom"/>
          </w:tcPr>
          <w:p w14:paraId="20D651B8">
            <w:pPr>
              <w:pStyle w:val="49"/>
            </w:pPr>
            <w:r>
              <w:rPr>
                <w:rFonts w:hint="eastAsia"/>
              </w:rPr>
              <w:t>0.133</w:t>
            </w:r>
          </w:p>
        </w:tc>
        <w:tc>
          <w:tcPr>
            <w:tcW w:w="2131" w:type="dxa"/>
            <w:shd w:val="clear" w:color="auto" w:fill="auto"/>
            <w:vAlign w:val="bottom"/>
          </w:tcPr>
          <w:p w14:paraId="6E682718">
            <w:pPr>
              <w:pStyle w:val="49"/>
            </w:pPr>
            <w:r>
              <w:rPr>
                <w:rFonts w:hint="eastAsia"/>
              </w:rPr>
              <w:t>B737-700</w:t>
            </w:r>
          </w:p>
        </w:tc>
        <w:tc>
          <w:tcPr>
            <w:tcW w:w="2131" w:type="dxa"/>
            <w:tcBorders>
              <w:right w:val="nil"/>
            </w:tcBorders>
            <w:shd w:val="clear" w:color="auto" w:fill="auto"/>
            <w:vAlign w:val="center"/>
          </w:tcPr>
          <w:p w14:paraId="14B31752">
            <w:pPr>
              <w:pStyle w:val="49"/>
            </w:pPr>
            <w:r>
              <w:rPr>
                <w:rFonts w:hint="eastAsia"/>
              </w:rPr>
              <w:t>0.118666667</w:t>
            </w:r>
          </w:p>
        </w:tc>
      </w:tr>
      <w:tr w14:paraId="0B421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cBorders>
            <w:shd w:val="clear" w:color="auto" w:fill="auto"/>
            <w:vAlign w:val="bottom"/>
          </w:tcPr>
          <w:p w14:paraId="312AC2DF">
            <w:pPr>
              <w:pStyle w:val="49"/>
            </w:pPr>
            <w:r>
              <w:rPr>
                <w:rFonts w:hint="eastAsia"/>
              </w:rPr>
              <w:t xml:space="preserve"> A320 (Sharklets)</w:t>
            </w:r>
          </w:p>
        </w:tc>
        <w:tc>
          <w:tcPr>
            <w:tcW w:w="2130" w:type="dxa"/>
            <w:shd w:val="clear" w:color="auto" w:fill="auto"/>
            <w:vAlign w:val="bottom"/>
          </w:tcPr>
          <w:p w14:paraId="0B93CA5D">
            <w:pPr>
              <w:pStyle w:val="49"/>
            </w:pPr>
            <w:r>
              <w:rPr>
                <w:rFonts w:hint="eastAsia"/>
              </w:rPr>
              <w:t>0.133</w:t>
            </w:r>
          </w:p>
        </w:tc>
        <w:tc>
          <w:tcPr>
            <w:tcW w:w="2131" w:type="dxa"/>
            <w:shd w:val="clear" w:color="auto" w:fill="auto"/>
            <w:vAlign w:val="bottom"/>
          </w:tcPr>
          <w:p w14:paraId="2A23C8F5">
            <w:pPr>
              <w:pStyle w:val="49"/>
            </w:pPr>
            <w:r>
              <w:rPr>
                <w:rFonts w:hint="eastAsia"/>
              </w:rPr>
              <w:t>B737-800(winglets)</w:t>
            </w:r>
          </w:p>
        </w:tc>
        <w:tc>
          <w:tcPr>
            <w:tcW w:w="2131" w:type="dxa"/>
            <w:tcBorders>
              <w:right w:val="nil"/>
            </w:tcBorders>
            <w:shd w:val="clear" w:color="auto" w:fill="auto"/>
            <w:vAlign w:val="center"/>
          </w:tcPr>
          <w:p w14:paraId="6528B3A7">
            <w:pPr>
              <w:pStyle w:val="49"/>
            </w:pPr>
            <w:r>
              <w:rPr>
                <w:rFonts w:hint="eastAsia"/>
              </w:rPr>
              <w:t>0.125333333</w:t>
            </w:r>
          </w:p>
        </w:tc>
      </w:tr>
      <w:tr w14:paraId="6CF2D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cBorders>
            <w:shd w:val="clear" w:color="auto" w:fill="auto"/>
            <w:vAlign w:val="bottom"/>
          </w:tcPr>
          <w:p w14:paraId="5D6DA6F5">
            <w:pPr>
              <w:pStyle w:val="49"/>
            </w:pPr>
            <w:r>
              <w:rPr>
                <w:rFonts w:hint="eastAsia"/>
              </w:rPr>
              <w:t xml:space="preserve"> A320neo</w:t>
            </w:r>
          </w:p>
        </w:tc>
        <w:tc>
          <w:tcPr>
            <w:tcW w:w="2130" w:type="dxa"/>
            <w:shd w:val="clear" w:color="auto" w:fill="auto"/>
            <w:vAlign w:val="bottom"/>
          </w:tcPr>
          <w:p w14:paraId="1EB6C98C">
            <w:pPr>
              <w:pStyle w:val="49"/>
            </w:pPr>
            <w:r>
              <w:rPr>
                <w:rFonts w:hint="eastAsia"/>
              </w:rPr>
              <w:t>0.126</w:t>
            </w:r>
          </w:p>
        </w:tc>
        <w:tc>
          <w:tcPr>
            <w:tcW w:w="2131" w:type="dxa"/>
            <w:shd w:val="clear" w:color="auto" w:fill="auto"/>
            <w:vAlign w:val="bottom"/>
          </w:tcPr>
          <w:p w14:paraId="1A23E832">
            <w:pPr>
              <w:pStyle w:val="49"/>
            </w:pPr>
            <w:r>
              <w:rPr>
                <w:rFonts w:hint="eastAsia"/>
              </w:rPr>
              <w:t>B737-800</w:t>
            </w:r>
          </w:p>
        </w:tc>
        <w:tc>
          <w:tcPr>
            <w:tcW w:w="2131" w:type="dxa"/>
            <w:tcBorders>
              <w:right w:val="nil"/>
            </w:tcBorders>
            <w:shd w:val="clear" w:color="auto" w:fill="auto"/>
            <w:vAlign w:val="center"/>
          </w:tcPr>
          <w:p w14:paraId="67821299">
            <w:pPr>
              <w:pStyle w:val="49"/>
            </w:pPr>
            <w:r>
              <w:rPr>
                <w:rFonts w:hint="eastAsia"/>
              </w:rPr>
              <w:t>0.125333333</w:t>
            </w:r>
          </w:p>
        </w:tc>
      </w:tr>
      <w:tr w14:paraId="5D5BD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cBorders>
            <w:shd w:val="clear" w:color="auto" w:fill="auto"/>
            <w:vAlign w:val="bottom"/>
          </w:tcPr>
          <w:p w14:paraId="27E1EAF6">
            <w:pPr>
              <w:pStyle w:val="49"/>
            </w:pPr>
            <w:r>
              <w:rPr>
                <w:rFonts w:hint="eastAsia"/>
              </w:rPr>
              <w:t xml:space="preserve"> A321</w:t>
            </w:r>
          </w:p>
        </w:tc>
        <w:tc>
          <w:tcPr>
            <w:tcW w:w="2130" w:type="dxa"/>
            <w:shd w:val="clear" w:color="auto" w:fill="auto"/>
            <w:vAlign w:val="bottom"/>
          </w:tcPr>
          <w:p w14:paraId="47D14D2F">
            <w:pPr>
              <w:pStyle w:val="49"/>
            </w:pPr>
            <w:r>
              <w:rPr>
                <w:rFonts w:hint="eastAsia"/>
              </w:rPr>
              <w:t>0.126333333</w:t>
            </w:r>
          </w:p>
        </w:tc>
        <w:tc>
          <w:tcPr>
            <w:tcW w:w="2131" w:type="dxa"/>
            <w:shd w:val="clear" w:color="auto" w:fill="auto"/>
            <w:vAlign w:val="bottom"/>
          </w:tcPr>
          <w:p w14:paraId="560ADBA8">
            <w:pPr>
              <w:pStyle w:val="49"/>
            </w:pPr>
            <w:r>
              <w:rPr>
                <w:rFonts w:hint="eastAsia"/>
              </w:rPr>
              <w:t>B737MAX8</w:t>
            </w:r>
          </w:p>
        </w:tc>
        <w:tc>
          <w:tcPr>
            <w:tcW w:w="2131" w:type="dxa"/>
            <w:tcBorders>
              <w:right w:val="nil"/>
            </w:tcBorders>
            <w:shd w:val="clear" w:color="auto" w:fill="auto"/>
            <w:vAlign w:val="center"/>
          </w:tcPr>
          <w:p w14:paraId="13BB9996">
            <w:pPr>
              <w:pStyle w:val="49"/>
            </w:pPr>
            <w:r>
              <w:rPr>
                <w:rFonts w:hint="eastAsia"/>
              </w:rPr>
              <w:t>0.125333333</w:t>
            </w:r>
          </w:p>
        </w:tc>
      </w:tr>
      <w:tr w14:paraId="056E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cBorders>
            <w:shd w:val="clear" w:color="auto" w:fill="auto"/>
            <w:vAlign w:val="bottom"/>
          </w:tcPr>
          <w:p w14:paraId="5E6E6779">
            <w:pPr>
              <w:pStyle w:val="49"/>
            </w:pPr>
            <w:r>
              <w:rPr>
                <w:rFonts w:hint="eastAsia"/>
              </w:rPr>
              <w:t xml:space="preserve"> A321neo</w:t>
            </w:r>
          </w:p>
        </w:tc>
        <w:tc>
          <w:tcPr>
            <w:tcW w:w="2130" w:type="dxa"/>
            <w:shd w:val="clear" w:color="auto" w:fill="auto"/>
            <w:vAlign w:val="bottom"/>
          </w:tcPr>
          <w:p w14:paraId="6AA02F06">
            <w:pPr>
              <w:pStyle w:val="49"/>
            </w:pPr>
            <w:r>
              <w:rPr>
                <w:rFonts w:hint="eastAsia"/>
              </w:rPr>
              <w:t>0.126333333</w:t>
            </w:r>
          </w:p>
        </w:tc>
        <w:tc>
          <w:tcPr>
            <w:tcW w:w="2131" w:type="dxa"/>
            <w:shd w:val="clear" w:color="auto" w:fill="auto"/>
            <w:vAlign w:val="bottom"/>
          </w:tcPr>
          <w:p w14:paraId="78A32827">
            <w:pPr>
              <w:pStyle w:val="49"/>
            </w:pPr>
            <w:r>
              <w:rPr>
                <w:rFonts w:hint="eastAsia"/>
              </w:rPr>
              <w:t>B747</w:t>
            </w:r>
          </w:p>
        </w:tc>
        <w:tc>
          <w:tcPr>
            <w:tcW w:w="2131" w:type="dxa"/>
            <w:tcBorders>
              <w:right w:val="nil"/>
            </w:tcBorders>
            <w:shd w:val="clear" w:color="auto" w:fill="auto"/>
            <w:vAlign w:val="center"/>
          </w:tcPr>
          <w:p w14:paraId="6E9CC171">
            <w:pPr>
              <w:pStyle w:val="49"/>
            </w:pPr>
            <w:r>
              <w:rPr>
                <w:rFonts w:hint="eastAsia"/>
              </w:rPr>
              <w:t>0.141</w:t>
            </w:r>
          </w:p>
        </w:tc>
      </w:tr>
      <w:tr w14:paraId="32E4F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left w:val="nil"/>
            </w:tcBorders>
            <w:shd w:val="clear" w:color="auto" w:fill="auto"/>
            <w:vAlign w:val="bottom"/>
          </w:tcPr>
          <w:p w14:paraId="577FE813">
            <w:pPr>
              <w:pStyle w:val="49"/>
            </w:pPr>
            <w:r>
              <w:rPr>
                <w:rFonts w:hint="eastAsia"/>
              </w:rPr>
              <w:t xml:space="preserve"> A330</w:t>
            </w:r>
          </w:p>
        </w:tc>
        <w:tc>
          <w:tcPr>
            <w:tcW w:w="2130" w:type="dxa"/>
            <w:shd w:val="clear" w:color="auto" w:fill="auto"/>
            <w:vAlign w:val="bottom"/>
          </w:tcPr>
          <w:p w14:paraId="75E57461">
            <w:pPr>
              <w:pStyle w:val="49"/>
            </w:pPr>
            <w:r>
              <w:rPr>
                <w:rFonts w:hint="eastAsia"/>
              </w:rPr>
              <w:t>0.134</w:t>
            </w:r>
          </w:p>
        </w:tc>
        <w:tc>
          <w:tcPr>
            <w:tcW w:w="2131" w:type="dxa"/>
            <w:shd w:val="clear" w:color="auto" w:fill="auto"/>
            <w:vAlign w:val="bottom"/>
          </w:tcPr>
          <w:p w14:paraId="0550FD7A">
            <w:pPr>
              <w:pStyle w:val="49"/>
            </w:pPr>
            <w:r>
              <w:rPr>
                <w:rFonts w:hint="eastAsia"/>
              </w:rPr>
              <w:t>B747-400</w:t>
            </w:r>
          </w:p>
        </w:tc>
        <w:tc>
          <w:tcPr>
            <w:tcW w:w="2131" w:type="dxa"/>
            <w:tcBorders>
              <w:right w:val="nil"/>
            </w:tcBorders>
            <w:shd w:val="clear" w:color="auto" w:fill="auto"/>
            <w:vAlign w:val="center"/>
          </w:tcPr>
          <w:p w14:paraId="2A68C2C8">
            <w:pPr>
              <w:pStyle w:val="49"/>
            </w:pPr>
            <w:r>
              <w:rPr>
                <w:rFonts w:hint="eastAsia"/>
              </w:rPr>
              <w:t>0.144</w:t>
            </w:r>
          </w:p>
        </w:tc>
      </w:tr>
      <w:tr w14:paraId="7546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552F602D">
            <w:pPr>
              <w:pStyle w:val="49"/>
            </w:pPr>
            <w:r>
              <w:rPr>
                <w:rFonts w:hint="eastAsia"/>
              </w:rPr>
              <w:t xml:space="preserve"> A330-200</w:t>
            </w:r>
          </w:p>
        </w:tc>
        <w:tc>
          <w:tcPr>
            <w:tcW w:w="2130" w:type="dxa"/>
            <w:shd w:val="clear" w:color="auto" w:fill="auto"/>
            <w:vAlign w:val="bottom"/>
          </w:tcPr>
          <w:p w14:paraId="40E90886">
            <w:pPr>
              <w:pStyle w:val="49"/>
            </w:pPr>
            <w:r>
              <w:rPr>
                <w:rFonts w:hint="eastAsia"/>
              </w:rPr>
              <w:t>0.143</w:t>
            </w:r>
          </w:p>
        </w:tc>
        <w:tc>
          <w:tcPr>
            <w:tcW w:w="0" w:type="auto"/>
            <w:shd w:val="clear" w:color="auto" w:fill="auto"/>
            <w:vAlign w:val="bottom"/>
          </w:tcPr>
          <w:p w14:paraId="3C9F648D">
            <w:pPr>
              <w:pStyle w:val="49"/>
            </w:pPr>
            <w:r>
              <w:rPr>
                <w:rFonts w:hint="eastAsia"/>
              </w:rPr>
              <w:t>B757</w:t>
            </w:r>
          </w:p>
        </w:tc>
        <w:tc>
          <w:tcPr>
            <w:tcW w:w="2131" w:type="dxa"/>
            <w:tcBorders>
              <w:right w:val="nil"/>
            </w:tcBorders>
            <w:shd w:val="clear" w:color="auto" w:fill="auto"/>
            <w:vAlign w:val="center"/>
          </w:tcPr>
          <w:p w14:paraId="50E78448">
            <w:pPr>
              <w:pStyle w:val="49"/>
            </w:pPr>
            <w:r>
              <w:rPr>
                <w:rFonts w:hint="eastAsia"/>
              </w:rPr>
              <w:t>0.124666667</w:t>
            </w:r>
          </w:p>
        </w:tc>
      </w:tr>
      <w:tr w14:paraId="25853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03E71B3A">
            <w:pPr>
              <w:pStyle w:val="49"/>
            </w:pPr>
            <w:r>
              <w:rPr>
                <w:rFonts w:hint="eastAsia"/>
              </w:rPr>
              <w:t xml:space="preserve"> A330-300</w:t>
            </w:r>
          </w:p>
        </w:tc>
        <w:tc>
          <w:tcPr>
            <w:tcW w:w="2130" w:type="dxa"/>
            <w:shd w:val="clear" w:color="auto" w:fill="auto"/>
            <w:vAlign w:val="bottom"/>
          </w:tcPr>
          <w:p w14:paraId="4B68558A">
            <w:pPr>
              <w:pStyle w:val="49"/>
            </w:pPr>
            <w:r>
              <w:rPr>
                <w:rFonts w:hint="eastAsia"/>
              </w:rPr>
              <w:t>0.144666667</w:t>
            </w:r>
          </w:p>
        </w:tc>
        <w:tc>
          <w:tcPr>
            <w:tcW w:w="0" w:type="auto"/>
            <w:shd w:val="clear" w:color="auto" w:fill="auto"/>
            <w:vAlign w:val="bottom"/>
          </w:tcPr>
          <w:p w14:paraId="19AB76FE">
            <w:pPr>
              <w:pStyle w:val="49"/>
            </w:pPr>
            <w:r>
              <w:rPr>
                <w:rFonts w:hint="eastAsia"/>
              </w:rPr>
              <w:t>B777</w:t>
            </w:r>
          </w:p>
        </w:tc>
        <w:tc>
          <w:tcPr>
            <w:tcW w:w="2131" w:type="dxa"/>
            <w:tcBorders>
              <w:right w:val="nil"/>
            </w:tcBorders>
            <w:shd w:val="clear" w:color="auto" w:fill="auto"/>
            <w:vAlign w:val="center"/>
          </w:tcPr>
          <w:p w14:paraId="3D3E9870">
            <w:pPr>
              <w:pStyle w:val="49"/>
            </w:pPr>
            <w:r>
              <w:rPr>
                <w:rFonts w:hint="eastAsia"/>
              </w:rPr>
              <w:t>0.143</w:t>
            </w:r>
          </w:p>
        </w:tc>
      </w:tr>
      <w:tr w14:paraId="21EB0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2FAF2E59">
            <w:pPr>
              <w:pStyle w:val="49"/>
            </w:pPr>
            <w:r>
              <w:rPr>
                <w:rFonts w:hint="eastAsia"/>
              </w:rPr>
              <w:t xml:space="preserve"> A350</w:t>
            </w:r>
          </w:p>
        </w:tc>
        <w:tc>
          <w:tcPr>
            <w:tcW w:w="2130" w:type="dxa"/>
            <w:shd w:val="clear" w:color="auto" w:fill="auto"/>
            <w:vAlign w:val="bottom"/>
          </w:tcPr>
          <w:p w14:paraId="2B18010B">
            <w:pPr>
              <w:pStyle w:val="49"/>
            </w:pPr>
            <w:r>
              <w:rPr>
                <w:rFonts w:hint="eastAsia"/>
              </w:rPr>
              <w:t>0.145333333</w:t>
            </w:r>
          </w:p>
        </w:tc>
        <w:tc>
          <w:tcPr>
            <w:tcW w:w="0" w:type="auto"/>
            <w:shd w:val="clear" w:color="auto" w:fill="auto"/>
            <w:vAlign w:val="bottom"/>
          </w:tcPr>
          <w:p w14:paraId="3F0356E7">
            <w:pPr>
              <w:pStyle w:val="49"/>
            </w:pPr>
            <w:r>
              <w:rPr>
                <w:rFonts w:hint="eastAsia"/>
              </w:rPr>
              <w:t>B777-300</w:t>
            </w:r>
          </w:p>
        </w:tc>
        <w:tc>
          <w:tcPr>
            <w:tcW w:w="2131" w:type="dxa"/>
            <w:tcBorders>
              <w:right w:val="nil"/>
            </w:tcBorders>
            <w:shd w:val="clear" w:color="auto" w:fill="auto"/>
            <w:vAlign w:val="center"/>
          </w:tcPr>
          <w:p w14:paraId="5600A884">
            <w:pPr>
              <w:pStyle w:val="49"/>
            </w:pPr>
            <w:r>
              <w:rPr>
                <w:rFonts w:hint="eastAsia"/>
              </w:rPr>
              <w:t>0.143</w:t>
            </w:r>
          </w:p>
        </w:tc>
      </w:tr>
      <w:tr w14:paraId="48D93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0AA23516">
            <w:pPr>
              <w:pStyle w:val="49"/>
            </w:pPr>
            <w:r>
              <w:rPr>
                <w:rFonts w:hint="eastAsia"/>
              </w:rPr>
              <w:t xml:space="preserve"> A350-1000</w:t>
            </w:r>
          </w:p>
        </w:tc>
        <w:tc>
          <w:tcPr>
            <w:tcW w:w="2130" w:type="dxa"/>
            <w:shd w:val="clear" w:color="auto" w:fill="auto"/>
            <w:vAlign w:val="bottom"/>
          </w:tcPr>
          <w:p w14:paraId="578FEC9D">
            <w:pPr>
              <w:pStyle w:val="49"/>
            </w:pPr>
            <w:r>
              <w:rPr>
                <w:rFonts w:hint="eastAsia"/>
              </w:rPr>
              <w:t>0.145333333</w:t>
            </w:r>
          </w:p>
        </w:tc>
        <w:tc>
          <w:tcPr>
            <w:tcW w:w="0" w:type="auto"/>
            <w:shd w:val="clear" w:color="auto" w:fill="auto"/>
            <w:vAlign w:val="bottom"/>
          </w:tcPr>
          <w:p w14:paraId="5612E838">
            <w:pPr>
              <w:pStyle w:val="49"/>
            </w:pPr>
            <w:r>
              <w:rPr>
                <w:rFonts w:hint="eastAsia"/>
              </w:rPr>
              <w:t>B777-300ER</w:t>
            </w:r>
          </w:p>
        </w:tc>
        <w:tc>
          <w:tcPr>
            <w:tcW w:w="2131" w:type="dxa"/>
            <w:tcBorders>
              <w:right w:val="nil"/>
            </w:tcBorders>
            <w:shd w:val="clear" w:color="auto" w:fill="auto"/>
            <w:vAlign w:val="center"/>
          </w:tcPr>
          <w:p w14:paraId="2350626D">
            <w:pPr>
              <w:pStyle w:val="49"/>
            </w:pPr>
            <w:r>
              <w:rPr>
                <w:rFonts w:hint="eastAsia"/>
              </w:rPr>
              <w:t>0.144333333</w:t>
            </w:r>
          </w:p>
        </w:tc>
      </w:tr>
      <w:tr w14:paraId="74B02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5E4F34C6">
            <w:pPr>
              <w:pStyle w:val="49"/>
            </w:pPr>
            <w:r>
              <w:rPr>
                <w:rFonts w:hint="eastAsia"/>
              </w:rPr>
              <w:t xml:space="preserve"> A350-900</w:t>
            </w:r>
          </w:p>
        </w:tc>
        <w:tc>
          <w:tcPr>
            <w:tcW w:w="2130" w:type="dxa"/>
            <w:shd w:val="clear" w:color="auto" w:fill="auto"/>
            <w:vAlign w:val="bottom"/>
          </w:tcPr>
          <w:p w14:paraId="53A51DF1">
            <w:pPr>
              <w:pStyle w:val="49"/>
            </w:pPr>
            <w:r>
              <w:rPr>
                <w:rFonts w:hint="eastAsia"/>
              </w:rPr>
              <w:t>0.145333333</w:t>
            </w:r>
          </w:p>
        </w:tc>
        <w:tc>
          <w:tcPr>
            <w:tcW w:w="0" w:type="auto"/>
            <w:shd w:val="clear" w:color="auto" w:fill="auto"/>
            <w:vAlign w:val="bottom"/>
          </w:tcPr>
          <w:p w14:paraId="067CB897">
            <w:pPr>
              <w:pStyle w:val="49"/>
            </w:pPr>
            <w:r>
              <w:rPr>
                <w:rFonts w:hint="eastAsia"/>
              </w:rPr>
              <w:t>B787</w:t>
            </w:r>
          </w:p>
        </w:tc>
        <w:tc>
          <w:tcPr>
            <w:tcW w:w="2131" w:type="dxa"/>
            <w:tcBorders>
              <w:right w:val="nil"/>
            </w:tcBorders>
            <w:shd w:val="clear" w:color="auto" w:fill="auto"/>
            <w:vAlign w:val="center"/>
          </w:tcPr>
          <w:p w14:paraId="62E81027">
            <w:pPr>
              <w:pStyle w:val="49"/>
            </w:pPr>
            <w:r>
              <w:rPr>
                <w:rFonts w:hint="eastAsia"/>
              </w:rPr>
              <w:t>0.143</w:t>
            </w:r>
          </w:p>
        </w:tc>
      </w:tr>
      <w:tr w14:paraId="7D6F0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334FAD8D">
            <w:pPr>
              <w:pStyle w:val="49"/>
            </w:pPr>
            <w:r>
              <w:rPr>
                <w:rFonts w:hint="eastAsia"/>
              </w:rPr>
              <w:t>B737</w:t>
            </w:r>
          </w:p>
        </w:tc>
        <w:tc>
          <w:tcPr>
            <w:tcW w:w="2130" w:type="dxa"/>
            <w:shd w:val="clear" w:color="auto" w:fill="auto"/>
            <w:vAlign w:val="bottom"/>
          </w:tcPr>
          <w:p w14:paraId="6A9CEA18">
            <w:pPr>
              <w:pStyle w:val="49"/>
            </w:pPr>
            <w:r>
              <w:rPr>
                <w:rFonts w:hint="eastAsia"/>
              </w:rPr>
              <w:t>0.127</w:t>
            </w:r>
          </w:p>
        </w:tc>
        <w:tc>
          <w:tcPr>
            <w:tcW w:w="0" w:type="auto"/>
            <w:shd w:val="clear" w:color="auto" w:fill="auto"/>
            <w:vAlign w:val="bottom"/>
          </w:tcPr>
          <w:p w14:paraId="0DAE6892">
            <w:pPr>
              <w:pStyle w:val="49"/>
            </w:pPr>
            <w:r>
              <w:rPr>
                <w:rFonts w:hint="eastAsia"/>
              </w:rPr>
              <w:t>B787-8</w:t>
            </w:r>
          </w:p>
        </w:tc>
        <w:tc>
          <w:tcPr>
            <w:tcW w:w="2131" w:type="dxa"/>
            <w:tcBorders>
              <w:right w:val="nil"/>
            </w:tcBorders>
            <w:shd w:val="clear" w:color="auto" w:fill="auto"/>
            <w:vAlign w:val="center"/>
          </w:tcPr>
          <w:p w14:paraId="5870159F">
            <w:pPr>
              <w:pStyle w:val="49"/>
            </w:pPr>
            <w:r>
              <w:rPr>
                <w:rFonts w:hint="eastAsia"/>
              </w:rPr>
              <w:t>0.143</w:t>
            </w:r>
          </w:p>
        </w:tc>
      </w:tr>
      <w:tr w14:paraId="5F30C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7BDADE5D">
            <w:pPr>
              <w:pStyle w:val="49"/>
            </w:pPr>
            <w:r>
              <w:rPr>
                <w:rFonts w:hint="eastAsia"/>
              </w:rPr>
              <w:t>B737-200</w:t>
            </w:r>
          </w:p>
        </w:tc>
        <w:tc>
          <w:tcPr>
            <w:tcW w:w="2130" w:type="dxa"/>
            <w:shd w:val="clear" w:color="auto" w:fill="auto"/>
            <w:vAlign w:val="bottom"/>
          </w:tcPr>
          <w:p w14:paraId="1FB61B20">
            <w:pPr>
              <w:pStyle w:val="49"/>
            </w:pPr>
            <w:r>
              <w:rPr>
                <w:rFonts w:hint="eastAsia"/>
              </w:rPr>
              <w:t>0.127</w:t>
            </w:r>
          </w:p>
        </w:tc>
        <w:tc>
          <w:tcPr>
            <w:tcW w:w="0" w:type="auto"/>
            <w:shd w:val="clear" w:color="auto" w:fill="auto"/>
            <w:vAlign w:val="bottom"/>
          </w:tcPr>
          <w:p w14:paraId="6C3CC152">
            <w:pPr>
              <w:pStyle w:val="49"/>
            </w:pPr>
            <w:r>
              <w:rPr>
                <w:rFonts w:hint="eastAsia"/>
              </w:rPr>
              <w:t>B787-9</w:t>
            </w:r>
          </w:p>
        </w:tc>
        <w:tc>
          <w:tcPr>
            <w:tcW w:w="2131" w:type="dxa"/>
            <w:tcBorders>
              <w:right w:val="nil"/>
            </w:tcBorders>
            <w:shd w:val="clear" w:color="auto" w:fill="auto"/>
            <w:vAlign w:val="center"/>
          </w:tcPr>
          <w:p w14:paraId="7A46EA8A">
            <w:pPr>
              <w:pStyle w:val="49"/>
            </w:pPr>
            <w:r>
              <w:rPr>
                <w:rFonts w:hint="eastAsia"/>
              </w:rPr>
              <w:t>0.143</w:t>
            </w:r>
          </w:p>
        </w:tc>
      </w:tr>
      <w:tr w14:paraId="2A6BF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tcBorders>
            <w:shd w:val="clear" w:color="auto" w:fill="auto"/>
            <w:vAlign w:val="bottom"/>
          </w:tcPr>
          <w:p w14:paraId="6367A11A">
            <w:pPr>
              <w:pStyle w:val="49"/>
            </w:pPr>
            <w:r>
              <w:rPr>
                <w:rFonts w:hint="eastAsia"/>
              </w:rPr>
              <w:t>B737-300(winglets)</w:t>
            </w:r>
          </w:p>
        </w:tc>
        <w:tc>
          <w:tcPr>
            <w:tcW w:w="2130" w:type="dxa"/>
            <w:shd w:val="clear" w:color="auto" w:fill="auto"/>
            <w:vAlign w:val="bottom"/>
          </w:tcPr>
          <w:p w14:paraId="7C1A291D">
            <w:pPr>
              <w:pStyle w:val="49"/>
            </w:pPr>
            <w:r>
              <w:rPr>
                <w:rFonts w:hint="eastAsia"/>
              </w:rPr>
              <w:t>0.125</w:t>
            </w:r>
          </w:p>
        </w:tc>
        <w:tc>
          <w:tcPr>
            <w:tcW w:w="0" w:type="auto"/>
            <w:shd w:val="clear" w:color="auto" w:fill="auto"/>
            <w:vAlign w:val="bottom"/>
          </w:tcPr>
          <w:p w14:paraId="620B3F53">
            <w:pPr>
              <w:pStyle w:val="49"/>
            </w:pPr>
            <w:r>
              <w:rPr>
                <w:rFonts w:hint="eastAsia"/>
              </w:rPr>
              <w:t>ComacARJ21-700</w:t>
            </w:r>
          </w:p>
        </w:tc>
        <w:tc>
          <w:tcPr>
            <w:tcW w:w="2131" w:type="dxa"/>
            <w:tcBorders>
              <w:right w:val="nil"/>
            </w:tcBorders>
            <w:shd w:val="clear" w:color="auto" w:fill="auto"/>
            <w:vAlign w:val="center"/>
          </w:tcPr>
          <w:p w14:paraId="40C16CD4">
            <w:pPr>
              <w:pStyle w:val="49"/>
            </w:pPr>
            <w:r>
              <w:rPr>
                <w:rFonts w:hint="eastAsia"/>
              </w:rPr>
              <w:t>0.126333333</w:t>
            </w:r>
          </w:p>
        </w:tc>
      </w:tr>
      <w:tr w14:paraId="5A969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bottom w:val="single" w:color="000000" w:sz="12" w:space="0"/>
            </w:tcBorders>
            <w:shd w:val="clear" w:color="auto" w:fill="auto"/>
            <w:vAlign w:val="bottom"/>
          </w:tcPr>
          <w:p w14:paraId="6D3C92F3">
            <w:pPr>
              <w:pStyle w:val="49"/>
            </w:pPr>
            <w:r>
              <w:rPr>
                <w:rFonts w:hint="eastAsia"/>
              </w:rPr>
              <w:t>B737-300</w:t>
            </w:r>
          </w:p>
        </w:tc>
        <w:tc>
          <w:tcPr>
            <w:tcW w:w="2130" w:type="dxa"/>
            <w:tcBorders>
              <w:bottom w:val="single" w:color="000000" w:sz="12" w:space="0"/>
            </w:tcBorders>
            <w:shd w:val="clear" w:color="auto" w:fill="auto"/>
            <w:vAlign w:val="bottom"/>
          </w:tcPr>
          <w:p w14:paraId="588A31F4">
            <w:pPr>
              <w:pStyle w:val="49"/>
            </w:pPr>
            <w:r>
              <w:rPr>
                <w:rFonts w:hint="eastAsia"/>
              </w:rPr>
              <w:t>0.125</w:t>
            </w:r>
          </w:p>
        </w:tc>
        <w:tc>
          <w:tcPr>
            <w:tcW w:w="0" w:type="auto"/>
            <w:tcBorders>
              <w:bottom w:val="single" w:color="000000" w:sz="12" w:space="0"/>
            </w:tcBorders>
          </w:tcPr>
          <w:p w14:paraId="394B0C34">
            <w:pPr>
              <w:pStyle w:val="49"/>
            </w:pPr>
          </w:p>
        </w:tc>
        <w:tc>
          <w:tcPr>
            <w:tcW w:w="0" w:type="auto"/>
            <w:tcBorders>
              <w:bottom w:val="single" w:color="000000" w:sz="12" w:space="0"/>
              <w:right w:val="nil"/>
            </w:tcBorders>
          </w:tcPr>
          <w:p w14:paraId="36C00F7A">
            <w:pPr>
              <w:pStyle w:val="49"/>
            </w:pPr>
          </w:p>
        </w:tc>
      </w:tr>
    </w:tbl>
    <w:p w14:paraId="2125A88A">
      <w:pPr>
        <w:ind w:firstLine="420"/>
      </w:pPr>
    </w:p>
    <w:p w14:paraId="20C5B95F">
      <w:pPr>
        <w:ind w:firstLine="420"/>
      </w:pPr>
      <w:r>
        <w:t>(3) Annual additional energy and emission inventory. For each aircraft type, the total additional mechanical energy consumption per taxi movement (Table S4.11) was multiplied by the allocated annual movement counts and summed across all route configurations. This yields the total additional mechanical energy attributable to pavement roughness in 2019.</w:t>
      </w:r>
    </w:p>
    <w:p w14:paraId="61D2012D">
      <w:pPr>
        <w:ind w:firstLine="420"/>
      </w:pPr>
      <w:r>
        <w:t xml:space="preserve">Mechanical energy was then converted into pollutant mass emissions using the emission factors described in Supplementary Note 2 and Methods 3 of the main text. The resulting airport-level emission inventory for 2019 is shown in Table </w:t>
      </w:r>
      <w:r>
        <w:rPr>
          <w:rFonts w:hint="eastAsia"/>
          <w:lang w:val="en-US" w:eastAsia="zh-CN"/>
        </w:rPr>
        <w:t>S</w:t>
      </w:r>
      <w:r>
        <w:t>4.12. In 2019, pavement roughness alone induced approximately 1.53×10⁶ g (</w:t>
      </w:r>
      <w:r>
        <w:rPr>
          <w:rFonts w:hint="eastAsia"/>
        </w:rPr>
        <w:t>≈</w:t>
      </w:r>
      <w:r>
        <w:t>153 kg) of additional CO₂ emissions at Shanghai Hongqiao International Airport.</w:t>
      </w:r>
    </w:p>
    <w:p w14:paraId="0B7302AB">
      <w:pPr>
        <w:pStyle w:val="52"/>
      </w:pPr>
      <w:r>
        <w:t xml:space="preserve">Table </w:t>
      </w:r>
      <w:r>
        <w:rPr>
          <w:rFonts w:hint="eastAsia"/>
        </w:rPr>
        <w:t>S</w:t>
      </w:r>
      <w:r>
        <w:t>4.12</w:t>
      </w:r>
      <w:r>
        <w:rPr>
          <w:rFonts w:hint="eastAsia"/>
        </w:rPr>
        <w:t>.</w:t>
      </w:r>
      <w:r>
        <w:t xml:space="preserve"> Additional emissions induced by pavement roughness at Shanghai Hongqiao International Airport (2019)</w:t>
      </w:r>
    </w:p>
    <w:tbl>
      <w:tblPr>
        <w:tblStyle w:val="16"/>
        <w:tblW w:w="0" w:type="auto"/>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2B90479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1704" w:type="dxa"/>
            <w:tcBorders>
              <w:top w:val="single" w:color="000000" w:sz="12" w:space="0"/>
              <w:left w:val="nil"/>
              <w:bottom w:val="single" w:color="auto" w:sz="4" w:space="0"/>
              <w:right w:val="nil"/>
            </w:tcBorders>
            <w:shd w:val="clear" w:color="auto" w:fill="auto"/>
          </w:tcPr>
          <w:p w14:paraId="10877C62">
            <w:pPr>
              <w:pStyle w:val="49"/>
            </w:pPr>
            <w:r>
              <w:rPr>
                <w:rFonts w:hint="eastAsia"/>
              </w:rPr>
              <w:t>HC/g</w:t>
            </w:r>
          </w:p>
        </w:tc>
        <w:tc>
          <w:tcPr>
            <w:tcW w:w="1704" w:type="dxa"/>
            <w:tcBorders>
              <w:top w:val="single" w:color="000000" w:sz="12" w:space="0"/>
              <w:left w:val="nil"/>
              <w:bottom w:val="single" w:color="auto" w:sz="4" w:space="0"/>
              <w:right w:val="nil"/>
            </w:tcBorders>
            <w:shd w:val="clear" w:color="auto" w:fill="auto"/>
          </w:tcPr>
          <w:p w14:paraId="3D5F4388">
            <w:pPr>
              <w:pStyle w:val="49"/>
            </w:pPr>
            <w:r>
              <w:rPr>
                <w:rFonts w:hint="eastAsia"/>
              </w:rPr>
              <w:t>CO/g</w:t>
            </w:r>
          </w:p>
        </w:tc>
        <w:tc>
          <w:tcPr>
            <w:tcW w:w="1704" w:type="dxa"/>
            <w:tcBorders>
              <w:top w:val="single" w:color="000000" w:sz="12" w:space="0"/>
              <w:left w:val="nil"/>
              <w:bottom w:val="single" w:color="auto" w:sz="4" w:space="0"/>
              <w:right w:val="nil"/>
            </w:tcBorders>
            <w:shd w:val="clear" w:color="auto" w:fill="auto"/>
          </w:tcPr>
          <w:p w14:paraId="0C2A21B8">
            <w:pPr>
              <w:pStyle w:val="49"/>
            </w:pPr>
            <w:r>
              <w:rPr>
                <w:rFonts w:hint="eastAsia"/>
              </w:rPr>
              <w:t>NO</w:t>
            </w:r>
            <w:r>
              <w:rPr>
                <w:rFonts w:hint="eastAsia"/>
                <w:vertAlign w:val="subscript"/>
              </w:rPr>
              <w:t>x</w:t>
            </w:r>
            <w:r>
              <w:rPr>
                <w:rFonts w:hint="eastAsia"/>
              </w:rPr>
              <w:t>/g</w:t>
            </w:r>
          </w:p>
        </w:tc>
        <w:tc>
          <w:tcPr>
            <w:tcW w:w="1705" w:type="dxa"/>
            <w:tcBorders>
              <w:top w:val="single" w:color="000000" w:sz="12" w:space="0"/>
              <w:left w:val="nil"/>
              <w:bottom w:val="single" w:color="auto" w:sz="4" w:space="0"/>
              <w:right w:val="nil"/>
            </w:tcBorders>
            <w:shd w:val="clear" w:color="auto" w:fill="auto"/>
          </w:tcPr>
          <w:p w14:paraId="46480F13">
            <w:pPr>
              <w:pStyle w:val="49"/>
            </w:pPr>
            <w:r>
              <w:rPr>
                <w:rFonts w:hint="eastAsia"/>
              </w:rPr>
              <w:t>nvPM/g</w:t>
            </w:r>
          </w:p>
        </w:tc>
        <w:tc>
          <w:tcPr>
            <w:tcW w:w="1705" w:type="dxa"/>
            <w:tcBorders>
              <w:top w:val="single" w:color="000000" w:sz="12" w:space="0"/>
              <w:left w:val="nil"/>
              <w:bottom w:val="single" w:color="auto" w:sz="4" w:space="0"/>
              <w:right w:val="nil"/>
            </w:tcBorders>
            <w:shd w:val="clear" w:color="auto" w:fill="auto"/>
          </w:tcPr>
          <w:p w14:paraId="2FDE8F78">
            <w:pPr>
              <w:pStyle w:val="49"/>
            </w:pPr>
            <w:r>
              <w:rPr>
                <w:rFonts w:hint="eastAsia"/>
              </w:rPr>
              <w:t>CO</w:t>
            </w:r>
            <w:r>
              <w:rPr>
                <w:rFonts w:hint="eastAsia"/>
                <w:vertAlign w:val="subscript"/>
              </w:rPr>
              <w:t>2</w:t>
            </w:r>
            <w:r>
              <w:rPr>
                <w:rFonts w:hint="eastAsia"/>
              </w:rPr>
              <w:t>/g</w:t>
            </w:r>
          </w:p>
        </w:tc>
      </w:tr>
      <w:tr w14:paraId="56A1368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1704" w:type="dxa"/>
            <w:tcBorders>
              <w:top w:val="single" w:color="auto" w:sz="4" w:space="0"/>
              <w:left w:val="nil"/>
              <w:bottom w:val="single" w:color="000000" w:sz="12" w:space="0"/>
              <w:right w:val="nil"/>
            </w:tcBorders>
            <w:shd w:val="clear" w:color="auto" w:fill="auto"/>
            <w:vAlign w:val="center"/>
          </w:tcPr>
          <w:p w14:paraId="01CA6D94">
            <w:pPr>
              <w:pStyle w:val="49"/>
            </w:pPr>
            <w:r>
              <w:rPr>
                <w:rFonts w:hint="eastAsia"/>
              </w:rPr>
              <w:t>24.49633293</w:t>
            </w:r>
          </w:p>
        </w:tc>
        <w:tc>
          <w:tcPr>
            <w:tcW w:w="1704" w:type="dxa"/>
            <w:tcBorders>
              <w:top w:val="single" w:color="auto" w:sz="4" w:space="0"/>
              <w:left w:val="nil"/>
              <w:bottom w:val="single" w:color="000000" w:sz="12" w:space="0"/>
              <w:right w:val="nil"/>
            </w:tcBorders>
            <w:shd w:val="clear" w:color="auto" w:fill="auto"/>
            <w:vAlign w:val="center"/>
          </w:tcPr>
          <w:p w14:paraId="1FAC84C5">
            <w:pPr>
              <w:pStyle w:val="49"/>
            </w:pPr>
            <w:r>
              <w:rPr>
                <w:rFonts w:hint="eastAsia"/>
              </w:rPr>
              <w:t>104.726562</w:t>
            </w:r>
          </w:p>
        </w:tc>
        <w:tc>
          <w:tcPr>
            <w:tcW w:w="1704" w:type="dxa"/>
            <w:tcBorders>
              <w:top w:val="single" w:color="auto" w:sz="4" w:space="0"/>
              <w:left w:val="nil"/>
              <w:bottom w:val="single" w:color="000000" w:sz="12" w:space="0"/>
              <w:right w:val="nil"/>
            </w:tcBorders>
            <w:shd w:val="clear" w:color="auto" w:fill="auto"/>
            <w:vAlign w:val="center"/>
          </w:tcPr>
          <w:p w14:paraId="0D841AED">
            <w:pPr>
              <w:pStyle w:val="49"/>
            </w:pPr>
            <w:r>
              <w:rPr>
                <w:rFonts w:hint="eastAsia"/>
              </w:rPr>
              <w:t>18136.05794</w:t>
            </w:r>
          </w:p>
        </w:tc>
        <w:tc>
          <w:tcPr>
            <w:tcW w:w="1705" w:type="dxa"/>
            <w:tcBorders>
              <w:top w:val="single" w:color="auto" w:sz="4" w:space="0"/>
              <w:left w:val="nil"/>
              <w:bottom w:val="single" w:color="000000" w:sz="12" w:space="0"/>
              <w:right w:val="nil"/>
            </w:tcBorders>
            <w:shd w:val="clear" w:color="auto" w:fill="auto"/>
            <w:vAlign w:val="center"/>
          </w:tcPr>
          <w:p w14:paraId="12F495D8">
            <w:pPr>
              <w:pStyle w:val="49"/>
            </w:pPr>
            <w:r>
              <w:rPr>
                <w:rFonts w:hint="eastAsia"/>
              </w:rPr>
              <w:t>19628.3593</w:t>
            </w:r>
          </w:p>
        </w:tc>
        <w:tc>
          <w:tcPr>
            <w:tcW w:w="1705" w:type="dxa"/>
            <w:tcBorders>
              <w:top w:val="single" w:color="auto" w:sz="4" w:space="0"/>
              <w:left w:val="nil"/>
              <w:bottom w:val="single" w:color="000000" w:sz="12" w:space="0"/>
              <w:right w:val="nil"/>
            </w:tcBorders>
            <w:shd w:val="clear" w:color="auto" w:fill="auto"/>
            <w:vAlign w:val="center"/>
          </w:tcPr>
          <w:p w14:paraId="32156DD5">
            <w:pPr>
              <w:pStyle w:val="49"/>
            </w:pPr>
            <w:r>
              <w:rPr>
                <w:rFonts w:hint="eastAsia"/>
              </w:rPr>
              <w:t>1530993.308</w:t>
            </w:r>
          </w:p>
        </w:tc>
      </w:tr>
    </w:tbl>
    <w:p w14:paraId="65B3C177">
      <w:pPr>
        <w:widowControl/>
        <w:ind w:firstLine="0" w:firstLineChars="0"/>
      </w:pPr>
    </w:p>
    <w:p w14:paraId="4295E1DB">
      <w:pPr>
        <w:ind w:firstLine="420"/>
      </w:pPr>
      <w:r>
        <w:t>(4) Spatial heterogeneity of emissions. To examine spatial distribution characteristics, emissions were aggregated by functional area (Table</w:t>
      </w:r>
      <w:r>
        <w:rPr>
          <w:rFonts w:hint="eastAsia"/>
          <w:lang w:val="en-US" w:eastAsia="zh-CN"/>
        </w:rPr>
        <w:t xml:space="preserve"> S</w:t>
      </w:r>
      <w:r>
        <w:t>4.13). Results indicate strong spatial concentration of roughness-induced emissions. Although runways account for a limited share of total pavement area, they contribute approximately 79.6% of total additional CO₂ emissions. This dominance arises from: higher operating speeds, stronger vibration excitation intensity, and amplified dynamic energy dissipation.</w:t>
      </w:r>
    </w:p>
    <w:p w14:paraId="05FE8955">
      <w:pPr>
        <w:ind w:firstLine="420"/>
      </w:pPr>
      <w:r>
        <w:t>Taxiways and apron areas, despite sometimes exhibiting higher roughness levels, contribute less additional emission due to lower operating speeds.</w:t>
      </w:r>
    </w:p>
    <w:p w14:paraId="1F622B64">
      <w:pPr>
        <w:pStyle w:val="52"/>
      </w:pPr>
      <w:r>
        <w:t xml:space="preserve">Table </w:t>
      </w:r>
      <w:r>
        <w:rPr>
          <w:rFonts w:hint="eastAsia"/>
        </w:rPr>
        <w:t>S</w:t>
      </w:r>
      <w:r>
        <w:t>4.13</w:t>
      </w:r>
      <w:r>
        <w:rPr>
          <w:rFonts w:hint="eastAsia"/>
        </w:rPr>
        <w:t>.</w:t>
      </w:r>
      <w:r>
        <w:t xml:space="preserve"> Spatial distribution of roughness-induced emissions (2019)</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84"/>
        <w:gridCol w:w="992"/>
        <w:gridCol w:w="1418"/>
        <w:gridCol w:w="1538"/>
        <w:gridCol w:w="1474"/>
        <w:gridCol w:w="1716"/>
      </w:tblGrid>
      <w:tr w14:paraId="505D6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384" w:type="dxa"/>
            <w:tcBorders>
              <w:top w:val="single" w:color="auto" w:sz="12" w:space="0"/>
              <w:bottom w:val="single" w:color="auto" w:sz="12" w:space="0"/>
            </w:tcBorders>
            <w:shd w:val="clear" w:color="auto" w:fill="auto"/>
          </w:tcPr>
          <w:p w14:paraId="34CC6FE7">
            <w:pPr>
              <w:pStyle w:val="49"/>
            </w:pPr>
            <w:r>
              <w:t>Functional area</w:t>
            </w:r>
          </w:p>
        </w:tc>
        <w:tc>
          <w:tcPr>
            <w:tcW w:w="992" w:type="dxa"/>
            <w:tcBorders>
              <w:top w:val="single" w:color="auto" w:sz="12" w:space="0"/>
              <w:bottom w:val="single" w:color="auto" w:sz="12" w:space="0"/>
            </w:tcBorders>
            <w:shd w:val="clear" w:color="auto" w:fill="auto"/>
          </w:tcPr>
          <w:p w14:paraId="4A9B706F">
            <w:pPr>
              <w:pStyle w:val="49"/>
            </w:pPr>
            <w:r>
              <w:rPr>
                <w:rFonts w:hint="eastAsia"/>
              </w:rPr>
              <w:t>HC/g</w:t>
            </w:r>
          </w:p>
        </w:tc>
        <w:tc>
          <w:tcPr>
            <w:tcW w:w="1418" w:type="dxa"/>
            <w:tcBorders>
              <w:top w:val="single" w:color="auto" w:sz="12" w:space="0"/>
              <w:bottom w:val="single" w:color="auto" w:sz="12" w:space="0"/>
            </w:tcBorders>
            <w:shd w:val="clear" w:color="auto" w:fill="auto"/>
          </w:tcPr>
          <w:p w14:paraId="7BD0257B">
            <w:pPr>
              <w:pStyle w:val="49"/>
            </w:pPr>
            <w:r>
              <w:rPr>
                <w:rFonts w:hint="eastAsia"/>
              </w:rPr>
              <w:t>CO/g</w:t>
            </w:r>
          </w:p>
        </w:tc>
        <w:tc>
          <w:tcPr>
            <w:tcW w:w="1538" w:type="dxa"/>
            <w:tcBorders>
              <w:top w:val="single" w:color="auto" w:sz="12" w:space="0"/>
              <w:bottom w:val="single" w:color="auto" w:sz="12" w:space="0"/>
            </w:tcBorders>
            <w:shd w:val="clear" w:color="auto" w:fill="auto"/>
          </w:tcPr>
          <w:p w14:paraId="3AB15442">
            <w:pPr>
              <w:pStyle w:val="49"/>
            </w:pPr>
            <w:r>
              <w:rPr>
                <w:rFonts w:hint="eastAsia"/>
              </w:rPr>
              <w:t>NO</w:t>
            </w:r>
            <w:r>
              <w:rPr>
                <w:rFonts w:hint="eastAsia"/>
                <w:vertAlign w:val="subscript"/>
              </w:rPr>
              <w:t>x</w:t>
            </w:r>
            <w:r>
              <w:rPr>
                <w:rFonts w:hint="eastAsia"/>
              </w:rPr>
              <w:t>/g</w:t>
            </w:r>
          </w:p>
        </w:tc>
        <w:tc>
          <w:tcPr>
            <w:tcW w:w="1474" w:type="dxa"/>
            <w:tcBorders>
              <w:top w:val="single" w:color="auto" w:sz="12" w:space="0"/>
              <w:bottom w:val="single" w:color="auto" w:sz="12" w:space="0"/>
            </w:tcBorders>
            <w:shd w:val="clear" w:color="auto" w:fill="auto"/>
          </w:tcPr>
          <w:p w14:paraId="5DA93EB4">
            <w:pPr>
              <w:pStyle w:val="49"/>
            </w:pPr>
            <w:r>
              <w:rPr>
                <w:rFonts w:hint="eastAsia"/>
              </w:rPr>
              <w:t>nvPM/g</w:t>
            </w:r>
          </w:p>
        </w:tc>
        <w:tc>
          <w:tcPr>
            <w:tcW w:w="1716" w:type="dxa"/>
            <w:tcBorders>
              <w:top w:val="single" w:color="auto" w:sz="12" w:space="0"/>
              <w:bottom w:val="single" w:color="auto" w:sz="12" w:space="0"/>
            </w:tcBorders>
            <w:shd w:val="clear" w:color="auto" w:fill="auto"/>
          </w:tcPr>
          <w:p w14:paraId="2BFF3B0D">
            <w:pPr>
              <w:pStyle w:val="49"/>
            </w:pPr>
            <w:r>
              <w:rPr>
                <w:rFonts w:hint="eastAsia"/>
              </w:rPr>
              <w:t>CO</w:t>
            </w:r>
            <w:r>
              <w:rPr>
                <w:rFonts w:hint="eastAsia"/>
                <w:vertAlign w:val="subscript"/>
              </w:rPr>
              <w:t>2</w:t>
            </w:r>
            <w:r>
              <w:rPr>
                <w:rFonts w:hint="eastAsia"/>
              </w:rPr>
              <w:t>/g</w:t>
            </w:r>
          </w:p>
        </w:tc>
      </w:tr>
      <w:tr w14:paraId="47E633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384" w:type="dxa"/>
            <w:tcBorders>
              <w:top w:val="single" w:color="auto" w:sz="12" w:space="0"/>
            </w:tcBorders>
            <w:shd w:val="clear" w:color="auto" w:fill="auto"/>
            <w:vAlign w:val="bottom"/>
          </w:tcPr>
          <w:p w14:paraId="1A5C85EB">
            <w:pPr>
              <w:pStyle w:val="49"/>
            </w:pPr>
            <w:r>
              <w:t>Apron</w:t>
            </w:r>
          </w:p>
        </w:tc>
        <w:tc>
          <w:tcPr>
            <w:tcW w:w="992" w:type="dxa"/>
            <w:tcBorders>
              <w:top w:val="single" w:color="auto" w:sz="12" w:space="0"/>
            </w:tcBorders>
            <w:shd w:val="clear" w:color="auto" w:fill="auto"/>
            <w:vAlign w:val="center"/>
          </w:tcPr>
          <w:p w14:paraId="6E4D7C71">
            <w:pPr>
              <w:pStyle w:val="49"/>
            </w:pPr>
            <w:r>
              <w:rPr>
                <w:rFonts w:hint="eastAsia"/>
              </w:rPr>
              <w:t>0.87835</w:t>
            </w:r>
          </w:p>
        </w:tc>
        <w:tc>
          <w:tcPr>
            <w:tcW w:w="1418" w:type="dxa"/>
            <w:tcBorders>
              <w:top w:val="single" w:color="auto" w:sz="12" w:space="0"/>
            </w:tcBorders>
            <w:shd w:val="clear" w:color="auto" w:fill="auto"/>
            <w:vAlign w:val="center"/>
          </w:tcPr>
          <w:p w14:paraId="27345279">
            <w:pPr>
              <w:pStyle w:val="49"/>
            </w:pPr>
            <w:r>
              <w:rPr>
                <w:rFonts w:hint="eastAsia"/>
              </w:rPr>
              <w:t>2.993926667</w:t>
            </w:r>
          </w:p>
        </w:tc>
        <w:tc>
          <w:tcPr>
            <w:tcW w:w="1538" w:type="dxa"/>
            <w:tcBorders>
              <w:top w:val="single" w:color="auto" w:sz="12" w:space="0"/>
            </w:tcBorders>
            <w:shd w:val="clear" w:color="auto" w:fill="auto"/>
            <w:vAlign w:val="center"/>
          </w:tcPr>
          <w:p w14:paraId="1B4478E3">
            <w:pPr>
              <w:pStyle w:val="49"/>
            </w:pPr>
            <w:r>
              <w:rPr>
                <w:rFonts w:hint="eastAsia"/>
              </w:rPr>
              <w:t>603.0201267</w:t>
            </w:r>
          </w:p>
        </w:tc>
        <w:tc>
          <w:tcPr>
            <w:tcW w:w="1474" w:type="dxa"/>
            <w:tcBorders>
              <w:top w:val="single" w:color="auto" w:sz="12" w:space="0"/>
            </w:tcBorders>
            <w:shd w:val="clear" w:color="auto" w:fill="auto"/>
            <w:vAlign w:val="center"/>
          </w:tcPr>
          <w:p w14:paraId="21419D86">
            <w:pPr>
              <w:pStyle w:val="49"/>
            </w:pPr>
            <w:r>
              <w:rPr>
                <w:rFonts w:hint="eastAsia"/>
              </w:rPr>
              <w:t>605.4893767</w:t>
            </w:r>
          </w:p>
        </w:tc>
        <w:tc>
          <w:tcPr>
            <w:tcW w:w="1716" w:type="dxa"/>
            <w:tcBorders>
              <w:top w:val="single" w:color="auto" w:sz="12" w:space="0"/>
            </w:tcBorders>
            <w:shd w:val="clear" w:color="auto" w:fill="auto"/>
            <w:vAlign w:val="center"/>
          </w:tcPr>
          <w:p w14:paraId="69183764">
            <w:pPr>
              <w:pStyle w:val="49"/>
            </w:pPr>
            <w:r>
              <w:rPr>
                <w:rFonts w:hint="eastAsia"/>
              </w:rPr>
              <w:t>49147.01037</w:t>
            </w:r>
          </w:p>
        </w:tc>
      </w:tr>
      <w:tr w14:paraId="5C9E9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384" w:type="dxa"/>
            <w:shd w:val="clear" w:color="auto" w:fill="auto"/>
            <w:vAlign w:val="bottom"/>
          </w:tcPr>
          <w:p w14:paraId="0E419DB5">
            <w:pPr>
              <w:pStyle w:val="49"/>
            </w:pPr>
            <w:r>
              <w:t>Rapid-exit taxiway</w:t>
            </w:r>
          </w:p>
        </w:tc>
        <w:tc>
          <w:tcPr>
            <w:tcW w:w="992" w:type="dxa"/>
            <w:shd w:val="clear" w:color="auto" w:fill="auto"/>
            <w:vAlign w:val="center"/>
          </w:tcPr>
          <w:p w14:paraId="2425FED4">
            <w:pPr>
              <w:pStyle w:val="49"/>
            </w:pPr>
            <w:r>
              <w:rPr>
                <w:rFonts w:hint="eastAsia"/>
              </w:rPr>
              <w:t>0.943</w:t>
            </w:r>
          </w:p>
        </w:tc>
        <w:tc>
          <w:tcPr>
            <w:tcW w:w="1418" w:type="dxa"/>
            <w:shd w:val="clear" w:color="auto" w:fill="auto"/>
            <w:vAlign w:val="center"/>
          </w:tcPr>
          <w:p w14:paraId="5CC9277E">
            <w:pPr>
              <w:pStyle w:val="49"/>
            </w:pPr>
            <w:r>
              <w:rPr>
                <w:rFonts w:hint="eastAsia"/>
              </w:rPr>
              <w:t>3.796176667</w:t>
            </w:r>
          </w:p>
        </w:tc>
        <w:tc>
          <w:tcPr>
            <w:tcW w:w="1538" w:type="dxa"/>
            <w:shd w:val="clear" w:color="auto" w:fill="auto"/>
            <w:vAlign w:val="center"/>
          </w:tcPr>
          <w:p w14:paraId="4BB5D259">
            <w:pPr>
              <w:pStyle w:val="49"/>
            </w:pPr>
            <w:r>
              <w:rPr>
                <w:rFonts w:hint="eastAsia"/>
              </w:rPr>
              <w:t>628.4844767</w:t>
            </w:r>
          </w:p>
        </w:tc>
        <w:tc>
          <w:tcPr>
            <w:tcW w:w="1474" w:type="dxa"/>
            <w:shd w:val="clear" w:color="auto" w:fill="auto"/>
            <w:vAlign w:val="center"/>
          </w:tcPr>
          <w:p w14:paraId="47BCACC9">
            <w:pPr>
              <w:pStyle w:val="49"/>
            </w:pPr>
            <w:r>
              <w:rPr>
                <w:rFonts w:hint="eastAsia"/>
              </w:rPr>
              <w:t>747.5119433</w:t>
            </w:r>
          </w:p>
        </w:tc>
        <w:tc>
          <w:tcPr>
            <w:tcW w:w="1716" w:type="dxa"/>
            <w:shd w:val="clear" w:color="auto" w:fill="auto"/>
            <w:vAlign w:val="center"/>
          </w:tcPr>
          <w:p w14:paraId="397D2F46">
            <w:pPr>
              <w:pStyle w:val="49"/>
            </w:pPr>
            <w:r>
              <w:rPr>
                <w:rFonts w:hint="eastAsia"/>
              </w:rPr>
              <w:t>54975.10509</w:t>
            </w:r>
          </w:p>
        </w:tc>
      </w:tr>
      <w:tr w14:paraId="64B8E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384" w:type="dxa"/>
            <w:shd w:val="clear" w:color="auto" w:fill="auto"/>
            <w:vAlign w:val="bottom"/>
          </w:tcPr>
          <w:p w14:paraId="3289C8D4">
            <w:pPr>
              <w:pStyle w:val="49"/>
            </w:pPr>
            <w:r>
              <w:t>Taxiway</w:t>
            </w:r>
          </w:p>
        </w:tc>
        <w:tc>
          <w:tcPr>
            <w:tcW w:w="992" w:type="dxa"/>
            <w:shd w:val="clear" w:color="auto" w:fill="auto"/>
            <w:vAlign w:val="center"/>
          </w:tcPr>
          <w:p w14:paraId="01067896">
            <w:pPr>
              <w:pStyle w:val="49"/>
            </w:pPr>
            <w:r>
              <w:rPr>
                <w:rFonts w:hint="eastAsia"/>
              </w:rPr>
              <w:t>3.34716</w:t>
            </w:r>
          </w:p>
        </w:tc>
        <w:tc>
          <w:tcPr>
            <w:tcW w:w="1418" w:type="dxa"/>
            <w:shd w:val="clear" w:color="auto" w:fill="auto"/>
            <w:vAlign w:val="center"/>
          </w:tcPr>
          <w:p w14:paraId="0AF91304">
            <w:pPr>
              <w:pStyle w:val="49"/>
            </w:pPr>
            <w:r>
              <w:rPr>
                <w:rFonts w:hint="eastAsia"/>
              </w:rPr>
              <w:t>13.99891667</w:t>
            </w:r>
          </w:p>
        </w:tc>
        <w:tc>
          <w:tcPr>
            <w:tcW w:w="1538" w:type="dxa"/>
            <w:shd w:val="clear" w:color="auto" w:fill="auto"/>
            <w:vAlign w:val="center"/>
          </w:tcPr>
          <w:p w14:paraId="1C33DD0B">
            <w:pPr>
              <w:pStyle w:val="49"/>
            </w:pPr>
            <w:r>
              <w:rPr>
                <w:rFonts w:hint="eastAsia"/>
              </w:rPr>
              <w:t>2519.99158</w:t>
            </w:r>
          </w:p>
        </w:tc>
        <w:tc>
          <w:tcPr>
            <w:tcW w:w="1474" w:type="dxa"/>
            <w:shd w:val="clear" w:color="auto" w:fill="auto"/>
            <w:vAlign w:val="center"/>
          </w:tcPr>
          <w:p w14:paraId="7757C4C8">
            <w:pPr>
              <w:pStyle w:val="49"/>
            </w:pPr>
            <w:r>
              <w:rPr>
                <w:rFonts w:hint="eastAsia"/>
              </w:rPr>
              <w:t>2585.18222</w:t>
            </w:r>
          </w:p>
        </w:tc>
        <w:tc>
          <w:tcPr>
            <w:tcW w:w="1716" w:type="dxa"/>
            <w:shd w:val="clear" w:color="auto" w:fill="auto"/>
            <w:vAlign w:val="center"/>
          </w:tcPr>
          <w:p w14:paraId="1A522A6F">
            <w:pPr>
              <w:pStyle w:val="49"/>
            </w:pPr>
            <w:r>
              <w:rPr>
                <w:rFonts w:hint="eastAsia"/>
              </w:rPr>
              <w:t>208513.8347</w:t>
            </w:r>
          </w:p>
        </w:tc>
      </w:tr>
      <w:tr w14:paraId="6262E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384" w:type="dxa"/>
            <w:tcBorders>
              <w:bottom w:val="single" w:color="auto" w:sz="12" w:space="0"/>
            </w:tcBorders>
            <w:shd w:val="clear" w:color="auto" w:fill="auto"/>
            <w:vAlign w:val="bottom"/>
          </w:tcPr>
          <w:p w14:paraId="5B0E464C">
            <w:pPr>
              <w:pStyle w:val="49"/>
            </w:pPr>
            <w:r>
              <w:t>Runway</w:t>
            </w:r>
          </w:p>
        </w:tc>
        <w:tc>
          <w:tcPr>
            <w:tcW w:w="992" w:type="dxa"/>
            <w:tcBorders>
              <w:bottom w:val="single" w:color="auto" w:sz="12" w:space="0"/>
            </w:tcBorders>
            <w:shd w:val="clear" w:color="auto" w:fill="auto"/>
            <w:vAlign w:val="center"/>
          </w:tcPr>
          <w:p w14:paraId="01E0FF2D">
            <w:pPr>
              <w:pStyle w:val="49"/>
            </w:pPr>
            <w:r>
              <w:rPr>
                <w:rFonts w:hint="eastAsia"/>
              </w:rPr>
              <w:t>19.32782</w:t>
            </w:r>
          </w:p>
        </w:tc>
        <w:tc>
          <w:tcPr>
            <w:tcW w:w="1418" w:type="dxa"/>
            <w:tcBorders>
              <w:bottom w:val="single" w:color="auto" w:sz="12" w:space="0"/>
            </w:tcBorders>
            <w:shd w:val="clear" w:color="auto" w:fill="auto"/>
            <w:vAlign w:val="center"/>
          </w:tcPr>
          <w:p w14:paraId="7EB122E0">
            <w:pPr>
              <w:pStyle w:val="49"/>
            </w:pPr>
            <w:r>
              <w:rPr>
                <w:rFonts w:hint="eastAsia"/>
              </w:rPr>
              <w:t>83.93754333</w:t>
            </w:r>
          </w:p>
        </w:tc>
        <w:tc>
          <w:tcPr>
            <w:tcW w:w="1538" w:type="dxa"/>
            <w:tcBorders>
              <w:bottom w:val="single" w:color="auto" w:sz="12" w:space="0"/>
            </w:tcBorders>
            <w:shd w:val="clear" w:color="auto" w:fill="auto"/>
            <w:vAlign w:val="center"/>
          </w:tcPr>
          <w:p w14:paraId="6D99AF3A">
            <w:pPr>
              <w:pStyle w:val="49"/>
            </w:pPr>
            <w:r>
              <w:rPr>
                <w:rFonts w:hint="eastAsia"/>
              </w:rPr>
              <w:t>14384.56176</w:t>
            </w:r>
          </w:p>
        </w:tc>
        <w:tc>
          <w:tcPr>
            <w:tcW w:w="1474" w:type="dxa"/>
            <w:tcBorders>
              <w:bottom w:val="single" w:color="auto" w:sz="12" w:space="0"/>
            </w:tcBorders>
            <w:shd w:val="clear" w:color="auto" w:fill="auto"/>
            <w:vAlign w:val="center"/>
          </w:tcPr>
          <w:p w14:paraId="17829440">
            <w:pPr>
              <w:pStyle w:val="49"/>
            </w:pPr>
            <w:r>
              <w:rPr>
                <w:rFonts w:hint="eastAsia"/>
              </w:rPr>
              <w:t>15690.17576</w:t>
            </w:r>
          </w:p>
        </w:tc>
        <w:tc>
          <w:tcPr>
            <w:tcW w:w="1716" w:type="dxa"/>
            <w:tcBorders>
              <w:bottom w:val="single" w:color="auto" w:sz="12" w:space="0"/>
            </w:tcBorders>
            <w:shd w:val="clear" w:color="auto" w:fill="auto"/>
            <w:vAlign w:val="center"/>
          </w:tcPr>
          <w:p w14:paraId="728C6D50">
            <w:pPr>
              <w:pStyle w:val="49"/>
            </w:pPr>
            <w:r>
              <w:rPr>
                <w:rFonts w:hint="eastAsia"/>
              </w:rPr>
              <w:t>1218357.358</w:t>
            </w:r>
          </w:p>
        </w:tc>
      </w:tr>
    </w:tbl>
    <w:p w14:paraId="594AA62C">
      <w:pPr>
        <w:pStyle w:val="3"/>
        <w:ind w:firstLine="482"/>
      </w:pPr>
      <w:r>
        <w:t>4.3 National-scale airport emission inventory</w:t>
      </w:r>
    </w:p>
    <w:p w14:paraId="25480BE6">
      <w:pPr>
        <w:ind w:firstLine="420"/>
        <w:jc w:val="left"/>
        <w:rPr>
          <w:szCs w:val="24"/>
          <w:lang w:bidi="ar"/>
        </w:rPr>
      </w:pPr>
      <w:r>
        <w:rPr>
          <w:szCs w:val="24"/>
          <w:lang w:bidi="ar"/>
        </w:rPr>
        <w:t>Building upon the standardized computational framework described in Supplementary Note 4.1 and the full-process validation presented in Supplementary Note 4.2, the methodology was extended to all available civil airports in China.</w:t>
      </w:r>
    </w:p>
    <w:p w14:paraId="6F905F44">
      <w:pPr>
        <w:ind w:firstLine="420"/>
        <w:jc w:val="left"/>
        <w:rPr>
          <w:szCs w:val="24"/>
          <w:lang w:bidi="ar"/>
        </w:rPr>
      </w:pPr>
      <w:r>
        <w:rPr>
          <w:szCs w:val="24"/>
          <w:lang w:bidi="ar"/>
        </w:rPr>
        <w:t>For aircraft trajectory reconstruction (Step 3 of the framework), segment-level taxi routing tables were established for each airport and aircraft category. Taxi path segmentation was determined by integrating publicly available aerodrome layout data with ADS-B trajectory records, enabling identification of representative routing configurations for each aircraft class (Source Data 5).</w:t>
      </w:r>
    </w:p>
    <w:p w14:paraId="152944DF">
      <w:pPr>
        <w:ind w:firstLine="420"/>
        <w:jc w:val="left"/>
        <w:rPr>
          <w:szCs w:val="24"/>
          <w:lang w:bidi="ar"/>
        </w:rPr>
      </w:pPr>
      <w:r>
        <w:rPr>
          <w:szCs w:val="24"/>
          <w:lang w:bidi="ar"/>
        </w:rPr>
        <w:t>Pavement inspection reports covering the period 1999–2024 were compiled, providing roughness and structural data for up to 246 airports over a 25-year time span. The year 2019 represents the most comprehensive coverage in terms of airport sample size.</w:t>
      </w:r>
    </w:p>
    <w:p w14:paraId="7B888B1A">
      <w:pPr>
        <w:ind w:firstLine="420"/>
        <w:jc w:val="left"/>
        <w:rPr>
          <w:szCs w:val="24"/>
        </w:rPr>
      </w:pPr>
      <w:r>
        <w:rPr>
          <w:szCs w:val="24"/>
          <w:lang w:bidi="ar"/>
        </w:rPr>
        <w:t>Using consistent parameterization and allocation procedures across all airports and years, annual roughness-induced emission inventories were generated at the national scale. The 2019 national emission inventory is provided in Source Data 6.</w:t>
      </w:r>
    </w:p>
    <w:p w14:paraId="077433E8">
      <w:pPr>
        <w:ind w:firstLine="420"/>
        <w:jc w:val="center"/>
        <w:rPr>
          <w:rFonts w:ascii="宋体" w:hAnsi="宋体" w:cs="宋体"/>
          <w:kern w:val="2"/>
          <w:szCs w:val="21"/>
          <w:lang w:bidi="ar"/>
        </w:rPr>
      </w:pPr>
    </w:p>
    <w:p w14:paraId="2761AA0C">
      <w:pPr>
        <w:ind w:firstLine="420"/>
        <w:jc w:val="center"/>
        <w:rPr>
          <w:rFonts w:ascii="宋体" w:hAnsi="宋体" w:cs="宋体"/>
          <w:kern w:val="2"/>
          <w:szCs w:val="21"/>
          <w:lang w:bidi="ar"/>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6875006">
      <w:pPr>
        <w:pStyle w:val="2"/>
        <w:ind w:firstLine="0" w:firstLineChars="0"/>
      </w:pPr>
      <w:r>
        <w:t>Supplementary Note 5</w:t>
      </w:r>
      <w:r>
        <w:rPr>
          <w:rFonts w:hint="eastAsia"/>
        </w:rPr>
        <w:t>.</w:t>
      </w:r>
      <w:r>
        <w:t xml:space="preserve"> Multi-year projection of roughness-induced emissions in China</w:t>
      </w:r>
    </w:p>
    <w:p w14:paraId="169AA8F5">
      <w:pPr>
        <w:pStyle w:val="3"/>
        <w:ind w:firstLine="482"/>
      </w:pPr>
      <w:r>
        <w:t>5.1 Projection of aircraft movements</w:t>
      </w:r>
    </w:p>
    <w:p w14:paraId="08C27A12">
      <w:pPr>
        <w:ind w:firstLine="420"/>
        <w:jc w:val="left"/>
      </w:pPr>
      <w:r>
        <w:t>Aircraft movement forecasts were constructed using 2019 as the baseline year. Historical annual aircraft movements (2019–2024) were obtained from official statistical bulletins published by the Civil Aviation Administration of China (CAAC). Reported values are: 2020: 9.049 million movements; 2021: 9.777 million; 2022: 7.152 million; 2023: 11.708 million; 2024: 12.400 million</w:t>
      </w:r>
    </w:p>
    <w:p w14:paraId="45EAF938">
      <w:pPr>
        <w:ind w:firstLine="420"/>
        <w:jc w:val="left"/>
      </w:pPr>
      <w:r>
        <w:t>The official 2019 total was 11.660 million movements. Due to database availability constraints, 9.868 million movements were used in the model calculations for 2019 to ensure internal consistency with aircraft-type-specific traffic data.</w:t>
      </w:r>
    </w:p>
    <w:p w14:paraId="35762CFF">
      <w:pPr>
        <w:ind w:firstLine="422"/>
        <w:jc w:val="left"/>
      </w:pPr>
      <w:r>
        <w:rPr>
          <w:b/>
          <w:bCs/>
        </w:rPr>
        <w:t xml:space="preserve">Growth model. </w:t>
      </w:r>
      <w:r>
        <w:t>A two-stage compound growth model was adopted to represent long-term aviation development dynamics.</w:t>
      </w:r>
    </w:p>
    <w:p w14:paraId="7BA9C561">
      <w:pPr>
        <w:ind w:firstLine="420"/>
        <w:jc w:val="left"/>
      </w:pPr>
      <w:r>
        <w:t>Stage I (2024–2035): accelerated recovery and expansion phase</w:t>
      </w:r>
    </w:p>
    <w:p w14:paraId="379A524A">
      <w:pPr>
        <w:ind w:firstLine="420"/>
      </w:pPr>
      <w:r>
        <w:t xml:space="preserve">Based on national civil aviation development targets and post-pandemic recovery trends, annual aircraft movements were assumed to grow at a compound annual growth rate (CAGR) of 8.46%, yielding a projected 30 million movements by 2035. Projected values for 2025–2034 are shown in Table </w:t>
      </w:r>
      <w:r>
        <w:rPr>
          <w:rFonts w:hint="eastAsia"/>
          <w:lang w:val="en-US" w:eastAsia="zh-CN"/>
        </w:rPr>
        <w:t>S</w:t>
      </w:r>
      <w:r>
        <w:t>5.1.</w:t>
      </w:r>
    </w:p>
    <w:p w14:paraId="66ED63E8">
      <w:pPr>
        <w:ind w:firstLine="420"/>
        <w:jc w:val="left"/>
      </w:pPr>
      <w:r>
        <w:t>Stage II (2035–2050): mature market phase</w:t>
      </w:r>
    </w:p>
    <w:p w14:paraId="5A79DBD4">
      <w:pPr>
        <w:ind w:firstLine="420"/>
      </w:pPr>
      <w:r>
        <w:t>To reflect structural saturation effects observed in mature aviation markets, the annual growth rate was reduced to 5% after 2035. Under this assumption, total aircraft movements reach approximately 62 million by 2050.</w:t>
      </w:r>
    </w:p>
    <w:p w14:paraId="180C0461">
      <w:pPr>
        <w:pStyle w:val="52"/>
      </w:pPr>
      <w:r>
        <w:t xml:space="preserve">Table </w:t>
      </w:r>
      <w:r>
        <w:rPr>
          <w:rFonts w:hint="eastAsia"/>
        </w:rPr>
        <w:t>S</w:t>
      </w:r>
      <w:r>
        <w:t>5.1</w:t>
      </w:r>
      <w:r>
        <w:rPr>
          <w:rFonts w:hint="eastAsia"/>
        </w:rPr>
        <w:t>.</w:t>
      </w:r>
      <w:r>
        <w:t xml:space="preserve"> Projected aircraft movements (2025–2034)</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16D5E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000000" w:sz="12" w:space="0"/>
              <w:left w:val="nil"/>
              <w:bottom w:val="single" w:color="000000" w:sz="12" w:space="0"/>
            </w:tcBorders>
          </w:tcPr>
          <w:p w14:paraId="3B2B9B37">
            <w:pPr>
              <w:pStyle w:val="49"/>
              <w:ind w:firstLine="420"/>
            </w:pPr>
            <w:r>
              <w:t>Year</w:t>
            </w:r>
          </w:p>
        </w:tc>
        <w:tc>
          <w:tcPr>
            <w:tcW w:w="4261" w:type="dxa"/>
            <w:tcBorders>
              <w:top w:val="single" w:color="000000" w:sz="12" w:space="0"/>
              <w:bottom w:val="single" w:color="000000" w:sz="12" w:space="0"/>
              <w:right w:val="nil"/>
            </w:tcBorders>
          </w:tcPr>
          <w:p w14:paraId="1E2D46F4">
            <w:pPr>
              <w:pStyle w:val="49"/>
              <w:ind w:firstLine="420"/>
            </w:pPr>
            <w:r>
              <w:t>Aircraft movements (million)</w:t>
            </w:r>
          </w:p>
        </w:tc>
      </w:tr>
      <w:tr w14:paraId="3EFB0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single" w:color="000000" w:sz="12" w:space="0"/>
              <w:left w:val="nil"/>
            </w:tcBorders>
          </w:tcPr>
          <w:p w14:paraId="34F4EBD8">
            <w:pPr>
              <w:pStyle w:val="49"/>
              <w:ind w:firstLine="420"/>
            </w:pPr>
            <w:r>
              <w:rPr>
                <w:rFonts w:hint="eastAsia"/>
              </w:rPr>
              <w:t>2025</w:t>
            </w:r>
          </w:p>
        </w:tc>
        <w:tc>
          <w:tcPr>
            <w:tcW w:w="4261" w:type="dxa"/>
            <w:tcBorders>
              <w:top w:val="single" w:color="000000" w:sz="12" w:space="0"/>
              <w:right w:val="nil"/>
            </w:tcBorders>
          </w:tcPr>
          <w:p w14:paraId="563DB283">
            <w:pPr>
              <w:pStyle w:val="49"/>
              <w:ind w:firstLine="420"/>
            </w:pPr>
            <w:r>
              <w:rPr>
                <w:rFonts w:hint="eastAsia"/>
              </w:rPr>
              <w:t>1344.9</w:t>
            </w:r>
          </w:p>
        </w:tc>
      </w:tr>
      <w:tr w14:paraId="792C3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411B289B">
            <w:pPr>
              <w:pStyle w:val="49"/>
              <w:ind w:firstLine="420"/>
            </w:pPr>
            <w:r>
              <w:rPr>
                <w:rFonts w:hint="eastAsia"/>
              </w:rPr>
              <w:t>2026</w:t>
            </w:r>
          </w:p>
        </w:tc>
        <w:tc>
          <w:tcPr>
            <w:tcW w:w="4261" w:type="dxa"/>
            <w:tcBorders>
              <w:right w:val="nil"/>
            </w:tcBorders>
          </w:tcPr>
          <w:p w14:paraId="25EC309D">
            <w:pPr>
              <w:pStyle w:val="49"/>
              <w:ind w:firstLine="420"/>
            </w:pPr>
            <w:r>
              <w:rPr>
                <w:rFonts w:hint="eastAsia"/>
              </w:rPr>
              <w:t>1458.7</w:t>
            </w:r>
          </w:p>
        </w:tc>
      </w:tr>
      <w:tr w14:paraId="6929C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525B282F">
            <w:pPr>
              <w:pStyle w:val="49"/>
              <w:ind w:firstLine="420"/>
            </w:pPr>
            <w:r>
              <w:rPr>
                <w:rFonts w:hint="eastAsia"/>
              </w:rPr>
              <w:t>2027</w:t>
            </w:r>
          </w:p>
        </w:tc>
        <w:tc>
          <w:tcPr>
            <w:tcW w:w="4261" w:type="dxa"/>
            <w:tcBorders>
              <w:right w:val="nil"/>
            </w:tcBorders>
          </w:tcPr>
          <w:p w14:paraId="2DF865C9">
            <w:pPr>
              <w:pStyle w:val="49"/>
              <w:ind w:firstLine="420"/>
            </w:pPr>
            <w:r>
              <w:rPr>
                <w:rFonts w:hint="eastAsia"/>
              </w:rPr>
              <w:t>1582.1</w:t>
            </w:r>
          </w:p>
        </w:tc>
      </w:tr>
      <w:tr w14:paraId="6556F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115734EC">
            <w:pPr>
              <w:pStyle w:val="49"/>
              <w:ind w:firstLine="420"/>
            </w:pPr>
            <w:r>
              <w:rPr>
                <w:rFonts w:hint="eastAsia"/>
              </w:rPr>
              <w:t>2028</w:t>
            </w:r>
          </w:p>
        </w:tc>
        <w:tc>
          <w:tcPr>
            <w:tcW w:w="4261" w:type="dxa"/>
            <w:tcBorders>
              <w:right w:val="nil"/>
            </w:tcBorders>
          </w:tcPr>
          <w:p w14:paraId="7A017D79">
            <w:pPr>
              <w:pStyle w:val="49"/>
              <w:ind w:firstLine="420"/>
            </w:pPr>
            <w:r>
              <w:rPr>
                <w:rFonts w:hint="eastAsia"/>
              </w:rPr>
              <w:t>1715.9</w:t>
            </w:r>
          </w:p>
        </w:tc>
      </w:tr>
      <w:tr w14:paraId="5916A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4DD6BD50">
            <w:pPr>
              <w:pStyle w:val="49"/>
              <w:ind w:firstLine="420"/>
            </w:pPr>
            <w:r>
              <w:rPr>
                <w:rFonts w:hint="eastAsia"/>
              </w:rPr>
              <w:t>2029</w:t>
            </w:r>
          </w:p>
        </w:tc>
        <w:tc>
          <w:tcPr>
            <w:tcW w:w="4261" w:type="dxa"/>
            <w:tcBorders>
              <w:right w:val="nil"/>
            </w:tcBorders>
          </w:tcPr>
          <w:p w14:paraId="6F6A3082">
            <w:pPr>
              <w:pStyle w:val="49"/>
              <w:ind w:firstLine="420"/>
            </w:pPr>
            <w:r>
              <w:rPr>
                <w:rFonts w:hint="eastAsia"/>
              </w:rPr>
              <w:t>1861.0</w:t>
            </w:r>
          </w:p>
        </w:tc>
      </w:tr>
      <w:tr w14:paraId="19B0E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6CB38580">
            <w:pPr>
              <w:pStyle w:val="49"/>
              <w:ind w:firstLine="420"/>
            </w:pPr>
            <w:r>
              <w:rPr>
                <w:rFonts w:hint="eastAsia"/>
              </w:rPr>
              <w:t>2030</w:t>
            </w:r>
          </w:p>
        </w:tc>
        <w:tc>
          <w:tcPr>
            <w:tcW w:w="4261" w:type="dxa"/>
            <w:tcBorders>
              <w:right w:val="nil"/>
            </w:tcBorders>
          </w:tcPr>
          <w:p w14:paraId="56DC0798">
            <w:pPr>
              <w:pStyle w:val="49"/>
              <w:ind w:firstLine="420"/>
            </w:pPr>
            <w:r>
              <w:rPr>
                <w:rFonts w:hint="eastAsia"/>
              </w:rPr>
              <w:t>2080.2</w:t>
            </w:r>
          </w:p>
        </w:tc>
      </w:tr>
      <w:tr w14:paraId="07EFB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16196385">
            <w:pPr>
              <w:pStyle w:val="49"/>
              <w:ind w:firstLine="420"/>
            </w:pPr>
            <w:r>
              <w:rPr>
                <w:rFonts w:hint="eastAsia"/>
              </w:rPr>
              <w:t>2031</w:t>
            </w:r>
          </w:p>
        </w:tc>
        <w:tc>
          <w:tcPr>
            <w:tcW w:w="4261" w:type="dxa"/>
            <w:tcBorders>
              <w:right w:val="nil"/>
            </w:tcBorders>
          </w:tcPr>
          <w:p w14:paraId="674C4523">
            <w:pPr>
              <w:pStyle w:val="49"/>
              <w:ind w:firstLine="420"/>
            </w:pPr>
            <w:r>
              <w:rPr>
                <w:rFonts w:hint="eastAsia"/>
              </w:rPr>
              <w:t>2256.3</w:t>
            </w:r>
          </w:p>
        </w:tc>
      </w:tr>
      <w:tr w14:paraId="3C886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1B62A2DA">
            <w:pPr>
              <w:pStyle w:val="49"/>
              <w:ind w:firstLine="420"/>
            </w:pPr>
            <w:r>
              <w:rPr>
                <w:rFonts w:hint="eastAsia"/>
              </w:rPr>
              <w:t>2032</w:t>
            </w:r>
          </w:p>
        </w:tc>
        <w:tc>
          <w:tcPr>
            <w:tcW w:w="4261" w:type="dxa"/>
            <w:tcBorders>
              <w:right w:val="nil"/>
            </w:tcBorders>
          </w:tcPr>
          <w:p w14:paraId="79255831">
            <w:pPr>
              <w:pStyle w:val="49"/>
              <w:ind w:firstLine="420"/>
            </w:pPr>
            <w:r>
              <w:rPr>
                <w:rFonts w:hint="eastAsia"/>
              </w:rPr>
              <w:t>2447.2</w:t>
            </w:r>
          </w:p>
        </w:tc>
      </w:tr>
      <w:tr w14:paraId="08215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tcBorders>
          </w:tcPr>
          <w:p w14:paraId="348C733B">
            <w:pPr>
              <w:pStyle w:val="49"/>
              <w:ind w:firstLine="420"/>
            </w:pPr>
            <w:r>
              <w:rPr>
                <w:rFonts w:hint="eastAsia"/>
              </w:rPr>
              <w:t>2033</w:t>
            </w:r>
          </w:p>
        </w:tc>
        <w:tc>
          <w:tcPr>
            <w:tcW w:w="4261" w:type="dxa"/>
            <w:tcBorders>
              <w:right w:val="nil"/>
            </w:tcBorders>
          </w:tcPr>
          <w:p w14:paraId="012045BB">
            <w:pPr>
              <w:pStyle w:val="49"/>
              <w:ind w:firstLine="420"/>
            </w:pPr>
            <w:r>
              <w:rPr>
                <w:rFonts w:hint="eastAsia"/>
              </w:rPr>
              <w:t>2653.2</w:t>
            </w:r>
          </w:p>
        </w:tc>
      </w:tr>
      <w:tr w14:paraId="07E2F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left w:val="nil"/>
              <w:bottom w:val="single" w:color="000000" w:sz="12" w:space="0"/>
            </w:tcBorders>
          </w:tcPr>
          <w:p w14:paraId="59EA5381">
            <w:pPr>
              <w:pStyle w:val="49"/>
              <w:ind w:firstLine="420"/>
            </w:pPr>
            <w:r>
              <w:rPr>
                <w:rFonts w:hint="eastAsia"/>
              </w:rPr>
              <w:t>2034</w:t>
            </w:r>
          </w:p>
        </w:tc>
        <w:tc>
          <w:tcPr>
            <w:tcW w:w="4261" w:type="dxa"/>
            <w:tcBorders>
              <w:bottom w:val="single" w:color="000000" w:sz="12" w:space="0"/>
              <w:right w:val="nil"/>
            </w:tcBorders>
          </w:tcPr>
          <w:p w14:paraId="1612AA53">
            <w:pPr>
              <w:pStyle w:val="49"/>
              <w:ind w:firstLine="420"/>
            </w:pPr>
            <w:r>
              <w:rPr>
                <w:rFonts w:hint="eastAsia"/>
              </w:rPr>
              <w:t>2877.6</w:t>
            </w:r>
          </w:p>
        </w:tc>
      </w:tr>
    </w:tbl>
    <w:p w14:paraId="13BE92FF">
      <w:pPr>
        <w:ind w:firstLine="420"/>
      </w:pPr>
    </w:p>
    <w:p w14:paraId="321D1EF1">
      <w:pPr>
        <w:ind w:firstLine="420"/>
      </w:pPr>
    </w:p>
    <w:p w14:paraId="16CA9426">
      <w:pPr>
        <w:pStyle w:val="3"/>
        <w:ind w:firstLine="482"/>
      </w:pPr>
      <w:r>
        <w:t>5.2 Projection of pavement roughness evolution</w:t>
      </w:r>
    </w:p>
    <w:p w14:paraId="1247E4E4">
      <w:pPr>
        <w:ind w:firstLine="420"/>
      </w:pPr>
      <w:r>
        <w:t>A long-term roughness dataset covering more than 20 years and up to 246 civil airports was compiled. Across airports, pavement roughness (expressed as IRI) generally increases with service time due to cumulative traffic loading and environmental exposure.</w:t>
      </w:r>
    </w:p>
    <w:p w14:paraId="588D0604">
      <w:pPr>
        <w:ind w:firstLine="420"/>
      </w:pPr>
      <w:r>
        <w:t>Two dominant evolutionary patterns were identified:</w:t>
      </w:r>
    </w:p>
    <w:p w14:paraId="7C950AF2">
      <w:pPr>
        <w:ind w:firstLine="420"/>
      </w:pPr>
      <w:r>
        <w:rPr>
          <w:rFonts w:hint="eastAsia"/>
        </w:rPr>
        <w:t>①</w:t>
      </w:r>
      <w:r>
        <w:t>Overlay–recovery cycle pattern. Roughness decreases significantly after resurfacing (overlay), followed by gradual deterioration during the subsequent service period.</w:t>
      </w:r>
    </w:p>
    <w:p w14:paraId="36FE6227">
      <w:pPr>
        <w:ind w:firstLine="420"/>
      </w:pPr>
      <w:r>
        <w:rPr>
          <w:rFonts w:hint="eastAsia"/>
        </w:rPr>
        <w:t>②</w:t>
      </w:r>
      <w:r>
        <w:t>Monotonic deterioration pattern. In the absence of major overlay interventions, roughness increases continuously over time, with accelerating deterioration during mid-to-late service stages.</w:t>
      </w:r>
    </w:p>
    <w:p w14:paraId="6B2CB612">
      <w:pPr>
        <w:ind w:firstLine="420"/>
      </w:pPr>
      <w:r>
        <w:t>All airports with sufficient historical data were modeled under a unified framework using airport-specific deterioration rate estimation.</w:t>
      </w:r>
    </w:p>
    <w:p w14:paraId="3B474B69">
      <w:pPr>
        <w:ind w:firstLine="422"/>
        <w:rPr>
          <w:b/>
          <w:bCs/>
        </w:rPr>
      </w:pPr>
      <w:r>
        <w:rPr>
          <w:b/>
          <w:bCs/>
        </w:rPr>
        <w:t>Representative large hub airport (overlay cycle case)</w:t>
      </w:r>
    </w:p>
    <w:p w14:paraId="0FAF5059">
      <w:pPr>
        <w:ind w:firstLine="420"/>
      </w:pPr>
      <w:r>
        <w:t>Shanghai Hongqiao International Airport provides a representative example of overlay-driven cyclic roughness evolution. Historical IRI data (2000–2024) indicate resurfacing events in 2005, 2011 and 2022.</w:t>
      </w:r>
    </w:p>
    <w:p w14:paraId="50530DCF">
      <w:pPr>
        <w:ind w:firstLine="420"/>
      </w:pPr>
      <w:r>
        <w:t>The IRI trajectory exhibits a characteristic “post-overlay improvement–progressive deterioration–renewed restoration” cycle. The estimated average deterioration rate is approximately 0.25 m/km/ yr, corresponding to overlay intervals of 7–11 years.</w:t>
      </w:r>
    </w:p>
    <w:p w14:paraId="79A4E6DF">
      <w:pPr>
        <w:ind w:firstLine="420"/>
      </w:pPr>
      <w:r>
        <w:t>Future projections (25-year horizon) assume continued cyclic maintenance with gradual reductions in deterioration rates due to improved structural design and maintenance practices.</w:t>
      </w:r>
    </w:p>
    <w:p w14:paraId="3AF0B94D">
      <w:pPr>
        <w:pStyle w:val="58"/>
        <w:rPr>
          <w:rFonts w:hint="default"/>
        </w:rPr>
      </w:pPr>
      <w:r>
        <w:drawing>
          <wp:inline distT="0" distB="0" distL="114300" distR="114300">
            <wp:extent cx="3183255" cy="2179955"/>
            <wp:effectExtent l="0" t="0" r="4445" b="4445"/>
            <wp:docPr id="47" name="图片 4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3"/>
                    <pic:cNvPicPr>
                      <a:picLocks noChangeAspect="1"/>
                    </pic:cNvPicPr>
                  </pic:nvPicPr>
                  <pic:blipFill>
                    <a:blip r:embed="rId35"/>
                    <a:stretch>
                      <a:fillRect/>
                    </a:stretch>
                  </pic:blipFill>
                  <pic:spPr>
                    <a:xfrm>
                      <a:off x="0" y="0"/>
                      <a:ext cx="3183255" cy="2179955"/>
                    </a:xfrm>
                    <a:prstGeom prst="rect">
                      <a:avLst/>
                    </a:prstGeom>
                  </pic:spPr>
                </pic:pic>
              </a:graphicData>
            </a:graphic>
          </wp:inline>
        </w:drawing>
      </w:r>
    </w:p>
    <w:p w14:paraId="72258FBB">
      <w:pPr>
        <w:pStyle w:val="52"/>
      </w:pPr>
      <w:r>
        <w:t>Fig</w:t>
      </w:r>
      <w:r>
        <w:rPr>
          <w:rFonts w:hint="eastAsia"/>
        </w:rPr>
        <w:t>.S</w:t>
      </w:r>
      <w:r>
        <w:t>5.1</w:t>
      </w:r>
      <w:r>
        <w:rPr>
          <w:rFonts w:hint="eastAsia"/>
        </w:rPr>
        <w:t>.</w:t>
      </w:r>
      <w:r>
        <w:t xml:space="preserve"> Runway IRI evolution at Shanghai Hongqiao International Airport (2000–2024)</w:t>
      </w:r>
    </w:p>
    <w:p w14:paraId="346AA7E4">
      <w:pPr>
        <w:ind w:firstLine="422"/>
        <w:rPr>
          <w:b/>
          <w:bCs/>
        </w:rPr>
      </w:pPr>
      <w:r>
        <w:rPr>
          <w:b/>
          <w:bCs/>
        </w:rPr>
        <w:t>Representative small regional airport (monotonic deterioration case)</w:t>
      </w:r>
    </w:p>
    <w:p w14:paraId="584F0666">
      <w:pPr>
        <w:ind w:firstLine="420"/>
      </w:pPr>
      <w:r>
        <w:t>A typical low-traffic regional airport in southeastern China exhibits a monotonic increase in IRI over time (2004–2018).</w:t>
      </w:r>
    </w:p>
    <w:p w14:paraId="22785A48">
      <w:pPr>
        <w:ind w:firstLine="420"/>
      </w:pPr>
      <w:r>
        <w:t>In early service years, deterioration is slow and IRI values remain low. As cumulative traffic loading increases, deterioration accelerates. Without major resurfacing interventions, roughness continues to rise into late-stage service, indicating structural fatigue accumulation and surface degradation.</w:t>
      </w:r>
    </w:p>
    <w:p w14:paraId="6F3DFEE2">
      <w:pPr>
        <w:ind w:firstLine="420"/>
      </w:pPr>
      <w:r>
        <w:t>Minor year-to-year fluctuations reflect localized maintenance activities but do not alter the overall upward trend.</w:t>
      </w:r>
    </w:p>
    <w:p w14:paraId="7510FF92">
      <w:pPr>
        <w:pStyle w:val="58"/>
        <w:rPr>
          <w:rFonts w:hint="default"/>
          <w:b/>
        </w:rPr>
      </w:pPr>
      <w:r>
        <w:drawing>
          <wp:inline distT="0" distB="0" distL="114300" distR="114300">
            <wp:extent cx="3199130" cy="2239645"/>
            <wp:effectExtent l="0" t="0" r="1270" b="8255"/>
            <wp:docPr id="49" name="图片 4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4"/>
                    <pic:cNvPicPr>
                      <a:picLocks noChangeAspect="1"/>
                    </pic:cNvPicPr>
                  </pic:nvPicPr>
                  <pic:blipFill>
                    <a:blip r:embed="rId36"/>
                    <a:stretch>
                      <a:fillRect/>
                    </a:stretch>
                  </pic:blipFill>
                  <pic:spPr>
                    <a:xfrm>
                      <a:off x="0" y="0"/>
                      <a:ext cx="3199130" cy="2239645"/>
                    </a:xfrm>
                    <a:prstGeom prst="rect">
                      <a:avLst/>
                    </a:prstGeom>
                  </pic:spPr>
                </pic:pic>
              </a:graphicData>
            </a:graphic>
          </wp:inline>
        </w:drawing>
      </w:r>
    </w:p>
    <w:p w14:paraId="5116C04E">
      <w:pPr>
        <w:pStyle w:val="52"/>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Fig</w:t>
      </w:r>
      <w:r>
        <w:rPr>
          <w:rFonts w:hint="eastAsia"/>
        </w:rPr>
        <w:t>.S</w:t>
      </w:r>
      <w:r>
        <w:t>5.2</w:t>
      </w:r>
      <w:r>
        <w:rPr>
          <w:rFonts w:hint="eastAsia"/>
        </w:rPr>
        <w:t>.</w:t>
      </w:r>
      <w:r>
        <w:t xml:space="preserve"> Runway IRI evolution at a representative regional airport (2004–2018)</w:t>
      </w:r>
    </w:p>
    <w:p w14:paraId="25F6F120">
      <w:pPr>
        <w:pStyle w:val="2"/>
        <w:ind w:firstLine="0" w:firstLineChars="0"/>
      </w:pPr>
      <w:r>
        <w:t>Supplementary Note 6</w:t>
      </w:r>
      <w:r>
        <w:rPr>
          <w:rFonts w:hint="eastAsia"/>
        </w:rPr>
        <w:t>.</w:t>
      </w:r>
      <w:r>
        <w:t xml:space="preserve"> Long-term evolution of runway structural parameters at Shanghai Hongqiao International Airport</w:t>
      </w:r>
    </w:p>
    <w:p w14:paraId="6D6F8077">
      <w:pPr>
        <w:ind w:firstLine="420"/>
        <w:rPr>
          <w:b/>
          <w:bCs/>
          <w:color w:val="0000FF"/>
        </w:rPr>
      </w:pPr>
      <w:r>
        <w:t>To support the interpretation of roughness evolution and associated energy dissipation mechanisms, we analysed the long-term structural performance of the runway system at Shanghai Hongqiao International Airport using multi-period monitoring data from 2000–2024. Structural parameters were obtained from core sampling and in situ testing (Fig.</w:t>
      </w:r>
      <w:r>
        <w:rPr>
          <w:rFonts w:hint="eastAsia"/>
        </w:rPr>
        <w:t>S</w:t>
      </w:r>
      <w:r>
        <w:t>6.1</w:t>
      </w:r>
      <w:r>
        <w:rPr>
          <w:rFonts w:hint="eastAsia"/>
          <w:lang w:val="en-US" w:eastAsia="zh-CN"/>
        </w:rPr>
        <w:t xml:space="preserve"> and Fig.</w:t>
      </w:r>
      <w:r>
        <w:rPr>
          <w:rFonts w:hint="eastAsia"/>
        </w:rPr>
        <w:t>S</w:t>
      </w:r>
      <w:r>
        <w:t>6.2), including base-layer resilient modulus, slab elastic modulus, structural thickness, and subgrade reaction modulus (Table</w:t>
      </w:r>
      <w:r>
        <w:rPr>
          <w:rFonts w:hint="eastAsia"/>
        </w:rPr>
        <w:t xml:space="preserve"> S</w:t>
      </w:r>
      <w:r>
        <w:t>6.1–6.9). These parameters collectively characterise load-bearing capacity, stiffness degradation, and foundation–structure interaction.</w:t>
      </w:r>
    </w:p>
    <w:p w14:paraId="51F30662">
      <w:pPr>
        <w:pStyle w:val="58"/>
        <w:rPr>
          <w:rFonts w:hint="default"/>
        </w:rPr>
      </w:pPr>
      <w:r>
        <w:drawing>
          <wp:inline distT="0" distB="0" distL="114300" distR="114300">
            <wp:extent cx="3920490" cy="2228215"/>
            <wp:effectExtent l="0" t="0" r="3810" b="698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7"/>
                    <a:stretch>
                      <a:fillRect/>
                    </a:stretch>
                  </pic:blipFill>
                  <pic:spPr>
                    <a:xfrm>
                      <a:off x="0" y="0"/>
                      <a:ext cx="3920490" cy="2228215"/>
                    </a:xfrm>
                    <a:prstGeom prst="rect">
                      <a:avLst/>
                    </a:prstGeom>
                    <a:noFill/>
                    <a:ln>
                      <a:noFill/>
                    </a:ln>
                  </pic:spPr>
                </pic:pic>
              </a:graphicData>
            </a:graphic>
          </wp:inline>
        </w:drawing>
      </w:r>
    </w:p>
    <w:p w14:paraId="7F6FD257">
      <w:pPr>
        <w:pStyle w:val="58"/>
        <w:rPr>
          <w:rFonts w:hint="default"/>
        </w:rPr>
      </w:pPr>
      <w:r>
        <w:rPr>
          <w:rFonts w:hint="default"/>
        </w:rPr>
        <w:t>Fig.S6.1. Core samples extracted from the runway at Shanghai Hongqiao International Airport</w:t>
      </w:r>
    </w:p>
    <w:p w14:paraId="6A7685AA">
      <w:pPr>
        <w:pStyle w:val="58"/>
        <w:rPr>
          <w:rFonts w:hint="default"/>
        </w:rPr>
      </w:pPr>
      <w:r>
        <w:drawing>
          <wp:inline distT="0" distB="0" distL="114300" distR="114300">
            <wp:extent cx="4319905" cy="3800475"/>
            <wp:effectExtent l="0" t="0" r="10795" b="952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38"/>
                    <a:stretch>
                      <a:fillRect/>
                    </a:stretch>
                  </pic:blipFill>
                  <pic:spPr>
                    <a:xfrm>
                      <a:off x="0" y="0"/>
                      <a:ext cx="4319905" cy="3800475"/>
                    </a:xfrm>
                    <a:prstGeom prst="rect">
                      <a:avLst/>
                    </a:prstGeom>
                    <a:noFill/>
                    <a:ln>
                      <a:noFill/>
                    </a:ln>
                  </pic:spPr>
                </pic:pic>
              </a:graphicData>
            </a:graphic>
          </wp:inline>
        </w:drawing>
      </w:r>
    </w:p>
    <w:p w14:paraId="690C1DE0">
      <w:pPr>
        <w:pStyle w:val="52"/>
      </w:pPr>
      <w:r>
        <w:t>Fig.</w:t>
      </w:r>
      <w:r>
        <w:rPr>
          <w:rFonts w:hint="eastAsia"/>
        </w:rPr>
        <w:t>S</w:t>
      </w:r>
      <w:r>
        <w:t>6.2</w:t>
      </w:r>
      <w:r>
        <w:rPr>
          <w:rFonts w:hint="eastAsia"/>
        </w:rPr>
        <w:t>.</w:t>
      </w:r>
      <w:r>
        <w:t xml:space="preserve"> Measurement of core sample data</w:t>
      </w:r>
    </w:p>
    <w:p w14:paraId="516EB46F">
      <w:pPr>
        <w:ind w:firstLine="420"/>
        <w:jc w:val="center"/>
      </w:pPr>
    </w:p>
    <w:p w14:paraId="159038AC">
      <w:pPr>
        <w:pStyle w:val="52"/>
      </w:pPr>
      <w:r>
        <w:t xml:space="preserve">Table </w:t>
      </w:r>
      <w:r>
        <w:rPr>
          <w:rFonts w:hint="eastAsia"/>
        </w:rPr>
        <w:t>S</w:t>
      </w:r>
      <w:r>
        <w:t>6.1</w:t>
      </w:r>
      <w:r>
        <w:rPr>
          <w:rFonts w:hint="eastAsia"/>
        </w:rPr>
        <w:t>.</w:t>
      </w:r>
      <w:r>
        <w:t xml:space="preserve"> Runway structural parameters (2000)</w:t>
      </w:r>
    </w:p>
    <w:tbl>
      <w:tblPr>
        <w:tblStyle w:val="16"/>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3276"/>
        <w:gridCol w:w="950"/>
        <w:gridCol w:w="1165"/>
        <w:gridCol w:w="937"/>
        <w:gridCol w:w="1322"/>
      </w:tblGrid>
      <w:tr w14:paraId="1579C48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op w:val="single" w:color="000000" w:sz="12" w:space="0"/>
              <w:bottom w:val="single" w:color="000000" w:sz="12" w:space="0"/>
              <w:tl2br w:val="nil"/>
              <w:tr2bl w:val="nil"/>
            </w:tcBorders>
            <w:shd w:val="clear" w:color="auto" w:fill="auto"/>
            <w:vAlign w:val="center"/>
          </w:tcPr>
          <w:p w14:paraId="6EC60BF7">
            <w:pPr>
              <w:pStyle w:val="49"/>
            </w:pPr>
            <w:r>
              <w:t>Survey Line</w:t>
            </w:r>
          </w:p>
        </w:tc>
        <w:tc>
          <w:tcPr>
            <w:tcW w:w="3301" w:type="dxa"/>
            <w:tcBorders>
              <w:top w:val="single" w:color="000000" w:sz="12" w:space="0"/>
              <w:bottom w:val="single" w:color="000000" w:sz="12" w:space="0"/>
              <w:tl2br w:val="nil"/>
              <w:tr2bl w:val="nil"/>
            </w:tcBorders>
            <w:shd w:val="clear" w:color="auto" w:fill="auto"/>
            <w:vAlign w:val="center"/>
          </w:tcPr>
          <w:p w14:paraId="02367E42">
            <w:pPr>
              <w:pStyle w:val="49"/>
            </w:pPr>
            <w:r>
              <w:t>Structural Layer Parameter</w:t>
            </w:r>
          </w:p>
        </w:tc>
        <w:tc>
          <w:tcPr>
            <w:tcW w:w="954" w:type="dxa"/>
            <w:tcBorders>
              <w:top w:val="single" w:color="000000" w:sz="12" w:space="0"/>
              <w:bottom w:val="single" w:color="000000" w:sz="12" w:space="0"/>
              <w:tl2br w:val="nil"/>
              <w:tr2bl w:val="nil"/>
            </w:tcBorders>
            <w:shd w:val="clear" w:color="auto" w:fill="auto"/>
            <w:vAlign w:val="center"/>
          </w:tcPr>
          <w:p w14:paraId="08CB2341">
            <w:pPr>
              <w:pStyle w:val="49"/>
            </w:pPr>
            <w:r>
              <w:t>Mean</w:t>
            </w:r>
          </w:p>
        </w:tc>
        <w:tc>
          <w:tcPr>
            <w:tcW w:w="1167" w:type="dxa"/>
            <w:tcBorders>
              <w:top w:val="single" w:color="000000" w:sz="12" w:space="0"/>
              <w:bottom w:val="single" w:color="000000" w:sz="12" w:space="0"/>
              <w:tl2br w:val="nil"/>
              <w:tr2bl w:val="nil"/>
            </w:tcBorders>
            <w:shd w:val="clear" w:color="auto" w:fill="auto"/>
            <w:vAlign w:val="center"/>
          </w:tcPr>
          <w:p w14:paraId="1ED4A9A1">
            <w:pPr>
              <w:pStyle w:val="49"/>
            </w:pPr>
            <w:r>
              <w:t>Maximum</w:t>
            </w:r>
          </w:p>
        </w:tc>
        <w:tc>
          <w:tcPr>
            <w:tcW w:w="901" w:type="dxa"/>
            <w:tcBorders>
              <w:top w:val="single" w:color="000000" w:sz="12" w:space="0"/>
              <w:bottom w:val="single" w:color="000000" w:sz="12" w:space="0"/>
              <w:tl2br w:val="nil"/>
              <w:tr2bl w:val="nil"/>
            </w:tcBorders>
            <w:shd w:val="clear" w:color="auto" w:fill="auto"/>
            <w:vAlign w:val="center"/>
          </w:tcPr>
          <w:p w14:paraId="6DB41BDD">
            <w:pPr>
              <w:pStyle w:val="49"/>
            </w:pPr>
            <w:r>
              <w:t>Minimum</w:t>
            </w:r>
          </w:p>
        </w:tc>
        <w:tc>
          <w:tcPr>
            <w:tcW w:w="1325" w:type="dxa"/>
            <w:tcBorders>
              <w:top w:val="single" w:color="000000" w:sz="12" w:space="0"/>
              <w:bottom w:val="single" w:color="000000" w:sz="12" w:space="0"/>
              <w:tl2br w:val="nil"/>
              <w:tr2bl w:val="nil"/>
            </w:tcBorders>
            <w:shd w:val="clear" w:color="auto" w:fill="auto"/>
            <w:vAlign w:val="center"/>
          </w:tcPr>
          <w:p w14:paraId="33D2175A">
            <w:pPr>
              <w:pStyle w:val="49"/>
            </w:pPr>
            <w:r>
              <w:t>Coefficient of Variation (%)</w:t>
            </w:r>
          </w:p>
        </w:tc>
      </w:tr>
      <w:tr w14:paraId="4B2126F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op w:val="single" w:color="000000" w:sz="12" w:space="0"/>
              <w:tl2br w:val="nil"/>
              <w:tr2bl w:val="nil"/>
            </w:tcBorders>
            <w:shd w:val="clear" w:color="auto" w:fill="auto"/>
            <w:vAlign w:val="center"/>
          </w:tcPr>
          <w:p w14:paraId="63532A98">
            <w:pPr>
              <w:pStyle w:val="49"/>
            </w:pPr>
            <w:r>
              <w:t>1</w:t>
            </w:r>
          </w:p>
        </w:tc>
        <w:tc>
          <w:tcPr>
            <w:tcW w:w="3301" w:type="dxa"/>
            <w:tcBorders>
              <w:top w:val="single" w:color="000000" w:sz="12" w:space="0"/>
              <w:tl2br w:val="nil"/>
              <w:tr2bl w:val="nil"/>
            </w:tcBorders>
            <w:shd w:val="clear" w:color="auto" w:fill="auto"/>
            <w:vAlign w:val="center"/>
          </w:tcPr>
          <w:p w14:paraId="5E56D034">
            <w:pPr>
              <w:pStyle w:val="49"/>
            </w:pPr>
            <w:r>
              <w:t>Resilient modulus of base-top surface</w:t>
            </w:r>
            <w:r>
              <w:rPr>
                <w:rFonts w:hint="eastAsia"/>
              </w:rPr>
              <w:t>,</w:t>
            </w:r>
            <w:r>
              <w:t xml:space="preserve">  E</w:t>
            </w:r>
            <w:r>
              <w:rPr>
                <w:vertAlign w:val="subscript"/>
              </w:rPr>
              <w:t>0</w:t>
            </w:r>
            <w:r>
              <w:t>（MPa）</w:t>
            </w:r>
          </w:p>
        </w:tc>
        <w:tc>
          <w:tcPr>
            <w:tcW w:w="954" w:type="dxa"/>
            <w:tcBorders>
              <w:top w:val="single" w:color="000000" w:sz="12" w:space="0"/>
              <w:tl2br w:val="nil"/>
              <w:tr2bl w:val="nil"/>
            </w:tcBorders>
            <w:shd w:val="clear" w:color="auto" w:fill="auto"/>
            <w:vAlign w:val="center"/>
          </w:tcPr>
          <w:p w14:paraId="1FB0C65A">
            <w:pPr>
              <w:pStyle w:val="49"/>
            </w:pPr>
            <w:r>
              <w:t>363</w:t>
            </w:r>
          </w:p>
        </w:tc>
        <w:tc>
          <w:tcPr>
            <w:tcW w:w="1167" w:type="dxa"/>
            <w:tcBorders>
              <w:top w:val="single" w:color="000000" w:sz="12" w:space="0"/>
              <w:tl2br w:val="nil"/>
              <w:tr2bl w:val="nil"/>
            </w:tcBorders>
            <w:shd w:val="clear" w:color="auto" w:fill="auto"/>
            <w:vAlign w:val="center"/>
          </w:tcPr>
          <w:p w14:paraId="006EB6BF">
            <w:pPr>
              <w:pStyle w:val="49"/>
            </w:pPr>
            <w:r>
              <w:t>509</w:t>
            </w:r>
          </w:p>
        </w:tc>
        <w:tc>
          <w:tcPr>
            <w:tcW w:w="901" w:type="dxa"/>
            <w:tcBorders>
              <w:top w:val="single" w:color="000000" w:sz="12" w:space="0"/>
              <w:tl2br w:val="nil"/>
              <w:tr2bl w:val="nil"/>
            </w:tcBorders>
            <w:shd w:val="clear" w:color="auto" w:fill="auto"/>
            <w:vAlign w:val="center"/>
          </w:tcPr>
          <w:p w14:paraId="1D9D9C43">
            <w:pPr>
              <w:pStyle w:val="49"/>
            </w:pPr>
            <w:r>
              <w:t>260</w:t>
            </w:r>
          </w:p>
        </w:tc>
        <w:tc>
          <w:tcPr>
            <w:tcW w:w="1325" w:type="dxa"/>
            <w:tcBorders>
              <w:top w:val="single" w:color="000000" w:sz="12" w:space="0"/>
              <w:tl2br w:val="nil"/>
              <w:tr2bl w:val="nil"/>
            </w:tcBorders>
            <w:shd w:val="clear" w:color="auto" w:fill="auto"/>
            <w:vAlign w:val="center"/>
          </w:tcPr>
          <w:p w14:paraId="662A48CD">
            <w:pPr>
              <w:pStyle w:val="49"/>
            </w:pPr>
            <w:r>
              <w:t>19.34</w:t>
            </w:r>
          </w:p>
        </w:tc>
      </w:tr>
      <w:tr w14:paraId="39EFCEC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l2br w:val="nil"/>
              <w:tr2bl w:val="nil"/>
            </w:tcBorders>
            <w:shd w:val="clear" w:color="auto" w:fill="auto"/>
            <w:vAlign w:val="center"/>
          </w:tcPr>
          <w:p w14:paraId="3FE3AC57">
            <w:pPr>
              <w:pStyle w:val="49"/>
            </w:pPr>
            <w:r>
              <w:t>1</w:t>
            </w:r>
          </w:p>
        </w:tc>
        <w:tc>
          <w:tcPr>
            <w:tcW w:w="3301" w:type="dxa"/>
            <w:tcBorders>
              <w:tl2br w:val="nil"/>
              <w:tr2bl w:val="nil"/>
            </w:tcBorders>
            <w:shd w:val="clear" w:color="auto" w:fill="auto"/>
            <w:vAlign w:val="center"/>
          </w:tcPr>
          <w:p w14:paraId="3975DFA6">
            <w:pPr>
              <w:pStyle w:val="49"/>
            </w:pPr>
            <w:r>
              <w:t>Resilient modulus of cement concrete slab, E</w:t>
            </w:r>
            <w:r>
              <w:rPr>
                <w:vertAlign w:val="subscript"/>
              </w:rPr>
              <w:t>cc</w:t>
            </w:r>
            <w:r>
              <w:t>（GPa）</w:t>
            </w:r>
          </w:p>
        </w:tc>
        <w:tc>
          <w:tcPr>
            <w:tcW w:w="954" w:type="dxa"/>
            <w:tcBorders>
              <w:tl2br w:val="nil"/>
              <w:tr2bl w:val="nil"/>
            </w:tcBorders>
            <w:shd w:val="clear" w:color="auto" w:fill="auto"/>
            <w:vAlign w:val="center"/>
          </w:tcPr>
          <w:p w14:paraId="01957113">
            <w:pPr>
              <w:pStyle w:val="49"/>
            </w:pPr>
            <w:r>
              <w:t>35.8</w:t>
            </w:r>
          </w:p>
        </w:tc>
        <w:tc>
          <w:tcPr>
            <w:tcW w:w="1167" w:type="dxa"/>
            <w:tcBorders>
              <w:tl2br w:val="nil"/>
              <w:tr2bl w:val="nil"/>
            </w:tcBorders>
            <w:shd w:val="clear" w:color="auto" w:fill="auto"/>
            <w:vAlign w:val="center"/>
          </w:tcPr>
          <w:p w14:paraId="4FDB550B">
            <w:pPr>
              <w:pStyle w:val="49"/>
            </w:pPr>
            <w:r>
              <w:t>36</w:t>
            </w:r>
          </w:p>
        </w:tc>
        <w:tc>
          <w:tcPr>
            <w:tcW w:w="901" w:type="dxa"/>
            <w:tcBorders>
              <w:tl2br w:val="nil"/>
              <w:tr2bl w:val="nil"/>
            </w:tcBorders>
            <w:shd w:val="clear" w:color="auto" w:fill="auto"/>
            <w:vAlign w:val="center"/>
          </w:tcPr>
          <w:p w14:paraId="6D7DA165">
            <w:pPr>
              <w:pStyle w:val="49"/>
            </w:pPr>
            <w:r>
              <w:t>34</w:t>
            </w:r>
          </w:p>
        </w:tc>
        <w:tc>
          <w:tcPr>
            <w:tcW w:w="1325" w:type="dxa"/>
            <w:tcBorders>
              <w:tl2br w:val="nil"/>
              <w:tr2bl w:val="nil"/>
            </w:tcBorders>
            <w:shd w:val="clear" w:color="auto" w:fill="auto"/>
            <w:vAlign w:val="center"/>
          </w:tcPr>
          <w:p w14:paraId="727E4466">
            <w:pPr>
              <w:pStyle w:val="49"/>
            </w:pPr>
            <w:r>
              <w:t>1.13</w:t>
            </w:r>
          </w:p>
        </w:tc>
      </w:tr>
      <w:tr w14:paraId="589EEC8C">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l2br w:val="nil"/>
              <w:tr2bl w:val="nil"/>
            </w:tcBorders>
            <w:shd w:val="clear" w:color="auto" w:fill="auto"/>
            <w:vAlign w:val="center"/>
          </w:tcPr>
          <w:p w14:paraId="4B31A258">
            <w:pPr>
              <w:pStyle w:val="49"/>
            </w:pPr>
            <w:r>
              <w:t>1</w:t>
            </w:r>
          </w:p>
        </w:tc>
        <w:tc>
          <w:tcPr>
            <w:tcW w:w="3301" w:type="dxa"/>
            <w:tcBorders>
              <w:tl2br w:val="nil"/>
              <w:tr2bl w:val="nil"/>
            </w:tcBorders>
            <w:shd w:val="clear" w:color="auto" w:fill="auto"/>
            <w:vAlign w:val="center"/>
          </w:tcPr>
          <w:p w14:paraId="636D5DC2">
            <w:pPr>
              <w:pStyle w:val="49"/>
            </w:pPr>
            <w:r>
              <w:t>Resilient modulus of asphalt overlay layer, E</w:t>
            </w:r>
            <w:r>
              <w:rPr>
                <w:vertAlign w:val="subscript"/>
              </w:rPr>
              <w:t>p</w:t>
            </w:r>
            <w:r>
              <w:t>（MPa）</w:t>
            </w:r>
          </w:p>
        </w:tc>
        <w:tc>
          <w:tcPr>
            <w:tcW w:w="954" w:type="dxa"/>
            <w:tcBorders>
              <w:tl2br w:val="nil"/>
              <w:tr2bl w:val="nil"/>
            </w:tcBorders>
            <w:shd w:val="clear" w:color="auto" w:fill="auto"/>
            <w:vAlign w:val="center"/>
          </w:tcPr>
          <w:p w14:paraId="47B7F959">
            <w:pPr>
              <w:pStyle w:val="49"/>
            </w:pPr>
            <w:r>
              <w:t>2823</w:t>
            </w:r>
          </w:p>
        </w:tc>
        <w:tc>
          <w:tcPr>
            <w:tcW w:w="1167" w:type="dxa"/>
            <w:tcBorders>
              <w:tl2br w:val="nil"/>
              <w:tr2bl w:val="nil"/>
            </w:tcBorders>
            <w:shd w:val="clear" w:color="auto" w:fill="auto"/>
            <w:vAlign w:val="center"/>
          </w:tcPr>
          <w:p w14:paraId="7803E789">
            <w:pPr>
              <w:pStyle w:val="49"/>
            </w:pPr>
            <w:r>
              <w:t>4600</w:t>
            </w:r>
          </w:p>
        </w:tc>
        <w:tc>
          <w:tcPr>
            <w:tcW w:w="901" w:type="dxa"/>
            <w:tcBorders>
              <w:tl2br w:val="nil"/>
              <w:tr2bl w:val="nil"/>
            </w:tcBorders>
            <w:shd w:val="clear" w:color="auto" w:fill="auto"/>
            <w:vAlign w:val="center"/>
          </w:tcPr>
          <w:p w14:paraId="5B6E51B1">
            <w:pPr>
              <w:pStyle w:val="49"/>
            </w:pPr>
            <w:r>
              <w:t>1150</w:t>
            </w:r>
          </w:p>
        </w:tc>
        <w:tc>
          <w:tcPr>
            <w:tcW w:w="1325" w:type="dxa"/>
            <w:tcBorders>
              <w:tl2br w:val="nil"/>
              <w:tr2bl w:val="nil"/>
            </w:tcBorders>
            <w:shd w:val="clear" w:color="auto" w:fill="auto"/>
            <w:vAlign w:val="center"/>
          </w:tcPr>
          <w:p w14:paraId="700CD7D7">
            <w:pPr>
              <w:pStyle w:val="49"/>
            </w:pPr>
            <w:r>
              <w:t>33.86</w:t>
            </w:r>
          </w:p>
        </w:tc>
      </w:tr>
      <w:tr w14:paraId="0B252F0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l2br w:val="nil"/>
              <w:tr2bl w:val="nil"/>
            </w:tcBorders>
            <w:shd w:val="clear" w:color="auto" w:fill="auto"/>
            <w:vAlign w:val="center"/>
          </w:tcPr>
          <w:p w14:paraId="52CC6ACB">
            <w:pPr>
              <w:pStyle w:val="49"/>
            </w:pPr>
            <w:r>
              <w:t>2</w:t>
            </w:r>
          </w:p>
        </w:tc>
        <w:tc>
          <w:tcPr>
            <w:tcW w:w="3301" w:type="dxa"/>
            <w:tcBorders>
              <w:tl2br w:val="nil"/>
              <w:tr2bl w:val="nil"/>
            </w:tcBorders>
            <w:shd w:val="clear" w:color="auto" w:fill="auto"/>
            <w:vAlign w:val="center"/>
          </w:tcPr>
          <w:p w14:paraId="70D3E21F">
            <w:pPr>
              <w:pStyle w:val="49"/>
            </w:pPr>
            <w:r>
              <w:t>Resilient modulus of base-top surface, E</w:t>
            </w:r>
            <w:r>
              <w:rPr>
                <w:vertAlign w:val="subscript"/>
              </w:rPr>
              <w:t>0</w:t>
            </w:r>
            <w:r>
              <w:t>（MPa）</w:t>
            </w:r>
          </w:p>
        </w:tc>
        <w:tc>
          <w:tcPr>
            <w:tcW w:w="954" w:type="dxa"/>
            <w:tcBorders>
              <w:tl2br w:val="nil"/>
              <w:tr2bl w:val="nil"/>
            </w:tcBorders>
            <w:shd w:val="clear" w:color="auto" w:fill="auto"/>
            <w:vAlign w:val="center"/>
          </w:tcPr>
          <w:p w14:paraId="65778408">
            <w:pPr>
              <w:pStyle w:val="49"/>
            </w:pPr>
            <w:r>
              <w:t>363</w:t>
            </w:r>
          </w:p>
        </w:tc>
        <w:tc>
          <w:tcPr>
            <w:tcW w:w="1167" w:type="dxa"/>
            <w:tcBorders>
              <w:tl2br w:val="nil"/>
              <w:tr2bl w:val="nil"/>
            </w:tcBorders>
            <w:shd w:val="clear" w:color="auto" w:fill="auto"/>
            <w:vAlign w:val="center"/>
          </w:tcPr>
          <w:p w14:paraId="24D73519">
            <w:pPr>
              <w:pStyle w:val="49"/>
            </w:pPr>
            <w:r>
              <w:t>536</w:t>
            </w:r>
          </w:p>
        </w:tc>
        <w:tc>
          <w:tcPr>
            <w:tcW w:w="901" w:type="dxa"/>
            <w:tcBorders>
              <w:tl2br w:val="nil"/>
              <w:tr2bl w:val="nil"/>
            </w:tcBorders>
            <w:shd w:val="clear" w:color="auto" w:fill="auto"/>
            <w:vAlign w:val="center"/>
          </w:tcPr>
          <w:p w14:paraId="274AB710">
            <w:pPr>
              <w:pStyle w:val="49"/>
            </w:pPr>
            <w:r>
              <w:t>194</w:t>
            </w:r>
          </w:p>
        </w:tc>
        <w:tc>
          <w:tcPr>
            <w:tcW w:w="1325" w:type="dxa"/>
            <w:tcBorders>
              <w:tl2br w:val="nil"/>
              <w:tr2bl w:val="nil"/>
            </w:tcBorders>
            <w:shd w:val="clear" w:color="auto" w:fill="auto"/>
            <w:vAlign w:val="center"/>
          </w:tcPr>
          <w:p w14:paraId="334C44E4">
            <w:pPr>
              <w:pStyle w:val="49"/>
            </w:pPr>
            <w:r>
              <w:t>21.38</w:t>
            </w:r>
          </w:p>
        </w:tc>
      </w:tr>
      <w:tr w14:paraId="0A409BD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l2br w:val="nil"/>
              <w:tr2bl w:val="nil"/>
            </w:tcBorders>
            <w:shd w:val="clear" w:color="auto" w:fill="auto"/>
            <w:vAlign w:val="center"/>
          </w:tcPr>
          <w:p w14:paraId="25A08F0C">
            <w:pPr>
              <w:pStyle w:val="49"/>
            </w:pPr>
            <w:r>
              <w:t>2</w:t>
            </w:r>
          </w:p>
        </w:tc>
        <w:tc>
          <w:tcPr>
            <w:tcW w:w="3301" w:type="dxa"/>
            <w:tcBorders>
              <w:tl2br w:val="nil"/>
              <w:tr2bl w:val="nil"/>
            </w:tcBorders>
            <w:shd w:val="clear" w:color="auto" w:fill="auto"/>
            <w:vAlign w:val="center"/>
          </w:tcPr>
          <w:p w14:paraId="0442CD4D">
            <w:pPr>
              <w:pStyle w:val="49"/>
            </w:pPr>
            <w:r>
              <w:t>Resilient modulus of cement concrete slab, E</w:t>
            </w:r>
            <w:r>
              <w:rPr>
                <w:vertAlign w:val="subscript"/>
              </w:rPr>
              <w:t>cc</w:t>
            </w:r>
            <w:r>
              <w:t>（GPa）</w:t>
            </w:r>
          </w:p>
        </w:tc>
        <w:tc>
          <w:tcPr>
            <w:tcW w:w="954" w:type="dxa"/>
            <w:tcBorders>
              <w:tl2br w:val="nil"/>
              <w:tr2bl w:val="nil"/>
            </w:tcBorders>
            <w:shd w:val="clear" w:color="auto" w:fill="auto"/>
            <w:vAlign w:val="center"/>
          </w:tcPr>
          <w:p w14:paraId="02CB475E">
            <w:pPr>
              <w:pStyle w:val="49"/>
            </w:pPr>
            <w:r>
              <w:t>35.9</w:t>
            </w:r>
          </w:p>
        </w:tc>
        <w:tc>
          <w:tcPr>
            <w:tcW w:w="1167" w:type="dxa"/>
            <w:tcBorders>
              <w:tl2br w:val="nil"/>
              <w:tr2bl w:val="nil"/>
            </w:tcBorders>
            <w:shd w:val="clear" w:color="auto" w:fill="auto"/>
            <w:vAlign w:val="center"/>
          </w:tcPr>
          <w:p w14:paraId="3E324E35">
            <w:pPr>
              <w:pStyle w:val="49"/>
            </w:pPr>
            <w:r>
              <w:t>36</w:t>
            </w:r>
          </w:p>
        </w:tc>
        <w:tc>
          <w:tcPr>
            <w:tcW w:w="901" w:type="dxa"/>
            <w:tcBorders>
              <w:tl2br w:val="nil"/>
              <w:tr2bl w:val="nil"/>
            </w:tcBorders>
            <w:shd w:val="clear" w:color="auto" w:fill="auto"/>
            <w:vAlign w:val="center"/>
          </w:tcPr>
          <w:p w14:paraId="0A0E3186">
            <w:pPr>
              <w:pStyle w:val="49"/>
            </w:pPr>
            <w:r>
              <w:t>34</w:t>
            </w:r>
          </w:p>
        </w:tc>
        <w:tc>
          <w:tcPr>
            <w:tcW w:w="1325" w:type="dxa"/>
            <w:tcBorders>
              <w:tl2br w:val="nil"/>
              <w:tr2bl w:val="nil"/>
            </w:tcBorders>
            <w:shd w:val="clear" w:color="auto" w:fill="auto"/>
            <w:vAlign w:val="center"/>
          </w:tcPr>
          <w:p w14:paraId="3B8096B8">
            <w:pPr>
              <w:pStyle w:val="49"/>
            </w:pPr>
            <w:r>
              <w:t>1.13</w:t>
            </w:r>
          </w:p>
        </w:tc>
      </w:tr>
      <w:tr w14:paraId="0F8102D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l2br w:val="nil"/>
              <w:tr2bl w:val="nil"/>
            </w:tcBorders>
            <w:shd w:val="clear" w:color="auto" w:fill="auto"/>
            <w:vAlign w:val="center"/>
          </w:tcPr>
          <w:p w14:paraId="360DFE82">
            <w:pPr>
              <w:pStyle w:val="49"/>
            </w:pPr>
            <w:r>
              <w:t>2</w:t>
            </w:r>
          </w:p>
        </w:tc>
        <w:tc>
          <w:tcPr>
            <w:tcW w:w="3301" w:type="dxa"/>
            <w:tcBorders>
              <w:tl2br w:val="nil"/>
              <w:tr2bl w:val="nil"/>
            </w:tcBorders>
            <w:shd w:val="clear" w:color="auto" w:fill="auto"/>
            <w:vAlign w:val="center"/>
          </w:tcPr>
          <w:p w14:paraId="73D0C516">
            <w:pPr>
              <w:pStyle w:val="49"/>
            </w:pPr>
            <w:r>
              <w:t>Resilient modulus of asphalt overlay layer, E</w:t>
            </w:r>
            <w:r>
              <w:rPr>
                <w:vertAlign w:val="subscript"/>
              </w:rPr>
              <w:t>p</w:t>
            </w:r>
            <w:r>
              <w:t>（MPa）</w:t>
            </w:r>
          </w:p>
        </w:tc>
        <w:tc>
          <w:tcPr>
            <w:tcW w:w="954" w:type="dxa"/>
            <w:tcBorders>
              <w:tl2br w:val="nil"/>
              <w:tr2bl w:val="nil"/>
            </w:tcBorders>
            <w:shd w:val="clear" w:color="auto" w:fill="auto"/>
            <w:vAlign w:val="center"/>
          </w:tcPr>
          <w:p w14:paraId="64C6F7CF">
            <w:pPr>
              <w:pStyle w:val="49"/>
            </w:pPr>
            <w:r>
              <w:t>3223</w:t>
            </w:r>
          </w:p>
        </w:tc>
        <w:tc>
          <w:tcPr>
            <w:tcW w:w="1167" w:type="dxa"/>
            <w:tcBorders>
              <w:tl2br w:val="nil"/>
              <w:tr2bl w:val="nil"/>
            </w:tcBorders>
            <w:shd w:val="clear" w:color="auto" w:fill="auto"/>
            <w:vAlign w:val="center"/>
          </w:tcPr>
          <w:p w14:paraId="2424177F">
            <w:pPr>
              <w:pStyle w:val="49"/>
            </w:pPr>
            <w:r>
              <w:t>4945</w:t>
            </w:r>
          </w:p>
        </w:tc>
        <w:tc>
          <w:tcPr>
            <w:tcW w:w="901" w:type="dxa"/>
            <w:tcBorders>
              <w:tl2br w:val="nil"/>
              <w:tr2bl w:val="nil"/>
            </w:tcBorders>
            <w:shd w:val="clear" w:color="auto" w:fill="auto"/>
            <w:vAlign w:val="center"/>
          </w:tcPr>
          <w:p w14:paraId="6D6DCB0D">
            <w:pPr>
              <w:pStyle w:val="49"/>
            </w:pPr>
            <w:r>
              <w:t>1185</w:t>
            </w:r>
          </w:p>
        </w:tc>
        <w:tc>
          <w:tcPr>
            <w:tcW w:w="1325" w:type="dxa"/>
            <w:tcBorders>
              <w:tl2br w:val="nil"/>
              <w:tr2bl w:val="nil"/>
            </w:tcBorders>
            <w:shd w:val="clear" w:color="auto" w:fill="auto"/>
            <w:vAlign w:val="center"/>
          </w:tcPr>
          <w:p w14:paraId="7FFC8390">
            <w:pPr>
              <w:pStyle w:val="49"/>
            </w:pPr>
            <w:r>
              <w:t>30.53</w:t>
            </w:r>
          </w:p>
        </w:tc>
      </w:tr>
      <w:tr w14:paraId="0F1DBFB9">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bottom w:val="single" w:color="auto" w:sz="4" w:space="0"/>
              <w:tl2br w:val="nil"/>
              <w:tr2bl w:val="nil"/>
            </w:tcBorders>
            <w:shd w:val="clear" w:color="auto" w:fill="auto"/>
            <w:vAlign w:val="center"/>
          </w:tcPr>
          <w:p w14:paraId="21325F2D">
            <w:pPr>
              <w:pStyle w:val="49"/>
            </w:pPr>
            <w:r>
              <w:t>3</w:t>
            </w:r>
          </w:p>
        </w:tc>
        <w:tc>
          <w:tcPr>
            <w:tcW w:w="3301" w:type="dxa"/>
            <w:tcBorders>
              <w:bottom w:val="single" w:color="auto" w:sz="4" w:space="0"/>
              <w:tl2br w:val="nil"/>
              <w:tr2bl w:val="nil"/>
            </w:tcBorders>
            <w:shd w:val="clear" w:color="auto" w:fill="auto"/>
            <w:vAlign w:val="center"/>
          </w:tcPr>
          <w:p w14:paraId="415EC2A7">
            <w:pPr>
              <w:pStyle w:val="49"/>
            </w:pPr>
            <w:r>
              <w:t>Resilient modulus of base-top surface, E</w:t>
            </w:r>
            <w:r>
              <w:rPr>
                <w:vertAlign w:val="subscript"/>
              </w:rPr>
              <w:t>0</w:t>
            </w:r>
            <w:r>
              <w:t>（MPa）</w:t>
            </w:r>
          </w:p>
        </w:tc>
        <w:tc>
          <w:tcPr>
            <w:tcW w:w="954" w:type="dxa"/>
            <w:tcBorders>
              <w:bottom w:val="single" w:color="auto" w:sz="4" w:space="0"/>
              <w:tl2br w:val="nil"/>
              <w:tr2bl w:val="nil"/>
            </w:tcBorders>
            <w:shd w:val="clear" w:color="auto" w:fill="auto"/>
            <w:vAlign w:val="center"/>
          </w:tcPr>
          <w:p w14:paraId="378217CB">
            <w:pPr>
              <w:pStyle w:val="49"/>
            </w:pPr>
            <w:r>
              <w:t>369</w:t>
            </w:r>
          </w:p>
        </w:tc>
        <w:tc>
          <w:tcPr>
            <w:tcW w:w="1167" w:type="dxa"/>
            <w:tcBorders>
              <w:bottom w:val="single" w:color="auto" w:sz="4" w:space="0"/>
              <w:tl2br w:val="nil"/>
              <w:tr2bl w:val="nil"/>
            </w:tcBorders>
            <w:shd w:val="clear" w:color="auto" w:fill="auto"/>
            <w:vAlign w:val="center"/>
          </w:tcPr>
          <w:p w14:paraId="7E460CFE">
            <w:pPr>
              <w:pStyle w:val="49"/>
            </w:pPr>
            <w:r>
              <w:t>538</w:t>
            </w:r>
          </w:p>
        </w:tc>
        <w:tc>
          <w:tcPr>
            <w:tcW w:w="901" w:type="dxa"/>
            <w:tcBorders>
              <w:bottom w:val="single" w:color="auto" w:sz="4" w:space="0"/>
              <w:tl2br w:val="nil"/>
              <w:tr2bl w:val="nil"/>
            </w:tcBorders>
            <w:shd w:val="clear" w:color="auto" w:fill="auto"/>
            <w:vAlign w:val="center"/>
          </w:tcPr>
          <w:p w14:paraId="0596D2C2">
            <w:pPr>
              <w:pStyle w:val="49"/>
            </w:pPr>
            <w:r>
              <w:t>286</w:t>
            </w:r>
          </w:p>
        </w:tc>
        <w:tc>
          <w:tcPr>
            <w:tcW w:w="1325" w:type="dxa"/>
            <w:tcBorders>
              <w:bottom w:val="single" w:color="auto" w:sz="4" w:space="0"/>
              <w:tl2br w:val="nil"/>
              <w:tr2bl w:val="nil"/>
            </w:tcBorders>
            <w:shd w:val="clear" w:color="auto" w:fill="auto"/>
            <w:vAlign w:val="center"/>
          </w:tcPr>
          <w:p w14:paraId="0223BFF4">
            <w:pPr>
              <w:pStyle w:val="49"/>
            </w:pPr>
            <w:r>
              <w:t>15.89</w:t>
            </w:r>
          </w:p>
        </w:tc>
      </w:tr>
      <w:tr w14:paraId="151D780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4" w:type="dxa"/>
            <w:tcBorders>
              <w:top w:val="single" w:color="auto" w:sz="4" w:space="0"/>
              <w:bottom w:val="single" w:color="000000" w:sz="12" w:space="0"/>
              <w:tl2br w:val="nil"/>
              <w:tr2bl w:val="nil"/>
            </w:tcBorders>
            <w:shd w:val="clear" w:color="auto" w:fill="auto"/>
            <w:vAlign w:val="center"/>
          </w:tcPr>
          <w:p w14:paraId="2598E748">
            <w:pPr>
              <w:pStyle w:val="49"/>
            </w:pPr>
            <w:r>
              <w:t>3</w:t>
            </w:r>
          </w:p>
        </w:tc>
        <w:tc>
          <w:tcPr>
            <w:tcW w:w="3301" w:type="dxa"/>
            <w:tcBorders>
              <w:top w:val="single" w:color="auto" w:sz="4" w:space="0"/>
              <w:bottom w:val="single" w:color="000000" w:sz="12" w:space="0"/>
              <w:tl2br w:val="nil"/>
              <w:tr2bl w:val="nil"/>
            </w:tcBorders>
            <w:shd w:val="clear" w:color="auto" w:fill="auto"/>
            <w:vAlign w:val="center"/>
          </w:tcPr>
          <w:p w14:paraId="63AAC906">
            <w:pPr>
              <w:pStyle w:val="49"/>
            </w:pPr>
            <w:r>
              <w:t>Resilient modulus of cement concrete slab, E</w:t>
            </w:r>
            <w:r>
              <w:rPr>
                <w:vertAlign w:val="subscript"/>
              </w:rPr>
              <w:t>cc</w:t>
            </w:r>
            <w:r>
              <w:t>（GPa）</w:t>
            </w:r>
          </w:p>
        </w:tc>
        <w:tc>
          <w:tcPr>
            <w:tcW w:w="954" w:type="dxa"/>
            <w:tcBorders>
              <w:top w:val="single" w:color="auto" w:sz="4" w:space="0"/>
              <w:bottom w:val="single" w:color="000000" w:sz="12" w:space="0"/>
              <w:tl2br w:val="nil"/>
              <w:tr2bl w:val="nil"/>
            </w:tcBorders>
            <w:shd w:val="clear" w:color="auto" w:fill="auto"/>
            <w:vAlign w:val="center"/>
          </w:tcPr>
          <w:p w14:paraId="214FA0E5">
            <w:pPr>
              <w:pStyle w:val="49"/>
            </w:pPr>
            <w:r>
              <w:t>35.9</w:t>
            </w:r>
          </w:p>
        </w:tc>
        <w:tc>
          <w:tcPr>
            <w:tcW w:w="1167" w:type="dxa"/>
            <w:tcBorders>
              <w:top w:val="single" w:color="auto" w:sz="4" w:space="0"/>
              <w:bottom w:val="single" w:color="000000" w:sz="12" w:space="0"/>
              <w:tl2br w:val="nil"/>
              <w:tr2bl w:val="nil"/>
            </w:tcBorders>
            <w:shd w:val="clear" w:color="auto" w:fill="auto"/>
            <w:vAlign w:val="center"/>
          </w:tcPr>
          <w:p w14:paraId="74043EE9">
            <w:pPr>
              <w:pStyle w:val="49"/>
            </w:pPr>
            <w:r>
              <w:t>36</w:t>
            </w:r>
          </w:p>
        </w:tc>
        <w:tc>
          <w:tcPr>
            <w:tcW w:w="901" w:type="dxa"/>
            <w:tcBorders>
              <w:top w:val="single" w:color="auto" w:sz="4" w:space="0"/>
              <w:bottom w:val="single" w:color="000000" w:sz="12" w:space="0"/>
              <w:tl2br w:val="nil"/>
              <w:tr2bl w:val="nil"/>
            </w:tcBorders>
            <w:shd w:val="clear" w:color="auto" w:fill="auto"/>
            <w:vAlign w:val="center"/>
          </w:tcPr>
          <w:p w14:paraId="4C37765B">
            <w:pPr>
              <w:pStyle w:val="49"/>
            </w:pPr>
            <w:r>
              <w:t>35</w:t>
            </w:r>
          </w:p>
        </w:tc>
        <w:tc>
          <w:tcPr>
            <w:tcW w:w="1325" w:type="dxa"/>
            <w:tcBorders>
              <w:top w:val="single" w:color="auto" w:sz="4" w:space="0"/>
              <w:bottom w:val="single" w:color="000000" w:sz="12" w:space="0"/>
              <w:tl2br w:val="nil"/>
              <w:tr2bl w:val="nil"/>
            </w:tcBorders>
            <w:shd w:val="clear" w:color="auto" w:fill="auto"/>
            <w:vAlign w:val="center"/>
          </w:tcPr>
          <w:p w14:paraId="4EB9D9FA">
            <w:pPr>
              <w:pStyle w:val="49"/>
            </w:pPr>
            <w:r>
              <w:t>0.75</w:t>
            </w:r>
          </w:p>
        </w:tc>
      </w:tr>
    </w:tbl>
    <w:p w14:paraId="171046FC">
      <w:pPr>
        <w:pStyle w:val="58"/>
        <w:jc w:val="both"/>
        <w:rPr>
          <w:rFonts w:hint="default"/>
        </w:rPr>
      </w:pPr>
    </w:p>
    <w:p w14:paraId="448262F1">
      <w:pPr>
        <w:pStyle w:val="52"/>
      </w:pPr>
    </w:p>
    <w:p w14:paraId="68ACF0F2">
      <w:pPr>
        <w:pStyle w:val="52"/>
      </w:pPr>
      <w:r>
        <w:t xml:space="preserve">Table </w:t>
      </w:r>
      <w:r>
        <w:rPr>
          <w:rFonts w:hint="eastAsia"/>
        </w:rPr>
        <w:t>S</w:t>
      </w:r>
      <w:r>
        <w:t>6.</w:t>
      </w:r>
      <w:r>
        <w:rPr>
          <w:rFonts w:hint="eastAsia"/>
        </w:rPr>
        <w:t>2.</w:t>
      </w:r>
      <w:r>
        <w:t xml:space="preserve"> Runway structural parameters (2001)</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256"/>
        <w:gridCol w:w="1134"/>
        <w:gridCol w:w="1014"/>
        <w:gridCol w:w="1068"/>
        <w:gridCol w:w="1324"/>
      </w:tblGrid>
      <w:tr w14:paraId="3110D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12" w:space="0"/>
              <w:left w:val="nil"/>
              <w:bottom w:val="single" w:color="000000" w:sz="12" w:space="0"/>
              <w:right w:val="single" w:color="000000" w:sz="4" w:space="0"/>
              <w:tl2br w:val="nil"/>
            </w:tcBorders>
            <w:shd w:val="clear" w:color="auto" w:fill="FFFFFF"/>
            <w:vAlign w:val="center"/>
          </w:tcPr>
          <w:p w14:paraId="0803BFF9">
            <w:pPr>
              <w:pStyle w:val="49"/>
            </w:pPr>
            <w:r>
              <w:t>Survey Line</w:t>
            </w:r>
          </w:p>
        </w:tc>
        <w:tc>
          <w:tcPr>
            <w:tcW w:w="3256" w:type="dxa"/>
            <w:tcBorders>
              <w:top w:val="single" w:color="000000" w:sz="12" w:space="0"/>
              <w:left w:val="single" w:color="000000" w:sz="4" w:space="0"/>
              <w:bottom w:val="single" w:color="000000" w:sz="12" w:space="0"/>
              <w:right w:val="single" w:color="000000" w:sz="4" w:space="0"/>
            </w:tcBorders>
            <w:shd w:val="clear" w:color="auto" w:fill="FFFFFF"/>
            <w:vAlign w:val="center"/>
          </w:tcPr>
          <w:p w14:paraId="11FFF22E">
            <w:pPr>
              <w:pStyle w:val="49"/>
            </w:pPr>
            <w:r>
              <w:t>Structural Layer Parameter</w:t>
            </w:r>
          </w:p>
        </w:tc>
        <w:tc>
          <w:tcPr>
            <w:tcW w:w="1134" w:type="dxa"/>
            <w:tcBorders>
              <w:top w:val="single" w:color="000000" w:sz="12" w:space="0"/>
              <w:left w:val="single" w:color="000000" w:sz="4" w:space="0"/>
              <w:bottom w:val="single" w:color="000000" w:sz="12" w:space="0"/>
              <w:right w:val="single" w:color="000000" w:sz="4" w:space="0"/>
            </w:tcBorders>
            <w:shd w:val="clear" w:color="auto" w:fill="FFFFFF"/>
            <w:vAlign w:val="center"/>
          </w:tcPr>
          <w:p w14:paraId="3321D6EF">
            <w:pPr>
              <w:pStyle w:val="49"/>
            </w:pPr>
            <w:r>
              <w:t>Mean</w:t>
            </w:r>
          </w:p>
        </w:tc>
        <w:tc>
          <w:tcPr>
            <w:tcW w:w="1014" w:type="dxa"/>
            <w:tcBorders>
              <w:top w:val="single" w:color="000000" w:sz="12" w:space="0"/>
              <w:left w:val="single" w:color="000000" w:sz="4" w:space="0"/>
              <w:bottom w:val="single" w:color="000000" w:sz="12" w:space="0"/>
              <w:right w:val="single" w:color="000000" w:sz="4" w:space="0"/>
            </w:tcBorders>
            <w:shd w:val="clear" w:color="auto" w:fill="FFFFFF"/>
            <w:vAlign w:val="center"/>
          </w:tcPr>
          <w:p w14:paraId="355C4186">
            <w:pPr>
              <w:pStyle w:val="49"/>
            </w:pPr>
            <w:r>
              <w:t>Maximum</w:t>
            </w:r>
          </w:p>
        </w:tc>
        <w:tc>
          <w:tcPr>
            <w:tcW w:w="1068" w:type="dxa"/>
            <w:tcBorders>
              <w:top w:val="single" w:color="000000" w:sz="12" w:space="0"/>
              <w:left w:val="single" w:color="000000" w:sz="4" w:space="0"/>
              <w:bottom w:val="single" w:color="000000" w:sz="12" w:space="0"/>
              <w:right w:val="single" w:color="000000" w:sz="4" w:space="0"/>
            </w:tcBorders>
            <w:shd w:val="clear" w:color="auto" w:fill="FFFFFF"/>
            <w:vAlign w:val="center"/>
          </w:tcPr>
          <w:p w14:paraId="47047028">
            <w:pPr>
              <w:pStyle w:val="49"/>
            </w:pPr>
            <w:r>
              <w:t>Minimum</w:t>
            </w:r>
          </w:p>
        </w:tc>
        <w:tc>
          <w:tcPr>
            <w:tcW w:w="1324" w:type="dxa"/>
            <w:tcBorders>
              <w:top w:val="single" w:color="000000" w:sz="12" w:space="0"/>
              <w:left w:val="single" w:color="000000" w:sz="4" w:space="0"/>
              <w:bottom w:val="single" w:color="000000" w:sz="12" w:space="0"/>
              <w:right w:val="nil"/>
            </w:tcBorders>
            <w:shd w:val="clear" w:color="auto" w:fill="FFFFFF"/>
            <w:vAlign w:val="center"/>
          </w:tcPr>
          <w:p w14:paraId="6211ABF1">
            <w:pPr>
              <w:pStyle w:val="49"/>
            </w:pPr>
            <w:r>
              <w:t>Coefficient of Variation (%)</w:t>
            </w:r>
          </w:p>
        </w:tc>
      </w:tr>
      <w:tr w14:paraId="208E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12" w:space="0"/>
              <w:left w:val="nil"/>
              <w:bottom w:val="single" w:color="000000" w:sz="4" w:space="0"/>
              <w:right w:val="single" w:color="000000" w:sz="4" w:space="0"/>
            </w:tcBorders>
            <w:shd w:val="clear" w:color="auto" w:fill="FFFFFF"/>
            <w:vAlign w:val="center"/>
          </w:tcPr>
          <w:p w14:paraId="7D136D76">
            <w:pPr>
              <w:pStyle w:val="49"/>
            </w:pPr>
            <w:r>
              <w:t>1</w:t>
            </w:r>
          </w:p>
        </w:tc>
        <w:tc>
          <w:tcPr>
            <w:tcW w:w="3256"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22C4B60C">
            <w:pPr>
              <w:pStyle w:val="49"/>
            </w:pPr>
            <w:r>
              <w:t>Resilient modulus of base-top surface</w:t>
            </w:r>
            <w:r>
              <w:rPr>
                <w:rFonts w:hint="eastAsia"/>
              </w:rPr>
              <w:t>,</w:t>
            </w:r>
            <w:r>
              <w:t xml:space="preserve">  E</w:t>
            </w:r>
            <w:r>
              <w:rPr>
                <w:vertAlign w:val="subscript"/>
              </w:rPr>
              <w:t>0</w:t>
            </w:r>
            <w:r>
              <w:t>（MPa）</w:t>
            </w:r>
          </w:p>
        </w:tc>
        <w:tc>
          <w:tcPr>
            <w:tcW w:w="1134"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59C88E36">
            <w:pPr>
              <w:pStyle w:val="49"/>
            </w:pPr>
            <w:r>
              <w:t>363</w:t>
            </w:r>
          </w:p>
        </w:tc>
        <w:tc>
          <w:tcPr>
            <w:tcW w:w="1014"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606B5B79">
            <w:pPr>
              <w:pStyle w:val="49"/>
            </w:pPr>
            <w:r>
              <w:t>509</w:t>
            </w:r>
          </w:p>
        </w:tc>
        <w:tc>
          <w:tcPr>
            <w:tcW w:w="1068"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5B590829">
            <w:pPr>
              <w:pStyle w:val="49"/>
            </w:pPr>
            <w:r>
              <w:t>260</w:t>
            </w:r>
          </w:p>
        </w:tc>
        <w:tc>
          <w:tcPr>
            <w:tcW w:w="1324" w:type="dxa"/>
            <w:tcBorders>
              <w:top w:val="single" w:color="000000" w:sz="12" w:space="0"/>
              <w:left w:val="single" w:color="000000" w:sz="4" w:space="0"/>
              <w:bottom w:val="single" w:color="000000" w:sz="4" w:space="0"/>
              <w:right w:val="nil"/>
            </w:tcBorders>
            <w:shd w:val="clear" w:color="auto" w:fill="FFFFFF"/>
            <w:vAlign w:val="center"/>
          </w:tcPr>
          <w:p w14:paraId="3515BE6C">
            <w:pPr>
              <w:pStyle w:val="49"/>
            </w:pPr>
            <w:r>
              <w:t>19.34</w:t>
            </w:r>
          </w:p>
        </w:tc>
      </w:tr>
      <w:tr w14:paraId="37AEF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3AC8732A">
            <w:pPr>
              <w:pStyle w:val="49"/>
            </w:pPr>
            <w:r>
              <w:t>1</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BE1D8A">
            <w:pPr>
              <w:pStyle w:val="49"/>
            </w:pPr>
            <w:r>
              <w:t>Resilient modulus of cement concrete slab, E</w:t>
            </w:r>
            <w:r>
              <w:rPr>
                <w:vertAlign w:val="subscript"/>
              </w:rPr>
              <w:t>cc</w:t>
            </w:r>
            <w:r>
              <w:t>（GPa）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F8ADA3">
            <w:pPr>
              <w:pStyle w:val="49"/>
            </w:pPr>
            <w:r>
              <w:t>35.8</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091DA3">
            <w:pPr>
              <w:pStyle w:val="49"/>
            </w:pPr>
            <w:r>
              <w:t>36</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A7A09D">
            <w:pPr>
              <w:pStyle w:val="49"/>
            </w:pPr>
            <w:r>
              <w:t>34</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7DC24926">
            <w:pPr>
              <w:pStyle w:val="49"/>
            </w:pPr>
            <w:r>
              <w:t>1.13</w:t>
            </w:r>
          </w:p>
        </w:tc>
      </w:tr>
      <w:tr w14:paraId="70DED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44AC937B">
            <w:pPr>
              <w:pStyle w:val="49"/>
            </w:pPr>
            <w:r>
              <w:t>1</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01E1D">
            <w:pPr>
              <w:pStyle w:val="49"/>
            </w:pPr>
            <w:r>
              <w:t>Resilient modulus of asphalt overlay layer, E</w:t>
            </w:r>
            <w:r>
              <w:rPr>
                <w:vertAlign w:val="subscript"/>
              </w:rPr>
              <w:t>p</w:t>
            </w:r>
            <w:r>
              <w:t>（MPa）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753FFF">
            <w:pPr>
              <w:pStyle w:val="49"/>
            </w:pPr>
            <w:r>
              <w:t>2823</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456E2A">
            <w:pPr>
              <w:pStyle w:val="49"/>
            </w:pPr>
            <w:r>
              <w:t>4600</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0ECEF3">
            <w:pPr>
              <w:pStyle w:val="49"/>
            </w:pPr>
            <w:r>
              <w:t>1150</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759F4DFC">
            <w:pPr>
              <w:pStyle w:val="49"/>
            </w:pPr>
            <w:r>
              <w:t>33.86</w:t>
            </w:r>
          </w:p>
        </w:tc>
      </w:tr>
      <w:tr w14:paraId="6434E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1A859D46">
            <w:pPr>
              <w:pStyle w:val="49"/>
            </w:pPr>
            <w:r>
              <w:t>2</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301BE2">
            <w:pPr>
              <w:pStyle w:val="49"/>
            </w:pPr>
            <w:r>
              <w:t>Resilient modulus of base-top surface, E</w:t>
            </w:r>
            <w:r>
              <w:rPr>
                <w:vertAlign w:val="subscript"/>
              </w:rPr>
              <w:t>0</w:t>
            </w:r>
            <w:r>
              <w:t>（MPa）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EBEDC8">
            <w:pPr>
              <w:pStyle w:val="49"/>
            </w:pPr>
            <w:r>
              <w:t>363</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2B4D5E">
            <w:pPr>
              <w:pStyle w:val="49"/>
            </w:pPr>
            <w:r>
              <w:t>536</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D3290">
            <w:pPr>
              <w:pStyle w:val="49"/>
            </w:pPr>
            <w:r>
              <w:t>194</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560A9B65">
            <w:pPr>
              <w:pStyle w:val="49"/>
            </w:pPr>
            <w:r>
              <w:t>21.38</w:t>
            </w:r>
          </w:p>
        </w:tc>
      </w:tr>
      <w:tr w14:paraId="4D0FD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2DB7E839">
            <w:pPr>
              <w:pStyle w:val="49"/>
            </w:pPr>
            <w:r>
              <w:t>2</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29C2BD">
            <w:pPr>
              <w:pStyle w:val="49"/>
            </w:pPr>
            <w:r>
              <w:t>Resilient modulus of cement concrete slab, E</w:t>
            </w:r>
            <w:r>
              <w:rPr>
                <w:vertAlign w:val="subscript"/>
              </w:rPr>
              <w:t>cc</w:t>
            </w:r>
            <w:r>
              <w:t>（GPa）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5BF3D8">
            <w:pPr>
              <w:pStyle w:val="49"/>
            </w:pPr>
            <w:r>
              <w:t>35.9</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3CB9AD">
            <w:pPr>
              <w:pStyle w:val="49"/>
            </w:pPr>
            <w:r>
              <w:t>36</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46486B">
            <w:pPr>
              <w:pStyle w:val="49"/>
            </w:pPr>
            <w:r>
              <w:t>34</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4BB1934F">
            <w:pPr>
              <w:pStyle w:val="49"/>
            </w:pPr>
            <w:r>
              <w:t>1.13</w:t>
            </w:r>
          </w:p>
        </w:tc>
      </w:tr>
      <w:tr w14:paraId="2259D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1ECCF63F">
            <w:pPr>
              <w:pStyle w:val="49"/>
            </w:pPr>
            <w:r>
              <w:t>2</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AC2487">
            <w:pPr>
              <w:pStyle w:val="49"/>
            </w:pPr>
            <w:r>
              <w:t>Resilient modulus of asphalt overlay layer, E</w:t>
            </w:r>
            <w:r>
              <w:rPr>
                <w:vertAlign w:val="subscript"/>
              </w:rPr>
              <w:t>p</w:t>
            </w:r>
            <w:r>
              <w:t>（MPa）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8F518B">
            <w:pPr>
              <w:pStyle w:val="49"/>
            </w:pPr>
            <w:r>
              <w:t>3223</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9D1A80">
            <w:pPr>
              <w:pStyle w:val="49"/>
            </w:pPr>
            <w:r>
              <w:t>4945</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589F9D">
            <w:pPr>
              <w:pStyle w:val="49"/>
            </w:pPr>
            <w:r>
              <w:t>1185</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60FEE35D">
            <w:pPr>
              <w:pStyle w:val="49"/>
            </w:pPr>
            <w:r>
              <w:t>30.53</w:t>
            </w:r>
          </w:p>
        </w:tc>
      </w:tr>
      <w:tr w14:paraId="7C6D7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69C54E24">
            <w:pPr>
              <w:pStyle w:val="49"/>
            </w:pPr>
            <w:r>
              <w:t>3</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80A719">
            <w:pPr>
              <w:pStyle w:val="49"/>
            </w:pPr>
            <w:r>
              <w:t>Resilient modulus of base-top surface, E</w:t>
            </w:r>
            <w:r>
              <w:rPr>
                <w:vertAlign w:val="subscript"/>
              </w:rPr>
              <w:t>0</w:t>
            </w:r>
            <w:r>
              <w:t>（MPa）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B766DB">
            <w:pPr>
              <w:pStyle w:val="49"/>
            </w:pPr>
            <w:r>
              <w:t>369</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50D986">
            <w:pPr>
              <w:pStyle w:val="49"/>
            </w:pPr>
            <w:r>
              <w:t>538</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558A99">
            <w:pPr>
              <w:pStyle w:val="49"/>
            </w:pPr>
            <w:r>
              <w:t>286</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5D11A07A">
            <w:pPr>
              <w:pStyle w:val="49"/>
            </w:pPr>
            <w:r>
              <w:t>15.89</w:t>
            </w:r>
          </w:p>
        </w:tc>
      </w:tr>
      <w:tr w14:paraId="210F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4" w:space="0"/>
              <w:right w:val="single" w:color="000000" w:sz="4" w:space="0"/>
            </w:tcBorders>
            <w:shd w:val="clear" w:color="auto" w:fill="FFFFFF"/>
            <w:vAlign w:val="center"/>
          </w:tcPr>
          <w:p w14:paraId="60FCE1E4">
            <w:pPr>
              <w:pStyle w:val="49"/>
            </w:pPr>
            <w:r>
              <w:t>3</w:t>
            </w:r>
          </w:p>
        </w:tc>
        <w:tc>
          <w:tcPr>
            <w:tcW w:w="325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5DAE93">
            <w:pPr>
              <w:pStyle w:val="49"/>
            </w:pPr>
            <w:r>
              <w:t>Resilient modulus of cement concrete slab, E</w:t>
            </w:r>
            <w:r>
              <w:rPr>
                <w:vertAlign w:val="subscript"/>
              </w:rPr>
              <w:t>cc</w:t>
            </w:r>
            <w:r>
              <w:t>（GPa）</w:t>
            </w:r>
          </w:p>
        </w:tc>
        <w:tc>
          <w:tcPr>
            <w:tcW w:w="113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0AE97">
            <w:pPr>
              <w:pStyle w:val="49"/>
            </w:pPr>
            <w:r>
              <w:t>35.9</w:t>
            </w:r>
          </w:p>
        </w:tc>
        <w:tc>
          <w:tcPr>
            <w:tcW w:w="101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64277C">
            <w:pPr>
              <w:pStyle w:val="49"/>
            </w:pPr>
            <w:r>
              <w:t>36</w:t>
            </w:r>
          </w:p>
        </w:tc>
        <w:tc>
          <w:tcPr>
            <w:tcW w:w="106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D9B590">
            <w:pPr>
              <w:pStyle w:val="49"/>
            </w:pPr>
            <w:r>
              <w:t>35</w:t>
            </w:r>
          </w:p>
        </w:tc>
        <w:tc>
          <w:tcPr>
            <w:tcW w:w="1324" w:type="dxa"/>
            <w:tcBorders>
              <w:top w:val="single" w:color="000000" w:sz="4" w:space="0"/>
              <w:left w:val="single" w:color="000000" w:sz="4" w:space="0"/>
              <w:bottom w:val="single" w:color="000000" w:sz="4" w:space="0"/>
              <w:right w:val="nil"/>
            </w:tcBorders>
            <w:shd w:val="clear" w:color="auto" w:fill="FFFFFF"/>
            <w:vAlign w:val="center"/>
          </w:tcPr>
          <w:p w14:paraId="6717B786">
            <w:pPr>
              <w:pStyle w:val="49"/>
            </w:pPr>
            <w:r>
              <w:t>0.75</w:t>
            </w:r>
          </w:p>
        </w:tc>
      </w:tr>
      <w:tr w14:paraId="35CAF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dxa"/>
            <w:tcBorders>
              <w:top w:val="single" w:color="000000" w:sz="4" w:space="0"/>
              <w:left w:val="nil"/>
              <w:bottom w:val="single" w:color="000000" w:sz="12" w:space="0"/>
              <w:right w:val="single" w:color="000000" w:sz="4" w:space="0"/>
            </w:tcBorders>
            <w:shd w:val="clear" w:color="auto" w:fill="FFFFFF"/>
            <w:vAlign w:val="center"/>
          </w:tcPr>
          <w:p w14:paraId="78AF01F4">
            <w:pPr>
              <w:pStyle w:val="49"/>
            </w:pPr>
            <w:r>
              <w:t>3</w:t>
            </w:r>
          </w:p>
        </w:tc>
        <w:tc>
          <w:tcPr>
            <w:tcW w:w="3256"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5CE140FA">
            <w:pPr>
              <w:pStyle w:val="49"/>
            </w:pPr>
            <w:r>
              <w:t>Resilient modulus of asphalt overlay layer, E</w:t>
            </w:r>
            <w:r>
              <w:rPr>
                <w:vertAlign w:val="subscript"/>
              </w:rPr>
              <w:t>p</w:t>
            </w:r>
            <w:r>
              <w:t>（MPa）</w:t>
            </w:r>
          </w:p>
        </w:tc>
        <w:tc>
          <w:tcPr>
            <w:tcW w:w="1134"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3F98C8E3">
            <w:pPr>
              <w:pStyle w:val="49"/>
            </w:pPr>
            <w:r>
              <w:t>3310</w:t>
            </w:r>
          </w:p>
        </w:tc>
        <w:tc>
          <w:tcPr>
            <w:tcW w:w="1014"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1B383374">
            <w:pPr>
              <w:pStyle w:val="49"/>
            </w:pPr>
            <w:r>
              <w:t>4925</w:t>
            </w:r>
          </w:p>
        </w:tc>
        <w:tc>
          <w:tcPr>
            <w:tcW w:w="1068" w:type="dxa"/>
            <w:tcBorders>
              <w:top w:val="single" w:color="000000" w:sz="4" w:space="0"/>
              <w:left w:val="single" w:color="000000" w:sz="4" w:space="0"/>
              <w:bottom w:val="single" w:color="000000" w:sz="12" w:space="0"/>
              <w:right w:val="single" w:color="000000" w:sz="4" w:space="0"/>
            </w:tcBorders>
            <w:shd w:val="clear" w:color="auto" w:fill="FFFFFF"/>
            <w:vAlign w:val="center"/>
          </w:tcPr>
          <w:p w14:paraId="56DE1A02">
            <w:pPr>
              <w:pStyle w:val="49"/>
            </w:pPr>
            <w:r>
              <w:t>1370</w:t>
            </w:r>
          </w:p>
        </w:tc>
        <w:tc>
          <w:tcPr>
            <w:tcW w:w="1324" w:type="dxa"/>
            <w:tcBorders>
              <w:top w:val="single" w:color="000000" w:sz="4" w:space="0"/>
              <w:left w:val="single" w:color="000000" w:sz="4" w:space="0"/>
              <w:bottom w:val="single" w:color="000000" w:sz="12" w:space="0"/>
              <w:right w:val="nil"/>
            </w:tcBorders>
            <w:shd w:val="clear" w:color="auto" w:fill="FFFFFF"/>
            <w:vAlign w:val="center"/>
          </w:tcPr>
          <w:p w14:paraId="6CDBACD6">
            <w:pPr>
              <w:pStyle w:val="49"/>
            </w:pPr>
            <w:r>
              <w:t>28.73</w:t>
            </w:r>
          </w:p>
        </w:tc>
      </w:tr>
    </w:tbl>
    <w:p w14:paraId="6835DF48">
      <w:pPr>
        <w:ind w:firstLine="420"/>
      </w:pPr>
    </w:p>
    <w:p w14:paraId="4558F5ED">
      <w:pPr>
        <w:pStyle w:val="58"/>
        <w:rPr>
          <w:rFonts w:hint="default"/>
        </w:rPr>
      </w:pPr>
      <w:r>
        <w:t>Table S6.3. Runway structural parameters (200</w:t>
      </w:r>
      <w:r>
        <w:rPr>
          <w:rFonts w:hint="default"/>
        </w:rPr>
        <w:t>2</w:t>
      </w:r>
      <w:r>
        <w:t>)</w:t>
      </w:r>
    </w:p>
    <w:tbl>
      <w:tblPr>
        <w:tblStyle w:val="16"/>
        <w:tblW w:w="0" w:type="auto"/>
        <w:tblInd w:w="0" w:type="dxa"/>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11"/>
        <w:gridCol w:w="2975"/>
        <w:gridCol w:w="1033"/>
        <w:gridCol w:w="1227"/>
        <w:gridCol w:w="1161"/>
        <w:gridCol w:w="1315"/>
      </w:tblGrid>
      <w:tr w14:paraId="29252C09">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tcBorders>
              <w:top w:val="single" w:color="000000" w:sz="12" w:space="0"/>
              <w:bottom w:val="single" w:color="000000" w:sz="12" w:space="0"/>
            </w:tcBorders>
            <w:shd w:val="clear" w:color="auto" w:fill="FFFFFF"/>
            <w:vAlign w:val="center"/>
          </w:tcPr>
          <w:p w14:paraId="12B98AFF">
            <w:pPr>
              <w:pStyle w:val="49"/>
            </w:pPr>
            <w:r>
              <w:t>Survey Line</w:t>
            </w:r>
          </w:p>
        </w:tc>
        <w:tc>
          <w:tcPr>
            <w:tcW w:w="2975" w:type="dxa"/>
            <w:tcBorders>
              <w:top w:val="single" w:color="000000" w:sz="12" w:space="0"/>
              <w:bottom w:val="single" w:color="000000" w:sz="12" w:space="0"/>
            </w:tcBorders>
            <w:shd w:val="clear" w:color="auto" w:fill="FFFFFF"/>
            <w:vAlign w:val="center"/>
          </w:tcPr>
          <w:p w14:paraId="64534174">
            <w:pPr>
              <w:pStyle w:val="49"/>
            </w:pPr>
            <w:r>
              <w:t>Structural Layer Parameter</w:t>
            </w:r>
          </w:p>
        </w:tc>
        <w:tc>
          <w:tcPr>
            <w:tcW w:w="1033" w:type="dxa"/>
            <w:tcBorders>
              <w:top w:val="single" w:color="000000" w:sz="12" w:space="0"/>
              <w:bottom w:val="single" w:color="000000" w:sz="12" w:space="0"/>
            </w:tcBorders>
            <w:shd w:val="clear" w:color="auto" w:fill="FFFFFF"/>
            <w:vAlign w:val="center"/>
          </w:tcPr>
          <w:p w14:paraId="54B827B4">
            <w:pPr>
              <w:pStyle w:val="49"/>
            </w:pPr>
            <w:r>
              <w:t>Mean</w:t>
            </w:r>
          </w:p>
        </w:tc>
        <w:tc>
          <w:tcPr>
            <w:tcW w:w="1227" w:type="dxa"/>
            <w:tcBorders>
              <w:top w:val="single" w:color="000000" w:sz="12" w:space="0"/>
              <w:bottom w:val="single" w:color="000000" w:sz="12" w:space="0"/>
            </w:tcBorders>
            <w:shd w:val="clear" w:color="auto" w:fill="FFFFFF"/>
            <w:vAlign w:val="center"/>
          </w:tcPr>
          <w:p w14:paraId="02C4F417">
            <w:pPr>
              <w:pStyle w:val="49"/>
            </w:pPr>
            <w:r>
              <w:t>Maximum</w:t>
            </w:r>
          </w:p>
        </w:tc>
        <w:tc>
          <w:tcPr>
            <w:tcW w:w="1161" w:type="dxa"/>
            <w:tcBorders>
              <w:top w:val="single" w:color="000000" w:sz="12" w:space="0"/>
              <w:bottom w:val="single" w:color="000000" w:sz="12" w:space="0"/>
            </w:tcBorders>
            <w:shd w:val="clear" w:color="auto" w:fill="FFFFFF"/>
            <w:vAlign w:val="center"/>
          </w:tcPr>
          <w:p w14:paraId="1F927033">
            <w:pPr>
              <w:pStyle w:val="49"/>
            </w:pPr>
            <w:r>
              <w:t>Minimum</w:t>
            </w:r>
          </w:p>
        </w:tc>
        <w:tc>
          <w:tcPr>
            <w:tcW w:w="1315" w:type="dxa"/>
            <w:tcBorders>
              <w:top w:val="single" w:color="000000" w:sz="12" w:space="0"/>
              <w:bottom w:val="single" w:color="000000" w:sz="12" w:space="0"/>
            </w:tcBorders>
            <w:shd w:val="clear" w:color="auto" w:fill="FFFFFF"/>
            <w:vAlign w:val="center"/>
          </w:tcPr>
          <w:p w14:paraId="1887508A">
            <w:pPr>
              <w:pStyle w:val="49"/>
            </w:pPr>
            <w:r>
              <w:t>Coefficient of Variation (%)</w:t>
            </w:r>
          </w:p>
        </w:tc>
      </w:tr>
      <w:tr w14:paraId="441FB7F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tcBorders>
              <w:top w:val="single" w:color="000000" w:sz="12" w:space="0"/>
            </w:tcBorders>
            <w:shd w:val="clear" w:color="auto" w:fill="FFFFFF"/>
            <w:vAlign w:val="center"/>
          </w:tcPr>
          <w:p w14:paraId="7C94D731">
            <w:pPr>
              <w:pStyle w:val="49"/>
            </w:pPr>
            <w:r>
              <w:t>R2</w:t>
            </w:r>
          </w:p>
        </w:tc>
        <w:tc>
          <w:tcPr>
            <w:tcW w:w="2975" w:type="dxa"/>
            <w:tcBorders>
              <w:top w:val="single" w:color="000000" w:sz="12" w:space="0"/>
            </w:tcBorders>
            <w:shd w:val="clear" w:color="auto" w:fill="FFFFFF"/>
            <w:vAlign w:val="center"/>
          </w:tcPr>
          <w:p w14:paraId="786279E2">
            <w:pPr>
              <w:pStyle w:val="49"/>
            </w:pPr>
            <w:r>
              <w:t>Resilient modulus of base top surface, E₀（MPa）</w:t>
            </w:r>
          </w:p>
        </w:tc>
        <w:tc>
          <w:tcPr>
            <w:tcW w:w="1033" w:type="dxa"/>
            <w:tcBorders>
              <w:top w:val="single" w:color="000000" w:sz="12" w:space="0"/>
            </w:tcBorders>
            <w:shd w:val="clear" w:color="auto" w:fill="FFFFFF"/>
            <w:vAlign w:val="center"/>
          </w:tcPr>
          <w:p w14:paraId="71E1E9FF">
            <w:pPr>
              <w:pStyle w:val="49"/>
            </w:pPr>
            <w:r>
              <w:t>361</w:t>
            </w:r>
          </w:p>
        </w:tc>
        <w:tc>
          <w:tcPr>
            <w:tcW w:w="1227" w:type="dxa"/>
            <w:tcBorders>
              <w:top w:val="single" w:color="000000" w:sz="12" w:space="0"/>
            </w:tcBorders>
            <w:shd w:val="clear" w:color="auto" w:fill="FFFFFF"/>
            <w:vAlign w:val="center"/>
          </w:tcPr>
          <w:p w14:paraId="556BD343">
            <w:pPr>
              <w:pStyle w:val="49"/>
            </w:pPr>
            <w:r>
              <w:t>319</w:t>
            </w:r>
          </w:p>
        </w:tc>
        <w:tc>
          <w:tcPr>
            <w:tcW w:w="1161" w:type="dxa"/>
            <w:tcBorders>
              <w:top w:val="single" w:color="000000" w:sz="12" w:space="0"/>
            </w:tcBorders>
            <w:shd w:val="clear" w:color="auto" w:fill="FFFFFF"/>
            <w:vAlign w:val="center"/>
          </w:tcPr>
          <w:p w14:paraId="4360DDC5">
            <w:pPr>
              <w:pStyle w:val="49"/>
            </w:pPr>
            <w:r>
              <w:t>399</w:t>
            </w:r>
          </w:p>
        </w:tc>
        <w:tc>
          <w:tcPr>
            <w:tcW w:w="1315" w:type="dxa"/>
            <w:tcBorders>
              <w:top w:val="single" w:color="000000" w:sz="12" w:space="0"/>
            </w:tcBorders>
            <w:shd w:val="clear" w:color="auto" w:fill="FFFFFF"/>
            <w:vAlign w:val="center"/>
          </w:tcPr>
          <w:p w14:paraId="0B71127E">
            <w:pPr>
              <w:pStyle w:val="49"/>
            </w:pPr>
            <w:r>
              <w:t>12.8</w:t>
            </w:r>
          </w:p>
        </w:tc>
      </w:tr>
      <w:tr w14:paraId="1C40475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26C20B03">
            <w:pPr>
              <w:pStyle w:val="49"/>
            </w:pPr>
            <w:r>
              <w:t>R2</w:t>
            </w:r>
          </w:p>
        </w:tc>
        <w:tc>
          <w:tcPr>
            <w:tcW w:w="2975" w:type="dxa"/>
            <w:shd w:val="clear" w:color="auto" w:fill="FFFFFF"/>
            <w:vAlign w:val="center"/>
          </w:tcPr>
          <w:p w14:paraId="271946B1">
            <w:pPr>
              <w:pStyle w:val="49"/>
            </w:pPr>
            <w:r>
              <w:t>Resilient modulus of cement concrete slab, E</w:t>
            </w:r>
            <w:r>
              <w:rPr>
                <w:vertAlign w:val="subscript"/>
              </w:rPr>
              <w:t>c</w:t>
            </w:r>
            <w:r>
              <w:rPr>
                <w:rFonts w:hint="eastAsia"/>
                <w:vertAlign w:val="subscript"/>
              </w:rPr>
              <w:t>c</w:t>
            </w:r>
            <w:r>
              <w:t>（GPa）</w:t>
            </w:r>
          </w:p>
        </w:tc>
        <w:tc>
          <w:tcPr>
            <w:tcW w:w="1033" w:type="dxa"/>
            <w:shd w:val="clear" w:color="auto" w:fill="FFFFFF"/>
            <w:vAlign w:val="center"/>
          </w:tcPr>
          <w:p w14:paraId="489C614D">
            <w:pPr>
              <w:pStyle w:val="49"/>
            </w:pPr>
            <w:r>
              <w:t>34.6</w:t>
            </w:r>
          </w:p>
        </w:tc>
        <w:tc>
          <w:tcPr>
            <w:tcW w:w="1227" w:type="dxa"/>
            <w:shd w:val="clear" w:color="auto" w:fill="FFFFFF"/>
            <w:vAlign w:val="center"/>
          </w:tcPr>
          <w:p w14:paraId="38520157">
            <w:pPr>
              <w:pStyle w:val="49"/>
            </w:pPr>
            <w:r>
              <w:t>31.2</w:t>
            </w:r>
          </w:p>
        </w:tc>
        <w:tc>
          <w:tcPr>
            <w:tcW w:w="1161" w:type="dxa"/>
            <w:shd w:val="clear" w:color="auto" w:fill="FFFFFF"/>
            <w:vAlign w:val="center"/>
          </w:tcPr>
          <w:p w14:paraId="0D8E7009">
            <w:pPr>
              <w:pStyle w:val="49"/>
            </w:pPr>
            <w:r>
              <w:t>35.7</w:t>
            </w:r>
          </w:p>
        </w:tc>
        <w:tc>
          <w:tcPr>
            <w:tcW w:w="1315" w:type="dxa"/>
            <w:shd w:val="clear" w:color="auto" w:fill="FFFFFF"/>
            <w:vAlign w:val="center"/>
          </w:tcPr>
          <w:p w14:paraId="7DC2738D">
            <w:pPr>
              <w:pStyle w:val="49"/>
            </w:pPr>
            <w:r>
              <w:t>11.5</w:t>
            </w:r>
          </w:p>
        </w:tc>
      </w:tr>
      <w:tr w14:paraId="2503A551">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51E67EF8">
            <w:pPr>
              <w:pStyle w:val="49"/>
            </w:pPr>
            <w:r>
              <w:t>R2</w:t>
            </w:r>
          </w:p>
        </w:tc>
        <w:tc>
          <w:tcPr>
            <w:tcW w:w="2975" w:type="dxa"/>
            <w:shd w:val="clear" w:color="auto" w:fill="FFFFFF"/>
            <w:vAlign w:val="center"/>
          </w:tcPr>
          <w:p w14:paraId="5BD09310">
            <w:pPr>
              <w:pStyle w:val="49"/>
            </w:pPr>
            <w:r>
              <w:t>Resilient modulus of asphalt overlay layer, E</w:t>
            </w:r>
            <w:r>
              <w:rPr>
                <w:vertAlign w:val="subscript"/>
              </w:rPr>
              <w:t>p</w:t>
            </w:r>
            <w:r>
              <w:t>（MPa）</w:t>
            </w:r>
          </w:p>
        </w:tc>
        <w:tc>
          <w:tcPr>
            <w:tcW w:w="1033" w:type="dxa"/>
            <w:shd w:val="clear" w:color="auto" w:fill="FFFFFF"/>
            <w:vAlign w:val="center"/>
          </w:tcPr>
          <w:p w14:paraId="20E05A37">
            <w:pPr>
              <w:pStyle w:val="49"/>
            </w:pPr>
            <w:r>
              <w:t>2230</w:t>
            </w:r>
          </w:p>
        </w:tc>
        <w:tc>
          <w:tcPr>
            <w:tcW w:w="1227" w:type="dxa"/>
            <w:shd w:val="clear" w:color="auto" w:fill="FFFFFF"/>
            <w:vAlign w:val="center"/>
          </w:tcPr>
          <w:p w14:paraId="4EB9E4D9">
            <w:pPr>
              <w:pStyle w:val="49"/>
            </w:pPr>
            <w:r>
              <w:t>1700</w:t>
            </w:r>
          </w:p>
        </w:tc>
        <w:tc>
          <w:tcPr>
            <w:tcW w:w="1161" w:type="dxa"/>
            <w:shd w:val="clear" w:color="auto" w:fill="FFFFFF"/>
            <w:vAlign w:val="center"/>
          </w:tcPr>
          <w:p w14:paraId="7220D772">
            <w:pPr>
              <w:pStyle w:val="49"/>
            </w:pPr>
            <w:r>
              <w:t>3100</w:t>
            </w:r>
          </w:p>
        </w:tc>
        <w:tc>
          <w:tcPr>
            <w:tcW w:w="1315" w:type="dxa"/>
            <w:shd w:val="clear" w:color="auto" w:fill="FFFFFF"/>
            <w:vAlign w:val="center"/>
          </w:tcPr>
          <w:p w14:paraId="2EB96A68">
            <w:pPr>
              <w:pStyle w:val="49"/>
            </w:pPr>
            <w:r>
              <w:t>29.9</w:t>
            </w:r>
          </w:p>
        </w:tc>
      </w:tr>
      <w:tr w14:paraId="1BCF57E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584ADBC1">
            <w:pPr>
              <w:pStyle w:val="49"/>
            </w:pPr>
            <w:r>
              <w:t>R3</w:t>
            </w:r>
          </w:p>
        </w:tc>
        <w:tc>
          <w:tcPr>
            <w:tcW w:w="2975" w:type="dxa"/>
            <w:shd w:val="clear" w:color="auto" w:fill="FFFFFF"/>
            <w:vAlign w:val="center"/>
          </w:tcPr>
          <w:p w14:paraId="3EB545ED">
            <w:pPr>
              <w:pStyle w:val="49"/>
            </w:pPr>
            <w:r>
              <w:t>Resilient modulus of base top surface, E₀（MPa）</w:t>
            </w:r>
          </w:p>
        </w:tc>
        <w:tc>
          <w:tcPr>
            <w:tcW w:w="1033" w:type="dxa"/>
            <w:shd w:val="clear" w:color="auto" w:fill="FFFFFF"/>
            <w:vAlign w:val="center"/>
          </w:tcPr>
          <w:p w14:paraId="2C25370B">
            <w:pPr>
              <w:pStyle w:val="49"/>
            </w:pPr>
            <w:r>
              <w:t>327</w:t>
            </w:r>
          </w:p>
        </w:tc>
        <w:tc>
          <w:tcPr>
            <w:tcW w:w="1227" w:type="dxa"/>
            <w:shd w:val="clear" w:color="auto" w:fill="FFFFFF"/>
            <w:vAlign w:val="center"/>
          </w:tcPr>
          <w:p w14:paraId="56AAD526">
            <w:pPr>
              <w:pStyle w:val="49"/>
            </w:pPr>
            <w:r>
              <w:t>285</w:t>
            </w:r>
          </w:p>
        </w:tc>
        <w:tc>
          <w:tcPr>
            <w:tcW w:w="1161" w:type="dxa"/>
            <w:shd w:val="clear" w:color="auto" w:fill="FFFFFF"/>
            <w:vAlign w:val="center"/>
          </w:tcPr>
          <w:p w14:paraId="4F68A43F">
            <w:pPr>
              <w:pStyle w:val="49"/>
            </w:pPr>
            <w:r>
              <w:t>398</w:t>
            </w:r>
          </w:p>
        </w:tc>
        <w:tc>
          <w:tcPr>
            <w:tcW w:w="1315" w:type="dxa"/>
            <w:shd w:val="clear" w:color="auto" w:fill="FFFFFF"/>
            <w:vAlign w:val="center"/>
          </w:tcPr>
          <w:p w14:paraId="35DB39AB">
            <w:pPr>
              <w:pStyle w:val="49"/>
            </w:pPr>
            <w:r>
              <w:t>10.3</w:t>
            </w:r>
          </w:p>
        </w:tc>
      </w:tr>
      <w:tr w14:paraId="50772B23">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489BD988">
            <w:pPr>
              <w:pStyle w:val="49"/>
            </w:pPr>
            <w:r>
              <w:t>R3</w:t>
            </w:r>
          </w:p>
        </w:tc>
        <w:tc>
          <w:tcPr>
            <w:tcW w:w="2975" w:type="dxa"/>
            <w:shd w:val="clear" w:color="auto" w:fill="FFFFFF"/>
            <w:vAlign w:val="center"/>
          </w:tcPr>
          <w:p w14:paraId="538C811F">
            <w:pPr>
              <w:pStyle w:val="49"/>
            </w:pPr>
            <w:r>
              <w:t>Resilient modulus of cement concrete slab, E</w:t>
            </w:r>
            <w:r>
              <w:rPr>
                <w:vertAlign w:val="subscript"/>
              </w:rPr>
              <w:t>c</w:t>
            </w:r>
            <w:r>
              <w:rPr>
                <w:rFonts w:hint="eastAsia"/>
                <w:vertAlign w:val="subscript"/>
              </w:rPr>
              <w:t>c</w:t>
            </w:r>
            <w:r>
              <w:t>（GPa）</w:t>
            </w:r>
          </w:p>
        </w:tc>
        <w:tc>
          <w:tcPr>
            <w:tcW w:w="1033" w:type="dxa"/>
            <w:shd w:val="clear" w:color="auto" w:fill="FFFFFF"/>
            <w:vAlign w:val="center"/>
          </w:tcPr>
          <w:p w14:paraId="43C3EDB5">
            <w:pPr>
              <w:pStyle w:val="49"/>
            </w:pPr>
            <w:r>
              <w:t>34.2</w:t>
            </w:r>
          </w:p>
        </w:tc>
        <w:tc>
          <w:tcPr>
            <w:tcW w:w="1227" w:type="dxa"/>
            <w:shd w:val="clear" w:color="auto" w:fill="FFFFFF"/>
            <w:vAlign w:val="center"/>
          </w:tcPr>
          <w:p w14:paraId="20DBFABF">
            <w:pPr>
              <w:pStyle w:val="49"/>
            </w:pPr>
            <w:r>
              <w:t>31.5</w:t>
            </w:r>
          </w:p>
        </w:tc>
        <w:tc>
          <w:tcPr>
            <w:tcW w:w="1161" w:type="dxa"/>
            <w:shd w:val="clear" w:color="auto" w:fill="FFFFFF"/>
            <w:vAlign w:val="center"/>
          </w:tcPr>
          <w:p w14:paraId="1070463B">
            <w:pPr>
              <w:pStyle w:val="49"/>
            </w:pPr>
            <w:r>
              <w:t>36.6</w:t>
            </w:r>
          </w:p>
        </w:tc>
        <w:tc>
          <w:tcPr>
            <w:tcW w:w="1315" w:type="dxa"/>
            <w:shd w:val="clear" w:color="auto" w:fill="FFFFFF"/>
            <w:vAlign w:val="center"/>
          </w:tcPr>
          <w:p w14:paraId="59D732DF">
            <w:pPr>
              <w:pStyle w:val="49"/>
            </w:pPr>
            <w:r>
              <w:t>12.3</w:t>
            </w:r>
          </w:p>
        </w:tc>
      </w:tr>
      <w:tr w14:paraId="6C2EF5E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068D01F4">
            <w:pPr>
              <w:pStyle w:val="49"/>
            </w:pPr>
            <w:r>
              <w:t>R3</w:t>
            </w:r>
          </w:p>
        </w:tc>
        <w:tc>
          <w:tcPr>
            <w:tcW w:w="2975" w:type="dxa"/>
            <w:shd w:val="clear" w:color="auto" w:fill="FFFFFF"/>
            <w:vAlign w:val="center"/>
          </w:tcPr>
          <w:p w14:paraId="1FAA54D3">
            <w:pPr>
              <w:pStyle w:val="49"/>
            </w:pPr>
            <w:r>
              <w:t>Resilient modulus of asphalt overlay layer, E</w:t>
            </w:r>
            <w:r>
              <w:rPr>
                <w:vertAlign w:val="subscript"/>
              </w:rPr>
              <w:t>p</w:t>
            </w:r>
            <w:r>
              <w:t>（MPa）</w:t>
            </w:r>
          </w:p>
        </w:tc>
        <w:tc>
          <w:tcPr>
            <w:tcW w:w="1033" w:type="dxa"/>
            <w:shd w:val="clear" w:color="auto" w:fill="FFFFFF"/>
            <w:vAlign w:val="center"/>
          </w:tcPr>
          <w:p w14:paraId="12C35C04">
            <w:pPr>
              <w:pStyle w:val="49"/>
            </w:pPr>
            <w:r>
              <w:t>2430</w:t>
            </w:r>
          </w:p>
        </w:tc>
        <w:tc>
          <w:tcPr>
            <w:tcW w:w="1227" w:type="dxa"/>
            <w:shd w:val="clear" w:color="auto" w:fill="FFFFFF"/>
            <w:vAlign w:val="center"/>
          </w:tcPr>
          <w:p w14:paraId="7AA6EAD7">
            <w:pPr>
              <w:pStyle w:val="49"/>
            </w:pPr>
            <w:r>
              <w:t>1350</w:t>
            </w:r>
          </w:p>
        </w:tc>
        <w:tc>
          <w:tcPr>
            <w:tcW w:w="1161" w:type="dxa"/>
            <w:shd w:val="clear" w:color="auto" w:fill="FFFFFF"/>
            <w:vAlign w:val="center"/>
          </w:tcPr>
          <w:p w14:paraId="709F5F84">
            <w:pPr>
              <w:pStyle w:val="49"/>
            </w:pPr>
            <w:r>
              <w:t>4350</w:t>
            </w:r>
          </w:p>
        </w:tc>
        <w:tc>
          <w:tcPr>
            <w:tcW w:w="1315" w:type="dxa"/>
            <w:shd w:val="clear" w:color="auto" w:fill="FFFFFF"/>
            <w:vAlign w:val="center"/>
          </w:tcPr>
          <w:p w14:paraId="7ACF53CD">
            <w:pPr>
              <w:pStyle w:val="49"/>
            </w:pPr>
            <w:r>
              <w:t>36.1</w:t>
            </w:r>
          </w:p>
        </w:tc>
      </w:tr>
      <w:tr w14:paraId="0FA62039">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3FC8F9A2">
            <w:pPr>
              <w:pStyle w:val="49"/>
            </w:pPr>
            <w:r>
              <w:t>R4</w:t>
            </w:r>
          </w:p>
        </w:tc>
        <w:tc>
          <w:tcPr>
            <w:tcW w:w="2975" w:type="dxa"/>
            <w:shd w:val="clear" w:color="auto" w:fill="FFFFFF"/>
            <w:vAlign w:val="center"/>
          </w:tcPr>
          <w:p w14:paraId="24E3B747">
            <w:pPr>
              <w:pStyle w:val="49"/>
            </w:pPr>
            <w:r>
              <w:t>Resilient modulus of base top surface, E₀（MPa）</w:t>
            </w:r>
          </w:p>
        </w:tc>
        <w:tc>
          <w:tcPr>
            <w:tcW w:w="1033" w:type="dxa"/>
            <w:shd w:val="clear" w:color="auto" w:fill="FFFFFF"/>
            <w:vAlign w:val="center"/>
          </w:tcPr>
          <w:p w14:paraId="47246B1B">
            <w:pPr>
              <w:pStyle w:val="49"/>
            </w:pPr>
            <w:r>
              <w:t>352</w:t>
            </w:r>
          </w:p>
        </w:tc>
        <w:tc>
          <w:tcPr>
            <w:tcW w:w="1227" w:type="dxa"/>
            <w:shd w:val="clear" w:color="auto" w:fill="FFFFFF"/>
            <w:vAlign w:val="center"/>
          </w:tcPr>
          <w:p w14:paraId="3BC85E96">
            <w:pPr>
              <w:pStyle w:val="49"/>
            </w:pPr>
            <w:r>
              <w:t>249</w:t>
            </w:r>
          </w:p>
        </w:tc>
        <w:tc>
          <w:tcPr>
            <w:tcW w:w="1161" w:type="dxa"/>
            <w:shd w:val="clear" w:color="auto" w:fill="FFFFFF"/>
            <w:vAlign w:val="center"/>
          </w:tcPr>
          <w:p w14:paraId="5056C69D">
            <w:pPr>
              <w:pStyle w:val="49"/>
            </w:pPr>
            <w:r>
              <w:t>421</w:t>
            </w:r>
          </w:p>
        </w:tc>
        <w:tc>
          <w:tcPr>
            <w:tcW w:w="1315" w:type="dxa"/>
            <w:shd w:val="clear" w:color="auto" w:fill="FFFFFF"/>
            <w:vAlign w:val="center"/>
          </w:tcPr>
          <w:p w14:paraId="030904D3">
            <w:pPr>
              <w:pStyle w:val="49"/>
            </w:pPr>
            <w:r>
              <w:t>18.5</w:t>
            </w:r>
          </w:p>
        </w:tc>
      </w:tr>
      <w:tr w14:paraId="5C783385">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6CC84C98">
            <w:pPr>
              <w:pStyle w:val="49"/>
            </w:pPr>
            <w:r>
              <w:t>R4</w:t>
            </w:r>
          </w:p>
        </w:tc>
        <w:tc>
          <w:tcPr>
            <w:tcW w:w="2975" w:type="dxa"/>
            <w:shd w:val="clear" w:color="auto" w:fill="FFFFFF"/>
            <w:vAlign w:val="center"/>
          </w:tcPr>
          <w:p w14:paraId="68F73106">
            <w:pPr>
              <w:pStyle w:val="49"/>
            </w:pPr>
            <w:r>
              <w:t>Resilient modulus of cement concrete slab, E</w:t>
            </w:r>
            <w:r>
              <w:rPr>
                <w:vertAlign w:val="subscript"/>
              </w:rPr>
              <w:t>c</w:t>
            </w:r>
            <w:r>
              <w:rPr>
                <w:rFonts w:hint="eastAsia"/>
                <w:vertAlign w:val="subscript"/>
              </w:rPr>
              <w:t>c</w:t>
            </w:r>
            <w:r>
              <w:t>（GPa）</w:t>
            </w:r>
          </w:p>
        </w:tc>
        <w:tc>
          <w:tcPr>
            <w:tcW w:w="1033" w:type="dxa"/>
            <w:shd w:val="clear" w:color="auto" w:fill="FFFFFF"/>
            <w:vAlign w:val="center"/>
          </w:tcPr>
          <w:p w14:paraId="387ECB00">
            <w:pPr>
              <w:pStyle w:val="49"/>
            </w:pPr>
            <w:r>
              <w:t>33.4</w:t>
            </w:r>
          </w:p>
        </w:tc>
        <w:tc>
          <w:tcPr>
            <w:tcW w:w="0" w:type="auto"/>
            <w:shd w:val="clear" w:color="auto" w:fill="FFFFFF"/>
            <w:vAlign w:val="center"/>
          </w:tcPr>
          <w:p w14:paraId="2AB4381E">
            <w:pPr>
              <w:pStyle w:val="49"/>
            </w:pPr>
            <w:r>
              <w:t>30.5</w:t>
            </w:r>
          </w:p>
        </w:tc>
        <w:tc>
          <w:tcPr>
            <w:tcW w:w="1161" w:type="dxa"/>
            <w:shd w:val="clear" w:color="auto" w:fill="FFFFFF"/>
            <w:vAlign w:val="center"/>
          </w:tcPr>
          <w:p w14:paraId="051643E4">
            <w:pPr>
              <w:pStyle w:val="49"/>
            </w:pPr>
            <w:r>
              <w:t>37.2</w:t>
            </w:r>
          </w:p>
        </w:tc>
        <w:tc>
          <w:tcPr>
            <w:tcW w:w="1315" w:type="dxa"/>
            <w:shd w:val="clear" w:color="auto" w:fill="FFFFFF"/>
            <w:vAlign w:val="center"/>
          </w:tcPr>
          <w:p w14:paraId="2BB559AA">
            <w:pPr>
              <w:pStyle w:val="49"/>
            </w:pPr>
            <w:r>
              <w:t>15.6</w:t>
            </w:r>
          </w:p>
        </w:tc>
      </w:tr>
      <w:tr w14:paraId="257972EA">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32480E57">
            <w:pPr>
              <w:pStyle w:val="49"/>
            </w:pPr>
            <w:r>
              <w:t>R4</w:t>
            </w:r>
          </w:p>
        </w:tc>
        <w:tc>
          <w:tcPr>
            <w:tcW w:w="2975" w:type="dxa"/>
            <w:shd w:val="clear" w:color="auto" w:fill="FFFFFF"/>
            <w:vAlign w:val="center"/>
          </w:tcPr>
          <w:p w14:paraId="08DD0016">
            <w:pPr>
              <w:pStyle w:val="49"/>
            </w:pPr>
            <w:r>
              <w:t>Resilient modulus of asphalt overlay layer, E</w:t>
            </w:r>
            <w:r>
              <w:rPr>
                <w:vertAlign w:val="subscript"/>
              </w:rPr>
              <w:t>p</w:t>
            </w:r>
            <w:r>
              <w:t>（MPa）</w:t>
            </w:r>
          </w:p>
        </w:tc>
        <w:tc>
          <w:tcPr>
            <w:tcW w:w="1033" w:type="dxa"/>
            <w:shd w:val="clear" w:color="auto" w:fill="FFFFFF"/>
            <w:vAlign w:val="center"/>
          </w:tcPr>
          <w:p w14:paraId="4EA97DEC">
            <w:pPr>
              <w:pStyle w:val="49"/>
            </w:pPr>
            <w:r>
              <w:t>2890</w:t>
            </w:r>
          </w:p>
        </w:tc>
        <w:tc>
          <w:tcPr>
            <w:tcW w:w="0" w:type="auto"/>
            <w:shd w:val="clear" w:color="auto" w:fill="FFFFFF"/>
            <w:vAlign w:val="center"/>
          </w:tcPr>
          <w:p w14:paraId="15D961ED">
            <w:pPr>
              <w:pStyle w:val="49"/>
            </w:pPr>
            <w:r>
              <w:t>1685</w:t>
            </w:r>
          </w:p>
        </w:tc>
        <w:tc>
          <w:tcPr>
            <w:tcW w:w="1161" w:type="dxa"/>
            <w:shd w:val="clear" w:color="auto" w:fill="FFFFFF"/>
            <w:vAlign w:val="center"/>
          </w:tcPr>
          <w:p w14:paraId="743E819E">
            <w:pPr>
              <w:pStyle w:val="49"/>
            </w:pPr>
            <w:r>
              <w:t>4310</w:t>
            </w:r>
          </w:p>
        </w:tc>
        <w:tc>
          <w:tcPr>
            <w:tcW w:w="1315" w:type="dxa"/>
            <w:shd w:val="clear" w:color="auto" w:fill="FFFFFF"/>
            <w:vAlign w:val="center"/>
          </w:tcPr>
          <w:p w14:paraId="46D66A01">
            <w:pPr>
              <w:pStyle w:val="49"/>
            </w:pPr>
            <w:r>
              <w:t>31.2</w:t>
            </w:r>
          </w:p>
        </w:tc>
      </w:tr>
      <w:tr w14:paraId="1ECBD9B5">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24EBDD46">
            <w:pPr>
              <w:pStyle w:val="49"/>
            </w:pPr>
            <w:r>
              <w:t>R5</w:t>
            </w:r>
          </w:p>
        </w:tc>
        <w:tc>
          <w:tcPr>
            <w:tcW w:w="2975" w:type="dxa"/>
            <w:shd w:val="clear" w:color="auto" w:fill="FFFFFF"/>
            <w:vAlign w:val="center"/>
          </w:tcPr>
          <w:p w14:paraId="7AD755E8">
            <w:pPr>
              <w:pStyle w:val="49"/>
            </w:pPr>
            <w:r>
              <w:t>Resilient modulus of base top surface, E₀（MPa）</w:t>
            </w:r>
          </w:p>
        </w:tc>
        <w:tc>
          <w:tcPr>
            <w:tcW w:w="1033" w:type="dxa"/>
            <w:shd w:val="clear" w:color="auto" w:fill="FFFFFF"/>
            <w:vAlign w:val="center"/>
          </w:tcPr>
          <w:p w14:paraId="1EC9FE17">
            <w:pPr>
              <w:pStyle w:val="49"/>
            </w:pPr>
            <w:r>
              <w:t>369</w:t>
            </w:r>
          </w:p>
        </w:tc>
        <w:tc>
          <w:tcPr>
            <w:tcW w:w="0" w:type="auto"/>
            <w:shd w:val="clear" w:color="auto" w:fill="FFFFFF"/>
            <w:vAlign w:val="center"/>
          </w:tcPr>
          <w:p w14:paraId="1C39B324">
            <w:pPr>
              <w:pStyle w:val="49"/>
            </w:pPr>
            <w:r>
              <w:t>321</w:t>
            </w:r>
          </w:p>
        </w:tc>
        <w:tc>
          <w:tcPr>
            <w:tcW w:w="1161" w:type="dxa"/>
            <w:shd w:val="clear" w:color="auto" w:fill="FFFFFF"/>
            <w:vAlign w:val="center"/>
          </w:tcPr>
          <w:p w14:paraId="227CB437">
            <w:pPr>
              <w:pStyle w:val="49"/>
            </w:pPr>
            <w:r>
              <w:t>418</w:t>
            </w:r>
          </w:p>
        </w:tc>
        <w:tc>
          <w:tcPr>
            <w:tcW w:w="1315" w:type="dxa"/>
            <w:shd w:val="clear" w:color="auto" w:fill="FFFFFF"/>
            <w:vAlign w:val="center"/>
          </w:tcPr>
          <w:p w14:paraId="66DD2CB8">
            <w:pPr>
              <w:pStyle w:val="49"/>
            </w:pPr>
            <w:r>
              <w:t>16.7</w:t>
            </w:r>
          </w:p>
        </w:tc>
      </w:tr>
      <w:tr w14:paraId="78BD458C">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3B09935F">
            <w:pPr>
              <w:pStyle w:val="49"/>
            </w:pPr>
            <w:r>
              <w:t>R5</w:t>
            </w:r>
          </w:p>
        </w:tc>
        <w:tc>
          <w:tcPr>
            <w:tcW w:w="2975" w:type="dxa"/>
            <w:shd w:val="clear" w:color="auto" w:fill="FFFFFF"/>
            <w:vAlign w:val="center"/>
          </w:tcPr>
          <w:p w14:paraId="1102110E">
            <w:pPr>
              <w:pStyle w:val="49"/>
            </w:pPr>
            <w:r>
              <w:t>Resilient modulus of cement concrete slab, E</w:t>
            </w:r>
            <w:r>
              <w:rPr>
                <w:rFonts w:hint="eastAsia"/>
                <w:vertAlign w:val="subscript"/>
              </w:rPr>
              <w:t>cc</w:t>
            </w:r>
            <w:r>
              <w:t>（GPa）</w:t>
            </w:r>
          </w:p>
        </w:tc>
        <w:tc>
          <w:tcPr>
            <w:tcW w:w="1033" w:type="dxa"/>
            <w:shd w:val="clear" w:color="auto" w:fill="FFFFFF"/>
            <w:vAlign w:val="center"/>
          </w:tcPr>
          <w:p w14:paraId="4F99CEA1">
            <w:pPr>
              <w:pStyle w:val="49"/>
            </w:pPr>
            <w:r>
              <w:t>34.1</w:t>
            </w:r>
          </w:p>
        </w:tc>
        <w:tc>
          <w:tcPr>
            <w:tcW w:w="0" w:type="auto"/>
            <w:shd w:val="clear" w:color="auto" w:fill="FFFFFF"/>
            <w:vAlign w:val="center"/>
          </w:tcPr>
          <w:p w14:paraId="4D553362">
            <w:pPr>
              <w:pStyle w:val="49"/>
            </w:pPr>
            <w:r>
              <w:t>29.9</w:t>
            </w:r>
          </w:p>
        </w:tc>
        <w:tc>
          <w:tcPr>
            <w:tcW w:w="1161" w:type="dxa"/>
            <w:shd w:val="clear" w:color="auto" w:fill="FFFFFF"/>
            <w:vAlign w:val="center"/>
          </w:tcPr>
          <w:p w14:paraId="7DD172F3">
            <w:pPr>
              <w:pStyle w:val="49"/>
            </w:pPr>
            <w:r>
              <w:t>37.4</w:t>
            </w:r>
          </w:p>
        </w:tc>
        <w:tc>
          <w:tcPr>
            <w:tcW w:w="1315" w:type="dxa"/>
            <w:shd w:val="clear" w:color="auto" w:fill="FFFFFF"/>
            <w:vAlign w:val="center"/>
          </w:tcPr>
          <w:p w14:paraId="2F1CA52A">
            <w:pPr>
              <w:pStyle w:val="49"/>
            </w:pPr>
            <w:r>
              <w:t>17.9</w:t>
            </w:r>
          </w:p>
        </w:tc>
      </w:tr>
      <w:tr w14:paraId="229634AB">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4013BC96">
            <w:pPr>
              <w:pStyle w:val="49"/>
            </w:pPr>
            <w:r>
              <w:t>R5</w:t>
            </w:r>
          </w:p>
        </w:tc>
        <w:tc>
          <w:tcPr>
            <w:tcW w:w="2975" w:type="dxa"/>
            <w:shd w:val="clear" w:color="auto" w:fill="FFFFFF"/>
            <w:vAlign w:val="center"/>
          </w:tcPr>
          <w:p w14:paraId="1139C69E">
            <w:pPr>
              <w:pStyle w:val="49"/>
            </w:pPr>
            <w:r>
              <w:t>Resilient modulus of asphalt overlay layer, E</w:t>
            </w:r>
            <w:r>
              <w:rPr>
                <w:vertAlign w:val="subscript"/>
              </w:rPr>
              <w:t>p</w:t>
            </w:r>
            <w:r>
              <w:t>（MPa）</w:t>
            </w:r>
          </w:p>
        </w:tc>
        <w:tc>
          <w:tcPr>
            <w:tcW w:w="1033" w:type="dxa"/>
            <w:shd w:val="clear" w:color="auto" w:fill="FFFFFF"/>
            <w:vAlign w:val="center"/>
          </w:tcPr>
          <w:p w14:paraId="4655ED0C">
            <w:pPr>
              <w:pStyle w:val="49"/>
            </w:pPr>
            <w:r>
              <w:t>2812</w:t>
            </w:r>
          </w:p>
        </w:tc>
        <w:tc>
          <w:tcPr>
            <w:tcW w:w="0" w:type="auto"/>
            <w:shd w:val="clear" w:color="auto" w:fill="FFFFFF"/>
            <w:vAlign w:val="center"/>
          </w:tcPr>
          <w:p w14:paraId="44FD1E4F">
            <w:pPr>
              <w:pStyle w:val="49"/>
            </w:pPr>
            <w:r>
              <w:t>1020</w:t>
            </w:r>
          </w:p>
        </w:tc>
        <w:tc>
          <w:tcPr>
            <w:tcW w:w="1161" w:type="dxa"/>
            <w:shd w:val="clear" w:color="auto" w:fill="FFFFFF"/>
            <w:vAlign w:val="center"/>
          </w:tcPr>
          <w:p w14:paraId="07CF7154">
            <w:pPr>
              <w:pStyle w:val="49"/>
            </w:pPr>
            <w:r>
              <w:t>5310</w:t>
            </w:r>
          </w:p>
        </w:tc>
        <w:tc>
          <w:tcPr>
            <w:tcW w:w="1315" w:type="dxa"/>
            <w:shd w:val="clear" w:color="auto" w:fill="FFFFFF"/>
            <w:vAlign w:val="center"/>
          </w:tcPr>
          <w:p w14:paraId="5A7C524A">
            <w:pPr>
              <w:pStyle w:val="49"/>
            </w:pPr>
            <w:r>
              <w:t>39.7</w:t>
            </w:r>
          </w:p>
        </w:tc>
      </w:tr>
      <w:tr w14:paraId="5DCE97B9">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74E89BCA">
            <w:pPr>
              <w:pStyle w:val="49"/>
            </w:pPr>
            <w:r>
              <w:t>R6</w:t>
            </w:r>
          </w:p>
        </w:tc>
        <w:tc>
          <w:tcPr>
            <w:tcW w:w="2975" w:type="dxa"/>
            <w:shd w:val="clear" w:color="auto" w:fill="FFFFFF"/>
            <w:vAlign w:val="center"/>
          </w:tcPr>
          <w:p w14:paraId="29246764">
            <w:pPr>
              <w:pStyle w:val="49"/>
            </w:pPr>
            <w:r>
              <w:t>Resilient modulus of base top surface, E₀（MPa）</w:t>
            </w:r>
          </w:p>
        </w:tc>
        <w:tc>
          <w:tcPr>
            <w:tcW w:w="1033" w:type="dxa"/>
            <w:shd w:val="clear" w:color="auto" w:fill="FFFFFF"/>
            <w:vAlign w:val="center"/>
          </w:tcPr>
          <w:p w14:paraId="0E2EA931">
            <w:pPr>
              <w:pStyle w:val="49"/>
            </w:pPr>
            <w:r>
              <w:t>369</w:t>
            </w:r>
          </w:p>
        </w:tc>
        <w:tc>
          <w:tcPr>
            <w:tcW w:w="0" w:type="auto"/>
            <w:shd w:val="clear" w:color="auto" w:fill="FFFFFF"/>
            <w:vAlign w:val="center"/>
          </w:tcPr>
          <w:p w14:paraId="3516414F">
            <w:pPr>
              <w:pStyle w:val="49"/>
            </w:pPr>
            <w:r>
              <w:t>268</w:t>
            </w:r>
          </w:p>
        </w:tc>
        <w:tc>
          <w:tcPr>
            <w:tcW w:w="1161" w:type="dxa"/>
            <w:shd w:val="clear" w:color="auto" w:fill="FFFFFF"/>
            <w:vAlign w:val="center"/>
          </w:tcPr>
          <w:p w14:paraId="615FCE40">
            <w:pPr>
              <w:pStyle w:val="49"/>
            </w:pPr>
            <w:r>
              <w:t>430</w:t>
            </w:r>
          </w:p>
        </w:tc>
        <w:tc>
          <w:tcPr>
            <w:tcW w:w="1315" w:type="dxa"/>
            <w:shd w:val="clear" w:color="auto" w:fill="FFFFFF"/>
            <w:vAlign w:val="center"/>
          </w:tcPr>
          <w:p w14:paraId="5EA737CF">
            <w:pPr>
              <w:pStyle w:val="49"/>
            </w:pPr>
            <w:r>
              <w:t>10.1</w:t>
            </w:r>
          </w:p>
        </w:tc>
      </w:tr>
      <w:tr w14:paraId="5B62DD4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30A95B2A">
            <w:pPr>
              <w:pStyle w:val="49"/>
            </w:pPr>
            <w:r>
              <w:t>R6</w:t>
            </w:r>
          </w:p>
        </w:tc>
        <w:tc>
          <w:tcPr>
            <w:tcW w:w="2975" w:type="dxa"/>
            <w:shd w:val="clear" w:color="auto" w:fill="FFFFFF"/>
            <w:vAlign w:val="center"/>
          </w:tcPr>
          <w:p w14:paraId="174E431B">
            <w:pPr>
              <w:pStyle w:val="49"/>
            </w:pPr>
            <w:r>
              <w:t>Resilient modulus of cement concrete slab, E</w:t>
            </w:r>
            <w:r>
              <w:rPr>
                <w:vertAlign w:val="subscript"/>
              </w:rPr>
              <w:t>c</w:t>
            </w:r>
            <w:r>
              <w:rPr>
                <w:rFonts w:hint="eastAsia"/>
                <w:vertAlign w:val="subscript"/>
              </w:rPr>
              <w:t>c</w:t>
            </w:r>
            <w:r>
              <w:t>（GPa）</w:t>
            </w:r>
          </w:p>
        </w:tc>
        <w:tc>
          <w:tcPr>
            <w:tcW w:w="1033" w:type="dxa"/>
            <w:shd w:val="clear" w:color="auto" w:fill="FFFFFF"/>
            <w:vAlign w:val="center"/>
          </w:tcPr>
          <w:p w14:paraId="1249C52D">
            <w:pPr>
              <w:pStyle w:val="49"/>
            </w:pPr>
            <w:r>
              <w:t>35.3</w:t>
            </w:r>
          </w:p>
        </w:tc>
        <w:tc>
          <w:tcPr>
            <w:tcW w:w="0" w:type="auto"/>
            <w:shd w:val="clear" w:color="auto" w:fill="FFFFFF"/>
            <w:vAlign w:val="center"/>
          </w:tcPr>
          <w:p w14:paraId="49E0BFFF">
            <w:pPr>
              <w:pStyle w:val="49"/>
            </w:pPr>
            <w:r>
              <w:t>34</w:t>
            </w:r>
          </w:p>
        </w:tc>
        <w:tc>
          <w:tcPr>
            <w:tcW w:w="1161" w:type="dxa"/>
            <w:shd w:val="clear" w:color="auto" w:fill="FFFFFF"/>
            <w:vAlign w:val="center"/>
          </w:tcPr>
          <w:p w14:paraId="6EC8446F">
            <w:pPr>
              <w:pStyle w:val="49"/>
            </w:pPr>
            <w:r>
              <w:t>38.7</w:t>
            </w:r>
          </w:p>
        </w:tc>
        <w:tc>
          <w:tcPr>
            <w:tcW w:w="1315" w:type="dxa"/>
            <w:shd w:val="clear" w:color="auto" w:fill="FFFFFF"/>
            <w:vAlign w:val="center"/>
          </w:tcPr>
          <w:p w14:paraId="3A30723A">
            <w:pPr>
              <w:pStyle w:val="49"/>
            </w:pPr>
            <w:r>
              <w:t>14.8</w:t>
            </w:r>
          </w:p>
        </w:tc>
      </w:tr>
      <w:tr w14:paraId="76B2F194">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shd w:val="clear" w:color="auto" w:fill="FFFFFF"/>
            <w:vAlign w:val="center"/>
          </w:tcPr>
          <w:p w14:paraId="64791EA9">
            <w:pPr>
              <w:pStyle w:val="49"/>
            </w:pPr>
            <w:r>
              <w:t>R6</w:t>
            </w:r>
          </w:p>
        </w:tc>
        <w:tc>
          <w:tcPr>
            <w:tcW w:w="2975" w:type="dxa"/>
            <w:shd w:val="clear" w:color="auto" w:fill="FFFFFF"/>
            <w:vAlign w:val="center"/>
          </w:tcPr>
          <w:p w14:paraId="4CDBE18E">
            <w:pPr>
              <w:pStyle w:val="49"/>
            </w:pPr>
            <w:r>
              <w:t>Resilient modulus of asphalt overlay layer, E</w:t>
            </w:r>
            <w:r>
              <w:rPr>
                <w:vertAlign w:val="subscript"/>
              </w:rPr>
              <w:t>p</w:t>
            </w:r>
            <w:r>
              <w:t>（MPa）</w:t>
            </w:r>
          </w:p>
        </w:tc>
        <w:tc>
          <w:tcPr>
            <w:tcW w:w="1033" w:type="dxa"/>
            <w:shd w:val="clear" w:color="auto" w:fill="FFFFFF"/>
            <w:vAlign w:val="center"/>
          </w:tcPr>
          <w:p w14:paraId="53DEC729">
            <w:pPr>
              <w:pStyle w:val="49"/>
            </w:pPr>
            <w:r>
              <w:t>2544</w:t>
            </w:r>
          </w:p>
        </w:tc>
        <w:tc>
          <w:tcPr>
            <w:tcW w:w="0" w:type="auto"/>
            <w:shd w:val="clear" w:color="auto" w:fill="FFFFFF"/>
            <w:vAlign w:val="center"/>
          </w:tcPr>
          <w:p w14:paraId="6B774B5D">
            <w:pPr>
              <w:pStyle w:val="49"/>
            </w:pPr>
            <w:r>
              <w:t>1355</w:t>
            </w:r>
          </w:p>
        </w:tc>
        <w:tc>
          <w:tcPr>
            <w:tcW w:w="1161" w:type="dxa"/>
            <w:shd w:val="clear" w:color="auto" w:fill="FFFFFF"/>
            <w:vAlign w:val="center"/>
          </w:tcPr>
          <w:p w14:paraId="43E4B40D">
            <w:pPr>
              <w:pStyle w:val="49"/>
            </w:pPr>
            <w:r>
              <w:t>3265</w:t>
            </w:r>
          </w:p>
        </w:tc>
        <w:tc>
          <w:tcPr>
            <w:tcW w:w="1315" w:type="dxa"/>
            <w:shd w:val="clear" w:color="auto" w:fill="FFFFFF"/>
            <w:vAlign w:val="center"/>
          </w:tcPr>
          <w:p w14:paraId="4B1FDBFF">
            <w:pPr>
              <w:pStyle w:val="49"/>
            </w:pPr>
            <w:r>
              <w:t>18</w:t>
            </w:r>
          </w:p>
        </w:tc>
      </w:tr>
      <w:tr w14:paraId="2D3F7F3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tcBorders>
              <w:bottom w:val="single" w:color="000000" w:sz="4" w:space="0"/>
            </w:tcBorders>
            <w:shd w:val="clear" w:color="auto" w:fill="FFFFFF"/>
            <w:vAlign w:val="center"/>
          </w:tcPr>
          <w:p w14:paraId="30CA0673">
            <w:pPr>
              <w:pStyle w:val="49"/>
            </w:pPr>
            <w:r>
              <w:t>R7</w:t>
            </w:r>
          </w:p>
        </w:tc>
        <w:tc>
          <w:tcPr>
            <w:tcW w:w="2975" w:type="dxa"/>
            <w:tcBorders>
              <w:bottom w:val="single" w:color="000000" w:sz="4" w:space="0"/>
            </w:tcBorders>
            <w:shd w:val="clear" w:color="auto" w:fill="FFFFFF"/>
            <w:vAlign w:val="center"/>
          </w:tcPr>
          <w:p w14:paraId="6C79ED39">
            <w:pPr>
              <w:pStyle w:val="49"/>
            </w:pPr>
            <w:r>
              <w:t>Resilient modulus of base top surface, E₀（MPa）</w:t>
            </w:r>
          </w:p>
        </w:tc>
        <w:tc>
          <w:tcPr>
            <w:tcW w:w="1033" w:type="dxa"/>
            <w:tcBorders>
              <w:bottom w:val="single" w:color="000000" w:sz="4" w:space="0"/>
            </w:tcBorders>
            <w:shd w:val="clear" w:color="auto" w:fill="FFFFFF"/>
            <w:vAlign w:val="center"/>
          </w:tcPr>
          <w:p w14:paraId="44D0DC3F">
            <w:pPr>
              <w:pStyle w:val="49"/>
            </w:pPr>
            <w:r>
              <w:t>318</w:t>
            </w:r>
          </w:p>
        </w:tc>
        <w:tc>
          <w:tcPr>
            <w:tcW w:w="0" w:type="auto"/>
            <w:tcBorders>
              <w:bottom w:val="single" w:color="000000" w:sz="4" w:space="0"/>
            </w:tcBorders>
            <w:shd w:val="clear" w:color="auto" w:fill="FFFFFF"/>
            <w:vAlign w:val="center"/>
          </w:tcPr>
          <w:p w14:paraId="09D6B533">
            <w:pPr>
              <w:pStyle w:val="49"/>
            </w:pPr>
            <w:r>
              <w:t>278</w:t>
            </w:r>
          </w:p>
        </w:tc>
        <w:tc>
          <w:tcPr>
            <w:tcW w:w="1161" w:type="dxa"/>
            <w:tcBorders>
              <w:bottom w:val="single" w:color="000000" w:sz="4" w:space="0"/>
            </w:tcBorders>
            <w:shd w:val="clear" w:color="auto" w:fill="FFFFFF"/>
            <w:vAlign w:val="center"/>
          </w:tcPr>
          <w:p w14:paraId="6251523A">
            <w:pPr>
              <w:pStyle w:val="49"/>
            </w:pPr>
            <w:r>
              <w:t>356</w:t>
            </w:r>
          </w:p>
        </w:tc>
        <w:tc>
          <w:tcPr>
            <w:tcW w:w="1315" w:type="dxa"/>
            <w:tcBorders>
              <w:bottom w:val="single" w:color="000000" w:sz="4" w:space="0"/>
            </w:tcBorders>
            <w:shd w:val="clear" w:color="auto" w:fill="FFFFFF"/>
            <w:vAlign w:val="center"/>
          </w:tcPr>
          <w:p w14:paraId="243EA868">
            <w:pPr>
              <w:pStyle w:val="49"/>
            </w:pPr>
            <w:r>
              <w:t>12.4</w:t>
            </w:r>
          </w:p>
        </w:tc>
      </w:tr>
      <w:tr w14:paraId="424B9CEE">
        <w:tblPrEx>
          <w:tblBorders>
            <w:top w:val="single" w:color="000000" w:sz="12"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1" w:type="dxa"/>
            <w:tcBorders>
              <w:top w:val="single" w:color="000000" w:sz="4" w:space="0"/>
              <w:bottom w:val="single" w:color="000000" w:sz="12" w:space="0"/>
            </w:tcBorders>
            <w:shd w:val="clear" w:color="auto" w:fill="FFFFFF"/>
            <w:vAlign w:val="center"/>
          </w:tcPr>
          <w:p w14:paraId="06CBC06D">
            <w:pPr>
              <w:pStyle w:val="49"/>
            </w:pPr>
            <w:r>
              <w:t>R7</w:t>
            </w:r>
          </w:p>
        </w:tc>
        <w:tc>
          <w:tcPr>
            <w:tcW w:w="2975" w:type="dxa"/>
            <w:tcBorders>
              <w:top w:val="single" w:color="000000" w:sz="4" w:space="0"/>
              <w:bottom w:val="single" w:color="000000" w:sz="12" w:space="0"/>
            </w:tcBorders>
            <w:shd w:val="clear" w:color="auto" w:fill="FFFFFF"/>
            <w:vAlign w:val="center"/>
          </w:tcPr>
          <w:p w14:paraId="471E1EFF">
            <w:pPr>
              <w:pStyle w:val="49"/>
            </w:pPr>
            <w:r>
              <w:t>Resilient modulus of cement concrete slab, E</w:t>
            </w:r>
            <w:r>
              <w:rPr>
                <w:vertAlign w:val="subscript"/>
              </w:rPr>
              <w:t>c</w:t>
            </w:r>
            <w:r>
              <w:rPr>
                <w:rFonts w:hint="eastAsia"/>
                <w:vertAlign w:val="subscript"/>
              </w:rPr>
              <w:t>c</w:t>
            </w:r>
            <w:r>
              <w:t>（GPa）</w:t>
            </w:r>
          </w:p>
        </w:tc>
        <w:tc>
          <w:tcPr>
            <w:tcW w:w="1033" w:type="dxa"/>
            <w:tcBorders>
              <w:top w:val="single" w:color="000000" w:sz="4" w:space="0"/>
              <w:bottom w:val="single" w:color="000000" w:sz="12" w:space="0"/>
            </w:tcBorders>
            <w:shd w:val="clear" w:color="auto" w:fill="FFFFFF"/>
            <w:vAlign w:val="center"/>
          </w:tcPr>
          <w:p w14:paraId="6B7AF8A2">
            <w:pPr>
              <w:pStyle w:val="49"/>
            </w:pPr>
            <w:r>
              <w:t>34.8</w:t>
            </w:r>
          </w:p>
        </w:tc>
        <w:tc>
          <w:tcPr>
            <w:tcW w:w="0" w:type="auto"/>
            <w:tcBorders>
              <w:top w:val="single" w:color="000000" w:sz="4" w:space="0"/>
              <w:bottom w:val="single" w:color="000000" w:sz="12" w:space="0"/>
            </w:tcBorders>
            <w:shd w:val="clear" w:color="auto" w:fill="FFFFFF"/>
            <w:vAlign w:val="center"/>
          </w:tcPr>
          <w:p w14:paraId="3C27CD72">
            <w:pPr>
              <w:pStyle w:val="49"/>
            </w:pPr>
            <w:r>
              <w:t>32.4</w:t>
            </w:r>
          </w:p>
        </w:tc>
        <w:tc>
          <w:tcPr>
            <w:tcW w:w="1161" w:type="dxa"/>
            <w:tcBorders>
              <w:top w:val="single" w:color="000000" w:sz="4" w:space="0"/>
              <w:bottom w:val="single" w:color="000000" w:sz="12" w:space="0"/>
            </w:tcBorders>
            <w:shd w:val="clear" w:color="auto" w:fill="FFFFFF"/>
            <w:vAlign w:val="center"/>
          </w:tcPr>
          <w:p w14:paraId="7601740F">
            <w:pPr>
              <w:pStyle w:val="49"/>
            </w:pPr>
            <w:r>
              <w:t>36.5</w:t>
            </w:r>
          </w:p>
        </w:tc>
        <w:tc>
          <w:tcPr>
            <w:tcW w:w="1315" w:type="dxa"/>
            <w:tcBorders>
              <w:top w:val="single" w:color="000000" w:sz="4" w:space="0"/>
              <w:bottom w:val="single" w:color="000000" w:sz="12" w:space="0"/>
            </w:tcBorders>
            <w:shd w:val="clear" w:color="auto" w:fill="FFFFFF"/>
            <w:vAlign w:val="center"/>
          </w:tcPr>
          <w:p w14:paraId="1D19B91C">
            <w:pPr>
              <w:pStyle w:val="49"/>
            </w:pPr>
            <w:r>
              <w:t>11.9</w:t>
            </w:r>
          </w:p>
        </w:tc>
      </w:tr>
    </w:tbl>
    <w:p w14:paraId="4FCF983B">
      <w:pPr>
        <w:ind w:firstLine="0" w:firstLineChars="0"/>
        <w:jc w:val="left"/>
      </w:pPr>
    </w:p>
    <w:p w14:paraId="4280902A">
      <w:pPr>
        <w:ind w:firstLine="420"/>
        <w:jc w:val="center"/>
      </w:pPr>
      <w:r>
        <w:t xml:space="preserve">Table </w:t>
      </w:r>
      <w:r>
        <w:rPr>
          <w:rFonts w:hint="eastAsia"/>
        </w:rPr>
        <w:t>S</w:t>
      </w:r>
      <w:r>
        <w:t>6.</w:t>
      </w:r>
      <w:r>
        <w:rPr>
          <w:rFonts w:hint="eastAsia"/>
        </w:rPr>
        <w:t>4.</w:t>
      </w:r>
      <w:r>
        <w:t xml:space="preserve"> Runway structural parameters (2015)</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26"/>
        <w:gridCol w:w="1637"/>
        <w:gridCol w:w="2146"/>
        <w:gridCol w:w="2191"/>
      </w:tblGrid>
      <w:tr w14:paraId="49233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6" w:type="dxa"/>
            <w:tcBorders>
              <w:top w:val="single" w:color="auto" w:sz="12" w:space="0"/>
              <w:bottom w:val="single" w:color="auto" w:sz="12" w:space="0"/>
            </w:tcBorders>
            <w:shd w:val="clear" w:color="auto" w:fill="auto"/>
            <w:vAlign w:val="center"/>
          </w:tcPr>
          <w:p w14:paraId="651A012C">
            <w:pPr>
              <w:pStyle w:val="49"/>
            </w:pPr>
            <w:r>
              <w:t>Component</w:t>
            </w:r>
          </w:p>
        </w:tc>
        <w:tc>
          <w:tcPr>
            <w:tcW w:w="1637" w:type="dxa"/>
            <w:tcBorders>
              <w:top w:val="single" w:color="auto" w:sz="12" w:space="0"/>
              <w:bottom w:val="single" w:color="auto" w:sz="12" w:space="0"/>
            </w:tcBorders>
            <w:shd w:val="clear" w:color="auto" w:fill="auto"/>
            <w:vAlign w:val="center"/>
          </w:tcPr>
          <w:p w14:paraId="304EE0B0">
            <w:pPr>
              <w:pStyle w:val="49"/>
            </w:pPr>
            <w:r>
              <w:t>Functional zone</w:t>
            </w:r>
          </w:p>
        </w:tc>
        <w:tc>
          <w:tcPr>
            <w:tcW w:w="2146" w:type="dxa"/>
            <w:tcBorders>
              <w:top w:val="single" w:color="auto" w:sz="12" w:space="0"/>
              <w:bottom w:val="single" w:color="auto" w:sz="12" w:space="0"/>
            </w:tcBorders>
            <w:shd w:val="clear" w:color="auto" w:fill="auto"/>
            <w:vAlign w:val="center"/>
          </w:tcPr>
          <w:p w14:paraId="000AE1FC">
            <w:pPr>
              <w:pStyle w:val="49"/>
            </w:pPr>
            <w:r>
              <w:t>Modulus at top of base layer（MN/m²）</w:t>
            </w:r>
          </w:p>
        </w:tc>
        <w:tc>
          <w:tcPr>
            <w:tcW w:w="2191" w:type="dxa"/>
            <w:tcBorders>
              <w:top w:val="single" w:color="auto" w:sz="12" w:space="0"/>
              <w:bottom w:val="single" w:color="auto" w:sz="12" w:space="0"/>
            </w:tcBorders>
            <w:shd w:val="clear" w:color="auto" w:fill="auto"/>
            <w:vAlign w:val="center"/>
          </w:tcPr>
          <w:p w14:paraId="2DE52574">
            <w:pPr>
              <w:pStyle w:val="49"/>
            </w:pPr>
            <w:r>
              <w:t>Elastic modulus of pavement slab（GPa）</w:t>
            </w:r>
          </w:p>
        </w:tc>
      </w:tr>
      <w:tr w14:paraId="06BDC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6" w:type="dxa"/>
            <w:tcBorders>
              <w:top w:val="single" w:color="auto" w:sz="12" w:space="0"/>
            </w:tcBorders>
            <w:shd w:val="clear" w:color="auto" w:fill="auto"/>
            <w:vAlign w:val="center"/>
          </w:tcPr>
          <w:p w14:paraId="7E9F5FE2">
            <w:pPr>
              <w:pStyle w:val="49"/>
            </w:pPr>
            <w:r>
              <w:t>Runway (overlay section)</w:t>
            </w:r>
          </w:p>
        </w:tc>
        <w:tc>
          <w:tcPr>
            <w:tcW w:w="1637" w:type="dxa"/>
            <w:tcBorders>
              <w:top w:val="single" w:color="auto" w:sz="12" w:space="0"/>
            </w:tcBorders>
            <w:shd w:val="clear" w:color="auto" w:fill="auto"/>
            <w:vAlign w:val="center"/>
          </w:tcPr>
          <w:p w14:paraId="71B1DFB1">
            <w:pPr>
              <w:pStyle w:val="49"/>
            </w:pPr>
            <w:r>
              <w:t>180 m and 720 m from both ends</w:t>
            </w:r>
          </w:p>
        </w:tc>
        <w:tc>
          <w:tcPr>
            <w:tcW w:w="2146" w:type="dxa"/>
            <w:tcBorders>
              <w:top w:val="single" w:color="auto" w:sz="12" w:space="0"/>
            </w:tcBorders>
            <w:shd w:val="clear" w:color="auto" w:fill="auto"/>
            <w:vAlign w:val="center"/>
          </w:tcPr>
          <w:p w14:paraId="76451BCB">
            <w:pPr>
              <w:pStyle w:val="49"/>
            </w:pPr>
            <w:r>
              <w:t>149</w:t>
            </w:r>
          </w:p>
        </w:tc>
        <w:tc>
          <w:tcPr>
            <w:tcW w:w="2191" w:type="dxa"/>
            <w:tcBorders>
              <w:top w:val="single" w:color="auto" w:sz="12" w:space="0"/>
            </w:tcBorders>
            <w:shd w:val="clear" w:color="auto" w:fill="auto"/>
            <w:vAlign w:val="center"/>
          </w:tcPr>
          <w:p w14:paraId="6EA52C5D">
            <w:pPr>
              <w:pStyle w:val="49"/>
            </w:pPr>
            <w:r>
              <w:t>35</w:t>
            </w:r>
          </w:p>
        </w:tc>
      </w:tr>
      <w:tr w14:paraId="3EF617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6" w:type="dxa"/>
            <w:shd w:val="clear" w:color="auto" w:fill="auto"/>
            <w:vAlign w:val="center"/>
          </w:tcPr>
          <w:p w14:paraId="673DE6D4">
            <w:pPr>
              <w:pStyle w:val="49"/>
            </w:pPr>
          </w:p>
        </w:tc>
        <w:tc>
          <w:tcPr>
            <w:tcW w:w="1637" w:type="dxa"/>
            <w:shd w:val="clear" w:color="auto" w:fill="auto"/>
            <w:vAlign w:val="center"/>
          </w:tcPr>
          <w:p w14:paraId="011FE98A">
            <w:pPr>
              <w:pStyle w:val="49"/>
            </w:pPr>
            <w:r>
              <w:t>Central 2300 m section</w:t>
            </w:r>
          </w:p>
        </w:tc>
        <w:tc>
          <w:tcPr>
            <w:tcW w:w="2146" w:type="dxa"/>
            <w:shd w:val="clear" w:color="auto" w:fill="auto"/>
            <w:vAlign w:val="center"/>
          </w:tcPr>
          <w:p w14:paraId="4EDABCC1">
            <w:pPr>
              <w:pStyle w:val="49"/>
            </w:pPr>
            <w:r>
              <w:t>187</w:t>
            </w:r>
          </w:p>
        </w:tc>
        <w:tc>
          <w:tcPr>
            <w:tcW w:w="2191" w:type="dxa"/>
            <w:shd w:val="clear" w:color="auto" w:fill="auto"/>
            <w:vAlign w:val="center"/>
          </w:tcPr>
          <w:p w14:paraId="08E6925B">
            <w:pPr>
              <w:pStyle w:val="49"/>
            </w:pPr>
            <w:r>
              <w:t>33</w:t>
            </w:r>
          </w:p>
        </w:tc>
      </w:tr>
      <w:tr w14:paraId="48692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6" w:type="dxa"/>
            <w:shd w:val="clear" w:color="auto" w:fill="auto"/>
            <w:vAlign w:val="center"/>
          </w:tcPr>
          <w:p w14:paraId="76E57A52">
            <w:pPr>
              <w:pStyle w:val="49"/>
            </w:pPr>
            <w:r>
              <w:t>Taxiway (concrete)</w:t>
            </w:r>
          </w:p>
        </w:tc>
        <w:tc>
          <w:tcPr>
            <w:tcW w:w="1637" w:type="dxa"/>
            <w:shd w:val="clear" w:color="auto" w:fill="auto"/>
            <w:vAlign w:val="center"/>
          </w:tcPr>
          <w:p w14:paraId="51779722">
            <w:pPr>
              <w:pStyle w:val="49"/>
            </w:pPr>
            <w:r>
              <w:t>Taxiway A</w:t>
            </w:r>
          </w:p>
        </w:tc>
        <w:tc>
          <w:tcPr>
            <w:tcW w:w="2146" w:type="dxa"/>
            <w:shd w:val="clear" w:color="auto" w:fill="auto"/>
            <w:vAlign w:val="center"/>
          </w:tcPr>
          <w:p w14:paraId="11C0C18B">
            <w:pPr>
              <w:pStyle w:val="49"/>
            </w:pPr>
            <w:r>
              <w:t>157</w:t>
            </w:r>
          </w:p>
        </w:tc>
        <w:tc>
          <w:tcPr>
            <w:tcW w:w="2191" w:type="dxa"/>
            <w:shd w:val="clear" w:color="auto" w:fill="auto"/>
            <w:vAlign w:val="center"/>
          </w:tcPr>
          <w:p w14:paraId="0CC3F0E6">
            <w:pPr>
              <w:pStyle w:val="49"/>
            </w:pPr>
            <w:r>
              <w:t>34</w:t>
            </w:r>
          </w:p>
        </w:tc>
      </w:tr>
    </w:tbl>
    <w:p w14:paraId="6AC51EDE">
      <w:pPr>
        <w:ind w:firstLine="420"/>
        <w:jc w:val="center"/>
      </w:pPr>
    </w:p>
    <w:p w14:paraId="6D8F698E">
      <w:pPr>
        <w:ind w:firstLine="420"/>
        <w:jc w:val="center"/>
      </w:pPr>
      <w:r>
        <w:t xml:space="preserve">Table </w:t>
      </w:r>
      <w:r>
        <w:rPr>
          <w:rFonts w:hint="eastAsia"/>
        </w:rPr>
        <w:t>S</w:t>
      </w:r>
      <w:r>
        <w:t>6.</w:t>
      </w:r>
      <w:r>
        <w:rPr>
          <w:rFonts w:hint="eastAsia"/>
        </w:rPr>
        <w:t>5.</w:t>
      </w:r>
      <w:r>
        <w:t xml:space="preserve"> Runway structural parameters (2016)</w:t>
      </w:r>
    </w:p>
    <w:tbl>
      <w:tblPr>
        <w:tblStyle w:val="16"/>
        <w:tblW w:w="8531" w:type="dxa"/>
        <w:tblInd w:w="0" w:type="dxa"/>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6"/>
        <w:gridCol w:w="1283"/>
        <w:gridCol w:w="2128"/>
        <w:gridCol w:w="2016"/>
        <w:gridCol w:w="1568"/>
      </w:tblGrid>
      <w:tr w14:paraId="025EF28E">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top w:val="single" w:color="auto" w:sz="12" w:space="0"/>
              <w:left w:val="nil"/>
              <w:bottom w:val="single" w:color="auto" w:sz="12" w:space="0"/>
            </w:tcBorders>
            <w:shd w:val="clear" w:color="auto" w:fill="auto"/>
            <w:vAlign w:val="center"/>
          </w:tcPr>
          <w:p w14:paraId="176D4604">
            <w:pPr>
              <w:pStyle w:val="49"/>
            </w:pPr>
            <w:r>
              <w:t>Component</w:t>
            </w:r>
          </w:p>
        </w:tc>
        <w:tc>
          <w:tcPr>
            <w:tcW w:w="1283" w:type="dxa"/>
            <w:tcBorders>
              <w:top w:val="single" w:color="auto" w:sz="12" w:space="0"/>
              <w:bottom w:val="single" w:color="auto" w:sz="12" w:space="0"/>
            </w:tcBorders>
            <w:shd w:val="clear" w:color="auto" w:fill="auto"/>
            <w:vAlign w:val="center"/>
          </w:tcPr>
          <w:p w14:paraId="120DE929">
            <w:pPr>
              <w:pStyle w:val="49"/>
            </w:pPr>
            <w:r>
              <w:t>Functional Area</w:t>
            </w:r>
          </w:p>
        </w:tc>
        <w:tc>
          <w:tcPr>
            <w:tcW w:w="2128" w:type="dxa"/>
            <w:tcBorders>
              <w:top w:val="single" w:color="auto" w:sz="12" w:space="0"/>
              <w:bottom w:val="single" w:color="auto" w:sz="12" w:space="0"/>
            </w:tcBorders>
            <w:shd w:val="clear" w:color="auto" w:fill="auto"/>
            <w:vAlign w:val="center"/>
          </w:tcPr>
          <w:p w14:paraId="65C11815">
            <w:pPr>
              <w:pStyle w:val="49"/>
            </w:pPr>
            <w:r>
              <w:t>Subgrade Reaction Modulus (（MN/m³）</w:t>
            </w:r>
          </w:p>
        </w:tc>
        <w:tc>
          <w:tcPr>
            <w:tcW w:w="2016" w:type="dxa"/>
            <w:tcBorders>
              <w:top w:val="single" w:color="auto" w:sz="12" w:space="0"/>
              <w:bottom w:val="single" w:color="auto" w:sz="12" w:space="0"/>
            </w:tcBorders>
            <w:shd w:val="clear" w:color="auto" w:fill="auto"/>
            <w:vAlign w:val="center"/>
          </w:tcPr>
          <w:p w14:paraId="5C736348">
            <w:pPr>
              <w:pStyle w:val="49"/>
            </w:pPr>
            <w:r>
              <w:t>Slab Elastic Modulus（GPa）</w:t>
            </w:r>
          </w:p>
        </w:tc>
        <w:tc>
          <w:tcPr>
            <w:tcW w:w="1568" w:type="dxa"/>
            <w:tcBorders>
              <w:top w:val="single" w:color="auto" w:sz="12" w:space="0"/>
              <w:bottom w:val="single" w:color="auto" w:sz="12" w:space="0"/>
              <w:right w:val="nil"/>
            </w:tcBorders>
            <w:shd w:val="clear" w:color="auto" w:fill="auto"/>
            <w:vAlign w:val="center"/>
          </w:tcPr>
          <w:p w14:paraId="57B5AF41">
            <w:pPr>
              <w:pStyle w:val="49"/>
            </w:pPr>
            <w:r>
              <w:t>Subgrade Strength Grade</w:t>
            </w:r>
          </w:p>
        </w:tc>
      </w:tr>
      <w:tr w14:paraId="517C8AF9">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top w:val="single" w:color="auto" w:sz="12" w:space="0"/>
              <w:left w:val="nil"/>
            </w:tcBorders>
            <w:shd w:val="clear" w:color="auto" w:fill="auto"/>
            <w:vAlign w:val="center"/>
          </w:tcPr>
          <w:p w14:paraId="414A7B22">
            <w:pPr>
              <w:pStyle w:val="49"/>
            </w:pPr>
            <w:r>
              <w:t>Runway</w:t>
            </w:r>
          </w:p>
        </w:tc>
        <w:tc>
          <w:tcPr>
            <w:tcW w:w="1283" w:type="dxa"/>
            <w:tcBorders>
              <w:top w:val="single" w:color="auto" w:sz="12" w:space="0"/>
            </w:tcBorders>
            <w:shd w:val="clear" w:color="auto" w:fill="auto"/>
            <w:vAlign w:val="center"/>
          </w:tcPr>
          <w:p w14:paraId="5857297F">
            <w:pPr>
              <w:pStyle w:val="49"/>
            </w:pPr>
            <w:r>
              <w:t>RW1</w:t>
            </w:r>
          </w:p>
        </w:tc>
        <w:tc>
          <w:tcPr>
            <w:tcW w:w="2128" w:type="dxa"/>
            <w:tcBorders>
              <w:top w:val="single" w:color="auto" w:sz="12" w:space="0"/>
            </w:tcBorders>
            <w:shd w:val="clear" w:color="auto" w:fill="auto"/>
            <w:vAlign w:val="center"/>
          </w:tcPr>
          <w:p w14:paraId="55738B2D">
            <w:pPr>
              <w:pStyle w:val="49"/>
            </w:pPr>
            <w:r>
              <w:t>196</w:t>
            </w:r>
          </w:p>
        </w:tc>
        <w:tc>
          <w:tcPr>
            <w:tcW w:w="2016" w:type="dxa"/>
            <w:tcBorders>
              <w:top w:val="single" w:color="auto" w:sz="12" w:space="0"/>
            </w:tcBorders>
            <w:shd w:val="clear" w:color="auto" w:fill="auto"/>
            <w:vAlign w:val="center"/>
          </w:tcPr>
          <w:p w14:paraId="5EF58E03">
            <w:pPr>
              <w:pStyle w:val="49"/>
            </w:pPr>
            <w:r>
              <w:t>37</w:t>
            </w:r>
          </w:p>
        </w:tc>
        <w:tc>
          <w:tcPr>
            <w:tcW w:w="1568" w:type="dxa"/>
            <w:tcBorders>
              <w:top w:val="single" w:color="auto" w:sz="12" w:space="0"/>
              <w:right w:val="nil"/>
            </w:tcBorders>
            <w:shd w:val="clear" w:color="auto" w:fill="auto"/>
            <w:vAlign w:val="center"/>
          </w:tcPr>
          <w:p w14:paraId="4C5712F6">
            <w:pPr>
              <w:pStyle w:val="49"/>
            </w:pPr>
            <w:r>
              <w:t>A</w:t>
            </w:r>
          </w:p>
        </w:tc>
      </w:tr>
      <w:tr w14:paraId="00089018">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tcBorders>
            <w:shd w:val="clear" w:color="auto" w:fill="auto"/>
            <w:vAlign w:val="center"/>
          </w:tcPr>
          <w:p w14:paraId="25A42BD6">
            <w:pPr>
              <w:pStyle w:val="49"/>
            </w:pPr>
            <w:r>
              <w:t>Runway</w:t>
            </w:r>
          </w:p>
        </w:tc>
        <w:tc>
          <w:tcPr>
            <w:tcW w:w="1283" w:type="dxa"/>
            <w:shd w:val="clear" w:color="auto" w:fill="auto"/>
            <w:vAlign w:val="center"/>
          </w:tcPr>
          <w:p w14:paraId="6AFBFE90">
            <w:pPr>
              <w:pStyle w:val="49"/>
            </w:pPr>
            <w:r>
              <w:t>RW2</w:t>
            </w:r>
          </w:p>
        </w:tc>
        <w:tc>
          <w:tcPr>
            <w:tcW w:w="2128" w:type="dxa"/>
            <w:shd w:val="clear" w:color="auto" w:fill="auto"/>
            <w:vAlign w:val="center"/>
          </w:tcPr>
          <w:p w14:paraId="5D651A4A">
            <w:pPr>
              <w:pStyle w:val="49"/>
            </w:pPr>
            <w:r>
              <w:t>273</w:t>
            </w:r>
          </w:p>
        </w:tc>
        <w:tc>
          <w:tcPr>
            <w:tcW w:w="2016" w:type="dxa"/>
            <w:shd w:val="clear" w:color="auto" w:fill="auto"/>
            <w:vAlign w:val="center"/>
          </w:tcPr>
          <w:p w14:paraId="218C7BB7">
            <w:pPr>
              <w:pStyle w:val="49"/>
            </w:pPr>
            <w:r>
              <w:t>37</w:t>
            </w:r>
          </w:p>
        </w:tc>
        <w:tc>
          <w:tcPr>
            <w:tcW w:w="1568" w:type="dxa"/>
            <w:tcBorders>
              <w:right w:val="nil"/>
            </w:tcBorders>
            <w:shd w:val="clear" w:color="auto" w:fill="auto"/>
            <w:vAlign w:val="center"/>
          </w:tcPr>
          <w:p w14:paraId="5999CAB7">
            <w:pPr>
              <w:pStyle w:val="49"/>
            </w:pPr>
            <w:r>
              <w:t>A</w:t>
            </w:r>
          </w:p>
        </w:tc>
      </w:tr>
      <w:tr w14:paraId="0B080E22">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tcBorders>
            <w:shd w:val="clear" w:color="auto" w:fill="auto"/>
            <w:vAlign w:val="center"/>
          </w:tcPr>
          <w:p w14:paraId="6DBA1077">
            <w:pPr>
              <w:pStyle w:val="49"/>
            </w:pPr>
            <w:r>
              <w:t>Runway</w:t>
            </w:r>
          </w:p>
        </w:tc>
        <w:tc>
          <w:tcPr>
            <w:tcW w:w="1283" w:type="dxa"/>
            <w:shd w:val="clear" w:color="auto" w:fill="auto"/>
            <w:vAlign w:val="center"/>
          </w:tcPr>
          <w:p w14:paraId="03D5FB58">
            <w:pPr>
              <w:pStyle w:val="49"/>
            </w:pPr>
            <w:r>
              <w:t>RW3</w:t>
            </w:r>
          </w:p>
        </w:tc>
        <w:tc>
          <w:tcPr>
            <w:tcW w:w="2128" w:type="dxa"/>
            <w:shd w:val="clear" w:color="auto" w:fill="auto"/>
            <w:vAlign w:val="center"/>
          </w:tcPr>
          <w:p w14:paraId="6BD85F51">
            <w:pPr>
              <w:pStyle w:val="49"/>
            </w:pPr>
            <w:r>
              <w:t>203</w:t>
            </w:r>
          </w:p>
        </w:tc>
        <w:tc>
          <w:tcPr>
            <w:tcW w:w="2016" w:type="dxa"/>
            <w:shd w:val="clear" w:color="auto" w:fill="auto"/>
            <w:vAlign w:val="center"/>
          </w:tcPr>
          <w:p w14:paraId="15F17DFC">
            <w:pPr>
              <w:pStyle w:val="49"/>
            </w:pPr>
            <w:r>
              <w:t>37</w:t>
            </w:r>
          </w:p>
        </w:tc>
        <w:tc>
          <w:tcPr>
            <w:tcW w:w="1568" w:type="dxa"/>
            <w:tcBorders>
              <w:right w:val="nil"/>
            </w:tcBorders>
            <w:shd w:val="clear" w:color="auto" w:fill="auto"/>
            <w:vAlign w:val="center"/>
          </w:tcPr>
          <w:p w14:paraId="2AD7DE98">
            <w:pPr>
              <w:pStyle w:val="49"/>
            </w:pPr>
            <w:r>
              <w:t>A</w:t>
            </w:r>
          </w:p>
        </w:tc>
      </w:tr>
      <w:tr w14:paraId="171BD48A">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tcBorders>
            <w:shd w:val="clear" w:color="auto" w:fill="auto"/>
            <w:vAlign w:val="center"/>
          </w:tcPr>
          <w:p w14:paraId="3977D483">
            <w:pPr>
              <w:pStyle w:val="49"/>
            </w:pPr>
            <w:r>
              <w:t>Taxiway</w:t>
            </w:r>
          </w:p>
        </w:tc>
        <w:tc>
          <w:tcPr>
            <w:tcW w:w="1283" w:type="dxa"/>
            <w:shd w:val="clear" w:color="auto" w:fill="auto"/>
            <w:vAlign w:val="center"/>
          </w:tcPr>
          <w:p w14:paraId="213D214A">
            <w:pPr>
              <w:pStyle w:val="49"/>
            </w:pPr>
            <w:r>
              <w:t>Taxiway B</w:t>
            </w:r>
          </w:p>
        </w:tc>
        <w:tc>
          <w:tcPr>
            <w:tcW w:w="2128" w:type="dxa"/>
            <w:shd w:val="clear" w:color="auto" w:fill="auto"/>
            <w:vAlign w:val="center"/>
          </w:tcPr>
          <w:p w14:paraId="7ECD9CE9">
            <w:pPr>
              <w:pStyle w:val="49"/>
            </w:pPr>
            <w:r>
              <w:t>239</w:t>
            </w:r>
          </w:p>
        </w:tc>
        <w:tc>
          <w:tcPr>
            <w:tcW w:w="2016" w:type="dxa"/>
            <w:shd w:val="clear" w:color="auto" w:fill="auto"/>
            <w:vAlign w:val="center"/>
          </w:tcPr>
          <w:p w14:paraId="37FC1302">
            <w:pPr>
              <w:pStyle w:val="49"/>
            </w:pPr>
            <w:r>
              <w:t>37</w:t>
            </w:r>
          </w:p>
        </w:tc>
        <w:tc>
          <w:tcPr>
            <w:tcW w:w="1568" w:type="dxa"/>
            <w:tcBorders>
              <w:right w:val="nil"/>
            </w:tcBorders>
            <w:shd w:val="clear" w:color="auto" w:fill="auto"/>
            <w:vAlign w:val="center"/>
          </w:tcPr>
          <w:p w14:paraId="59B00000">
            <w:pPr>
              <w:pStyle w:val="49"/>
            </w:pPr>
            <w:r>
              <w:t>A</w:t>
            </w:r>
          </w:p>
        </w:tc>
      </w:tr>
      <w:tr w14:paraId="2DDDDA24">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tcBorders>
            <w:shd w:val="clear" w:color="auto" w:fill="auto"/>
            <w:vAlign w:val="center"/>
          </w:tcPr>
          <w:p w14:paraId="625A4BCB">
            <w:pPr>
              <w:pStyle w:val="49"/>
            </w:pPr>
            <w:r>
              <w:t>Taxiway</w:t>
            </w:r>
          </w:p>
        </w:tc>
        <w:tc>
          <w:tcPr>
            <w:tcW w:w="1283" w:type="dxa"/>
            <w:shd w:val="clear" w:color="auto" w:fill="auto"/>
            <w:vAlign w:val="center"/>
          </w:tcPr>
          <w:p w14:paraId="777ADDFA">
            <w:pPr>
              <w:pStyle w:val="49"/>
            </w:pPr>
            <w:r>
              <w:t>Taxiway C</w:t>
            </w:r>
          </w:p>
        </w:tc>
        <w:tc>
          <w:tcPr>
            <w:tcW w:w="2128" w:type="dxa"/>
            <w:shd w:val="clear" w:color="auto" w:fill="auto"/>
            <w:vAlign w:val="center"/>
          </w:tcPr>
          <w:p w14:paraId="5E1BA536">
            <w:pPr>
              <w:pStyle w:val="49"/>
            </w:pPr>
            <w:r>
              <w:t>235</w:t>
            </w:r>
          </w:p>
        </w:tc>
        <w:tc>
          <w:tcPr>
            <w:tcW w:w="2016" w:type="dxa"/>
            <w:shd w:val="clear" w:color="auto" w:fill="auto"/>
            <w:vAlign w:val="center"/>
          </w:tcPr>
          <w:p w14:paraId="00B24269">
            <w:pPr>
              <w:pStyle w:val="49"/>
            </w:pPr>
            <w:r>
              <w:t>37</w:t>
            </w:r>
          </w:p>
        </w:tc>
        <w:tc>
          <w:tcPr>
            <w:tcW w:w="1568" w:type="dxa"/>
            <w:tcBorders>
              <w:right w:val="nil"/>
            </w:tcBorders>
            <w:shd w:val="clear" w:color="auto" w:fill="auto"/>
            <w:vAlign w:val="center"/>
          </w:tcPr>
          <w:p w14:paraId="30698908">
            <w:pPr>
              <w:pStyle w:val="49"/>
            </w:pPr>
            <w:r>
              <w:t>A</w:t>
            </w:r>
          </w:p>
        </w:tc>
      </w:tr>
      <w:tr w14:paraId="3619C6D4">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tcBorders>
            <w:shd w:val="clear" w:color="auto" w:fill="auto"/>
            <w:vAlign w:val="center"/>
          </w:tcPr>
          <w:p w14:paraId="77E0DAAE">
            <w:pPr>
              <w:pStyle w:val="49"/>
            </w:pPr>
            <w:r>
              <w:t>Rapid-exit taxiway</w:t>
            </w:r>
          </w:p>
        </w:tc>
        <w:tc>
          <w:tcPr>
            <w:tcW w:w="1283" w:type="dxa"/>
            <w:shd w:val="clear" w:color="auto" w:fill="auto"/>
            <w:vAlign w:val="center"/>
          </w:tcPr>
          <w:p w14:paraId="0542E668">
            <w:pPr>
              <w:pStyle w:val="49"/>
            </w:pPr>
            <w:r>
              <w:t>Taxiway D</w:t>
            </w:r>
          </w:p>
        </w:tc>
        <w:tc>
          <w:tcPr>
            <w:tcW w:w="2128" w:type="dxa"/>
            <w:shd w:val="clear" w:color="auto" w:fill="auto"/>
            <w:vAlign w:val="center"/>
          </w:tcPr>
          <w:p w14:paraId="03DB64DE">
            <w:pPr>
              <w:pStyle w:val="49"/>
            </w:pPr>
            <w:r>
              <w:t>156</w:t>
            </w:r>
          </w:p>
        </w:tc>
        <w:tc>
          <w:tcPr>
            <w:tcW w:w="2016" w:type="dxa"/>
            <w:shd w:val="clear" w:color="auto" w:fill="auto"/>
            <w:vAlign w:val="center"/>
          </w:tcPr>
          <w:p w14:paraId="656B3E8E">
            <w:pPr>
              <w:pStyle w:val="49"/>
            </w:pPr>
            <w:r>
              <w:t>37</w:t>
            </w:r>
          </w:p>
        </w:tc>
        <w:tc>
          <w:tcPr>
            <w:tcW w:w="1568" w:type="dxa"/>
            <w:tcBorders>
              <w:right w:val="nil"/>
            </w:tcBorders>
            <w:shd w:val="clear" w:color="auto" w:fill="auto"/>
            <w:vAlign w:val="center"/>
          </w:tcPr>
          <w:p w14:paraId="5005EFF4">
            <w:pPr>
              <w:pStyle w:val="49"/>
            </w:pPr>
            <w:r>
              <w:t>A</w:t>
            </w:r>
          </w:p>
        </w:tc>
      </w:tr>
      <w:tr w14:paraId="17456DB4">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tcBorders>
            <w:shd w:val="clear" w:color="auto" w:fill="auto"/>
            <w:vAlign w:val="center"/>
          </w:tcPr>
          <w:p w14:paraId="7FDCDBCA">
            <w:pPr>
              <w:pStyle w:val="49"/>
            </w:pPr>
            <w:r>
              <w:t>Rapid-exit taxiway</w:t>
            </w:r>
          </w:p>
        </w:tc>
        <w:tc>
          <w:tcPr>
            <w:tcW w:w="1283" w:type="dxa"/>
            <w:shd w:val="clear" w:color="auto" w:fill="auto"/>
            <w:vAlign w:val="center"/>
          </w:tcPr>
          <w:p w14:paraId="786AC4D5">
            <w:pPr>
              <w:pStyle w:val="49"/>
            </w:pPr>
            <w:r>
              <w:t>B7、B8、C1-C4</w:t>
            </w:r>
          </w:p>
        </w:tc>
        <w:tc>
          <w:tcPr>
            <w:tcW w:w="2128" w:type="dxa"/>
            <w:shd w:val="clear" w:color="auto" w:fill="auto"/>
            <w:vAlign w:val="center"/>
          </w:tcPr>
          <w:p w14:paraId="098AB6A9">
            <w:pPr>
              <w:pStyle w:val="49"/>
            </w:pPr>
            <w:r>
              <w:t>243</w:t>
            </w:r>
          </w:p>
        </w:tc>
        <w:tc>
          <w:tcPr>
            <w:tcW w:w="2016" w:type="dxa"/>
            <w:shd w:val="clear" w:color="auto" w:fill="auto"/>
            <w:vAlign w:val="center"/>
          </w:tcPr>
          <w:p w14:paraId="246B38D9">
            <w:pPr>
              <w:pStyle w:val="49"/>
            </w:pPr>
            <w:r>
              <w:t>37</w:t>
            </w:r>
          </w:p>
        </w:tc>
        <w:tc>
          <w:tcPr>
            <w:tcW w:w="1568" w:type="dxa"/>
            <w:tcBorders>
              <w:right w:val="nil"/>
            </w:tcBorders>
            <w:shd w:val="clear" w:color="auto" w:fill="auto"/>
            <w:vAlign w:val="center"/>
          </w:tcPr>
          <w:p w14:paraId="66D32E77">
            <w:pPr>
              <w:pStyle w:val="49"/>
            </w:pPr>
            <w:r>
              <w:t>A</w:t>
            </w:r>
          </w:p>
        </w:tc>
      </w:tr>
      <w:tr w14:paraId="19A375AB">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6" w:type="dxa"/>
            <w:tcBorders>
              <w:left w:val="nil"/>
              <w:bottom w:val="single" w:color="auto" w:sz="12" w:space="0"/>
            </w:tcBorders>
            <w:shd w:val="clear" w:color="auto" w:fill="auto"/>
            <w:vAlign w:val="center"/>
          </w:tcPr>
          <w:p w14:paraId="55676068">
            <w:pPr>
              <w:pStyle w:val="49"/>
            </w:pPr>
            <w:r>
              <w:t>Runway–taxiway connector (midfield)</w:t>
            </w:r>
          </w:p>
        </w:tc>
        <w:tc>
          <w:tcPr>
            <w:tcW w:w="1283" w:type="dxa"/>
            <w:tcBorders>
              <w:bottom w:val="single" w:color="auto" w:sz="12" w:space="0"/>
            </w:tcBorders>
            <w:shd w:val="clear" w:color="auto" w:fill="auto"/>
            <w:vAlign w:val="center"/>
          </w:tcPr>
          <w:p w14:paraId="31EC15AF">
            <w:pPr>
              <w:pStyle w:val="49"/>
            </w:pPr>
            <w:r>
              <w:t>H3、H4、H5</w:t>
            </w:r>
          </w:p>
        </w:tc>
        <w:tc>
          <w:tcPr>
            <w:tcW w:w="2128" w:type="dxa"/>
            <w:tcBorders>
              <w:bottom w:val="single" w:color="auto" w:sz="12" w:space="0"/>
            </w:tcBorders>
            <w:shd w:val="clear" w:color="auto" w:fill="auto"/>
            <w:vAlign w:val="center"/>
          </w:tcPr>
          <w:p w14:paraId="0209F08D">
            <w:pPr>
              <w:pStyle w:val="49"/>
            </w:pPr>
            <w:r>
              <w:t>176</w:t>
            </w:r>
          </w:p>
        </w:tc>
        <w:tc>
          <w:tcPr>
            <w:tcW w:w="2016" w:type="dxa"/>
            <w:tcBorders>
              <w:bottom w:val="single" w:color="auto" w:sz="12" w:space="0"/>
            </w:tcBorders>
            <w:shd w:val="clear" w:color="auto" w:fill="auto"/>
            <w:vAlign w:val="center"/>
          </w:tcPr>
          <w:p w14:paraId="353431F9">
            <w:pPr>
              <w:pStyle w:val="49"/>
            </w:pPr>
            <w:r>
              <w:t>37</w:t>
            </w:r>
          </w:p>
        </w:tc>
        <w:tc>
          <w:tcPr>
            <w:tcW w:w="1568" w:type="dxa"/>
            <w:tcBorders>
              <w:bottom w:val="single" w:color="auto" w:sz="12" w:space="0"/>
              <w:right w:val="nil"/>
            </w:tcBorders>
            <w:shd w:val="clear" w:color="auto" w:fill="auto"/>
            <w:vAlign w:val="center"/>
          </w:tcPr>
          <w:p w14:paraId="74E30958">
            <w:pPr>
              <w:pStyle w:val="49"/>
            </w:pPr>
            <w:r>
              <w:t>A</w:t>
            </w:r>
          </w:p>
        </w:tc>
      </w:tr>
    </w:tbl>
    <w:p w14:paraId="4B0E6324">
      <w:pPr>
        <w:pStyle w:val="52"/>
        <w:jc w:val="both"/>
        <w:rPr>
          <w:rFonts w:hint="eastAsia"/>
        </w:rPr>
      </w:pPr>
    </w:p>
    <w:p w14:paraId="7C2F1B22">
      <w:pPr>
        <w:ind w:firstLine="420"/>
        <w:jc w:val="center"/>
      </w:pPr>
      <w:r>
        <w:t xml:space="preserve">Table </w:t>
      </w:r>
      <w:r>
        <w:rPr>
          <w:rFonts w:hint="eastAsia"/>
        </w:rPr>
        <w:t>S</w:t>
      </w:r>
      <w:r>
        <w:t>6.</w:t>
      </w:r>
      <w:r>
        <w:rPr>
          <w:rFonts w:hint="eastAsia"/>
        </w:rPr>
        <w:t>6.</w:t>
      </w:r>
      <w:r>
        <w:t xml:space="preserve"> Runway structural parameters (2018)</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1212"/>
        <w:gridCol w:w="2242"/>
        <w:gridCol w:w="2120"/>
        <w:gridCol w:w="1705"/>
      </w:tblGrid>
      <w:tr w14:paraId="7BEBB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top w:val="single" w:color="auto" w:sz="12" w:space="0"/>
              <w:left w:val="nil"/>
              <w:bottom w:val="single" w:color="auto" w:sz="12" w:space="0"/>
            </w:tcBorders>
            <w:shd w:val="clear" w:color="auto" w:fill="auto"/>
            <w:vAlign w:val="center"/>
          </w:tcPr>
          <w:p w14:paraId="50C5D8F0">
            <w:pPr>
              <w:pStyle w:val="49"/>
            </w:pPr>
            <w:r>
              <w:t>Component</w:t>
            </w:r>
          </w:p>
        </w:tc>
        <w:tc>
          <w:tcPr>
            <w:tcW w:w="1212" w:type="dxa"/>
            <w:tcBorders>
              <w:top w:val="single" w:color="auto" w:sz="12" w:space="0"/>
              <w:bottom w:val="single" w:color="auto" w:sz="12" w:space="0"/>
            </w:tcBorders>
            <w:shd w:val="clear" w:color="auto" w:fill="auto"/>
            <w:vAlign w:val="center"/>
          </w:tcPr>
          <w:p w14:paraId="1D6D59F5">
            <w:pPr>
              <w:pStyle w:val="49"/>
            </w:pPr>
            <w:r>
              <w:t>Thickness</w:t>
            </w:r>
            <w:r>
              <w:rPr>
                <w:rFonts w:hint="eastAsia"/>
              </w:rPr>
              <w:t>（</w:t>
            </w:r>
            <w:r>
              <w:t>cm</w:t>
            </w:r>
            <w:r>
              <w:rPr>
                <w:rFonts w:hint="eastAsia"/>
              </w:rPr>
              <w:t>）</w:t>
            </w:r>
          </w:p>
        </w:tc>
        <w:tc>
          <w:tcPr>
            <w:tcW w:w="2242" w:type="dxa"/>
            <w:tcBorders>
              <w:top w:val="single" w:color="auto" w:sz="12" w:space="0"/>
              <w:bottom w:val="single" w:color="auto" w:sz="12" w:space="0"/>
            </w:tcBorders>
            <w:shd w:val="clear" w:color="auto" w:fill="auto"/>
            <w:vAlign w:val="center"/>
          </w:tcPr>
          <w:p w14:paraId="5E5BCC08">
            <w:pPr>
              <w:pStyle w:val="49"/>
            </w:pPr>
            <w:r>
              <w:t>Modulus of Subgrade Reaction at Base Top（MN/m³）</w:t>
            </w:r>
          </w:p>
        </w:tc>
        <w:tc>
          <w:tcPr>
            <w:tcW w:w="2120" w:type="dxa"/>
            <w:tcBorders>
              <w:top w:val="single" w:color="auto" w:sz="12" w:space="0"/>
              <w:bottom w:val="single" w:color="auto" w:sz="12" w:space="0"/>
            </w:tcBorders>
            <w:shd w:val="clear" w:color="auto" w:fill="auto"/>
            <w:vAlign w:val="center"/>
          </w:tcPr>
          <w:p w14:paraId="6250EDD5">
            <w:pPr>
              <w:pStyle w:val="49"/>
            </w:pPr>
            <w:r>
              <w:t>Pavement Slab Elastic Modulus（GPa）</w:t>
            </w:r>
          </w:p>
        </w:tc>
        <w:tc>
          <w:tcPr>
            <w:tcW w:w="1705" w:type="dxa"/>
            <w:tcBorders>
              <w:top w:val="single" w:color="auto" w:sz="12" w:space="0"/>
              <w:bottom w:val="single" w:color="auto" w:sz="12" w:space="0"/>
              <w:right w:val="nil"/>
            </w:tcBorders>
            <w:shd w:val="clear" w:color="auto" w:fill="auto"/>
            <w:vAlign w:val="center"/>
          </w:tcPr>
          <w:p w14:paraId="1DDCF26A">
            <w:pPr>
              <w:pStyle w:val="49"/>
            </w:pPr>
            <w:r>
              <w:t>Subgrade Strength Grade</w:t>
            </w:r>
          </w:p>
        </w:tc>
      </w:tr>
      <w:tr w14:paraId="140E1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top w:val="single" w:color="auto" w:sz="12" w:space="0"/>
              <w:left w:val="nil"/>
            </w:tcBorders>
            <w:shd w:val="clear" w:color="auto" w:fill="auto"/>
            <w:vAlign w:val="center"/>
          </w:tcPr>
          <w:p w14:paraId="1CFA3EA6">
            <w:pPr>
              <w:pStyle w:val="49"/>
            </w:pPr>
            <w:r>
              <w:t>A2-A</w:t>
            </w:r>
          </w:p>
        </w:tc>
        <w:tc>
          <w:tcPr>
            <w:tcW w:w="1212" w:type="dxa"/>
            <w:tcBorders>
              <w:top w:val="single" w:color="auto" w:sz="12" w:space="0"/>
            </w:tcBorders>
            <w:shd w:val="clear" w:color="auto" w:fill="auto"/>
            <w:vAlign w:val="center"/>
          </w:tcPr>
          <w:p w14:paraId="336FEBAE">
            <w:pPr>
              <w:pStyle w:val="49"/>
            </w:pPr>
            <w:r>
              <w:t>36</w:t>
            </w:r>
          </w:p>
        </w:tc>
        <w:tc>
          <w:tcPr>
            <w:tcW w:w="2242" w:type="dxa"/>
            <w:tcBorders>
              <w:top w:val="single" w:color="auto" w:sz="12" w:space="0"/>
            </w:tcBorders>
            <w:shd w:val="clear" w:color="auto" w:fill="auto"/>
            <w:vAlign w:val="center"/>
          </w:tcPr>
          <w:p w14:paraId="0B311084">
            <w:pPr>
              <w:pStyle w:val="49"/>
            </w:pPr>
            <w:r>
              <w:t>101</w:t>
            </w:r>
          </w:p>
        </w:tc>
        <w:tc>
          <w:tcPr>
            <w:tcW w:w="2120" w:type="dxa"/>
            <w:tcBorders>
              <w:top w:val="single" w:color="auto" w:sz="12" w:space="0"/>
            </w:tcBorders>
            <w:shd w:val="clear" w:color="auto" w:fill="auto"/>
            <w:vAlign w:val="center"/>
          </w:tcPr>
          <w:p w14:paraId="13858571">
            <w:pPr>
              <w:pStyle w:val="49"/>
            </w:pPr>
            <w:r>
              <w:t>46</w:t>
            </w:r>
          </w:p>
        </w:tc>
        <w:tc>
          <w:tcPr>
            <w:tcW w:w="1705" w:type="dxa"/>
            <w:tcBorders>
              <w:top w:val="single" w:color="auto" w:sz="12" w:space="0"/>
              <w:right w:val="nil"/>
            </w:tcBorders>
            <w:shd w:val="clear" w:color="auto" w:fill="auto"/>
            <w:vAlign w:val="center"/>
          </w:tcPr>
          <w:p w14:paraId="216E4796">
            <w:pPr>
              <w:pStyle w:val="49"/>
            </w:pPr>
            <w:r>
              <w:t>B</w:t>
            </w:r>
          </w:p>
        </w:tc>
      </w:tr>
      <w:tr w14:paraId="1FECE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nil"/>
            </w:tcBorders>
            <w:shd w:val="clear" w:color="auto" w:fill="auto"/>
            <w:vAlign w:val="center"/>
          </w:tcPr>
          <w:p w14:paraId="31EE7D86">
            <w:pPr>
              <w:pStyle w:val="49"/>
            </w:pPr>
            <w:r>
              <w:t>A2-B</w:t>
            </w:r>
          </w:p>
        </w:tc>
        <w:tc>
          <w:tcPr>
            <w:tcW w:w="1212" w:type="dxa"/>
            <w:shd w:val="clear" w:color="auto" w:fill="auto"/>
            <w:vAlign w:val="center"/>
          </w:tcPr>
          <w:p w14:paraId="09DFE47D">
            <w:pPr>
              <w:pStyle w:val="49"/>
            </w:pPr>
            <w:r>
              <w:t>42</w:t>
            </w:r>
          </w:p>
        </w:tc>
        <w:tc>
          <w:tcPr>
            <w:tcW w:w="2242" w:type="dxa"/>
            <w:shd w:val="clear" w:color="auto" w:fill="auto"/>
            <w:vAlign w:val="center"/>
          </w:tcPr>
          <w:p w14:paraId="69B4CE74">
            <w:pPr>
              <w:pStyle w:val="49"/>
            </w:pPr>
            <w:r>
              <w:t>80</w:t>
            </w:r>
          </w:p>
        </w:tc>
        <w:tc>
          <w:tcPr>
            <w:tcW w:w="2120" w:type="dxa"/>
            <w:shd w:val="clear" w:color="auto" w:fill="auto"/>
            <w:vAlign w:val="center"/>
          </w:tcPr>
          <w:p w14:paraId="41736F3C">
            <w:pPr>
              <w:pStyle w:val="49"/>
            </w:pPr>
            <w:r>
              <w:t>46</w:t>
            </w:r>
          </w:p>
        </w:tc>
        <w:tc>
          <w:tcPr>
            <w:tcW w:w="1705" w:type="dxa"/>
            <w:tcBorders>
              <w:right w:val="nil"/>
            </w:tcBorders>
            <w:shd w:val="clear" w:color="auto" w:fill="auto"/>
            <w:vAlign w:val="center"/>
          </w:tcPr>
          <w:p w14:paraId="338EE648">
            <w:pPr>
              <w:pStyle w:val="49"/>
            </w:pPr>
            <w:r>
              <w:t>B</w:t>
            </w:r>
          </w:p>
        </w:tc>
      </w:tr>
      <w:tr w14:paraId="45B32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nil"/>
              <w:bottom w:val="single" w:color="auto" w:sz="4" w:space="0"/>
            </w:tcBorders>
            <w:shd w:val="clear" w:color="auto" w:fill="auto"/>
            <w:vAlign w:val="center"/>
          </w:tcPr>
          <w:p w14:paraId="256A2414">
            <w:pPr>
              <w:pStyle w:val="49"/>
            </w:pPr>
            <w:r>
              <w:t>A4</w:t>
            </w:r>
          </w:p>
        </w:tc>
        <w:tc>
          <w:tcPr>
            <w:tcW w:w="1212" w:type="dxa"/>
            <w:tcBorders>
              <w:bottom w:val="single" w:color="auto" w:sz="4" w:space="0"/>
            </w:tcBorders>
            <w:shd w:val="clear" w:color="auto" w:fill="auto"/>
            <w:vAlign w:val="center"/>
          </w:tcPr>
          <w:p w14:paraId="11B2D977">
            <w:pPr>
              <w:pStyle w:val="49"/>
            </w:pPr>
            <w:r>
              <w:t>42</w:t>
            </w:r>
          </w:p>
        </w:tc>
        <w:tc>
          <w:tcPr>
            <w:tcW w:w="2242" w:type="dxa"/>
            <w:tcBorders>
              <w:bottom w:val="single" w:color="auto" w:sz="4" w:space="0"/>
            </w:tcBorders>
            <w:shd w:val="clear" w:color="auto" w:fill="auto"/>
            <w:vAlign w:val="center"/>
          </w:tcPr>
          <w:p w14:paraId="75B8B172">
            <w:pPr>
              <w:pStyle w:val="49"/>
            </w:pPr>
            <w:r>
              <w:t>86.5</w:t>
            </w:r>
          </w:p>
        </w:tc>
        <w:tc>
          <w:tcPr>
            <w:tcW w:w="2120" w:type="dxa"/>
            <w:tcBorders>
              <w:bottom w:val="single" w:color="auto" w:sz="4" w:space="0"/>
            </w:tcBorders>
            <w:shd w:val="clear" w:color="auto" w:fill="auto"/>
            <w:vAlign w:val="center"/>
          </w:tcPr>
          <w:p w14:paraId="46D5F35D">
            <w:pPr>
              <w:pStyle w:val="49"/>
            </w:pPr>
            <w:r>
              <w:t>46</w:t>
            </w:r>
          </w:p>
        </w:tc>
        <w:tc>
          <w:tcPr>
            <w:tcW w:w="0" w:type="auto"/>
            <w:tcBorders>
              <w:bottom w:val="single" w:color="auto" w:sz="4" w:space="0"/>
              <w:right w:val="nil"/>
            </w:tcBorders>
            <w:shd w:val="clear" w:color="auto" w:fill="auto"/>
            <w:vAlign w:val="center"/>
          </w:tcPr>
          <w:p w14:paraId="300AC116">
            <w:pPr>
              <w:pStyle w:val="49"/>
            </w:pPr>
            <w:r>
              <w:t>B</w:t>
            </w:r>
          </w:p>
        </w:tc>
      </w:tr>
      <w:tr w14:paraId="78904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Borders>
              <w:left w:val="nil"/>
              <w:bottom w:val="single" w:color="auto" w:sz="12" w:space="0"/>
            </w:tcBorders>
            <w:shd w:val="clear" w:color="auto" w:fill="auto"/>
            <w:vAlign w:val="center"/>
          </w:tcPr>
          <w:p w14:paraId="5A7D388E">
            <w:pPr>
              <w:pStyle w:val="49"/>
            </w:pPr>
            <w:r>
              <w:t>A6</w:t>
            </w:r>
          </w:p>
        </w:tc>
        <w:tc>
          <w:tcPr>
            <w:tcW w:w="1212" w:type="dxa"/>
            <w:tcBorders>
              <w:bottom w:val="single" w:color="auto" w:sz="12" w:space="0"/>
            </w:tcBorders>
            <w:shd w:val="clear" w:color="auto" w:fill="auto"/>
            <w:vAlign w:val="center"/>
          </w:tcPr>
          <w:p w14:paraId="79258099">
            <w:pPr>
              <w:pStyle w:val="49"/>
            </w:pPr>
            <w:r>
              <w:t>42</w:t>
            </w:r>
          </w:p>
        </w:tc>
        <w:tc>
          <w:tcPr>
            <w:tcW w:w="2242" w:type="dxa"/>
            <w:tcBorders>
              <w:bottom w:val="single" w:color="auto" w:sz="12" w:space="0"/>
            </w:tcBorders>
            <w:shd w:val="clear" w:color="auto" w:fill="auto"/>
            <w:vAlign w:val="center"/>
          </w:tcPr>
          <w:p w14:paraId="0B123DEC">
            <w:pPr>
              <w:pStyle w:val="49"/>
            </w:pPr>
            <w:r>
              <w:t>96</w:t>
            </w:r>
          </w:p>
        </w:tc>
        <w:tc>
          <w:tcPr>
            <w:tcW w:w="2120" w:type="dxa"/>
            <w:tcBorders>
              <w:bottom w:val="single" w:color="auto" w:sz="12" w:space="0"/>
            </w:tcBorders>
            <w:shd w:val="clear" w:color="auto" w:fill="auto"/>
            <w:vAlign w:val="center"/>
          </w:tcPr>
          <w:p w14:paraId="52BB03B3">
            <w:pPr>
              <w:pStyle w:val="49"/>
            </w:pPr>
            <w:r>
              <w:t>46</w:t>
            </w:r>
          </w:p>
        </w:tc>
        <w:tc>
          <w:tcPr>
            <w:tcW w:w="0" w:type="auto"/>
            <w:tcBorders>
              <w:bottom w:val="single" w:color="auto" w:sz="12" w:space="0"/>
              <w:right w:val="nil"/>
            </w:tcBorders>
            <w:shd w:val="clear" w:color="auto" w:fill="auto"/>
            <w:vAlign w:val="center"/>
          </w:tcPr>
          <w:p w14:paraId="2C1F8AAB">
            <w:pPr>
              <w:pStyle w:val="49"/>
            </w:pPr>
            <w:r>
              <w:t>B</w:t>
            </w:r>
          </w:p>
        </w:tc>
      </w:tr>
    </w:tbl>
    <w:p w14:paraId="67AA9D90">
      <w:pPr>
        <w:ind w:firstLine="0" w:firstLineChars="0"/>
        <w:jc w:val="center"/>
      </w:pPr>
    </w:p>
    <w:p w14:paraId="062EE049">
      <w:pPr>
        <w:ind w:firstLine="0" w:firstLineChars="0"/>
        <w:jc w:val="center"/>
      </w:pPr>
      <w:r>
        <w:t xml:space="preserve">Table </w:t>
      </w:r>
      <w:r>
        <w:rPr>
          <w:rFonts w:hint="eastAsia"/>
        </w:rPr>
        <w:t>S</w:t>
      </w:r>
      <w:r>
        <w:t>6.</w:t>
      </w:r>
      <w:r>
        <w:rPr>
          <w:rFonts w:hint="eastAsia"/>
        </w:rPr>
        <w:t>7.</w:t>
      </w:r>
      <w:r>
        <w:t xml:space="preserve"> Runway structural parameters (2021)</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19FED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000000" w:sz="12" w:space="0"/>
              <w:left w:val="nil"/>
              <w:bottom w:val="single" w:color="000000" w:sz="12" w:space="0"/>
            </w:tcBorders>
            <w:vAlign w:val="center"/>
          </w:tcPr>
          <w:p w14:paraId="09FA6EAA">
            <w:pPr>
              <w:pStyle w:val="49"/>
            </w:pPr>
            <w:r>
              <w:t>Component</w:t>
            </w:r>
          </w:p>
        </w:tc>
        <w:tc>
          <w:tcPr>
            <w:tcW w:w="2841" w:type="dxa"/>
            <w:tcBorders>
              <w:top w:val="single" w:color="000000" w:sz="12" w:space="0"/>
              <w:bottom w:val="single" w:color="000000" w:sz="12" w:space="0"/>
            </w:tcBorders>
            <w:vAlign w:val="center"/>
          </w:tcPr>
          <w:p w14:paraId="356E16D2">
            <w:pPr>
              <w:pStyle w:val="49"/>
            </w:pPr>
            <w:r>
              <w:t>Subgrade Reaction Modulus（MN/m³）</w:t>
            </w:r>
          </w:p>
        </w:tc>
        <w:tc>
          <w:tcPr>
            <w:tcW w:w="2841" w:type="dxa"/>
            <w:tcBorders>
              <w:top w:val="single" w:color="000000" w:sz="12" w:space="0"/>
              <w:bottom w:val="single" w:color="000000" w:sz="12" w:space="0"/>
              <w:right w:val="nil"/>
            </w:tcBorders>
            <w:vAlign w:val="center"/>
          </w:tcPr>
          <w:p w14:paraId="42101A8F">
            <w:pPr>
              <w:pStyle w:val="49"/>
            </w:pPr>
            <w:r>
              <w:t>Subgrade Strength Grade</w:t>
            </w:r>
          </w:p>
        </w:tc>
      </w:tr>
      <w:tr w14:paraId="55255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000000" w:sz="12" w:space="0"/>
              <w:left w:val="nil"/>
            </w:tcBorders>
            <w:vAlign w:val="center"/>
          </w:tcPr>
          <w:p w14:paraId="2C5D03F0">
            <w:pPr>
              <w:pStyle w:val="49"/>
            </w:pPr>
            <w:r>
              <w:t>TH4-1</w:t>
            </w:r>
          </w:p>
        </w:tc>
        <w:tc>
          <w:tcPr>
            <w:tcW w:w="2841" w:type="dxa"/>
            <w:tcBorders>
              <w:top w:val="single" w:color="000000" w:sz="12" w:space="0"/>
            </w:tcBorders>
            <w:vAlign w:val="center"/>
          </w:tcPr>
          <w:p w14:paraId="1D37E732">
            <w:pPr>
              <w:pStyle w:val="49"/>
            </w:pPr>
            <w:r>
              <w:t>101</w:t>
            </w:r>
          </w:p>
        </w:tc>
        <w:tc>
          <w:tcPr>
            <w:tcW w:w="2841" w:type="dxa"/>
            <w:tcBorders>
              <w:top w:val="single" w:color="000000" w:sz="12" w:space="0"/>
              <w:right w:val="nil"/>
            </w:tcBorders>
            <w:vAlign w:val="center"/>
          </w:tcPr>
          <w:p w14:paraId="6D8E058F">
            <w:pPr>
              <w:pStyle w:val="49"/>
            </w:pPr>
            <w:r>
              <w:t>B</w:t>
            </w:r>
          </w:p>
        </w:tc>
      </w:tr>
      <w:tr w14:paraId="1093C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vAlign w:val="center"/>
          </w:tcPr>
          <w:p w14:paraId="4BC30590">
            <w:pPr>
              <w:pStyle w:val="49"/>
            </w:pPr>
            <w:r>
              <w:t>TH7-1</w:t>
            </w:r>
          </w:p>
        </w:tc>
        <w:tc>
          <w:tcPr>
            <w:tcW w:w="2841" w:type="dxa"/>
            <w:vAlign w:val="center"/>
          </w:tcPr>
          <w:p w14:paraId="57BEBA84">
            <w:pPr>
              <w:pStyle w:val="49"/>
            </w:pPr>
            <w:r>
              <w:t>110</w:t>
            </w:r>
          </w:p>
        </w:tc>
        <w:tc>
          <w:tcPr>
            <w:tcW w:w="2841" w:type="dxa"/>
            <w:tcBorders>
              <w:right w:val="nil"/>
            </w:tcBorders>
            <w:vAlign w:val="center"/>
          </w:tcPr>
          <w:p w14:paraId="68CE16A4">
            <w:pPr>
              <w:pStyle w:val="49"/>
            </w:pPr>
            <w:r>
              <w:t>B</w:t>
            </w:r>
          </w:p>
        </w:tc>
      </w:tr>
      <w:tr w14:paraId="62C4B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vAlign w:val="center"/>
          </w:tcPr>
          <w:p w14:paraId="66952568">
            <w:pPr>
              <w:pStyle w:val="49"/>
            </w:pPr>
            <w:r>
              <w:t>TK0</w:t>
            </w:r>
          </w:p>
        </w:tc>
        <w:tc>
          <w:tcPr>
            <w:tcW w:w="2841" w:type="dxa"/>
            <w:vAlign w:val="center"/>
          </w:tcPr>
          <w:p w14:paraId="603CC0AF">
            <w:pPr>
              <w:pStyle w:val="49"/>
            </w:pPr>
            <w:r>
              <w:t>81</w:t>
            </w:r>
          </w:p>
        </w:tc>
        <w:tc>
          <w:tcPr>
            <w:tcW w:w="2841" w:type="dxa"/>
            <w:tcBorders>
              <w:right w:val="nil"/>
            </w:tcBorders>
            <w:vAlign w:val="center"/>
          </w:tcPr>
          <w:p w14:paraId="34DD5AE4">
            <w:pPr>
              <w:pStyle w:val="49"/>
            </w:pPr>
            <w:r>
              <w:t>B</w:t>
            </w:r>
          </w:p>
        </w:tc>
      </w:tr>
      <w:tr w14:paraId="65307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vAlign w:val="center"/>
          </w:tcPr>
          <w:p w14:paraId="20C2C8A0">
            <w:pPr>
              <w:pStyle w:val="49"/>
            </w:pPr>
            <w:r>
              <w:t>TK1</w:t>
            </w:r>
          </w:p>
        </w:tc>
        <w:tc>
          <w:tcPr>
            <w:tcW w:w="2841" w:type="dxa"/>
            <w:vAlign w:val="center"/>
          </w:tcPr>
          <w:p w14:paraId="7A8CC1C9">
            <w:pPr>
              <w:pStyle w:val="49"/>
            </w:pPr>
            <w:r>
              <w:t>149</w:t>
            </w:r>
          </w:p>
        </w:tc>
        <w:tc>
          <w:tcPr>
            <w:tcW w:w="2841" w:type="dxa"/>
            <w:tcBorders>
              <w:right w:val="nil"/>
            </w:tcBorders>
            <w:vAlign w:val="center"/>
          </w:tcPr>
          <w:p w14:paraId="22D0A130">
            <w:pPr>
              <w:pStyle w:val="49"/>
            </w:pPr>
            <w:r>
              <w:t>A</w:t>
            </w:r>
          </w:p>
        </w:tc>
      </w:tr>
      <w:tr w14:paraId="48362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vAlign w:val="center"/>
          </w:tcPr>
          <w:p w14:paraId="177F3EE6">
            <w:pPr>
              <w:pStyle w:val="49"/>
            </w:pPr>
            <w:r>
              <w:t>TK2</w:t>
            </w:r>
          </w:p>
        </w:tc>
        <w:tc>
          <w:tcPr>
            <w:tcW w:w="2841" w:type="dxa"/>
            <w:vAlign w:val="center"/>
          </w:tcPr>
          <w:p w14:paraId="52C84623">
            <w:pPr>
              <w:pStyle w:val="49"/>
            </w:pPr>
            <w:r>
              <w:t>144</w:t>
            </w:r>
          </w:p>
        </w:tc>
        <w:tc>
          <w:tcPr>
            <w:tcW w:w="2841" w:type="dxa"/>
            <w:tcBorders>
              <w:right w:val="nil"/>
            </w:tcBorders>
            <w:vAlign w:val="center"/>
          </w:tcPr>
          <w:p w14:paraId="113D4C53">
            <w:pPr>
              <w:pStyle w:val="49"/>
            </w:pPr>
            <w:r>
              <w:t>A</w:t>
            </w:r>
          </w:p>
        </w:tc>
      </w:tr>
      <w:tr w14:paraId="0D2FA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vAlign w:val="center"/>
          </w:tcPr>
          <w:p w14:paraId="65970911">
            <w:pPr>
              <w:pStyle w:val="49"/>
            </w:pPr>
            <w:r>
              <w:t>TK4</w:t>
            </w:r>
          </w:p>
        </w:tc>
        <w:tc>
          <w:tcPr>
            <w:tcW w:w="2841" w:type="dxa"/>
            <w:vAlign w:val="center"/>
          </w:tcPr>
          <w:p w14:paraId="24547285">
            <w:pPr>
              <w:pStyle w:val="49"/>
            </w:pPr>
            <w:r>
              <w:t>102</w:t>
            </w:r>
          </w:p>
        </w:tc>
        <w:tc>
          <w:tcPr>
            <w:tcW w:w="2841" w:type="dxa"/>
            <w:tcBorders>
              <w:right w:val="nil"/>
            </w:tcBorders>
            <w:vAlign w:val="center"/>
          </w:tcPr>
          <w:p w14:paraId="24632830">
            <w:pPr>
              <w:pStyle w:val="49"/>
            </w:pPr>
            <w:r>
              <w:t>B</w:t>
            </w:r>
          </w:p>
        </w:tc>
      </w:tr>
      <w:tr w14:paraId="77877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vAlign w:val="center"/>
          </w:tcPr>
          <w:p w14:paraId="39614B2F">
            <w:pPr>
              <w:pStyle w:val="49"/>
            </w:pPr>
            <w:r>
              <w:t>TK5</w:t>
            </w:r>
          </w:p>
        </w:tc>
        <w:tc>
          <w:tcPr>
            <w:tcW w:w="2841" w:type="dxa"/>
            <w:vAlign w:val="center"/>
          </w:tcPr>
          <w:p w14:paraId="7564A9A4">
            <w:pPr>
              <w:pStyle w:val="49"/>
            </w:pPr>
            <w:r>
              <w:t>158</w:t>
            </w:r>
          </w:p>
        </w:tc>
        <w:tc>
          <w:tcPr>
            <w:tcW w:w="2841" w:type="dxa"/>
            <w:tcBorders>
              <w:right w:val="nil"/>
            </w:tcBorders>
            <w:vAlign w:val="center"/>
          </w:tcPr>
          <w:p w14:paraId="55972276">
            <w:pPr>
              <w:pStyle w:val="49"/>
            </w:pPr>
            <w:r>
              <w:t>A</w:t>
            </w:r>
          </w:p>
        </w:tc>
      </w:tr>
      <w:tr w14:paraId="5AA19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47EF94A4">
            <w:pPr>
              <w:pStyle w:val="49"/>
            </w:pPr>
            <w:r>
              <w:t>TK6</w:t>
            </w:r>
          </w:p>
        </w:tc>
        <w:tc>
          <w:tcPr>
            <w:tcW w:w="2841" w:type="dxa"/>
            <w:shd w:val="clear" w:color="auto" w:fill="auto"/>
            <w:vAlign w:val="center"/>
          </w:tcPr>
          <w:p w14:paraId="243F12B7">
            <w:pPr>
              <w:pStyle w:val="49"/>
            </w:pPr>
            <w:r>
              <w:t>105</w:t>
            </w:r>
          </w:p>
        </w:tc>
        <w:tc>
          <w:tcPr>
            <w:tcW w:w="2841" w:type="dxa"/>
            <w:tcBorders>
              <w:right w:val="nil"/>
            </w:tcBorders>
            <w:shd w:val="clear" w:color="auto" w:fill="auto"/>
            <w:vAlign w:val="center"/>
          </w:tcPr>
          <w:p w14:paraId="5CE95DDF">
            <w:pPr>
              <w:pStyle w:val="49"/>
            </w:pPr>
            <w:r>
              <w:t>B</w:t>
            </w:r>
          </w:p>
        </w:tc>
      </w:tr>
      <w:tr w14:paraId="37DEE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43FB4016">
            <w:pPr>
              <w:pStyle w:val="49"/>
            </w:pPr>
            <w:r>
              <w:t>TK7</w:t>
            </w:r>
          </w:p>
        </w:tc>
        <w:tc>
          <w:tcPr>
            <w:tcW w:w="2841" w:type="dxa"/>
            <w:shd w:val="clear" w:color="auto" w:fill="auto"/>
            <w:vAlign w:val="center"/>
          </w:tcPr>
          <w:p w14:paraId="753DEF43">
            <w:pPr>
              <w:pStyle w:val="49"/>
            </w:pPr>
            <w:r>
              <w:t>97</w:t>
            </w:r>
          </w:p>
        </w:tc>
        <w:tc>
          <w:tcPr>
            <w:tcW w:w="2841" w:type="dxa"/>
            <w:tcBorders>
              <w:right w:val="nil"/>
            </w:tcBorders>
            <w:shd w:val="clear" w:color="auto" w:fill="auto"/>
            <w:vAlign w:val="center"/>
          </w:tcPr>
          <w:p w14:paraId="4E3FED93">
            <w:pPr>
              <w:pStyle w:val="49"/>
            </w:pPr>
            <w:r>
              <w:t>B</w:t>
            </w:r>
          </w:p>
        </w:tc>
      </w:tr>
      <w:tr w14:paraId="0EEC7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30B026F5">
            <w:pPr>
              <w:pStyle w:val="49"/>
            </w:pPr>
            <w:r>
              <w:t>AA</w:t>
            </w:r>
          </w:p>
        </w:tc>
        <w:tc>
          <w:tcPr>
            <w:tcW w:w="2841" w:type="dxa"/>
            <w:shd w:val="clear" w:color="auto" w:fill="auto"/>
            <w:vAlign w:val="center"/>
          </w:tcPr>
          <w:p w14:paraId="2BC9117B">
            <w:pPr>
              <w:pStyle w:val="49"/>
            </w:pPr>
            <w:r>
              <w:t>92</w:t>
            </w:r>
          </w:p>
        </w:tc>
        <w:tc>
          <w:tcPr>
            <w:tcW w:w="2841" w:type="dxa"/>
            <w:tcBorders>
              <w:right w:val="nil"/>
            </w:tcBorders>
            <w:shd w:val="clear" w:color="auto" w:fill="auto"/>
            <w:vAlign w:val="center"/>
          </w:tcPr>
          <w:p w14:paraId="29FF4448">
            <w:pPr>
              <w:pStyle w:val="49"/>
            </w:pPr>
            <w:r>
              <w:t>B</w:t>
            </w:r>
          </w:p>
        </w:tc>
      </w:tr>
      <w:tr w14:paraId="3C3C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482BA72A">
            <w:pPr>
              <w:pStyle w:val="49"/>
            </w:pPr>
            <w:r>
              <w:t>AB</w:t>
            </w:r>
          </w:p>
        </w:tc>
        <w:tc>
          <w:tcPr>
            <w:tcW w:w="2841" w:type="dxa"/>
            <w:shd w:val="clear" w:color="auto" w:fill="auto"/>
            <w:vAlign w:val="center"/>
          </w:tcPr>
          <w:p w14:paraId="3CE9877E">
            <w:pPr>
              <w:pStyle w:val="49"/>
            </w:pPr>
            <w:r>
              <w:t>81</w:t>
            </w:r>
          </w:p>
        </w:tc>
        <w:tc>
          <w:tcPr>
            <w:tcW w:w="2841" w:type="dxa"/>
            <w:tcBorders>
              <w:right w:val="nil"/>
            </w:tcBorders>
            <w:shd w:val="clear" w:color="auto" w:fill="auto"/>
            <w:vAlign w:val="center"/>
          </w:tcPr>
          <w:p w14:paraId="3A4BB1F1">
            <w:pPr>
              <w:pStyle w:val="49"/>
            </w:pPr>
            <w:r>
              <w:t>B</w:t>
            </w:r>
          </w:p>
        </w:tc>
      </w:tr>
      <w:tr w14:paraId="56615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41158DB3">
            <w:pPr>
              <w:pStyle w:val="49"/>
            </w:pPr>
            <w:r>
              <w:t>AC</w:t>
            </w:r>
          </w:p>
        </w:tc>
        <w:tc>
          <w:tcPr>
            <w:tcW w:w="2841" w:type="dxa"/>
            <w:shd w:val="clear" w:color="auto" w:fill="auto"/>
            <w:vAlign w:val="center"/>
          </w:tcPr>
          <w:p w14:paraId="3E559AD9">
            <w:pPr>
              <w:pStyle w:val="49"/>
            </w:pPr>
            <w:r>
              <w:t>78</w:t>
            </w:r>
          </w:p>
        </w:tc>
        <w:tc>
          <w:tcPr>
            <w:tcW w:w="2841" w:type="dxa"/>
            <w:tcBorders>
              <w:right w:val="nil"/>
            </w:tcBorders>
            <w:shd w:val="clear" w:color="auto" w:fill="auto"/>
            <w:vAlign w:val="center"/>
          </w:tcPr>
          <w:p w14:paraId="600C3F79">
            <w:pPr>
              <w:pStyle w:val="49"/>
            </w:pPr>
            <w:r>
              <w:t>B</w:t>
            </w:r>
          </w:p>
        </w:tc>
      </w:tr>
      <w:tr w14:paraId="23A52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34F171CB">
            <w:pPr>
              <w:pStyle w:val="49"/>
            </w:pPr>
            <w:r>
              <w:t>AD</w:t>
            </w:r>
          </w:p>
        </w:tc>
        <w:tc>
          <w:tcPr>
            <w:tcW w:w="2841" w:type="dxa"/>
            <w:shd w:val="clear" w:color="auto" w:fill="auto"/>
            <w:vAlign w:val="center"/>
          </w:tcPr>
          <w:p w14:paraId="03F0059B">
            <w:pPr>
              <w:pStyle w:val="49"/>
            </w:pPr>
            <w:r>
              <w:t>66</w:t>
            </w:r>
          </w:p>
        </w:tc>
        <w:tc>
          <w:tcPr>
            <w:tcW w:w="2841" w:type="dxa"/>
            <w:tcBorders>
              <w:right w:val="nil"/>
            </w:tcBorders>
            <w:shd w:val="clear" w:color="auto" w:fill="auto"/>
            <w:vAlign w:val="center"/>
          </w:tcPr>
          <w:p w14:paraId="7F3D8609">
            <w:pPr>
              <w:pStyle w:val="49"/>
            </w:pPr>
            <w:r>
              <w:t>B</w:t>
            </w:r>
          </w:p>
        </w:tc>
      </w:tr>
      <w:tr w14:paraId="7113A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2A18B94D">
            <w:pPr>
              <w:pStyle w:val="49"/>
            </w:pPr>
            <w:r>
              <w:t>AE</w:t>
            </w:r>
          </w:p>
        </w:tc>
        <w:tc>
          <w:tcPr>
            <w:tcW w:w="2841" w:type="dxa"/>
            <w:shd w:val="clear" w:color="auto" w:fill="auto"/>
            <w:vAlign w:val="center"/>
          </w:tcPr>
          <w:p w14:paraId="096B9E81">
            <w:pPr>
              <w:pStyle w:val="49"/>
            </w:pPr>
            <w:r>
              <w:t>123</w:t>
            </w:r>
          </w:p>
        </w:tc>
        <w:tc>
          <w:tcPr>
            <w:tcW w:w="2841" w:type="dxa"/>
            <w:tcBorders>
              <w:right w:val="nil"/>
            </w:tcBorders>
            <w:shd w:val="clear" w:color="auto" w:fill="auto"/>
            <w:vAlign w:val="center"/>
          </w:tcPr>
          <w:p w14:paraId="1C438764">
            <w:pPr>
              <w:pStyle w:val="49"/>
            </w:pPr>
            <w:r>
              <w:t>A</w:t>
            </w:r>
          </w:p>
        </w:tc>
      </w:tr>
      <w:tr w14:paraId="22DC1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6C895B6D">
            <w:pPr>
              <w:pStyle w:val="49"/>
            </w:pPr>
            <w:r>
              <w:t>AF</w:t>
            </w:r>
          </w:p>
        </w:tc>
        <w:tc>
          <w:tcPr>
            <w:tcW w:w="2841" w:type="dxa"/>
            <w:shd w:val="clear" w:color="auto" w:fill="auto"/>
            <w:vAlign w:val="center"/>
          </w:tcPr>
          <w:p w14:paraId="2ECDCEDA">
            <w:pPr>
              <w:pStyle w:val="49"/>
            </w:pPr>
            <w:r>
              <w:t>148</w:t>
            </w:r>
          </w:p>
        </w:tc>
        <w:tc>
          <w:tcPr>
            <w:tcW w:w="2841" w:type="dxa"/>
            <w:tcBorders>
              <w:right w:val="nil"/>
            </w:tcBorders>
            <w:shd w:val="clear" w:color="auto" w:fill="auto"/>
            <w:vAlign w:val="center"/>
          </w:tcPr>
          <w:p w14:paraId="372A81C0">
            <w:pPr>
              <w:pStyle w:val="49"/>
            </w:pPr>
            <w:r>
              <w:t>A</w:t>
            </w:r>
          </w:p>
        </w:tc>
      </w:tr>
      <w:tr w14:paraId="05C4E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3F5F2F3E">
            <w:pPr>
              <w:pStyle w:val="49"/>
            </w:pPr>
            <w:r>
              <w:t>AG</w:t>
            </w:r>
          </w:p>
        </w:tc>
        <w:tc>
          <w:tcPr>
            <w:tcW w:w="2841" w:type="dxa"/>
            <w:shd w:val="clear" w:color="auto" w:fill="auto"/>
            <w:vAlign w:val="center"/>
          </w:tcPr>
          <w:p w14:paraId="17877054">
            <w:pPr>
              <w:pStyle w:val="49"/>
            </w:pPr>
            <w:r>
              <w:t>85</w:t>
            </w:r>
          </w:p>
        </w:tc>
        <w:tc>
          <w:tcPr>
            <w:tcW w:w="2841" w:type="dxa"/>
            <w:tcBorders>
              <w:right w:val="nil"/>
            </w:tcBorders>
            <w:shd w:val="clear" w:color="auto" w:fill="auto"/>
            <w:vAlign w:val="center"/>
          </w:tcPr>
          <w:p w14:paraId="64E43DEB">
            <w:pPr>
              <w:pStyle w:val="49"/>
            </w:pPr>
            <w:r>
              <w:t>B</w:t>
            </w:r>
          </w:p>
        </w:tc>
      </w:tr>
      <w:tr w14:paraId="4731E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24E0B35E">
            <w:pPr>
              <w:pStyle w:val="49"/>
            </w:pPr>
            <w:r>
              <w:t>AH</w:t>
            </w:r>
          </w:p>
        </w:tc>
        <w:tc>
          <w:tcPr>
            <w:tcW w:w="2841" w:type="dxa"/>
            <w:shd w:val="clear" w:color="auto" w:fill="auto"/>
            <w:vAlign w:val="center"/>
          </w:tcPr>
          <w:p w14:paraId="506A0DF8">
            <w:pPr>
              <w:pStyle w:val="49"/>
            </w:pPr>
            <w:r>
              <w:t>83</w:t>
            </w:r>
          </w:p>
        </w:tc>
        <w:tc>
          <w:tcPr>
            <w:tcW w:w="2841" w:type="dxa"/>
            <w:tcBorders>
              <w:right w:val="nil"/>
            </w:tcBorders>
            <w:shd w:val="clear" w:color="auto" w:fill="auto"/>
            <w:vAlign w:val="center"/>
          </w:tcPr>
          <w:p w14:paraId="04D89056">
            <w:pPr>
              <w:pStyle w:val="49"/>
            </w:pPr>
            <w:r>
              <w:t>A</w:t>
            </w:r>
          </w:p>
        </w:tc>
      </w:tr>
      <w:tr w14:paraId="51DAB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4718B0BA">
            <w:pPr>
              <w:pStyle w:val="49"/>
            </w:pPr>
            <w:r>
              <w:t>AI</w:t>
            </w:r>
          </w:p>
        </w:tc>
        <w:tc>
          <w:tcPr>
            <w:tcW w:w="2841" w:type="dxa"/>
            <w:shd w:val="clear" w:color="auto" w:fill="auto"/>
            <w:vAlign w:val="center"/>
          </w:tcPr>
          <w:p w14:paraId="54B308E7">
            <w:pPr>
              <w:pStyle w:val="49"/>
            </w:pPr>
            <w:r>
              <w:t>116</w:t>
            </w:r>
          </w:p>
        </w:tc>
        <w:tc>
          <w:tcPr>
            <w:tcW w:w="2841" w:type="dxa"/>
            <w:tcBorders>
              <w:right w:val="nil"/>
            </w:tcBorders>
            <w:shd w:val="clear" w:color="auto" w:fill="auto"/>
            <w:vAlign w:val="center"/>
          </w:tcPr>
          <w:p w14:paraId="087B3304">
            <w:pPr>
              <w:pStyle w:val="49"/>
            </w:pPr>
            <w:r>
              <w:t>A</w:t>
            </w:r>
          </w:p>
        </w:tc>
      </w:tr>
      <w:tr w14:paraId="0B996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6C492248">
            <w:pPr>
              <w:pStyle w:val="49"/>
            </w:pPr>
            <w:r>
              <w:t>AJ</w:t>
            </w:r>
          </w:p>
        </w:tc>
        <w:tc>
          <w:tcPr>
            <w:tcW w:w="2841" w:type="dxa"/>
            <w:shd w:val="clear" w:color="auto" w:fill="auto"/>
            <w:vAlign w:val="center"/>
          </w:tcPr>
          <w:p w14:paraId="0176B6FE">
            <w:pPr>
              <w:pStyle w:val="49"/>
            </w:pPr>
            <w:r>
              <w:t>100</w:t>
            </w:r>
          </w:p>
        </w:tc>
        <w:tc>
          <w:tcPr>
            <w:tcW w:w="2841" w:type="dxa"/>
            <w:tcBorders>
              <w:right w:val="nil"/>
            </w:tcBorders>
            <w:shd w:val="clear" w:color="auto" w:fill="auto"/>
            <w:vAlign w:val="center"/>
          </w:tcPr>
          <w:p w14:paraId="6F86E20D">
            <w:pPr>
              <w:pStyle w:val="49"/>
            </w:pPr>
            <w:r>
              <w:t>B</w:t>
            </w:r>
          </w:p>
        </w:tc>
      </w:tr>
      <w:tr w14:paraId="0B097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5FCC5205">
            <w:pPr>
              <w:pStyle w:val="49"/>
            </w:pPr>
            <w:r>
              <w:t>AK</w:t>
            </w:r>
          </w:p>
        </w:tc>
        <w:tc>
          <w:tcPr>
            <w:tcW w:w="2841" w:type="dxa"/>
            <w:shd w:val="clear" w:color="auto" w:fill="auto"/>
            <w:vAlign w:val="center"/>
          </w:tcPr>
          <w:p w14:paraId="25582DD5">
            <w:pPr>
              <w:pStyle w:val="49"/>
            </w:pPr>
            <w:r>
              <w:t>106</w:t>
            </w:r>
          </w:p>
        </w:tc>
        <w:tc>
          <w:tcPr>
            <w:tcW w:w="2841" w:type="dxa"/>
            <w:tcBorders>
              <w:right w:val="nil"/>
            </w:tcBorders>
            <w:shd w:val="clear" w:color="auto" w:fill="auto"/>
            <w:vAlign w:val="center"/>
          </w:tcPr>
          <w:p w14:paraId="12A35F55">
            <w:pPr>
              <w:pStyle w:val="49"/>
            </w:pPr>
            <w:r>
              <w:t>B</w:t>
            </w:r>
          </w:p>
        </w:tc>
      </w:tr>
      <w:tr w14:paraId="2E61F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bottom w:val="single" w:color="000000" w:sz="12" w:space="0"/>
            </w:tcBorders>
            <w:shd w:val="clear" w:color="auto" w:fill="auto"/>
            <w:vAlign w:val="center"/>
          </w:tcPr>
          <w:p w14:paraId="6A738A48">
            <w:pPr>
              <w:pStyle w:val="49"/>
            </w:pPr>
            <w:r>
              <w:t>ACA</w:t>
            </w:r>
          </w:p>
        </w:tc>
        <w:tc>
          <w:tcPr>
            <w:tcW w:w="2841" w:type="dxa"/>
            <w:tcBorders>
              <w:bottom w:val="single" w:color="000000" w:sz="12" w:space="0"/>
            </w:tcBorders>
            <w:shd w:val="clear" w:color="auto" w:fill="auto"/>
            <w:vAlign w:val="center"/>
          </w:tcPr>
          <w:p w14:paraId="191025FD">
            <w:pPr>
              <w:pStyle w:val="49"/>
            </w:pPr>
            <w:r>
              <w:t>75</w:t>
            </w:r>
          </w:p>
        </w:tc>
        <w:tc>
          <w:tcPr>
            <w:tcW w:w="2841" w:type="dxa"/>
            <w:tcBorders>
              <w:bottom w:val="single" w:color="000000" w:sz="12" w:space="0"/>
              <w:right w:val="nil"/>
            </w:tcBorders>
            <w:shd w:val="clear" w:color="auto" w:fill="auto"/>
            <w:vAlign w:val="center"/>
          </w:tcPr>
          <w:p w14:paraId="39A297C4">
            <w:pPr>
              <w:pStyle w:val="49"/>
            </w:pPr>
            <w:r>
              <w:t>B</w:t>
            </w:r>
          </w:p>
        </w:tc>
      </w:tr>
    </w:tbl>
    <w:p w14:paraId="3EF456B9">
      <w:pPr>
        <w:ind w:firstLine="0" w:firstLineChars="0"/>
      </w:pPr>
    </w:p>
    <w:p w14:paraId="69C1ADF1">
      <w:pPr>
        <w:ind w:firstLine="0" w:firstLineChars="0"/>
        <w:jc w:val="center"/>
      </w:pPr>
      <w:r>
        <w:t xml:space="preserve">Table </w:t>
      </w:r>
      <w:r>
        <w:rPr>
          <w:rFonts w:hint="eastAsia"/>
        </w:rPr>
        <w:t>S</w:t>
      </w:r>
      <w:r>
        <w:t>6.</w:t>
      </w:r>
      <w:r>
        <w:rPr>
          <w:rFonts w:hint="eastAsia"/>
        </w:rPr>
        <w:t>8.</w:t>
      </w:r>
      <w:r>
        <w:t xml:space="preserve"> Runway structural parameters (2023)</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681B0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12" w:space="0"/>
              <w:left w:val="nil"/>
              <w:bottom w:val="single" w:color="auto" w:sz="12" w:space="0"/>
            </w:tcBorders>
            <w:shd w:val="clear" w:color="auto" w:fill="auto"/>
            <w:vAlign w:val="center"/>
          </w:tcPr>
          <w:p w14:paraId="7F47089B">
            <w:pPr>
              <w:pStyle w:val="49"/>
            </w:pPr>
            <w:r>
              <w:t>Component</w:t>
            </w:r>
          </w:p>
        </w:tc>
        <w:tc>
          <w:tcPr>
            <w:tcW w:w="2841" w:type="dxa"/>
            <w:tcBorders>
              <w:top w:val="single" w:color="auto" w:sz="12" w:space="0"/>
              <w:bottom w:val="single" w:color="auto" w:sz="12" w:space="0"/>
            </w:tcBorders>
            <w:shd w:val="clear" w:color="auto" w:fill="auto"/>
            <w:vAlign w:val="center"/>
          </w:tcPr>
          <w:p w14:paraId="7F132AE7">
            <w:pPr>
              <w:pStyle w:val="49"/>
            </w:pPr>
            <w:r>
              <w:t>Subgrade Reaction Modulus（MN/m³）</w:t>
            </w:r>
          </w:p>
        </w:tc>
        <w:tc>
          <w:tcPr>
            <w:tcW w:w="2841" w:type="dxa"/>
            <w:tcBorders>
              <w:top w:val="single" w:color="auto" w:sz="12" w:space="0"/>
              <w:bottom w:val="single" w:color="auto" w:sz="12" w:space="0"/>
              <w:right w:val="nil"/>
            </w:tcBorders>
            <w:shd w:val="clear" w:color="auto" w:fill="auto"/>
            <w:vAlign w:val="center"/>
          </w:tcPr>
          <w:p w14:paraId="54B7374B">
            <w:pPr>
              <w:pStyle w:val="49"/>
            </w:pPr>
            <w:r>
              <w:t>Subgrade Strength Grade</w:t>
            </w:r>
          </w:p>
        </w:tc>
      </w:tr>
      <w:tr w14:paraId="400C3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12" w:space="0"/>
              <w:left w:val="nil"/>
            </w:tcBorders>
            <w:shd w:val="clear" w:color="auto" w:fill="auto"/>
            <w:vAlign w:val="center"/>
          </w:tcPr>
          <w:p w14:paraId="5BBBEFDC">
            <w:pPr>
              <w:pStyle w:val="49"/>
            </w:pPr>
            <w:r>
              <w:t>TD</w:t>
            </w:r>
          </w:p>
        </w:tc>
        <w:tc>
          <w:tcPr>
            <w:tcW w:w="2841" w:type="dxa"/>
            <w:tcBorders>
              <w:top w:val="single" w:color="auto" w:sz="12" w:space="0"/>
            </w:tcBorders>
            <w:shd w:val="clear" w:color="auto" w:fill="auto"/>
            <w:vAlign w:val="center"/>
          </w:tcPr>
          <w:p w14:paraId="4DE31CB0">
            <w:pPr>
              <w:pStyle w:val="49"/>
            </w:pPr>
            <w:r>
              <w:t>134</w:t>
            </w:r>
          </w:p>
        </w:tc>
        <w:tc>
          <w:tcPr>
            <w:tcW w:w="2841" w:type="dxa"/>
            <w:tcBorders>
              <w:top w:val="single" w:color="auto" w:sz="12" w:space="0"/>
              <w:right w:val="nil"/>
            </w:tcBorders>
            <w:shd w:val="clear" w:color="auto" w:fill="auto"/>
            <w:vAlign w:val="center"/>
          </w:tcPr>
          <w:p w14:paraId="161FFA60">
            <w:pPr>
              <w:pStyle w:val="49"/>
            </w:pPr>
            <w:r>
              <w:t>A</w:t>
            </w:r>
          </w:p>
        </w:tc>
      </w:tr>
      <w:tr w14:paraId="13231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5D56F73F">
            <w:pPr>
              <w:pStyle w:val="49"/>
            </w:pPr>
            <w:r>
              <w:t>A6</w:t>
            </w:r>
          </w:p>
        </w:tc>
        <w:tc>
          <w:tcPr>
            <w:tcW w:w="2841" w:type="dxa"/>
            <w:shd w:val="clear" w:color="auto" w:fill="auto"/>
            <w:vAlign w:val="center"/>
          </w:tcPr>
          <w:p w14:paraId="62E01ADE">
            <w:pPr>
              <w:pStyle w:val="49"/>
            </w:pPr>
            <w:r>
              <w:t>97</w:t>
            </w:r>
          </w:p>
        </w:tc>
        <w:tc>
          <w:tcPr>
            <w:tcW w:w="2841" w:type="dxa"/>
            <w:tcBorders>
              <w:right w:val="nil"/>
            </w:tcBorders>
            <w:shd w:val="clear" w:color="auto" w:fill="auto"/>
            <w:vAlign w:val="center"/>
          </w:tcPr>
          <w:p w14:paraId="17856860">
            <w:pPr>
              <w:pStyle w:val="49"/>
            </w:pPr>
            <w:r>
              <w:t>B</w:t>
            </w:r>
          </w:p>
        </w:tc>
      </w:tr>
      <w:tr w14:paraId="4031B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13AD5691">
            <w:pPr>
              <w:pStyle w:val="49"/>
            </w:pPr>
            <w:r>
              <w:t>A2-A</w:t>
            </w:r>
          </w:p>
        </w:tc>
        <w:tc>
          <w:tcPr>
            <w:tcW w:w="2841" w:type="dxa"/>
            <w:shd w:val="clear" w:color="auto" w:fill="auto"/>
            <w:vAlign w:val="center"/>
          </w:tcPr>
          <w:p w14:paraId="30C0EF89">
            <w:pPr>
              <w:pStyle w:val="49"/>
            </w:pPr>
            <w:r>
              <w:t>101</w:t>
            </w:r>
          </w:p>
        </w:tc>
        <w:tc>
          <w:tcPr>
            <w:tcW w:w="2841" w:type="dxa"/>
            <w:tcBorders>
              <w:right w:val="nil"/>
            </w:tcBorders>
            <w:shd w:val="clear" w:color="auto" w:fill="auto"/>
            <w:vAlign w:val="center"/>
          </w:tcPr>
          <w:p w14:paraId="02F09890">
            <w:pPr>
              <w:pStyle w:val="49"/>
            </w:pPr>
            <w:r>
              <w:t>B</w:t>
            </w:r>
          </w:p>
        </w:tc>
      </w:tr>
      <w:tr w14:paraId="4BC22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nil"/>
            </w:tcBorders>
            <w:shd w:val="clear" w:color="auto" w:fill="auto"/>
            <w:vAlign w:val="center"/>
          </w:tcPr>
          <w:p w14:paraId="1B603A49">
            <w:pPr>
              <w:pStyle w:val="49"/>
            </w:pPr>
            <w:r>
              <w:t>A2-B</w:t>
            </w:r>
          </w:p>
        </w:tc>
        <w:tc>
          <w:tcPr>
            <w:tcW w:w="2841" w:type="dxa"/>
            <w:shd w:val="clear" w:color="auto" w:fill="auto"/>
            <w:vAlign w:val="center"/>
          </w:tcPr>
          <w:p w14:paraId="73C51862">
            <w:pPr>
              <w:pStyle w:val="49"/>
            </w:pPr>
            <w:r>
              <w:t>82</w:t>
            </w:r>
          </w:p>
        </w:tc>
        <w:tc>
          <w:tcPr>
            <w:tcW w:w="2841" w:type="dxa"/>
            <w:tcBorders>
              <w:right w:val="nil"/>
            </w:tcBorders>
            <w:shd w:val="clear" w:color="auto" w:fill="auto"/>
            <w:vAlign w:val="center"/>
          </w:tcPr>
          <w:p w14:paraId="103C3450">
            <w:pPr>
              <w:pStyle w:val="49"/>
            </w:pPr>
            <w:r>
              <w:t>B</w:t>
            </w:r>
          </w:p>
        </w:tc>
      </w:tr>
      <w:tr w14:paraId="3EF36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left w:val="nil"/>
              <w:bottom w:val="single" w:color="000000" w:sz="12" w:space="0"/>
            </w:tcBorders>
            <w:shd w:val="clear" w:color="auto" w:fill="auto"/>
            <w:vAlign w:val="center"/>
          </w:tcPr>
          <w:p w14:paraId="34E3591A">
            <w:pPr>
              <w:pStyle w:val="49"/>
            </w:pPr>
            <w:r>
              <w:t>A4A</w:t>
            </w:r>
          </w:p>
        </w:tc>
        <w:tc>
          <w:tcPr>
            <w:tcW w:w="0" w:type="auto"/>
            <w:tcBorders>
              <w:bottom w:val="single" w:color="000000" w:sz="12" w:space="0"/>
            </w:tcBorders>
            <w:shd w:val="clear" w:color="auto" w:fill="auto"/>
            <w:vAlign w:val="center"/>
          </w:tcPr>
          <w:p w14:paraId="767B4012">
            <w:pPr>
              <w:pStyle w:val="49"/>
            </w:pPr>
            <w:r>
              <w:t>99</w:t>
            </w:r>
          </w:p>
        </w:tc>
        <w:tc>
          <w:tcPr>
            <w:tcW w:w="0" w:type="auto"/>
            <w:tcBorders>
              <w:bottom w:val="single" w:color="000000" w:sz="12" w:space="0"/>
              <w:right w:val="nil"/>
            </w:tcBorders>
            <w:shd w:val="clear" w:color="auto" w:fill="auto"/>
            <w:vAlign w:val="center"/>
          </w:tcPr>
          <w:p w14:paraId="440B70AB">
            <w:pPr>
              <w:pStyle w:val="49"/>
            </w:pPr>
            <w:r>
              <w:t>B</w:t>
            </w:r>
          </w:p>
        </w:tc>
      </w:tr>
    </w:tbl>
    <w:p w14:paraId="31E4387A">
      <w:pPr>
        <w:ind w:left="0" w:leftChars="0" w:firstLine="0" w:firstLineChars="0"/>
        <w:jc w:val="both"/>
      </w:pPr>
    </w:p>
    <w:p w14:paraId="44147525">
      <w:pPr>
        <w:ind w:firstLine="420"/>
        <w:jc w:val="center"/>
      </w:pPr>
      <w:r>
        <w:t xml:space="preserve">Table </w:t>
      </w:r>
      <w:r>
        <w:rPr>
          <w:rFonts w:hint="eastAsia"/>
        </w:rPr>
        <w:t>S</w:t>
      </w:r>
      <w:r>
        <w:t>6.</w:t>
      </w:r>
      <w:r>
        <w:rPr>
          <w:rFonts w:hint="eastAsia"/>
        </w:rPr>
        <w:t>9.</w:t>
      </w:r>
      <w:r>
        <w:t xml:space="preserve"> Runway structural parameters (2024)</w:t>
      </w:r>
    </w:p>
    <w:tbl>
      <w:tblPr>
        <w:tblStyle w:val="16"/>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6"/>
        <w:gridCol w:w="2130"/>
        <w:gridCol w:w="1861"/>
      </w:tblGrid>
      <w:tr w14:paraId="216D60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tcBorders>
              <w:top w:val="single" w:color="auto" w:sz="12" w:space="0"/>
              <w:bottom w:val="single" w:color="auto" w:sz="12" w:space="0"/>
            </w:tcBorders>
            <w:shd w:val="clear" w:color="auto" w:fill="auto"/>
            <w:vAlign w:val="center"/>
          </w:tcPr>
          <w:p w14:paraId="2F745C49">
            <w:pPr>
              <w:pStyle w:val="49"/>
            </w:pPr>
            <w:r>
              <w:t>Component</w:t>
            </w:r>
          </w:p>
        </w:tc>
        <w:tc>
          <w:tcPr>
            <w:tcW w:w="2130" w:type="dxa"/>
            <w:tcBorders>
              <w:top w:val="single" w:color="auto" w:sz="12" w:space="0"/>
              <w:bottom w:val="single" w:color="auto" w:sz="12" w:space="0"/>
            </w:tcBorders>
            <w:shd w:val="clear" w:color="auto" w:fill="auto"/>
            <w:vAlign w:val="center"/>
          </w:tcPr>
          <w:p w14:paraId="2FBB126F">
            <w:pPr>
              <w:pStyle w:val="49"/>
            </w:pPr>
            <w:r>
              <w:t>Subgrade Reaction Modulus（MN/m³）</w:t>
            </w:r>
          </w:p>
        </w:tc>
        <w:tc>
          <w:tcPr>
            <w:tcW w:w="1861" w:type="dxa"/>
            <w:tcBorders>
              <w:top w:val="single" w:color="auto" w:sz="12" w:space="0"/>
              <w:bottom w:val="single" w:color="auto" w:sz="12" w:space="0"/>
            </w:tcBorders>
            <w:shd w:val="clear" w:color="auto" w:fill="auto"/>
            <w:vAlign w:val="center"/>
          </w:tcPr>
          <w:p w14:paraId="521331F3">
            <w:pPr>
              <w:pStyle w:val="49"/>
            </w:pPr>
            <w:r>
              <w:t>Subgrade Strength Grade</w:t>
            </w:r>
          </w:p>
        </w:tc>
      </w:tr>
      <w:tr w14:paraId="631AC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tcBorders>
              <w:top w:val="single" w:color="auto" w:sz="12" w:space="0"/>
            </w:tcBorders>
            <w:shd w:val="clear" w:color="auto" w:fill="auto"/>
            <w:vAlign w:val="center"/>
          </w:tcPr>
          <w:p w14:paraId="3401B684">
            <w:pPr>
              <w:pStyle w:val="49"/>
            </w:pPr>
            <w:r>
              <w:t>East Runway</w:t>
            </w:r>
          </w:p>
        </w:tc>
        <w:tc>
          <w:tcPr>
            <w:tcW w:w="2130" w:type="dxa"/>
            <w:tcBorders>
              <w:top w:val="single" w:color="auto" w:sz="12" w:space="0"/>
            </w:tcBorders>
            <w:shd w:val="clear" w:color="auto" w:fill="auto"/>
            <w:vAlign w:val="center"/>
          </w:tcPr>
          <w:p w14:paraId="1D400D18">
            <w:pPr>
              <w:pStyle w:val="49"/>
            </w:pPr>
            <w:r>
              <w:t>112</w:t>
            </w:r>
          </w:p>
        </w:tc>
        <w:tc>
          <w:tcPr>
            <w:tcW w:w="1861" w:type="dxa"/>
            <w:tcBorders>
              <w:top w:val="single" w:color="auto" w:sz="12" w:space="0"/>
            </w:tcBorders>
            <w:shd w:val="clear" w:color="auto" w:fill="auto"/>
            <w:vAlign w:val="center"/>
          </w:tcPr>
          <w:p w14:paraId="27DD0499">
            <w:pPr>
              <w:pStyle w:val="49"/>
            </w:pPr>
            <w:r>
              <w:t>B</w:t>
            </w:r>
          </w:p>
        </w:tc>
      </w:tr>
      <w:tr w14:paraId="4ED727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shd w:val="clear" w:color="auto" w:fill="auto"/>
            <w:vAlign w:val="center"/>
          </w:tcPr>
          <w:p w14:paraId="3AD7630E">
            <w:pPr>
              <w:pStyle w:val="49"/>
            </w:pPr>
            <w:r>
              <w:t>Taxiway A</w:t>
            </w:r>
          </w:p>
        </w:tc>
        <w:tc>
          <w:tcPr>
            <w:tcW w:w="2130" w:type="dxa"/>
            <w:shd w:val="clear" w:color="auto" w:fill="auto"/>
            <w:vAlign w:val="center"/>
          </w:tcPr>
          <w:p w14:paraId="1F4E8833">
            <w:pPr>
              <w:pStyle w:val="49"/>
            </w:pPr>
            <w:r>
              <w:t>111</w:t>
            </w:r>
          </w:p>
        </w:tc>
        <w:tc>
          <w:tcPr>
            <w:tcW w:w="1861" w:type="dxa"/>
            <w:shd w:val="clear" w:color="auto" w:fill="auto"/>
            <w:vAlign w:val="center"/>
          </w:tcPr>
          <w:p w14:paraId="10805850">
            <w:pPr>
              <w:pStyle w:val="49"/>
            </w:pPr>
            <w:r>
              <w:t>B</w:t>
            </w:r>
          </w:p>
        </w:tc>
      </w:tr>
      <w:tr w14:paraId="444603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shd w:val="clear" w:color="auto" w:fill="auto"/>
            <w:vAlign w:val="center"/>
          </w:tcPr>
          <w:p w14:paraId="42B1E468">
            <w:pPr>
              <w:pStyle w:val="49"/>
            </w:pPr>
            <w:r>
              <w:t>Rapid-Exit Taxiway A1</w:t>
            </w:r>
          </w:p>
        </w:tc>
        <w:tc>
          <w:tcPr>
            <w:tcW w:w="2130" w:type="dxa"/>
            <w:shd w:val="clear" w:color="auto" w:fill="auto"/>
            <w:vAlign w:val="center"/>
          </w:tcPr>
          <w:p w14:paraId="54DF7FCA">
            <w:pPr>
              <w:pStyle w:val="49"/>
            </w:pPr>
            <w:r>
              <w:t>92</w:t>
            </w:r>
          </w:p>
        </w:tc>
        <w:tc>
          <w:tcPr>
            <w:tcW w:w="1861" w:type="dxa"/>
            <w:shd w:val="clear" w:color="auto" w:fill="auto"/>
            <w:vAlign w:val="center"/>
          </w:tcPr>
          <w:p w14:paraId="7CDF54DC">
            <w:pPr>
              <w:pStyle w:val="49"/>
            </w:pPr>
            <w:r>
              <w:t>B</w:t>
            </w:r>
          </w:p>
        </w:tc>
      </w:tr>
      <w:tr w14:paraId="280FDD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shd w:val="clear" w:color="auto" w:fill="auto"/>
            <w:vAlign w:val="center"/>
          </w:tcPr>
          <w:p w14:paraId="1B0DBFB8">
            <w:pPr>
              <w:pStyle w:val="49"/>
            </w:pPr>
            <w:r>
              <w:t>Rapid-Exit Taxiway A2</w:t>
            </w:r>
          </w:p>
        </w:tc>
        <w:tc>
          <w:tcPr>
            <w:tcW w:w="2130" w:type="dxa"/>
            <w:shd w:val="clear" w:color="auto" w:fill="auto"/>
            <w:vAlign w:val="center"/>
          </w:tcPr>
          <w:p w14:paraId="4E7EE842">
            <w:pPr>
              <w:pStyle w:val="49"/>
            </w:pPr>
            <w:r>
              <w:t>92</w:t>
            </w:r>
          </w:p>
        </w:tc>
        <w:tc>
          <w:tcPr>
            <w:tcW w:w="1861" w:type="dxa"/>
            <w:shd w:val="clear" w:color="auto" w:fill="auto"/>
            <w:vAlign w:val="center"/>
          </w:tcPr>
          <w:p w14:paraId="6D39ADB4">
            <w:pPr>
              <w:pStyle w:val="49"/>
            </w:pPr>
            <w:r>
              <w:t>B</w:t>
            </w:r>
          </w:p>
        </w:tc>
      </w:tr>
      <w:tr w14:paraId="3D9171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shd w:val="clear" w:color="auto" w:fill="auto"/>
            <w:vAlign w:val="center"/>
          </w:tcPr>
          <w:p w14:paraId="367B1BD2">
            <w:pPr>
              <w:pStyle w:val="49"/>
            </w:pPr>
            <w:r>
              <w:t>Rapid-Exit Taxiway A3</w:t>
            </w:r>
          </w:p>
        </w:tc>
        <w:tc>
          <w:tcPr>
            <w:tcW w:w="2130" w:type="dxa"/>
            <w:shd w:val="clear" w:color="auto" w:fill="auto"/>
            <w:vAlign w:val="center"/>
          </w:tcPr>
          <w:p w14:paraId="3461BF6C">
            <w:pPr>
              <w:pStyle w:val="49"/>
            </w:pPr>
            <w:r>
              <w:t>86</w:t>
            </w:r>
          </w:p>
        </w:tc>
        <w:tc>
          <w:tcPr>
            <w:tcW w:w="1861" w:type="dxa"/>
            <w:shd w:val="clear" w:color="auto" w:fill="auto"/>
            <w:vAlign w:val="center"/>
          </w:tcPr>
          <w:p w14:paraId="434987C8">
            <w:pPr>
              <w:pStyle w:val="49"/>
            </w:pPr>
            <w:r>
              <w:t>B</w:t>
            </w:r>
          </w:p>
        </w:tc>
      </w:tr>
      <w:tr w14:paraId="3C5540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96" w:type="dxa"/>
            <w:shd w:val="clear" w:color="auto" w:fill="auto"/>
            <w:vAlign w:val="center"/>
          </w:tcPr>
          <w:p w14:paraId="45B6043E">
            <w:pPr>
              <w:pStyle w:val="49"/>
            </w:pPr>
            <w:r>
              <w:t>Rapid-Exit Taxiway A4</w:t>
            </w:r>
          </w:p>
        </w:tc>
        <w:tc>
          <w:tcPr>
            <w:tcW w:w="2130" w:type="dxa"/>
            <w:shd w:val="clear" w:color="auto" w:fill="auto"/>
            <w:vAlign w:val="center"/>
          </w:tcPr>
          <w:p w14:paraId="508B634E">
            <w:pPr>
              <w:pStyle w:val="49"/>
            </w:pPr>
            <w:r>
              <w:t>87</w:t>
            </w:r>
          </w:p>
        </w:tc>
        <w:tc>
          <w:tcPr>
            <w:tcW w:w="1861" w:type="dxa"/>
            <w:shd w:val="clear" w:color="auto" w:fill="auto"/>
            <w:vAlign w:val="center"/>
          </w:tcPr>
          <w:p w14:paraId="76B1CA91">
            <w:pPr>
              <w:pStyle w:val="49"/>
            </w:pPr>
            <w:r>
              <w:t>B</w:t>
            </w:r>
          </w:p>
        </w:tc>
      </w:tr>
      <w:tr w14:paraId="5DB293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75429066">
            <w:pPr>
              <w:pStyle w:val="49"/>
            </w:pPr>
            <w:r>
              <w:t>Rapid-Exit Taxiway B1</w:t>
            </w:r>
          </w:p>
        </w:tc>
        <w:tc>
          <w:tcPr>
            <w:tcW w:w="0" w:type="auto"/>
            <w:shd w:val="clear" w:color="auto" w:fill="auto"/>
            <w:vAlign w:val="center"/>
          </w:tcPr>
          <w:p w14:paraId="00586774">
            <w:pPr>
              <w:pStyle w:val="49"/>
            </w:pPr>
            <w:r>
              <w:t>103</w:t>
            </w:r>
          </w:p>
        </w:tc>
        <w:tc>
          <w:tcPr>
            <w:tcW w:w="1861" w:type="dxa"/>
            <w:shd w:val="clear" w:color="auto" w:fill="auto"/>
            <w:vAlign w:val="center"/>
          </w:tcPr>
          <w:p w14:paraId="3E8B5672">
            <w:pPr>
              <w:pStyle w:val="49"/>
            </w:pPr>
            <w:r>
              <w:t>B</w:t>
            </w:r>
          </w:p>
        </w:tc>
      </w:tr>
      <w:tr w14:paraId="1A5409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48537107">
            <w:pPr>
              <w:pStyle w:val="49"/>
            </w:pPr>
            <w:r>
              <w:t>Rapid-Exit Taxiway B2</w:t>
            </w:r>
          </w:p>
        </w:tc>
        <w:tc>
          <w:tcPr>
            <w:tcW w:w="0" w:type="auto"/>
            <w:shd w:val="clear" w:color="auto" w:fill="auto"/>
            <w:vAlign w:val="center"/>
          </w:tcPr>
          <w:p w14:paraId="1C4AC2F5">
            <w:pPr>
              <w:pStyle w:val="49"/>
            </w:pPr>
            <w:r>
              <w:t>103</w:t>
            </w:r>
          </w:p>
        </w:tc>
        <w:tc>
          <w:tcPr>
            <w:tcW w:w="1861" w:type="dxa"/>
            <w:shd w:val="clear" w:color="auto" w:fill="auto"/>
            <w:vAlign w:val="center"/>
          </w:tcPr>
          <w:p w14:paraId="323C7C12">
            <w:pPr>
              <w:pStyle w:val="49"/>
            </w:pPr>
            <w:r>
              <w:t>B</w:t>
            </w:r>
          </w:p>
        </w:tc>
      </w:tr>
      <w:tr w14:paraId="2B7395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4F1BA193">
            <w:pPr>
              <w:pStyle w:val="49"/>
            </w:pPr>
            <w:r>
              <w:t>Rapid-Exit Taxiway B3</w:t>
            </w:r>
          </w:p>
        </w:tc>
        <w:tc>
          <w:tcPr>
            <w:tcW w:w="0" w:type="auto"/>
            <w:shd w:val="clear" w:color="auto" w:fill="auto"/>
            <w:vAlign w:val="center"/>
          </w:tcPr>
          <w:p w14:paraId="79C23C86">
            <w:pPr>
              <w:pStyle w:val="49"/>
            </w:pPr>
            <w:r>
              <w:t>70</w:t>
            </w:r>
          </w:p>
        </w:tc>
        <w:tc>
          <w:tcPr>
            <w:tcW w:w="1861" w:type="dxa"/>
            <w:shd w:val="clear" w:color="auto" w:fill="auto"/>
            <w:vAlign w:val="center"/>
          </w:tcPr>
          <w:p w14:paraId="5ABE55FB">
            <w:pPr>
              <w:pStyle w:val="49"/>
            </w:pPr>
            <w:r>
              <w:t>B</w:t>
            </w:r>
          </w:p>
        </w:tc>
      </w:tr>
      <w:tr w14:paraId="483CF8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1195F698">
            <w:pPr>
              <w:pStyle w:val="49"/>
            </w:pPr>
            <w:r>
              <w:t>Rapid-Exit Taxiway B4</w:t>
            </w:r>
          </w:p>
        </w:tc>
        <w:tc>
          <w:tcPr>
            <w:tcW w:w="0" w:type="auto"/>
            <w:shd w:val="clear" w:color="auto" w:fill="auto"/>
            <w:vAlign w:val="center"/>
          </w:tcPr>
          <w:p w14:paraId="1DE748BC">
            <w:pPr>
              <w:pStyle w:val="49"/>
            </w:pPr>
            <w:r>
              <w:t>119</w:t>
            </w:r>
          </w:p>
        </w:tc>
        <w:tc>
          <w:tcPr>
            <w:tcW w:w="1861" w:type="dxa"/>
            <w:shd w:val="clear" w:color="auto" w:fill="auto"/>
            <w:vAlign w:val="center"/>
          </w:tcPr>
          <w:p w14:paraId="364F92D2">
            <w:pPr>
              <w:pStyle w:val="49"/>
            </w:pPr>
            <w:r>
              <w:t>B</w:t>
            </w:r>
          </w:p>
        </w:tc>
      </w:tr>
      <w:tr w14:paraId="7FA211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621343EE">
            <w:pPr>
              <w:pStyle w:val="49"/>
            </w:pPr>
            <w:r>
              <w:t>Rapid-Exit Taxiway B5</w:t>
            </w:r>
          </w:p>
        </w:tc>
        <w:tc>
          <w:tcPr>
            <w:tcW w:w="0" w:type="auto"/>
            <w:shd w:val="clear" w:color="auto" w:fill="auto"/>
            <w:vAlign w:val="center"/>
          </w:tcPr>
          <w:p w14:paraId="00D205AD">
            <w:pPr>
              <w:pStyle w:val="49"/>
            </w:pPr>
            <w:r>
              <w:t>87</w:t>
            </w:r>
          </w:p>
        </w:tc>
        <w:tc>
          <w:tcPr>
            <w:tcW w:w="1861" w:type="dxa"/>
            <w:shd w:val="clear" w:color="auto" w:fill="auto"/>
            <w:vAlign w:val="center"/>
          </w:tcPr>
          <w:p w14:paraId="65D94951">
            <w:pPr>
              <w:pStyle w:val="49"/>
            </w:pPr>
            <w:r>
              <w:t>B</w:t>
            </w:r>
          </w:p>
        </w:tc>
      </w:tr>
      <w:tr w14:paraId="36E6B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331E7C97">
            <w:pPr>
              <w:pStyle w:val="49"/>
            </w:pPr>
            <w:r>
              <w:t>Rapid-Exit Taxiway B6</w:t>
            </w:r>
          </w:p>
        </w:tc>
        <w:tc>
          <w:tcPr>
            <w:tcW w:w="0" w:type="auto"/>
            <w:shd w:val="clear" w:color="auto" w:fill="auto"/>
            <w:vAlign w:val="center"/>
          </w:tcPr>
          <w:p w14:paraId="03F47834">
            <w:pPr>
              <w:pStyle w:val="49"/>
            </w:pPr>
            <w:r>
              <w:t>79</w:t>
            </w:r>
          </w:p>
        </w:tc>
        <w:tc>
          <w:tcPr>
            <w:tcW w:w="1861" w:type="dxa"/>
            <w:shd w:val="clear" w:color="auto" w:fill="auto"/>
            <w:vAlign w:val="center"/>
          </w:tcPr>
          <w:p w14:paraId="53EF8F87">
            <w:pPr>
              <w:pStyle w:val="49"/>
            </w:pPr>
            <w:r>
              <w:t>B</w:t>
            </w:r>
          </w:p>
        </w:tc>
      </w:tr>
      <w:tr w14:paraId="5E762C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112ED901">
            <w:pPr>
              <w:pStyle w:val="49"/>
            </w:pPr>
            <w:r>
              <w:t>Connector taxiway H1</w:t>
            </w:r>
          </w:p>
        </w:tc>
        <w:tc>
          <w:tcPr>
            <w:tcW w:w="0" w:type="auto"/>
            <w:shd w:val="clear" w:color="auto" w:fill="auto"/>
            <w:vAlign w:val="center"/>
          </w:tcPr>
          <w:p w14:paraId="3490383C">
            <w:pPr>
              <w:pStyle w:val="49"/>
            </w:pPr>
            <w:r>
              <w:t>123</w:t>
            </w:r>
          </w:p>
        </w:tc>
        <w:tc>
          <w:tcPr>
            <w:tcW w:w="1861" w:type="dxa"/>
            <w:shd w:val="clear" w:color="auto" w:fill="auto"/>
            <w:vAlign w:val="center"/>
          </w:tcPr>
          <w:p w14:paraId="686703B4">
            <w:pPr>
              <w:pStyle w:val="49"/>
            </w:pPr>
            <w:r>
              <w:t>A</w:t>
            </w:r>
          </w:p>
        </w:tc>
      </w:tr>
      <w:tr w14:paraId="7FCA6B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07B44352">
            <w:pPr>
              <w:pStyle w:val="49"/>
            </w:pPr>
            <w:r>
              <w:t>Connector taxiway H1（A-36R）</w:t>
            </w:r>
          </w:p>
        </w:tc>
        <w:tc>
          <w:tcPr>
            <w:tcW w:w="0" w:type="auto"/>
            <w:shd w:val="clear" w:color="auto" w:fill="auto"/>
            <w:vAlign w:val="center"/>
          </w:tcPr>
          <w:p w14:paraId="3952634F">
            <w:pPr>
              <w:pStyle w:val="49"/>
            </w:pPr>
            <w:r>
              <w:t>100</w:t>
            </w:r>
          </w:p>
        </w:tc>
        <w:tc>
          <w:tcPr>
            <w:tcW w:w="1861" w:type="dxa"/>
            <w:shd w:val="clear" w:color="auto" w:fill="auto"/>
            <w:vAlign w:val="center"/>
          </w:tcPr>
          <w:p w14:paraId="46330555">
            <w:pPr>
              <w:pStyle w:val="49"/>
            </w:pPr>
            <w:r>
              <w:t>B</w:t>
            </w:r>
          </w:p>
        </w:tc>
      </w:tr>
      <w:tr w14:paraId="2BD38F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14D77334">
            <w:pPr>
              <w:pStyle w:val="49"/>
            </w:pPr>
            <w:r>
              <w:t>Connector taxiway H4</w:t>
            </w:r>
          </w:p>
        </w:tc>
        <w:tc>
          <w:tcPr>
            <w:tcW w:w="0" w:type="auto"/>
            <w:shd w:val="clear" w:color="auto" w:fill="auto"/>
            <w:vAlign w:val="center"/>
          </w:tcPr>
          <w:p w14:paraId="046E5E42">
            <w:pPr>
              <w:pStyle w:val="49"/>
            </w:pPr>
            <w:r>
              <w:t>71</w:t>
            </w:r>
          </w:p>
        </w:tc>
        <w:tc>
          <w:tcPr>
            <w:tcW w:w="1861" w:type="dxa"/>
            <w:shd w:val="clear" w:color="auto" w:fill="auto"/>
            <w:vAlign w:val="center"/>
          </w:tcPr>
          <w:p w14:paraId="26A4B7D6">
            <w:pPr>
              <w:pStyle w:val="49"/>
            </w:pPr>
            <w:r>
              <w:t>B</w:t>
            </w:r>
          </w:p>
        </w:tc>
      </w:tr>
      <w:tr w14:paraId="225A64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37D6427B">
            <w:pPr>
              <w:pStyle w:val="49"/>
            </w:pPr>
            <w:r>
              <w:t>Connector taxiway H7</w:t>
            </w:r>
          </w:p>
        </w:tc>
        <w:tc>
          <w:tcPr>
            <w:tcW w:w="0" w:type="auto"/>
            <w:shd w:val="clear" w:color="auto" w:fill="auto"/>
            <w:vAlign w:val="center"/>
          </w:tcPr>
          <w:p w14:paraId="54D68A3E">
            <w:pPr>
              <w:pStyle w:val="49"/>
            </w:pPr>
            <w:r>
              <w:t>71</w:t>
            </w:r>
          </w:p>
        </w:tc>
        <w:tc>
          <w:tcPr>
            <w:tcW w:w="1861" w:type="dxa"/>
            <w:shd w:val="clear" w:color="auto" w:fill="auto"/>
            <w:vAlign w:val="center"/>
          </w:tcPr>
          <w:p w14:paraId="5DB9F25C">
            <w:pPr>
              <w:pStyle w:val="49"/>
            </w:pPr>
            <w:r>
              <w:t>B</w:t>
            </w:r>
          </w:p>
        </w:tc>
      </w:tr>
      <w:tr w14:paraId="2A07E9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1A85A2B2">
            <w:pPr>
              <w:pStyle w:val="49"/>
            </w:pPr>
            <w:r>
              <w:t>Connector taxiway T1</w:t>
            </w:r>
          </w:p>
        </w:tc>
        <w:tc>
          <w:tcPr>
            <w:tcW w:w="0" w:type="auto"/>
            <w:shd w:val="clear" w:color="auto" w:fill="auto"/>
            <w:vAlign w:val="center"/>
          </w:tcPr>
          <w:p w14:paraId="7539CD85">
            <w:pPr>
              <w:pStyle w:val="49"/>
            </w:pPr>
            <w:r>
              <w:t>99</w:t>
            </w:r>
          </w:p>
        </w:tc>
        <w:tc>
          <w:tcPr>
            <w:tcW w:w="1861" w:type="dxa"/>
            <w:shd w:val="clear" w:color="auto" w:fill="auto"/>
            <w:vAlign w:val="center"/>
          </w:tcPr>
          <w:p w14:paraId="083761F3">
            <w:pPr>
              <w:pStyle w:val="49"/>
            </w:pPr>
            <w:r>
              <w:t>B</w:t>
            </w:r>
          </w:p>
        </w:tc>
      </w:tr>
      <w:tr w14:paraId="7AF069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16FFEB04">
            <w:pPr>
              <w:pStyle w:val="49"/>
            </w:pPr>
            <w:r>
              <w:t>Connector taxiway T6</w:t>
            </w:r>
          </w:p>
        </w:tc>
        <w:tc>
          <w:tcPr>
            <w:tcW w:w="0" w:type="auto"/>
            <w:shd w:val="clear" w:color="auto" w:fill="auto"/>
            <w:vAlign w:val="center"/>
          </w:tcPr>
          <w:p w14:paraId="151E4864">
            <w:pPr>
              <w:pStyle w:val="49"/>
            </w:pPr>
            <w:r>
              <w:t>154</w:t>
            </w:r>
          </w:p>
        </w:tc>
        <w:tc>
          <w:tcPr>
            <w:tcW w:w="1861" w:type="dxa"/>
            <w:shd w:val="clear" w:color="auto" w:fill="auto"/>
            <w:vAlign w:val="center"/>
          </w:tcPr>
          <w:p w14:paraId="198810F4">
            <w:pPr>
              <w:pStyle w:val="49"/>
            </w:pPr>
            <w:r>
              <w:t>A</w:t>
            </w:r>
          </w:p>
        </w:tc>
      </w:tr>
      <w:tr w14:paraId="3CFBF7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0D0AEEFE">
            <w:pPr>
              <w:pStyle w:val="49"/>
            </w:pPr>
            <w:r>
              <w:t>Connector taxiway K0</w:t>
            </w:r>
          </w:p>
        </w:tc>
        <w:tc>
          <w:tcPr>
            <w:tcW w:w="0" w:type="auto"/>
            <w:shd w:val="clear" w:color="auto" w:fill="auto"/>
            <w:vAlign w:val="center"/>
          </w:tcPr>
          <w:p w14:paraId="4AFDA2B5">
            <w:pPr>
              <w:pStyle w:val="49"/>
            </w:pPr>
            <w:r>
              <w:t>81</w:t>
            </w:r>
          </w:p>
        </w:tc>
        <w:tc>
          <w:tcPr>
            <w:tcW w:w="1861" w:type="dxa"/>
            <w:shd w:val="clear" w:color="auto" w:fill="auto"/>
            <w:vAlign w:val="center"/>
          </w:tcPr>
          <w:p w14:paraId="7A58AA63">
            <w:pPr>
              <w:pStyle w:val="49"/>
            </w:pPr>
            <w:r>
              <w:t>B</w:t>
            </w:r>
          </w:p>
        </w:tc>
      </w:tr>
      <w:tr w14:paraId="2F41D6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7E35E21B">
            <w:pPr>
              <w:pStyle w:val="49"/>
            </w:pPr>
            <w:r>
              <w:t>Connector taxiway K1</w:t>
            </w:r>
          </w:p>
        </w:tc>
        <w:tc>
          <w:tcPr>
            <w:tcW w:w="0" w:type="auto"/>
            <w:shd w:val="clear" w:color="auto" w:fill="auto"/>
            <w:vAlign w:val="center"/>
          </w:tcPr>
          <w:p w14:paraId="1010CD80">
            <w:pPr>
              <w:pStyle w:val="49"/>
            </w:pPr>
            <w:r>
              <w:t>149</w:t>
            </w:r>
          </w:p>
        </w:tc>
        <w:tc>
          <w:tcPr>
            <w:tcW w:w="1861" w:type="dxa"/>
            <w:shd w:val="clear" w:color="auto" w:fill="auto"/>
            <w:vAlign w:val="center"/>
          </w:tcPr>
          <w:p w14:paraId="7C53DD0B">
            <w:pPr>
              <w:pStyle w:val="49"/>
            </w:pPr>
            <w:r>
              <w:t>A</w:t>
            </w:r>
          </w:p>
        </w:tc>
      </w:tr>
      <w:tr w14:paraId="649CF4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5AF35952">
            <w:pPr>
              <w:pStyle w:val="49"/>
            </w:pPr>
            <w:r>
              <w:t>Connector taxiway K2</w:t>
            </w:r>
          </w:p>
        </w:tc>
        <w:tc>
          <w:tcPr>
            <w:tcW w:w="0" w:type="auto"/>
            <w:shd w:val="clear" w:color="auto" w:fill="auto"/>
            <w:vAlign w:val="center"/>
          </w:tcPr>
          <w:p w14:paraId="58CF1C17">
            <w:pPr>
              <w:pStyle w:val="49"/>
            </w:pPr>
            <w:r>
              <w:t>144</w:t>
            </w:r>
          </w:p>
        </w:tc>
        <w:tc>
          <w:tcPr>
            <w:tcW w:w="1861" w:type="dxa"/>
            <w:shd w:val="clear" w:color="auto" w:fill="auto"/>
            <w:vAlign w:val="center"/>
          </w:tcPr>
          <w:p w14:paraId="2A0013B6">
            <w:pPr>
              <w:pStyle w:val="49"/>
            </w:pPr>
            <w:r>
              <w:t>A</w:t>
            </w:r>
          </w:p>
        </w:tc>
      </w:tr>
      <w:tr w14:paraId="626388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3279FEFE">
            <w:pPr>
              <w:pStyle w:val="49"/>
            </w:pPr>
            <w:r>
              <w:t>Connector taxiway K4</w:t>
            </w:r>
          </w:p>
        </w:tc>
        <w:tc>
          <w:tcPr>
            <w:tcW w:w="0" w:type="auto"/>
            <w:shd w:val="clear" w:color="auto" w:fill="auto"/>
            <w:vAlign w:val="center"/>
          </w:tcPr>
          <w:p w14:paraId="68ACD664">
            <w:pPr>
              <w:pStyle w:val="49"/>
            </w:pPr>
            <w:r>
              <w:t>102</w:t>
            </w:r>
          </w:p>
        </w:tc>
        <w:tc>
          <w:tcPr>
            <w:tcW w:w="1861" w:type="dxa"/>
            <w:shd w:val="clear" w:color="auto" w:fill="auto"/>
            <w:vAlign w:val="center"/>
          </w:tcPr>
          <w:p w14:paraId="7953E589">
            <w:pPr>
              <w:pStyle w:val="49"/>
            </w:pPr>
            <w:r>
              <w:t>B</w:t>
            </w:r>
          </w:p>
        </w:tc>
      </w:tr>
      <w:tr w14:paraId="5EBBF1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5EE590AB">
            <w:pPr>
              <w:pStyle w:val="49"/>
            </w:pPr>
            <w:r>
              <w:t>Connector taxiway K5</w:t>
            </w:r>
          </w:p>
        </w:tc>
        <w:tc>
          <w:tcPr>
            <w:tcW w:w="0" w:type="auto"/>
            <w:shd w:val="clear" w:color="auto" w:fill="auto"/>
            <w:vAlign w:val="center"/>
          </w:tcPr>
          <w:p w14:paraId="18B6AE35">
            <w:pPr>
              <w:pStyle w:val="49"/>
            </w:pPr>
            <w:r>
              <w:t>158</w:t>
            </w:r>
          </w:p>
        </w:tc>
        <w:tc>
          <w:tcPr>
            <w:tcW w:w="1861" w:type="dxa"/>
            <w:shd w:val="clear" w:color="auto" w:fill="auto"/>
            <w:vAlign w:val="center"/>
          </w:tcPr>
          <w:p w14:paraId="4B9D627C">
            <w:pPr>
              <w:pStyle w:val="49"/>
            </w:pPr>
            <w:r>
              <w:t>A</w:t>
            </w:r>
          </w:p>
        </w:tc>
      </w:tr>
      <w:tr w14:paraId="5BEF09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0551F326">
            <w:pPr>
              <w:pStyle w:val="49"/>
            </w:pPr>
            <w:r>
              <w:t>Connector taxiway K6</w:t>
            </w:r>
          </w:p>
        </w:tc>
        <w:tc>
          <w:tcPr>
            <w:tcW w:w="0" w:type="auto"/>
            <w:shd w:val="clear" w:color="auto" w:fill="auto"/>
            <w:vAlign w:val="center"/>
          </w:tcPr>
          <w:p w14:paraId="688091C6">
            <w:pPr>
              <w:pStyle w:val="49"/>
            </w:pPr>
            <w:r>
              <w:t>105</w:t>
            </w:r>
          </w:p>
        </w:tc>
        <w:tc>
          <w:tcPr>
            <w:tcW w:w="1861" w:type="dxa"/>
            <w:shd w:val="clear" w:color="auto" w:fill="auto"/>
            <w:vAlign w:val="center"/>
          </w:tcPr>
          <w:p w14:paraId="5284D15A">
            <w:pPr>
              <w:pStyle w:val="49"/>
            </w:pPr>
            <w:r>
              <w:t>B</w:t>
            </w:r>
          </w:p>
        </w:tc>
      </w:tr>
      <w:tr w14:paraId="0F649A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34EA21AD">
            <w:pPr>
              <w:pStyle w:val="49"/>
            </w:pPr>
            <w:r>
              <w:t>Connector taxiway K7</w:t>
            </w:r>
          </w:p>
        </w:tc>
        <w:tc>
          <w:tcPr>
            <w:tcW w:w="0" w:type="auto"/>
            <w:shd w:val="clear" w:color="auto" w:fill="auto"/>
            <w:vAlign w:val="center"/>
          </w:tcPr>
          <w:p w14:paraId="16285D24">
            <w:pPr>
              <w:pStyle w:val="49"/>
            </w:pPr>
            <w:r>
              <w:t>97</w:t>
            </w:r>
          </w:p>
        </w:tc>
        <w:tc>
          <w:tcPr>
            <w:tcW w:w="1861" w:type="dxa"/>
            <w:shd w:val="clear" w:color="auto" w:fill="auto"/>
            <w:vAlign w:val="center"/>
          </w:tcPr>
          <w:p w14:paraId="581DD727">
            <w:pPr>
              <w:pStyle w:val="49"/>
            </w:pPr>
            <w:r>
              <w:t>B</w:t>
            </w:r>
          </w:p>
        </w:tc>
      </w:tr>
      <w:tr w14:paraId="1096D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3F7CD4C2">
            <w:pPr>
              <w:pStyle w:val="49"/>
            </w:pPr>
            <w:r>
              <w:t>Connector taxiway N</w:t>
            </w:r>
          </w:p>
        </w:tc>
        <w:tc>
          <w:tcPr>
            <w:tcW w:w="0" w:type="auto"/>
            <w:shd w:val="clear" w:color="auto" w:fill="auto"/>
            <w:vAlign w:val="center"/>
          </w:tcPr>
          <w:p w14:paraId="08505775">
            <w:pPr>
              <w:pStyle w:val="49"/>
            </w:pPr>
            <w:r>
              <w:t>158</w:t>
            </w:r>
          </w:p>
        </w:tc>
        <w:tc>
          <w:tcPr>
            <w:tcW w:w="1861" w:type="dxa"/>
            <w:shd w:val="clear" w:color="auto" w:fill="auto"/>
            <w:vAlign w:val="center"/>
          </w:tcPr>
          <w:p w14:paraId="672AD826">
            <w:pPr>
              <w:pStyle w:val="49"/>
            </w:pPr>
            <w:r>
              <w:t>A</w:t>
            </w:r>
          </w:p>
        </w:tc>
      </w:tr>
      <w:tr w14:paraId="2E8B0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01DCCDE7">
            <w:pPr>
              <w:pStyle w:val="49"/>
            </w:pPr>
            <w:r>
              <w:t>Connector taxiway BN</w:t>
            </w:r>
          </w:p>
        </w:tc>
        <w:tc>
          <w:tcPr>
            <w:tcW w:w="0" w:type="auto"/>
            <w:shd w:val="clear" w:color="auto" w:fill="auto"/>
            <w:vAlign w:val="center"/>
          </w:tcPr>
          <w:p w14:paraId="17083AFC">
            <w:pPr>
              <w:pStyle w:val="49"/>
            </w:pPr>
            <w:r>
              <w:t>105</w:t>
            </w:r>
          </w:p>
        </w:tc>
        <w:tc>
          <w:tcPr>
            <w:tcW w:w="1861" w:type="dxa"/>
            <w:shd w:val="clear" w:color="auto" w:fill="auto"/>
            <w:vAlign w:val="center"/>
          </w:tcPr>
          <w:p w14:paraId="159AF16F">
            <w:pPr>
              <w:pStyle w:val="49"/>
            </w:pPr>
            <w:r>
              <w:t>B</w:t>
            </w:r>
          </w:p>
        </w:tc>
      </w:tr>
      <w:tr w14:paraId="70DA86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bottom w:val="single" w:color="auto" w:sz="4" w:space="0"/>
            </w:tcBorders>
            <w:shd w:val="clear" w:color="auto" w:fill="auto"/>
            <w:vAlign w:val="center"/>
          </w:tcPr>
          <w:p w14:paraId="5AE21D82">
            <w:pPr>
              <w:pStyle w:val="49"/>
            </w:pPr>
            <w:r>
              <w:t>Connector taxiway S</w:t>
            </w:r>
          </w:p>
        </w:tc>
        <w:tc>
          <w:tcPr>
            <w:tcW w:w="0" w:type="auto"/>
            <w:tcBorders>
              <w:bottom w:val="single" w:color="auto" w:sz="4" w:space="0"/>
            </w:tcBorders>
            <w:shd w:val="clear" w:color="auto" w:fill="auto"/>
            <w:vAlign w:val="center"/>
          </w:tcPr>
          <w:p w14:paraId="4950824C">
            <w:pPr>
              <w:pStyle w:val="49"/>
            </w:pPr>
            <w:r>
              <w:t>158</w:t>
            </w:r>
          </w:p>
        </w:tc>
        <w:tc>
          <w:tcPr>
            <w:tcW w:w="1861" w:type="dxa"/>
            <w:tcBorders>
              <w:bottom w:val="single" w:color="auto" w:sz="4" w:space="0"/>
            </w:tcBorders>
            <w:shd w:val="clear" w:color="auto" w:fill="auto"/>
            <w:vAlign w:val="center"/>
          </w:tcPr>
          <w:p w14:paraId="197DAEA2">
            <w:pPr>
              <w:pStyle w:val="49"/>
            </w:pPr>
            <w:r>
              <w:t>A</w:t>
            </w:r>
          </w:p>
        </w:tc>
      </w:tr>
      <w:tr w14:paraId="20F5DE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bottom w:val="single" w:color="auto" w:sz="12" w:space="0"/>
            </w:tcBorders>
            <w:shd w:val="clear" w:color="auto" w:fill="auto"/>
            <w:vAlign w:val="center"/>
          </w:tcPr>
          <w:p w14:paraId="5DA4B76B">
            <w:pPr>
              <w:pStyle w:val="49"/>
            </w:pPr>
            <w:r>
              <w:t>Connector taxiway BS</w:t>
            </w:r>
          </w:p>
        </w:tc>
        <w:tc>
          <w:tcPr>
            <w:tcW w:w="0" w:type="auto"/>
            <w:tcBorders>
              <w:bottom w:val="single" w:color="auto" w:sz="12" w:space="0"/>
            </w:tcBorders>
            <w:shd w:val="clear" w:color="auto" w:fill="auto"/>
            <w:vAlign w:val="center"/>
          </w:tcPr>
          <w:p w14:paraId="0FD17DFA">
            <w:pPr>
              <w:pStyle w:val="49"/>
            </w:pPr>
            <w:r>
              <w:t>103</w:t>
            </w:r>
          </w:p>
        </w:tc>
        <w:tc>
          <w:tcPr>
            <w:tcW w:w="1861" w:type="dxa"/>
            <w:tcBorders>
              <w:bottom w:val="single" w:color="auto" w:sz="12" w:space="0"/>
            </w:tcBorders>
            <w:shd w:val="clear" w:color="auto" w:fill="auto"/>
            <w:vAlign w:val="center"/>
          </w:tcPr>
          <w:p w14:paraId="743382F7">
            <w:pPr>
              <w:pStyle w:val="49"/>
            </w:pPr>
            <w:r>
              <w:t>B</w:t>
            </w:r>
          </w:p>
        </w:tc>
      </w:tr>
    </w:tbl>
    <w:p w14:paraId="17CF5233">
      <w:pPr>
        <w:ind w:firstLine="422"/>
      </w:pPr>
      <w:r>
        <w:rPr>
          <w:b/>
          <w:bCs/>
        </w:rPr>
        <w:t>Extraction and standardisation of key parameters</w:t>
      </w:r>
    </w:p>
    <w:p w14:paraId="05A060E6">
      <w:pPr>
        <w:ind w:firstLine="420"/>
      </w:pPr>
      <w:r>
        <w:t xml:space="preserve">From the monitoring dataset, three representative mechanical indicators were extracted: Base-layer reaction modulus </w:t>
      </w:r>
      <w:r>
        <w:rPr>
          <w:rFonts w:ascii="Cambria Math" w:hAnsi="Cambria Math" w:cs="Cambria Math"/>
        </w:rPr>
        <w:t>𝐸</w:t>
      </w:r>
      <w:r>
        <w:rPr>
          <w:vertAlign w:val="subscript"/>
        </w:rPr>
        <w:t>0</w:t>
      </w:r>
      <w:r>
        <w:t xml:space="preserve"> (MPa), Surface concrete elastic modulus </w:t>
      </w:r>
      <w:r>
        <w:rPr>
          <w:rFonts w:ascii="Cambria Math" w:hAnsi="Cambria Math" w:cs="Cambria Math"/>
        </w:rPr>
        <w:t>𝐸</w:t>
      </w:r>
      <w:r>
        <w:rPr>
          <w:rFonts w:ascii="Cambria Math" w:hAnsi="Cambria Math" w:cs="Cambria Math"/>
          <w:vertAlign w:val="subscript"/>
        </w:rPr>
        <w:t>𝑐𝑐</w:t>
      </w:r>
      <w:r>
        <w:rPr>
          <w:rFonts w:hint="eastAsia"/>
        </w:rPr>
        <w:t xml:space="preserve"> </w:t>
      </w:r>
      <w:r>
        <w:t xml:space="preserve">(GPa), Subgrade reaction modulus </w:t>
      </w:r>
      <w:r>
        <w:rPr>
          <w:rFonts w:ascii="Cambria Math" w:hAnsi="Cambria Math" w:cs="Cambria Math"/>
        </w:rPr>
        <w:t>𝐾</w:t>
      </w:r>
      <w:r>
        <w:t xml:space="preserve"> (MN/m³). Outliers were removed and all data were standardised to ensure inter-annual comparability. The processed time series are shown in Fig.</w:t>
      </w:r>
      <w:r>
        <w:rPr>
          <w:rFonts w:hint="eastAsia"/>
        </w:rPr>
        <w:t>S</w:t>
      </w:r>
      <w:r>
        <w:t>6.3.</w:t>
      </w:r>
    </w:p>
    <w:p w14:paraId="075CCD0B">
      <w:pPr>
        <w:pStyle w:val="58"/>
        <w:rPr>
          <w:rFonts w:hint="default"/>
        </w:rPr>
      </w:pPr>
      <w:r>
        <w:drawing>
          <wp:inline distT="0" distB="0" distL="114300" distR="114300">
            <wp:extent cx="5039995" cy="2854960"/>
            <wp:effectExtent l="0" t="0" r="1905" b="254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39"/>
                    <a:stretch>
                      <a:fillRect/>
                    </a:stretch>
                  </pic:blipFill>
                  <pic:spPr>
                    <a:xfrm>
                      <a:off x="0" y="0"/>
                      <a:ext cx="5039995" cy="2854960"/>
                    </a:xfrm>
                    <a:prstGeom prst="rect">
                      <a:avLst/>
                    </a:prstGeom>
                    <a:noFill/>
                    <a:ln>
                      <a:noFill/>
                    </a:ln>
                  </pic:spPr>
                </pic:pic>
              </a:graphicData>
            </a:graphic>
          </wp:inline>
        </w:drawing>
      </w:r>
    </w:p>
    <w:p w14:paraId="5793ADFC">
      <w:pPr>
        <w:pStyle w:val="52"/>
      </w:pPr>
      <w:r>
        <w:t>Fig</w:t>
      </w:r>
      <w:r>
        <w:rPr>
          <w:rFonts w:hint="eastAsia"/>
        </w:rPr>
        <w:t>.S</w:t>
      </w:r>
      <w:r>
        <w:t>6.3</w:t>
      </w:r>
      <w:r>
        <w:rPr>
          <w:rFonts w:hint="eastAsia"/>
        </w:rPr>
        <w:t>.</w:t>
      </w:r>
      <w:r>
        <w:t xml:space="preserve"> Evolution of Runway Parameters at Shanghai Hongqiao International Airport</w:t>
      </w:r>
    </w:p>
    <w:p w14:paraId="50B4A510">
      <w:pPr>
        <w:ind w:firstLine="422"/>
        <w:rPr>
          <w:b/>
          <w:bCs/>
        </w:rPr>
      </w:pPr>
      <w:r>
        <w:rPr>
          <w:b/>
          <w:bCs/>
        </w:rPr>
        <w:t>Evolution characteristics</w:t>
      </w:r>
    </w:p>
    <w:p w14:paraId="34428687">
      <w:pPr>
        <w:ind w:firstLine="420"/>
      </w:pPr>
      <w:r>
        <w:t>Fig</w:t>
      </w:r>
      <w:r>
        <w:rPr>
          <w:rFonts w:hint="eastAsia"/>
        </w:rPr>
        <w:t>.S</w:t>
      </w:r>
      <w:r>
        <w:t>6.3 reveals distinct stage-wise behaviour over the 25-year observation period:</w:t>
      </w:r>
    </w:p>
    <w:p w14:paraId="381A44B7">
      <w:pPr>
        <w:ind w:firstLine="420"/>
      </w:pPr>
      <w:r>
        <w:t>(1) Base-layer reaction modulus (E₀). E₀ decreased rapidly from approximately 365 MPa in the early 2000s to ~100 MPa prior to 2016, reflecting progressive stiffness degradation under cumulative traffic loading and environmental exposure. Following structural rehabilitation in 2016, E₀ stabilised within the range of</w:t>
      </w:r>
      <w:r>
        <w:rPr>
          <w:rFonts w:hint="eastAsia"/>
        </w:rPr>
        <w:t xml:space="preserve"> </w:t>
      </w:r>
      <w:r>
        <w:t>100–105MPa, indicating entry into a new equilibrium performance stage.</w:t>
      </w:r>
    </w:p>
    <w:p w14:paraId="2628C145">
      <w:pPr>
        <w:ind w:firstLine="420"/>
      </w:pPr>
      <w:r>
        <w:rPr>
          <w:rFonts w:hint="eastAsia"/>
        </w:rPr>
        <w:t>(</w:t>
      </w:r>
      <w:r>
        <w:t>2) Surface elastic modulus (Ecc). For an extended period, Ecc remained relatively stable at 35–40 GPa, suggesting limited material upgrading in early service years. After 2018, the adoption of high-performance concrete significantly increased Ecc to approximately 50 GPa, demonstrating the mechanical benefits of material enhancement on surface stiffness and load transfer efficiency.</w:t>
      </w:r>
    </w:p>
    <w:p w14:paraId="5A5B89DD">
      <w:pPr>
        <w:ind w:firstLine="420"/>
      </w:pPr>
      <w:r>
        <w:rPr>
          <w:rFonts w:hint="eastAsia"/>
        </w:rPr>
        <w:t>(</w:t>
      </w:r>
      <w:r>
        <w:t>3)</w:t>
      </w:r>
      <w:r>
        <w:rPr>
          <w:rFonts w:hint="eastAsia"/>
        </w:rPr>
        <w:t xml:space="preserve"> </w:t>
      </w:r>
      <w:r>
        <w:t>Subgrade reaction modulus (K). The evolution of K follows a three-stage pattern: gradual decline, short-term strengthening, and re-stabilisation. Initially decreasing from ~120 MN/m³ to ~100 MN/m³ due to consolidation and long-term settlement in soft soil conditions, K increased sharply to ~155 MN/m³ following foundation reinforcement in 2016. Subsequently, it reduced and stabilised at 90–100 MN/m³ after system re-adjustment. This trajectory is consistent with classical soft-soil behaviour under consolidation–reinforcement–reconsolidation cycles.</w:t>
      </w:r>
    </w:p>
    <w:p w14:paraId="24BF3F32">
      <w:pPr>
        <w:ind w:firstLine="422"/>
        <w:rPr>
          <w:b/>
          <w:bCs/>
        </w:rPr>
      </w:pPr>
      <w:r>
        <w:rPr>
          <w:b/>
          <w:bCs/>
        </w:rPr>
        <w:t>Engineering implications</w:t>
      </w:r>
    </w:p>
    <w:p w14:paraId="0E8EBA6C">
      <w:pPr>
        <w:ind w:firstLine="420"/>
      </w:pPr>
      <w:r>
        <w:t>Overall, the runway system exhibits a transition from stiffness degradation to performance restructuring driven by rehabilitation and material upgrading. These stage-wise mechanical changes provide a structural basis for interpreting: observed roughness evolution, variations in aircraft dynamic response, and corresponding changes in vibration-induced energy dissipation and carbon emissions.</w:t>
      </w:r>
    </w:p>
    <w:p w14:paraId="1042C929">
      <w:pPr>
        <w:ind w:firstLine="42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The coupling between structural parameter evolution and roughness development highlights that infrastructure ageing and rehabilitation cycles directly influence aircraft–runway interaction intensity and associated emission increments.</w:t>
      </w:r>
    </w:p>
    <w:p w14:paraId="55C176BD">
      <w:pPr>
        <w:ind w:firstLine="420"/>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561E583">
      <w:pPr>
        <w:pStyle w:val="2"/>
        <w:ind w:firstLine="0" w:firstLineChars="0"/>
      </w:pPr>
      <w:r>
        <w:t>Supplementary Note 7</w:t>
      </w:r>
      <w:r>
        <w:rPr>
          <w:rFonts w:hint="eastAsia"/>
        </w:rPr>
        <w:t>.</w:t>
      </w:r>
      <w:r>
        <w:t xml:space="preserve"> Evolution of aircraft fuel-consumption coefficients with years of service</w:t>
      </w:r>
    </w:p>
    <w:p w14:paraId="5A482B21">
      <w:pPr>
        <w:spacing w:after="120"/>
        <w:ind w:firstLine="420" w:firstLineChars="0"/>
      </w:pPr>
      <w:r>
        <w:t>During long-term operation, aero-engine components experience performance degradation due to wear, fatigue accumulation, corrosion and deposit formation. These processes reduce thermodynamic efficiency and increase specific fuel consumption. To maintain airworthiness and restore engine performance, periodic overhauls are conducted, during which degraded components are repaired or replaced. Consequently, the effective fuel consumption of an aircraft depends not only on airframe age but also on engine maintenance cycles.</w:t>
      </w:r>
    </w:p>
    <w:p w14:paraId="2F1ADC34">
      <w:pPr>
        <w:spacing w:after="120"/>
        <w:ind w:firstLine="420" w:firstLineChars="0"/>
      </w:pPr>
      <w:r>
        <w:t>We adopt the engine degradation framework proposed by Seymour et al. to quantify age-dependent fuel-efficiency correction factors</w:t>
      </w:r>
      <w:r>
        <w:rPr>
          <w:rFonts w:hint="eastAsia"/>
        </w:rPr>
        <w:t>r</w:t>
      </w:r>
      <w:r>
        <w:rPr>
          <w:rFonts w:hint="eastAsia"/>
          <w:vertAlign w:val="superscript"/>
        </w:rPr>
        <w:fldChar w:fldCharType="begin"/>
      </w:r>
      <w:r>
        <w:rPr>
          <w:rFonts w:hint="eastAsia"/>
          <w:vertAlign w:val="superscript"/>
        </w:rPr>
        <w:instrText xml:space="preserve"> REF _Ref22862 \r \h </w:instrText>
      </w:r>
      <w:r>
        <w:rPr>
          <w:rFonts w:hint="eastAsia"/>
          <w:vertAlign w:val="superscript"/>
        </w:rPr>
        <w:fldChar w:fldCharType="separate"/>
      </w:r>
      <w:r>
        <w:rPr>
          <w:rFonts w:hint="eastAsia"/>
          <w:vertAlign w:val="superscript"/>
        </w:rPr>
        <w:t>1</w:t>
      </w:r>
      <w:r>
        <w:rPr>
          <w:rFonts w:hint="eastAsia"/>
          <w:vertAlign w:val="superscript"/>
        </w:rPr>
        <w:fldChar w:fldCharType="end"/>
      </w:r>
      <w:r>
        <w:t>. This method models efficiency loss as a time-dependent function, incorporating both progressive performance decay and partial recovery during scheduled maintenance. Aircraft are classified according to mission range, using 4,000 km great-circle distance as the threshold: aircraft operating below this distance are categorized as medium-haul, and those above as long-haul.</w:t>
      </w:r>
    </w:p>
    <w:p w14:paraId="05D22548">
      <w:pPr>
        <w:spacing w:after="120"/>
        <w:ind w:firstLine="420" w:firstLineChars="0"/>
      </w:pPr>
      <w:r>
        <w:rPr>
          <w:rFonts w:hint="eastAsia"/>
        </w:rPr>
        <w:t xml:space="preserve">Letη(t) denote the percentage efficiency loss at aircraft age t (years). The degradation process is approximated by a first-order model (Eqs.S7.1-S7.2), where efficiency declines gradually over time and is partially restored (≈1.0%) after each maintenance </w:t>
      </w:r>
      <w:r>
        <w:t>cycle. However, irreversible ageing effects accumulate, leading to progressive long-term performance deterioration even after overhaul.</w:t>
      </w:r>
    </w:p>
    <w:p w14:paraId="4A1744F3">
      <w:pPr>
        <w:pStyle w:val="21"/>
        <w:ind w:firstLine="482"/>
      </w:pPr>
      <w:r>
        <w:rPr>
          <w:rFonts w:hint="eastAsia"/>
        </w:rPr>
        <w:tab/>
      </w:r>
      <w:r>
        <w:rPr>
          <w:rFonts w:hint="eastAsia"/>
          <w14:ligatures w14:val="none"/>
        </w:rPr>
        <w:object>
          <v:shape id="_x0000_i1026" o:spt="75" type="#_x0000_t75" style="height:16.65pt;width:238.35pt;" o:ole="t" filled="f" o:preferrelative="t" stroked="f" coordsize="21600,21600">
            <v:path/>
            <v:fill on="f" focussize="0,0"/>
            <v:stroke on="f" joinstyle="miter"/>
            <v:imagedata r:id="rId41" o:title=""/>
            <o:lock v:ext="edit" aspectratio="t"/>
            <w10:wrap type="none"/>
            <w10:anchorlock/>
          </v:shape>
          <o:OLEObject Type="Embed" ProgID="Equation.DSMT4" ShapeID="_x0000_i1026" DrawAspect="Content" ObjectID="_1468075726" r:id="rId40">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7.1)</w:t>
      </w:r>
    </w:p>
    <w:p w14:paraId="356C81D0">
      <w:pPr>
        <w:pStyle w:val="21"/>
        <w:ind w:firstLine="482"/>
      </w:pPr>
      <w:r>
        <w:rPr>
          <w:rFonts w:hint="eastAsia"/>
        </w:rPr>
        <w:tab/>
      </w:r>
      <w:r>
        <w:rPr>
          <w:rFonts w:hint="eastAsia"/>
          <w14:ligatures w14:val="none"/>
        </w:rPr>
        <w:object>
          <v:shape id="_x0000_i1027" o:spt="75" type="#_x0000_t75" style="height:16.65pt;width:227.35pt;" o:ole="t" filled="f" o:preferrelative="t" stroked="f" coordsize="21600,21600">
            <v:path/>
            <v:fill on="f" focussize="0,0"/>
            <v:stroke on="f" joinstyle="miter"/>
            <v:imagedata r:id="rId43" o:title=""/>
            <o:lock v:ext="edit" aspectratio="t"/>
            <w10:wrap type="none"/>
            <w10:anchorlock/>
          </v:shape>
          <o:OLEObject Type="Embed" ProgID="Equation.DSMT4" ShapeID="_x0000_i1027" DrawAspect="Content" ObjectID="_1468075727" r:id="rId42">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7.2)</w:t>
      </w:r>
    </w:p>
    <w:p w14:paraId="029001D4">
      <w:pPr>
        <w:spacing w:after="120"/>
        <w:ind w:firstLine="420" w:firstLineChars="0"/>
      </w:pPr>
      <w:r>
        <w:t>Fig</w:t>
      </w:r>
      <w:r>
        <w:rPr>
          <w:rFonts w:hint="eastAsia"/>
        </w:rPr>
        <w:t>.</w:t>
      </w:r>
      <w:r>
        <w:t>S7 illustrates a representative degradation trajectory for a medium-haul aircraft engine, accounting for semiannual cleaning and scheduled overhaul cycles.</w:t>
      </w:r>
    </w:p>
    <w:p w14:paraId="038D8E4A">
      <w:pPr>
        <w:spacing w:after="120" w:line="312" w:lineRule="auto"/>
        <w:ind w:firstLine="0" w:firstLineChars="0"/>
        <w:jc w:val="center"/>
      </w:pPr>
      <w:r>
        <w:drawing>
          <wp:inline distT="0" distB="0" distL="114300" distR="114300">
            <wp:extent cx="5267325" cy="2633980"/>
            <wp:effectExtent l="0" t="0" r="3175" b="762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44"/>
                    <a:stretch>
                      <a:fillRect/>
                    </a:stretch>
                  </pic:blipFill>
                  <pic:spPr>
                    <a:xfrm>
                      <a:off x="0" y="0"/>
                      <a:ext cx="5267325" cy="2633980"/>
                    </a:xfrm>
                    <a:prstGeom prst="rect">
                      <a:avLst/>
                    </a:prstGeom>
                    <a:noFill/>
                    <a:ln>
                      <a:noFill/>
                    </a:ln>
                  </pic:spPr>
                </pic:pic>
              </a:graphicData>
            </a:graphic>
          </wp:inline>
        </w:drawing>
      </w:r>
    </w:p>
    <w:p w14:paraId="52B9754E">
      <w:pPr>
        <w:pStyle w:val="52"/>
      </w:pPr>
      <w:r>
        <w:t>Fig</w:t>
      </w:r>
      <w:r>
        <w:rPr>
          <w:rFonts w:hint="eastAsia"/>
        </w:rPr>
        <w:t>.S</w:t>
      </w:r>
      <w:r>
        <w:t>7</w:t>
      </w:r>
      <w:r>
        <w:rPr>
          <w:rFonts w:hint="eastAsia"/>
        </w:rPr>
        <w:t xml:space="preserve">. </w:t>
      </w:r>
      <w:r>
        <w:t>Typical engine performance degradation curve for a medium-haul aircraft (including semi-annual engine washing and scheduled overhauls).</w:t>
      </w:r>
    </w:p>
    <w:p w14:paraId="7CD94D8C">
      <w:pPr>
        <w:spacing w:after="120" w:line="312" w:lineRule="auto"/>
        <w:ind w:firstLine="0" w:firstLineChars="0"/>
        <w:jc w:val="left"/>
      </w:pPr>
      <w:r>
        <w:tab/>
      </w:r>
      <w:r>
        <w:t xml:space="preserve">The corrected fuel consumption </w:t>
      </w:r>
      <w:r>
        <w:rPr>
          <w:rFonts w:ascii="Cambria Math" w:hAnsi="Cambria Math" w:cs="Cambria Math"/>
        </w:rPr>
        <w:t>𝐹</w:t>
      </w:r>
      <w:r>
        <w:rPr>
          <w:vertAlign w:val="subscript"/>
        </w:rPr>
        <w:t>corr</w:t>
      </w:r>
      <w:r>
        <w:t xml:space="preserve"> is calculated as:</w:t>
      </w:r>
    </w:p>
    <w:p w14:paraId="5E512B04">
      <w:pPr>
        <w:pStyle w:val="21"/>
        <w:ind w:firstLine="482"/>
      </w:pPr>
      <w:r>
        <w:rPr>
          <w:rFonts w:hint="eastAsia"/>
        </w:rPr>
        <w:tab/>
      </w:r>
      <w:r>
        <w:rPr>
          <w:rFonts w:hint="eastAsia"/>
          <w14:ligatures w14:val="none"/>
        </w:rPr>
        <w:object>
          <v:shape id="_x0000_i1028" o:spt="75" type="#_x0000_t75" style="height:31.65pt;width:87.65pt;" o:ole="t" filled="f" o:preferrelative="t" stroked="f" coordsize="21600,21600">
            <v:path/>
            <v:fill on="f" focussize="0,0"/>
            <v:stroke on="f" joinstyle="miter"/>
            <v:imagedata r:id="rId46" o:title=""/>
            <o:lock v:ext="edit" aspectratio="t"/>
            <w10:wrap type="none"/>
            <w10:anchorlock/>
          </v:shape>
          <o:OLEObject Type="Embed" ProgID="Equation.DSMT4" ShapeID="_x0000_i1028" DrawAspect="Content" ObjectID="_1468075728" r:id="rId45">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7.3)</w:t>
      </w:r>
    </w:p>
    <w:p w14:paraId="74499A4E">
      <w:pPr>
        <w:spacing w:after="120"/>
        <w:ind w:firstLineChars="0"/>
      </w:pPr>
      <w:r>
        <w:t xml:space="preserve">where </w:t>
      </w:r>
      <w:r>
        <w:rPr>
          <w:rFonts w:ascii="Cambria Math" w:hAnsi="Cambria Math" w:cs="Cambria Math"/>
        </w:rPr>
        <w:t>𝐹</w:t>
      </w:r>
      <w:r>
        <w:rPr>
          <w:vertAlign w:val="subscript"/>
        </w:rPr>
        <w:t>new</w:t>
      </w:r>
      <w:r>
        <w:rPr>
          <w:rFonts w:hint="eastAsia"/>
        </w:rPr>
        <w:t xml:space="preserve"> </w:t>
      </w:r>
      <w:r>
        <w:t xml:space="preserve">is the baseline fuel consumption of a new engine and </w:t>
      </w:r>
      <w:r>
        <w:rPr>
          <w:rFonts w:ascii="Cambria Math" w:hAnsi="Cambria Math" w:cs="Cambria Math"/>
        </w:rPr>
        <w:t>𝜂</w:t>
      </w:r>
      <w:r>
        <w:t>(</w:t>
      </w:r>
      <w:r>
        <w:rPr>
          <w:rFonts w:ascii="Cambria Math" w:hAnsi="Cambria Math" w:cs="Cambria Math"/>
        </w:rPr>
        <w:t>𝑡</w:t>
      </w:r>
      <w:r>
        <w:t>) is the remaining efficiency loss fraction at age t. Age-specific correction factors are applied according to fleet-average aircraft age.</w:t>
      </w:r>
    </w:p>
    <w:p w14:paraId="723A61BC">
      <w:pPr>
        <w:spacing w:after="120"/>
        <w:ind w:firstLineChars="0"/>
      </w:pPr>
      <w:r>
        <w:t>According to the 2019 Civil Aviation Industry Development Statistical Bulletin issued by the Civil Aviation Administration of China, the average stage length of domestic flights in 2019 was approximately 2,000 km. Therefore, the medium-haul degradation model is adopted as a conservative assumption for subsequent calculations.</w:t>
      </w:r>
    </w:p>
    <w:p w14:paraId="328075B1">
      <w:pPr>
        <w:spacing w:after="120"/>
        <w:ind w:firstLineChars="0"/>
      </w:pPr>
      <w:r>
        <w:t>Table S7</w:t>
      </w:r>
      <w:r>
        <w:rPr>
          <w:rFonts w:hint="eastAsia"/>
        </w:rPr>
        <w:t xml:space="preserve"> </w:t>
      </w:r>
      <w:r>
        <w:t>summarizes the projected evolution of fuel consumption over a 30-year service life.</w:t>
      </w:r>
    </w:p>
    <w:p w14:paraId="50FD5006">
      <w:pPr>
        <w:pStyle w:val="52"/>
      </w:pPr>
      <w:r>
        <w:t>Table S7</w:t>
      </w:r>
      <w:r>
        <w:rPr>
          <w:rFonts w:hint="eastAsia"/>
        </w:rPr>
        <w:t xml:space="preserve">. </w:t>
      </w:r>
      <w:r>
        <w:t>Age-dependent variation in aircraft fuel consumption</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853"/>
        <w:gridCol w:w="210"/>
        <w:gridCol w:w="2095"/>
        <w:gridCol w:w="105"/>
        <w:gridCol w:w="1988"/>
        <w:gridCol w:w="2075"/>
      </w:tblGrid>
      <w:tr w14:paraId="66A69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1853" w:type="dxa"/>
            <w:tcBorders>
              <w:top w:val="single" w:color="000000" w:sz="12" w:space="0"/>
              <w:left w:val="nil"/>
              <w:bottom w:val="single" w:color="000000" w:sz="12" w:space="0"/>
              <w:right w:val="nil"/>
              <w:tl2br w:val="nil"/>
            </w:tcBorders>
            <w:shd w:val="clear" w:color="auto" w:fill="FFFFFF"/>
          </w:tcPr>
          <w:p w14:paraId="788D91D6">
            <w:pPr>
              <w:pStyle w:val="49"/>
              <w:ind w:firstLine="420"/>
            </w:pPr>
            <w:r>
              <w:t>Years in service</w:t>
            </w:r>
          </w:p>
        </w:tc>
        <w:tc>
          <w:tcPr>
            <w:tcW w:w="2410" w:type="dxa"/>
            <w:gridSpan w:val="3"/>
            <w:tcBorders>
              <w:top w:val="single" w:color="000000" w:sz="12" w:space="0"/>
              <w:left w:val="nil"/>
              <w:bottom w:val="single" w:color="000000" w:sz="12" w:space="0"/>
              <w:right w:val="nil"/>
            </w:tcBorders>
            <w:shd w:val="clear" w:color="auto" w:fill="FFFFFF"/>
          </w:tcPr>
          <w:p w14:paraId="617148C6">
            <w:pPr>
              <w:pStyle w:val="49"/>
              <w:ind w:firstLine="420"/>
            </w:pPr>
            <w:r>
              <w:t>Engine efficiency loss (%)</w:t>
            </w:r>
          </w:p>
        </w:tc>
        <w:tc>
          <w:tcPr>
            <w:tcW w:w="1988" w:type="dxa"/>
            <w:tcBorders>
              <w:top w:val="single" w:color="000000" w:sz="12" w:space="0"/>
              <w:left w:val="nil"/>
              <w:bottom w:val="single" w:color="000000" w:sz="12" w:space="0"/>
              <w:right w:val="nil"/>
            </w:tcBorders>
            <w:shd w:val="clear" w:color="auto" w:fill="FFFFFF"/>
          </w:tcPr>
          <w:p w14:paraId="15A2440C">
            <w:pPr>
              <w:pStyle w:val="49"/>
              <w:ind w:firstLine="420"/>
            </w:pPr>
            <w:r>
              <w:t>Corrected fuel ratio</w:t>
            </w:r>
          </w:p>
        </w:tc>
        <w:tc>
          <w:tcPr>
            <w:tcW w:w="2075" w:type="dxa"/>
            <w:tcBorders>
              <w:top w:val="single" w:color="000000" w:sz="12" w:space="0"/>
              <w:left w:val="nil"/>
              <w:bottom w:val="single" w:color="000000" w:sz="12" w:space="0"/>
              <w:right w:val="nil"/>
            </w:tcBorders>
            <w:shd w:val="clear" w:color="auto" w:fill="FFFFFF"/>
          </w:tcPr>
          <w:p w14:paraId="75A325E9">
            <w:pPr>
              <w:pStyle w:val="49"/>
              <w:ind w:firstLine="420"/>
            </w:pPr>
            <w:r>
              <w:t>Fuel increase (%)</w:t>
            </w:r>
          </w:p>
        </w:tc>
      </w:tr>
      <w:tr w14:paraId="714A5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single" w:color="000000" w:sz="12" w:space="0"/>
              <w:left w:val="nil"/>
              <w:bottom w:val="nil"/>
              <w:right w:val="nil"/>
            </w:tcBorders>
            <w:shd w:val="clear" w:color="auto" w:fill="FFFFFF"/>
          </w:tcPr>
          <w:p w14:paraId="76288458">
            <w:pPr>
              <w:pStyle w:val="49"/>
              <w:ind w:firstLine="420"/>
            </w:pPr>
            <w:r>
              <w:rPr>
                <w:rFonts w:hint="eastAsia"/>
              </w:rPr>
              <w:t>1</w:t>
            </w:r>
          </w:p>
        </w:tc>
        <w:tc>
          <w:tcPr>
            <w:tcW w:w="2095" w:type="dxa"/>
            <w:tcBorders>
              <w:top w:val="single" w:color="000000" w:sz="12" w:space="0"/>
              <w:left w:val="nil"/>
              <w:bottom w:val="nil"/>
              <w:right w:val="nil"/>
            </w:tcBorders>
            <w:shd w:val="clear" w:color="auto" w:fill="FFFFFF"/>
            <w:vAlign w:val="center"/>
          </w:tcPr>
          <w:p w14:paraId="5B7E13D6">
            <w:pPr>
              <w:pStyle w:val="49"/>
              <w:ind w:firstLine="420"/>
            </w:pPr>
            <w:r>
              <w:rPr>
                <w:rFonts w:hint="eastAsia"/>
              </w:rPr>
              <w:t>-0.89</w:t>
            </w:r>
          </w:p>
        </w:tc>
        <w:tc>
          <w:tcPr>
            <w:tcW w:w="2093" w:type="dxa"/>
            <w:gridSpan w:val="2"/>
            <w:tcBorders>
              <w:top w:val="single" w:color="000000" w:sz="12" w:space="0"/>
              <w:left w:val="nil"/>
              <w:bottom w:val="nil"/>
              <w:right w:val="nil"/>
            </w:tcBorders>
            <w:shd w:val="clear" w:color="auto" w:fill="FFFFFF"/>
            <w:vAlign w:val="center"/>
          </w:tcPr>
          <w:p w14:paraId="2D01669F">
            <w:pPr>
              <w:pStyle w:val="49"/>
              <w:ind w:firstLine="420"/>
            </w:pPr>
            <w:r>
              <w:rPr>
                <w:rFonts w:hint="eastAsia"/>
              </w:rPr>
              <w:t>1.01</w:t>
            </w:r>
          </w:p>
        </w:tc>
        <w:tc>
          <w:tcPr>
            <w:tcW w:w="2075" w:type="dxa"/>
            <w:tcBorders>
              <w:top w:val="single" w:color="000000" w:sz="12" w:space="0"/>
              <w:left w:val="nil"/>
              <w:bottom w:val="nil"/>
              <w:right w:val="nil"/>
            </w:tcBorders>
            <w:shd w:val="clear" w:color="auto" w:fill="FFFFFF"/>
            <w:vAlign w:val="center"/>
          </w:tcPr>
          <w:p w14:paraId="35280709">
            <w:pPr>
              <w:pStyle w:val="49"/>
              <w:ind w:firstLine="420"/>
            </w:pPr>
            <w:r>
              <w:rPr>
                <w:rFonts w:hint="eastAsia"/>
              </w:rPr>
              <w:t>0.90</w:t>
            </w:r>
          </w:p>
        </w:tc>
      </w:tr>
      <w:tr w14:paraId="5A95D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nil"/>
              <w:left w:val="nil"/>
              <w:bottom w:val="nil"/>
              <w:right w:val="nil"/>
            </w:tcBorders>
            <w:shd w:val="clear" w:color="auto" w:fill="FFFFFF"/>
          </w:tcPr>
          <w:p w14:paraId="5ECDF45C">
            <w:pPr>
              <w:pStyle w:val="49"/>
              <w:ind w:firstLine="420"/>
            </w:pPr>
            <w:r>
              <w:rPr>
                <w:rFonts w:hint="eastAsia"/>
              </w:rPr>
              <w:t>5</w:t>
            </w:r>
          </w:p>
        </w:tc>
        <w:tc>
          <w:tcPr>
            <w:tcW w:w="2095" w:type="dxa"/>
            <w:tcBorders>
              <w:top w:val="nil"/>
              <w:left w:val="nil"/>
              <w:bottom w:val="nil"/>
              <w:right w:val="nil"/>
            </w:tcBorders>
            <w:shd w:val="clear" w:color="auto" w:fill="FFFFFF"/>
            <w:vAlign w:val="center"/>
          </w:tcPr>
          <w:p w14:paraId="1FD7A94C">
            <w:pPr>
              <w:pStyle w:val="49"/>
              <w:ind w:firstLine="420"/>
            </w:pPr>
            <w:r>
              <w:rPr>
                <w:rFonts w:hint="eastAsia"/>
              </w:rPr>
              <w:t>-2.29</w:t>
            </w:r>
          </w:p>
        </w:tc>
        <w:tc>
          <w:tcPr>
            <w:tcW w:w="2093" w:type="dxa"/>
            <w:gridSpan w:val="2"/>
            <w:tcBorders>
              <w:top w:val="nil"/>
              <w:left w:val="nil"/>
              <w:bottom w:val="nil"/>
              <w:right w:val="nil"/>
            </w:tcBorders>
            <w:shd w:val="clear" w:color="auto" w:fill="FFFFFF"/>
            <w:vAlign w:val="center"/>
          </w:tcPr>
          <w:p w14:paraId="45E98965">
            <w:pPr>
              <w:pStyle w:val="49"/>
              <w:ind w:firstLine="420"/>
            </w:pPr>
            <w:r>
              <w:rPr>
                <w:rFonts w:hint="eastAsia"/>
              </w:rPr>
              <w:t>1.02</w:t>
            </w:r>
          </w:p>
        </w:tc>
        <w:tc>
          <w:tcPr>
            <w:tcW w:w="2075" w:type="dxa"/>
            <w:tcBorders>
              <w:top w:val="nil"/>
              <w:left w:val="nil"/>
              <w:bottom w:val="nil"/>
              <w:right w:val="nil"/>
            </w:tcBorders>
            <w:shd w:val="clear" w:color="auto" w:fill="FFFFFF"/>
            <w:vAlign w:val="center"/>
          </w:tcPr>
          <w:p w14:paraId="3956B279">
            <w:pPr>
              <w:pStyle w:val="49"/>
              <w:ind w:firstLine="420"/>
            </w:pPr>
            <w:r>
              <w:rPr>
                <w:rFonts w:hint="eastAsia"/>
              </w:rPr>
              <w:t>2.35</w:t>
            </w:r>
          </w:p>
        </w:tc>
      </w:tr>
      <w:tr w14:paraId="7FC42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nil"/>
              <w:left w:val="nil"/>
              <w:bottom w:val="nil"/>
              <w:right w:val="nil"/>
            </w:tcBorders>
            <w:shd w:val="clear" w:color="auto" w:fill="FFFFFF"/>
          </w:tcPr>
          <w:p w14:paraId="5B60009C">
            <w:pPr>
              <w:pStyle w:val="49"/>
              <w:ind w:firstLine="420"/>
            </w:pPr>
            <w:r>
              <w:rPr>
                <w:rFonts w:hint="eastAsia"/>
              </w:rPr>
              <w:t>10</w:t>
            </w:r>
          </w:p>
        </w:tc>
        <w:tc>
          <w:tcPr>
            <w:tcW w:w="2095" w:type="dxa"/>
            <w:tcBorders>
              <w:top w:val="nil"/>
              <w:left w:val="nil"/>
              <w:bottom w:val="nil"/>
              <w:right w:val="nil"/>
            </w:tcBorders>
            <w:shd w:val="clear" w:color="auto" w:fill="FFFFFF"/>
            <w:vAlign w:val="center"/>
          </w:tcPr>
          <w:p w14:paraId="1CAA8E61">
            <w:pPr>
              <w:pStyle w:val="49"/>
              <w:ind w:firstLine="420"/>
            </w:pPr>
            <w:r>
              <w:rPr>
                <w:rFonts w:hint="eastAsia"/>
              </w:rPr>
              <w:t>-3.07</w:t>
            </w:r>
          </w:p>
        </w:tc>
        <w:tc>
          <w:tcPr>
            <w:tcW w:w="2093" w:type="dxa"/>
            <w:gridSpan w:val="2"/>
            <w:tcBorders>
              <w:top w:val="nil"/>
              <w:left w:val="nil"/>
              <w:bottom w:val="nil"/>
              <w:right w:val="nil"/>
            </w:tcBorders>
            <w:shd w:val="clear" w:color="auto" w:fill="FFFFFF"/>
            <w:vAlign w:val="center"/>
          </w:tcPr>
          <w:p w14:paraId="3F4B2B04">
            <w:pPr>
              <w:pStyle w:val="49"/>
              <w:ind w:firstLine="420"/>
            </w:pPr>
            <w:r>
              <w:rPr>
                <w:rFonts w:hint="eastAsia"/>
              </w:rPr>
              <w:t>1.03</w:t>
            </w:r>
          </w:p>
        </w:tc>
        <w:tc>
          <w:tcPr>
            <w:tcW w:w="2075" w:type="dxa"/>
            <w:tcBorders>
              <w:top w:val="nil"/>
              <w:left w:val="nil"/>
              <w:bottom w:val="nil"/>
              <w:right w:val="nil"/>
            </w:tcBorders>
            <w:shd w:val="clear" w:color="auto" w:fill="FFFFFF"/>
            <w:vAlign w:val="center"/>
          </w:tcPr>
          <w:p w14:paraId="113F325B">
            <w:pPr>
              <w:pStyle w:val="49"/>
              <w:ind w:firstLine="420"/>
            </w:pPr>
            <w:r>
              <w:rPr>
                <w:rFonts w:hint="eastAsia"/>
              </w:rPr>
              <w:t>3.17</w:t>
            </w:r>
          </w:p>
        </w:tc>
      </w:tr>
      <w:tr w14:paraId="3FDE6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nil"/>
              <w:left w:val="nil"/>
              <w:bottom w:val="nil"/>
              <w:right w:val="nil"/>
            </w:tcBorders>
            <w:shd w:val="clear" w:color="auto" w:fill="FFFFFF"/>
          </w:tcPr>
          <w:p w14:paraId="478A4AB9">
            <w:pPr>
              <w:pStyle w:val="49"/>
              <w:ind w:firstLine="420"/>
            </w:pPr>
            <w:r>
              <w:rPr>
                <w:rFonts w:hint="eastAsia"/>
              </w:rPr>
              <w:t>15</w:t>
            </w:r>
          </w:p>
        </w:tc>
        <w:tc>
          <w:tcPr>
            <w:tcW w:w="2095" w:type="dxa"/>
            <w:tcBorders>
              <w:top w:val="nil"/>
              <w:left w:val="nil"/>
              <w:bottom w:val="nil"/>
              <w:right w:val="nil"/>
            </w:tcBorders>
            <w:shd w:val="clear" w:color="auto" w:fill="FFFFFF"/>
            <w:vAlign w:val="center"/>
          </w:tcPr>
          <w:p w14:paraId="0554B6C0">
            <w:pPr>
              <w:pStyle w:val="49"/>
              <w:ind w:firstLine="420"/>
            </w:pPr>
            <w:r>
              <w:rPr>
                <w:rFonts w:hint="eastAsia"/>
              </w:rPr>
              <w:t>-3.55</w:t>
            </w:r>
          </w:p>
        </w:tc>
        <w:tc>
          <w:tcPr>
            <w:tcW w:w="2093" w:type="dxa"/>
            <w:gridSpan w:val="2"/>
            <w:tcBorders>
              <w:top w:val="nil"/>
              <w:left w:val="nil"/>
              <w:bottom w:val="nil"/>
              <w:right w:val="nil"/>
            </w:tcBorders>
            <w:shd w:val="clear" w:color="auto" w:fill="FFFFFF"/>
            <w:vAlign w:val="center"/>
          </w:tcPr>
          <w:p w14:paraId="1FB4C34C">
            <w:pPr>
              <w:pStyle w:val="49"/>
              <w:ind w:firstLine="420"/>
            </w:pPr>
            <w:r>
              <w:rPr>
                <w:rFonts w:hint="eastAsia"/>
              </w:rPr>
              <w:t>1.04</w:t>
            </w:r>
          </w:p>
        </w:tc>
        <w:tc>
          <w:tcPr>
            <w:tcW w:w="2075" w:type="dxa"/>
            <w:tcBorders>
              <w:top w:val="nil"/>
              <w:left w:val="nil"/>
              <w:bottom w:val="nil"/>
              <w:right w:val="nil"/>
            </w:tcBorders>
            <w:shd w:val="clear" w:color="auto" w:fill="FFFFFF"/>
            <w:vAlign w:val="center"/>
          </w:tcPr>
          <w:p w14:paraId="7C19AF97">
            <w:pPr>
              <w:pStyle w:val="49"/>
              <w:ind w:firstLine="420"/>
            </w:pPr>
            <w:r>
              <w:rPr>
                <w:rFonts w:hint="eastAsia"/>
              </w:rPr>
              <w:t>3.68</w:t>
            </w:r>
          </w:p>
        </w:tc>
      </w:tr>
      <w:tr w14:paraId="2C6D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nil"/>
              <w:left w:val="nil"/>
              <w:bottom w:val="nil"/>
              <w:right w:val="nil"/>
            </w:tcBorders>
            <w:shd w:val="clear" w:color="auto" w:fill="FFFFFF"/>
          </w:tcPr>
          <w:p w14:paraId="6A1E6B64">
            <w:pPr>
              <w:pStyle w:val="49"/>
              <w:ind w:firstLine="420"/>
            </w:pPr>
            <w:r>
              <w:rPr>
                <w:rFonts w:hint="eastAsia"/>
              </w:rPr>
              <w:t>20</w:t>
            </w:r>
          </w:p>
        </w:tc>
        <w:tc>
          <w:tcPr>
            <w:tcW w:w="2095" w:type="dxa"/>
            <w:tcBorders>
              <w:top w:val="nil"/>
              <w:left w:val="nil"/>
              <w:bottom w:val="nil"/>
              <w:right w:val="nil"/>
            </w:tcBorders>
            <w:shd w:val="clear" w:color="auto" w:fill="FFFFFF"/>
            <w:vAlign w:val="center"/>
          </w:tcPr>
          <w:p w14:paraId="78534D53">
            <w:pPr>
              <w:pStyle w:val="49"/>
              <w:ind w:firstLine="420"/>
            </w:pPr>
            <w:r>
              <w:rPr>
                <w:rFonts w:hint="eastAsia"/>
              </w:rPr>
              <w:t>-3.90</w:t>
            </w:r>
          </w:p>
        </w:tc>
        <w:tc>
          <w:tcPr>
            <w:tcW w:w="2093" w:type="dxa"/>
            <w:gridSpan w:val="2"/>
            <w:tcBorders>
              <w:top w:val="nil"/>
              <w:left w:val="nil"/>
              <w:bottom w:val="nil"/>
              <w:right w:val="nil"/>
            </w:tcBorders>
            <w:shd w:val="clear" w:color="auto" w:fill="FFFFFF"/>
            <w:vAlign w:val="center"/>
          </w:tcPr>
          <w:p w14:paraId="76695CCE">
            <w:pPr>
              <w:pStyle w:val="49"/>
              <w:ind w:firstLine="420"/>
            </w:pPr>
            <w:r>
              <w:rPr>
                <w:rFonts w:hint="eastAsia"/>
              </w:rPr>
              <w:t>1.04</w:t>
            </w:r>
          </w:p>
        </w:tc>
        <w:tc>
          <w:tcPr>
            <w:tcW w:w="2075" w:type="dxa"/>
            <w:tcBorders>
              <w:top w:val="nil"/>
              <w:left w:val="nil"/>
              <w:bottom w:val="nil"/>
              <w:right w:val="nil"/>
            </w:tcBorders>
            <w:shd w:val="clear" w:color="auto" w:fill="FFFFFF"/>
            <w:vAlign w:val="center"/>
          </w:tcPr>
          <w:p w14:paraId="7BAEB0EC">
            <w:pPr>
              <w:pStyle w:val="49"/>
              <w:ind w:firstLine="420"/>
            </w:pPr>
            <w:r>
              <w:rPr>
                <w:rFonts w:hint="eastAsia"/>
              </w:rPr>
              <w:t>4.06</w:t>
            </w:r>
          </w:p>
        </w:tc>
      </w:tr>
      <w:tr w14:paraId="3F0CA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nil"/>
              <w:left w:val="nil"/>
              <w:bottom w:val="nil"/>
              <w:right w:val="nil"/>
            </w:tcBorders>
            <w:shd w:val="clear" w:color="auto" w:fill="FFFFFF"/>
          </w:tcPr>
          <w:p w14:paraId="79C7AA19">
            <w:pPr>
              <w:pStyle w:val="49"/>
              <w:ind w:firstLine="420"/>
            </w:pPr>
            <w:r>
              <w:rPr>
                <w:rFonts w:hint="eastAsia"/>
              </w:rPr>
              <w:t>25</w:t>
            </w:r>
          </w:p>
        </w:tc>
        <w:tc>
          <w:tcPr>
            <w:tcW w:w="2095" w:type="dxa"/>
            <w:tcBorders>
              <w:top w:val="nil"/>
              <w:left w:val="nil"/>
              <w:bottom w:val="nil"/>
              <w:right w:val="nil"/>
            </w:tcBorders>
            <w:shd w:val="clear" w:color="auto" w:fill="FFFFFF"/>
            <w:vAlign w:val="center"/>
          </w:tcPr>
          <w:p w14:paraId="41A13D63">
            <w:pPr>
              <w:pStyle w:val="49"/>
              <w:ind w:firstLine="420"/>
            </w:pPr>
            <w:r>
              <w:rPr>
                <w:rFonts w:hint="eastAsia"/>
              </w:rPr>
              <w:t>-4.17</w:t>
            </w:r>
          </w:p>
        </w:tc>
        <w:tc>
          <w:tcPr>
            <w:tcW w:w="2093" w:type="dxa"/>
            <w:gridSpan w:val="2"/>
            <w:tcBorders>
              <w:top w:val="nil"/>
              <w:left w:val="nil"/>
              <w:bottom w:val="nil"/>
              <w:right w:val="nil"/>
            </w:tcBorders>
            <w:shd w:val="clear" w:color="auto" w:fill="FFFFFF"/>
            <w:vAlign w:val="center"/>
          </w:tcPr>
          <w:p w14:paraId="288247B1">
            <w:pPr>
              <w:pStyle w:val="49"/>
              <w:ind w:firstLine="420"/>
            </w:pPr>
            <w:r>
              <w:rPr>
                <w:rFonts w:hint="eastAsia"/>
              </w:rPr>
              <w:t>1.04</w:t>
            </w:r>
          </w:p>
        </w:tc>
        <w:tc>
          <w:tcPr>
            <w:tcW w:w="2075" w:type="dxa"/>
            <w:tcBorders>
              <w:top w:val="nil"/>
              <w:left w:val="nil"/>
              <w:bottom w:val="nil"/>
              <w:right w:val="nil"/>
            </w:tcBorders>
            <w:shd w:val="clear" w:color="auto" w:fill="FFFFFF"/>
            <w:vAlign w:val="center"/>
          </w:tcPr>
          <w:p w14:paraId="0EEC9011">
            <w:pPr>
              <w:pStyle w:val="49"/>
              <w:ind w:firstLine="420"/>
            </w:pPr>
            <w:r>
              <w:rPr>
                <w:rFonts w:hint="eastAsia"/>
              </w:rPr>
              <w:t>4.35</w:t>
            </w:r>
          </w:p>
        </w:tc>
      </w:tr>
      <w:tr w14:paraId="6764F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063" w:type="dxa"/>
            <w:gridSpan w:val="2"/>
            <w:tcBorders>
              <w:top w:val="nil"/>
              <w:left w:val="nil"/>
              <w:bottom w:val="single" w:color="000000" w:sz="12" w:space="0"/>
              <w:right w:val="nil"/>
            </w:tcBorders>
            <w:shd w:val="clear" w:color="auto" w:fill="FFFFFF"/>
          </w:tcPr>
          <w:p w14:paraId="7CDCCB90">
            <w:pPr>
              <w:pStyle w:val="49"/>
              <w:ind w:firstLine="420"/>
            </w:pPr>
            <w:r>
              <w:rPr>
                <w:rFonts w:hint="eastAsia"/>
              </w:rPr>
              <w:t>30</w:t>
            </w:r>
          </w:p>
        </w:tc>
        <w:tc>
          <w:tcPr>
            <w:tcW w:w="2095" w:type="dxa"/>
            <w:tcBorders>
              <w:top w:val="nil"/>
              <w:left w:val="nil"/>
              <w:bottom w:val="single" w:color="000000" w:sz="12" w:space="0"/>
              <w:right w:val="nil"/>
            </w:tcBorders>
            <w:shd w:val="clear" w:color="auto" w:fill="FFFFFF"/>
            <w:vAlign w:val="center"/>
          </w:tcPr>
          <w:p w14:paraId="2FDB2806">
            <w:pPr>
              <w:pStyle w:val="49"/>
              <w:ind w:firstLine="420"/>
            </w:pPr>
            <w:r>
              <w:rPr>
                <w:rFonts w:hint="eastAsia"/>
              </w:rPr>
              <w:t>-4.40</w:t>
            </w:r>
          </w:p>
        </w:tc>
        <w:tc>
          <w:tcPr>
            <w:tcW w:w="2093" w:type="dxa"/>
            <w:gridSpan w:val="2"/>
            <w:tcBorders>
              <w:top w:val="nil"/>
              <w:left w:val="nil"/>
              <w:bottom w:val="single" w:color="000000" w:sz="12" w:space="0"/>
              <w:right w:val="nil"/>
            </w:tcBorders>
            <w:shd w:val="clear" w:color="auto" w:fill="FFFFFF"/>
            <w:vAlign w:val="center"/>
          </w:tcPr>
          <w:p w14:paraId="538D1288">
            <w:pPr>
              <w:pStyle w:val="49"/>
              <w:ind w:firstLine="420"/>
            </w:pPr>
            <w:r>
              <w:rPr>
                <w:rFonts w:hint="eastAsia"/>
              </w:rPr>
              <w:t>1.05</w:t>
            </w:r>
          </w:p>
        </w:tc>
        <w:tc>
          <w:tcPr>
            <w:tcW w:w="2075" w:type="dxa"/>
            <w:tcBorders>
              <w:top w:val="nil"/>
              <w:left w:val="nil"/>
              <w:bottom w:val="single" w:color="000000" w:sz="12" w:space="0"/>
              <w:right w:val="nil"/>
            </w:tcBorders>
            <w:shd w:val="clear" w:color="auto" w:fill="FFFFFF"/>
            <w:vAlign w:val="center"/>
          </w:tcPr>
          <w:p w14:paraId="5470E94E">
            <w:pPr>
              <w:pStyle w:val="49"/>
              <w:ind w:firstLine="420"/>
            </w:pPr>
            <w:r>
              <w:rPr>
                <w:rFonts w:hint="eastAsia"/>
              </w:rPr>
              <w:t>4.60</w:t>
            </w:r>
          </w:p>
        </w:tc>
      </w:tr>
    </w:tbl>
    <w:p w14:paraId="62EAC274">
      <w:pPr>
        <w:pStyle w:val="58"/>
        <w:rPr>
          <w:rFonts w:hint="default"/>
        </w:rPr>
      </w:pPr>
    </w:p>
    <w:p w14:paraId="379EFEAC">
      <w:pPr>
        <w:spacing w:after="120"/>
        <w:ind w:firstLine="420" w:firstLineChars="0"/>
      </w:pPr>
      <w:r>
        <w:t>The results indicate a diminishing marginal increase in fuel consumption with aircraft age. Fuel penalty grows more rapidly during early service years and gradually stabilizes thereafter. After 30 years of operation, fuel consumption increases by approximately 4.6%, consistent with the performance recovery effects of periodic overhaul.</w:t>
      </w:r>
    </w:p>
    <w:p w14:paraId="51311E55">
      <w:pPr>
        <w:spacing w:after="120" w:line="312" w:lineRule="auto"/>
        <w:ind w:firstLine="0" w:firstLineChars="0"/>
        <w:rPr>
          <w:b/>
          <w:bCs/>
          <w:sz w:val="24"/>
          <w:szCs w:val="24"/>
        </w:rPr>
      </w:pPr>
      <w:r>
        <w:rPr>
          <w:rFonts w:hint="eastAsia"/>
          <w:b/>
          <w:bCs/>
          <w:sz w:val="24"/>
          <w:szCs w:val="24"/>
        </w:rPr>
        <w:t>Reference</w:t>
      </w:r>
    </w:p>
    <w:p w14:paraId="6E23525C">
      <w:pPr>
        <w:numPr>
          <w:ilvl w:val="0"/>
          <w:numId w:val="4"/>
        </w:numPr>
        <w:spacing w:after="60"/>
        <w:ind w:firstLineChars="0"/>
        <w:rPr>
          <w:rFonts w:eastAsia="Times New Roman"/>
          <w:color w:val="1F1F1F"/>
          <w:szCs w:val="21"/>
        </w:rPr>
      </w:pPr>
      <w:bookmarkStart w:id="4" w:name="_Ref22862"/>
      <w:r>
        <w:rPr>
          <w:rFonts w:eastAsia="Times New Roman"/>
          <w:color w:val="1F1F1F"/>
          <w:szCs w:val="21"/>
        </w:rPr>
        <w:t>Seymour, K.P., Held, M., Georges, G., &amp; Boulouchos, K. (2020). Fuel Estimation in Air Transportation: Modeling global fuel consumption for commercial aviation. Transportation Research Part D-transport and Environment, 88, 102528.</w:t>
      </w:r>
      <w:bookmarkEnd w:id="4"/>
    </w:p>
    <w:p w14:paraId="6ED11CFD">
      <w:pPr>
        <w:ind w:firstLine="420"/>
      </w:pPr>
    </w:p>
    <w:p w14:paraId="40A7FFEF">
      <w:pPr>
        <w:ind w:firstLine="420"/>
      </w:pPr>
    </w:p>
    <w:p w14:paraId="040EB61B">
      <w:pPr>
        <w:ind w:firstLine="420"/>
      </w:pPr>
    </w:p>
    <w:p w14:paraId="08D16B81">
      <w:pPr>
        <w:ind w:firstLine="420"/>
      </w:pPr>
    </w:p>
    <w:p w14:paraId="1C98D859">
      <w:pPr>
        <w:ind w:firstLine="420"/>
      </w:pPr>
    </w:p>
    <w:p w14:paraId="59B52590">
      <w:pPr>
        <w:pStyle w:val="2"/>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70A78BA">
      <w:pPr>
        <w:pStyle w:val="2"/>
        <w:ind w:firstLine="0" w:firstLineChars="0"/>
      </w:pPr>
      <w:r>
        <w:t>Supplementary Note 8</w:t>
      </w:r>
      <w:r>
        <w:rPr>
          <w:rFonts w:hint="eastAsia"/>
        </w:rPr>
        <w:t>.</w:t>
      </w:r>
      <w:r>
        <w:t xml:space="preserve"> Calculation Method and Standard of the Carbon Condition Index (CCI)</w:t>
      </w:r>
    </w:p>
    <w:p w14:paraId="25260C75">
      <w:pPr>
        <w:pStyle w:val="3"/>
        <w:ind w:firstLine="482"/>
      </w:pPr>
      <w:r>
        <w:t>8.1 CCI Calculation Framework</w:t>
      </w:r>
    </w:p>
    <w:p w14:paraId="45E42896">
      <w:pPr>
        <w:ind w:firstLine="420"/>
        <w:jc w:val="left"/>
      </w:pPr>
      <w:r>
        <w:t>Runway roughness induces aircraft–pavement coupled vibrations during taxiing, generating additional mechanical energy dissipation within the landing gear system and pavement structure. To sustain a prescribed taxiing speed, this dissipated energy must be compensated by increased engine thrust, leading to incremental fuel consumption and carbon emissions. The full aircraft–pavement dynamic model developed in this study quantifies these dissipation pathways explicitly.</w:t>
      </w:r>
    </w:p>
    <w:p w14:paraId="23A2541D">
      <w:pPr>
        <w:ind w:firstLine="420"/>
        <w:jc w:val="left"/>
      </w:pPr>
      <w:r>
        <w:t>However, direct adoption of the complete coupled model for pavement evaluation is impractical. Structural parameters and subgrade conditions vary substantially across airports and are rarely standardized at scale. Moreover, CCI is intended to characterize the emission-driving potential of runway roughness itself, rather than the response of any specific aircraft–pavement configuration. The index must therefore be independent of site-specific structural properties.</w:t>
      </w:r>
    </w:p>
    <w:p w14:paraId="3B210569">
      <w:pPr>
        <w:ind w:firstLine="420"/>
        <w:jc w:val="left"/>
      </w:pPr>
      <w:r>
        <w:t>Energy dissipation cannot be used directly as the evaluation metric. Dissipated power depends on damping coefficients and vibration velocity squared; since damping parameters vary among aircraft types, energy-based metrics would yield aircraft-dependent results for identical roughness conditions. Such dependence contradicts the requirement of cross-fleet comparability in pavement management.</w:t>
      </w:r>
    </w:p>
    <w:p w14:paraId="41FD0A78">
      <w:pPr>
        <w:ind w:firstLine="420"/>
        <w:jc w:val="left"/>
      </w:pPr>
      <w:r>
        <w:t>To resolve these constraints, CCI adopts the vibration velocities of landing gear shock absorbers and tyres as the primary state variables. Vibration velocity represents the dynamic excitation intensity imposed by runway roughness and serves as the immediate precursor of energy dissipation. To eliminate aircraft-specific dynamic bias, a standardized aircraft model with normalized mass and stiffness parameters is introduced. This ensures that CCI reflects the intrinsic excitation strength of the roughness field rather than aircraft-dependent response characteristics.</w:t>
      </w:r>
    </w:p>
    <w:p w14:paraId="4561A4C5">
      <w:pPr>
        <w:ind w:firstLine="420"/>
        <w:jc w:val="left"/>
      </w:pPr>
      <w:r>
        <w:t>Accordingly, the construction of CCI addresses three technical objectives:</w:t>
      </w:r>
    </w:p>
    <w:p w14:paraId="78F974F2">
      <w:pPr>
        <w:ind w:firstLine="420"/>
        <w:jc w:val="left"/>
      </w:pPr>
      <w:r>
        <w:t>(1) Extraction of a standardized aircraft-based evaluation model from the full coupled system, enabling decoupling from pavement structural parameters;</w:t>
      </w:r>
    </w:p>
    <w:p w14:paraId="7A70FCED">
      <w:pPr>
        <w:ind w:firstLine="420"/>
        <w:jc w:val="left"/>
      </w:pPr>
      <w:r>
        <w:t>(2) Integration of multiple component velocities into a unified scalar index;</w:t>
      </w:r>
    </w:p>
    <w:p w14:paraId="64EDDF70">
      <w:pPr>
        <w:ind w:firstLine="420"/>
        <w:jc w:val="left"/>
      </w:pPr>
      <w:r>
        <w:t>(3) Parameter normalization to ensure strong correlation between CCI and fleet-level energy dissipation.</w:t>
      </w:r>
    </w:p>
    <w:p w14:paraId="4752C68A">
      <w:pPr>
        <w:ind w:firstLine="420"/>
        <w:jc w:val="left"/>
      </w:pPr>
      <w:r>
        <w:t>The following sections detail these procedures.</w:t>
      </w:r>
    </w:p>
    <w:p w14:paraId="44BC9323">
      <w:pPr>
        <w:pStyle w:val="4"/>
        <w:ind w:firstLine="482"/>
      </w:pPr>
      <w:r>
        <w:t>8.1.1 Standardized aircraft model for CCI</w:t>
      </w:r>
    </w:p>
    <w:p w14:paraId="6415B41B">
      <w:pPr>
        <w:ind w:firstLine="420"/>
        <w:jc w:val="left"/>
      </w:pPr>
      <w:r>
        <w:t xml:space="preserve">In the full aircraft–runway coupled framework, total energy dissipation arises from both aircraft components and pavement structures. However, regression analysis reveals that vibration responses of key aircraft components—particularly the relative velocities of sprung and unsprung masses—exhibit an exceptionally strong correlation with total system energy dissipation (R² &gt; 0.98; Fig. </w:t>
      </w:r>
      <w:r>
        <w:rPr>
          <w:rFonts w:hint="eastAsia"/>
        </w:rPr>
        <w:t>S</w:t>
      </w:r>
      <w:r>
        <w:t>8.1).</w:t>
      </w:r>
    </w:p>
    <w:p w14:paraId="3DFCCC35">
      <w:pPr>
        <w:ind w:firstLine="420"/>
        <w:jc w:val="left"/>
      </w:pPr>
      <w:r>
        <w:t>This finding indicates that aircraft vibration states can serve as a high-sensitivity proxy for total dissipated energy induced by runway roughness, eliminating the need to explicitly resolve detailed pavement structural responses. Accordingly, CCI is formulated based on a standardized aircraft dynamic model (Fig. S8.2), in which vibration response functions as a surrogate measure of roughness-induced energy amplification.</w:t>
      </w:r>
    </w:p>
    <w:p w14:paraId="09F3A837">
      <w:pPr>
        <w:pStyle w:val="52"/>
      </w:pPr>
      <w:r>
        <w:drawing>
          <wp:inline distT="0" distB="0" distL="114300" distR="114300">
            <wp:extent cx="4867910" cy="3173095"/>
            <wp:effectExtent l="0" t="0" r="8890" b="190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47"/>
                    <a:srcRect t="6286"/>
                    <a:stretch>
                      <a:fillRect/>
                    </a:stretch>
                  </pic:blipFill>
                  <pic:spPr>
                    <a:xfrm>
                      <a:off x="0" y="0"/>
                      <a:ext cx="4867910" cy="3173095"/>
                    </a:xfrm>
                    <a:prstGeom prst="rect">
                      <a:avLst/>
                    </a:prstGeom>
                    <a:noFill/>
                    <a:ln>
                      <a:noFill/>
                    </a:ln>
                  </pic:spPr>
                </pic:pic>
              </a:graphicData>
            </a:graphic>
          </wp:inline>
        </w:drawing>
      </w:r>
    </w:p>
    <w:p w14:paraId="25FF05C4">
      <w:pPr>
        <w:pStyle w:val="58"/>
        <w:rPr>
          <w:rFonts w:hint="default"/>
        </w:rPr>
      </w:pPr>
      <w:r>
        <w:t>Fig.S8.1. Correlation between aircraft vibration response and total system energy dissipation</w:t>
      </w:r>
    </w:p>
    <w:p w14:paraId="59904F9C">
      <w:pPr>
        <w:pStyle w:val="58"/>
        <w:rPr>
          <w:rFonts w:hint="default"/>
        </w:rPr>
      </w:pPr>
      <w:r>
        <w:drawing>
          <wp:inline distT="0" distB="0" distL="114300" distR="114300">
            <wp:extent cx="4319905" cy="3080385"/>
            <wp:effectExtent l="0" t="0" r="10795" b="571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48"/>
                    <a:stretch>
                      <a:fillRect/>
                    </a:stretch>
                  </pic:blipFill>
                  <pic:spPr>
                    <a:xfrm>
                      <a:off x="0" y="0"/>
                      <a:ext cx="4319905" cy="3080385"/>
                    </a:xfrm>
                    <a:prstGeom prst="rect">
                      <a:avLst/>
                    </a:prstGeom>
                    <a:noFill/>
                    <a:ln>
                      <a:noFill/>
                    </a:ln>
                  </pic:spPr>
                </pic:pic>
              </a:graphicData>
            </a:graphic>
          </wp:inline>
        </w:drawing>
      </w:r>
    </w:p>
    <w:p w14:paraId="61D69E0C">
      <w:pPr>
        <w:pStyle w:val="58"/>
        <w:rPr>
          <w:rFonts w:hint="default"/>
          <w:szCs w:val="24"/>
        </w:rPr>
      </w:pPr>
      <w:r>
        <w:rPr>
          <w:szCs w:val="24"/>
        </w:rPr>
        <w:t>Fig.S8.2. Standardized aircraft-based framework for Carbon Condition Index (CCI) calculation</w:t>
      </w:r>
    </w:p>
    <w:p w14:paraId="74BBCEFE">
      <w:pPr>
        <w:ind w:firstLine="422"/>
        <w:rPr>
          <w:b/>
          <w:bCs/>
        </w:rPr>
      </w:pPr>
      <w:r>
        <w:rPr>
          <w:b/>
          <w:bCs/>
        </w:rPr>
        <w:t>Decoupling from pavement heterogeneity</w:t>
      </w:r>
    </w:p>
    <w:p w14:paraId="7B94B81A">
      <w:pPr>
        <w:ind w:firstLine="420"/>
      </w:pPr>
      <w:r>
        <w:t>Runway structural properties (e.g., stiffness, damping, subgrade support) vary substantially across airports and are often difficult to obtain in a standardized manner. Incorporating such parameters directly into the CCI framework would compromise cross-airport comparability. By anchoring the evaluation to a standardized aircraft model—representing a globally consistent operational carrier—the index becomes inherently independent of local pavement structural variability. Under this configuration, runway roughness acts as the external excitation, and the vibration intensity induced in the standardized aircraft directly reflects its carbon amplification potential. The evaluation focus thus shifts from system-specific responses to the excitation strength of roughness itself.</w:t>
      </w:r>
    </w:p>
    <w:p w14:paraId="1F7D16D7">
      <w:pPr>
        <w:ind w:firstLine="422"/>
        <w:rPr>
          <w:b/>
          <w:bCs/>
        </w:rPr>
      </w:pPr>
      <w:r>
        <w:rPr>
          <w:b/>
          <w:bCs/>
        </w:rPr>
        <w:t>Engineering scalability and computational efficiency</w:t>
      </w:r>
    </w:p>
    <w:p w14:paraId="2109DFD6">
      <w:pPr>
        <w:ind w:firstLine="420"/>
      </w:pPr>
      <w:r>
        <w:t>The aircraft-only formulation improves computational efficiency by more than two orders of magnitude compared with the full coupled model. This enables large-scale, near real-time CCI evaluation using routine roughness inspection datasets. Moreover, because the standardized model is independent of site-specific structural parameters, it facilitates broad international applicability and supports integration into existing pavement management systems.</w:t>
      </w:r>
    </w:p>
    <w:p w14:paraId="1CF1CF1E">
      <w:pPr>
        <w:ind w:firstLine="420"/>
      </w:pPr>
      <w:r>
        <w:t>In summary, extracting the CCI formulation from the complete aircraft–runway coupling system into a standardized aircraft-based vibration–energy framework ensures that:</w:t>
      </w:r>
    </w:p>
    <w:p w14:paraId="5567798B">
      <w:pPr>
        <w:ind w:firstLine="420"/>
      </w:pPr>
      <w:r>
        <w:t>(1) CCI remains physically grounded in energy dissipation mechanisms;</w:t>
      </w:r>
    </w:p>
    <w:p w14:paraId="73133A92">
      <w:pPr>
        <w:ind w:firstLine="420"/>
      </w:pPr>
      <w:r>
        <w:t>(2) Cross-airport comparability is preserved;</w:t>
      </w:r>
    </w:p>
    <w:p w14:paraId="157A4F1E">
      <w:pPr>
        <w:ind w:firstLine="420"/>
      </w:pPr>
      <w:r>
        <w:t>(3) The method is computationally scalable for large datasets;</w:t>
      </w:r>
    </w:p>
    <w:p w14:paraId="23AA5387">
      <w:pPr>
        <w:ind w:firstLine="420"/>
      </w:pPr>
      <w:r>
        <w:t>(4) The index can be operationalized as a practical screening tool for carbon-sensitive pavement states.</w:t>
      </w:r>
    </w:p>
    <w:p w14:paraId="62CE8C3A">
      <w:pPr>
        <w:pStyle w:val="4"/>
        <w:ind w:firstLine="482"/>
      </w:pPr>
      <w:r>
        <w:t>8.1.2 Formulation of the Carbon Condition Index (CCI)</w:t>
      </w:r>
    </w:p>
    <w:p w14:paraId="18FB44B3">
      <w:pPr>
        <w:ind w:firstLine="420"/>
      </w:pPr>
      <w:r>
        <w:t>The aircraft dynamic system comprises multiple vibration components, including the sprung mass and the unsprung masses of the nose and main landing gears. During taxiing, each component generates velocity responses in different directions under pavement roughness excitation. To construct a unified pavement-oriented metric, these distributed velocity responses must be integrated into a single scalar indicator.</w:t>
      </w:r>
    </w:p>
    <w:p w14:paraId="5B3FB44A">
      <w:pPr>
        <w:ind w:firstLine="420"/>
      </w:pPr>
      <w:r>
        <w:t>Given that vibration velocity is a vector quantity, the CCI is defined to reflect the overall intensity of vibration-induced energy dissipation while remaining independent of vibration direction. The formulation follows three steps:</w:t>
      </w:r>
    </w:p>
    <w:p w14:paraId="5E0AE73D">
      <w:pPr>
        <w:numPr>
          <w:ilvl w:val="0"/>
          <w:numId w:val="5"/>
        </w:numPr>
        <w:ind w:firstLine="420"/>
      </w:pPr>
      <w:r>
        <w:t>Directional normalization: Absolute values of velocity components are taken to eliminate directional cancellation effects and ensure that all vibration contributions are positively accumulated.</w:t>
      </w:r>
    </w:p>
    <w:p w14:paraId="55C56313">
      <w:pPr>
        <w:numPr>
          <w:ilvl w:val="0"/>
          <w:numId w:val="5"/>
        </w:numPr>
        <w:ind w:firstLine="420"/>
      </w:pPr>
      <w:r>
        <w:t>Component aggregation: The absolute velocities of the six key vibration components are summed and averaged to obtain the instantaneous mean vibration velocity.</w:t>
      </w:r>
    </w:p>
    <w:p w14:paraId="10F87EA1">
      <w:pPr>
        <w:numPr>
          <w:ilvl w:val="0"/>
          <w:numId w:val="5"/>
        </w:numPr>
        <w:ind w:firstLine="420"/>
      </w:pPr>
      <w:r>
        <w:t>Spatial normalization: The instantaneous mean velocity is integrated along the taxiing path and normalized by the calculation length, yielding the average vibration intensity per unit distance, defined as the CCI.</w:t>
      </w:r>
    </w:p>
    <w:p w14:paraId="5525DE92">
      <w:pPr>
        <w:ind w:firstLine="420"/>
      </w:pPr>
      <w:r>
        <w:t>The CCI is therefore expressed as:</w:t>
      </w:r>
    </w:p>
    <w:p w14:paraId="7BBE145C">
      <w:pPr>
        <w:pStyle w:val="21"/>
        <w:ind w:firstLine="482"/>
      </w:pPr>
      <w:r>
        <w:rPr>
          <w:rFonts w:hint="eastAsia" w:eastAsia="宋体"/>
        </w:rPr>
        <w:tab/>
      </w:r>
      <w:r>
        <w:rPr>
          <w:rFonts w:hint="eastAsia"/>
          <w14:ligatures w14:val="none"/>
        </w:rPr>
        <w:object>
          <v:shape id="_x0000_i1029" o:spt="75" type="#_x0000_t75" style="height:31.35pt;width:238.35pt;" o:ole="t" filled="f" o:preferrelative="t" stroked="f" coordsize="21600,21600">
            <v:path/>
            <v:fill on="f" focussize="0,0"/>
            <v:stroke on="f" joinstyle="miter"/>
            <v:imagedata r:id="rId50" o:title=""/>
            <o:lock v:ext="edit" aspectratio="t"/>
            <w10:wrap type="none"/>
            <w10:anchorlock/>
          </v:shape>
          <o:OLEObject Type="Embed" ProgID="Equation.DSMT4" ShapeID="_x0000_i1029" DrawAspect="Content" ObjectID="_1468075729" r:id="rId49">
            <o:LockedField>false</o:LockedField>
          </o:OLEObject>
        </w:object>
      </w:r>
      <w:r>
        <w:rPr>
          <w:rFonts w:hint="eastAsia"/>
        </w:rPr>
        <w:tab/>
      </w:r>
      <w:r>
        <w:rPr>
          <w:rFonts w:hint="eastAsia"/>
          <w:b w:val="0"/>
          <w:bCs w:val="0"/>
        </w:rPr>
        <w:t xml:space="preserve"> (</w:t>
      </w:r>
      <w:r>
        <w:rPr>
          <w:rFonts w:hint="eastAsia" w:eastAsia="宋体"/>
          <w:b w:val="0"/>
          <w:bCs w:val="0"/>
        </w:rPr>
        <w:t>S</w:t>
      </w:r>
      <w:r>
        <w:rPr>
          <w:rFonts w:hint="eastAsia"/>
          <w:b w:val="0"/>
          <w:bCs w:val="0"/>
        </w:rPr>
        <w:t>8.1)</w:t>
      </w:r>
    </w:p>
    <w:p w14:paraId="58CB5DE6">
      <w:pPr>
        <w:ind w:firstLine="420"/>
      </w:pPr>
      <w:r>
        <w:t>The detailed expressions of the velocity components are given in Eqs.(</w:t>
      </w:r>
      <w:r>
        <w:rPr>
          <w:rFonts w:hint="eastAsia"/>
        </w:rPr>
        <w:t>S</w:t>
      </w:r>
      <w:r>
        <w:t>8.2)–(</w:t>
      </w:r>
      <w:r>
        <w:rPr>
          <w:rFonts w:hint="eastAsia"/>
        </w:rPr>
        <w:t>S</w:t>
      </w:r>
      <w:r>
        <w:t>8.7).</w:t>
      </w:r>
    </w:p>
    <w:p w14:paraId="221F931A">
      <w:pPr>
        <w:pStyle w:val="21"/>
        <w:ind w:firstLine="482"/>
        <w:rPr>
          <w:b w:val="0"/>
        </w:rPr>
      </w:pPr>
      <w:r>
        <w:tab/>
      </w:r>
      <w:r>
        <w:rPr>
          <w:position w:val="-14"/>
          <w14:ligatures w14:val="none"/>
        </w:rPr>
        <w:object>
          <v:shape id="_x0000_i1030" o:spt="75" type="#_x0000_t75" style="height:19.35pt;width:81pt;" o:ole="t" filled="f" o:preferrelative="t" stroked="f" coordsize="21600,21600">
            <v:path/>
            <v:fill on="f" focussize="0,0"/>
            <v:stroke on="f" joinstyle="miter"/>
            <v:imagedata r:id="rId52" o:title=""/>
            <o:lock v:ext="edit" aspectratio="t"/>
            <w10:wrap type="none"/>
            <w10:anchorlock/>
          </v:shape>
          <o:OLEObject Type="Embed" ProgID="Equation.DSMT4" ShapeID="_x0000_i1030" DrawAspect="Content" ObjectID="_1468075730" r:id="rId51">
            <o:LockedField>false</o:LockedField>
          </o:OLEObject>
        </w:object>
      </w:r>
      <w:r>
        <w:tab/>
      </w:r>
      <w:r>
        <w:rPr>
          <w:b w:val="0"/>
        </w:rPr>
        <w:t>(</w:t>
      </w:r>
      <w:r>
        <w:rPr>
          <w:rFonts w:hint="eastAsia" w:eastAsia="宋体"/>
          <w:b w:val="0"/>
        </w:rPr>
        <w:t>S</w:t>
      </w:r>
      <w:r>
        <w:rPr>
          <w:b w:val="0"/>
        </w:rPr>
        <w:t>8.2)</w:t>
      </w:r>
    </w:p>
    <w:p w14:paraId="229F0201">
      <w:pPr>
        <w:pStyle w:val="21"/>
        <w:rPr>
          <w:b w:val="0"/>
        </w:rPr>
      </w:pPr>
      <w:r>
        <w:rPr>
          <w:b w:val="0"/>
        </w:rPr>
        <w:tab/>
      </w:r>
      <w:r>
        <w:rPr>
          <w:b w:val="0"/>
          <w:position w:val="-12"/>
          <w14:ligatures w14:val="none"/>
        </w:rPr>
        <w:object>
          <v:shape id="_x0000_i1031" o:spt="75" type="#_x0000_t75" style="height:19.35pt;width:111pt;" o:ole="t" filled="f" o:preferrelative="t" stroked="f" coordsize="21600,21600">
            <v:path/>
            <v:fill on="f" focussize="0,0"/>
            <v:stroke on="f" joinstyle="miter"/>
            <v:imagedata r:id="rId54" o:title=""/>
            <o:lock v:ext="edit" aspectratio="t"/>
            <w10:wrap type="none"/>
            <w10:anchorlock/>
          </v:shape>
          <o:OLEObject Type="Embed" ProgID="Equation.DSMT4" ShapeID="_x0000_i1031" DrawAspect="Content" ObjectID="_1468075731" r:id="rId53">
            <o:LockedField>false</o:LockedField>
          </o:OLEObject>
        </w:object>
      </w:r>
      <w:r>
        <w:rPr>
          <w:b w:val="0"/>
        </w:rPr>
        <w:tab/>
      </w:r>
      <w:r>
        <w:rPr>
          <w:b w:val="0"/>
        </w:rPr>
        <w:t>(</w:t>
      </w:r>
      <w:r>
        <w:rPr>
          <w:rFonts w:hint="eastAsia" w:eastAsia="宋体"/>
          <w:b w:val="0"/>
        </w:rPr>
        <w:t>S</w:t>
      </w:r>
      <w:r>
        <w:rPr>
          <w:b w:val="0"/>
        </w:rPr>
        <w:t>8.3)</w:t>
      </w:r>
    </w:p>
    <w:p w14:paraId="0D23E1BC">
      <w:pPr>
        <w:pStyle w:val="21"/>
        <w:rPr>
          <w:b w:val="0"/>
        </w:rPr>
      </w:pPr>
      <w:r>
        <w:rPr>
          <w:b w:val="0"/>
        </w:rPr>
        <w:tab/>
      </w:r>
      <w:r>
        <w:rPr>
          <w:b w:val="0"/>
          <w:position w:val="-12"/>
          <w14:ligatures w14:val="none"/>
        </w:rPr>
        <w:object>
          <v:shape id="_x0000_i1032" o:spt="75" type="#_x0000_t75" style="height:19.35pt;width:108pt;" o:ole="t" filled="f" o:preferrelative="t" stroked="f" coordsize="21600,21600">
            <v:path/>
            <v:fill on="f" focussize="0,0"/>
            <v:stroke on="f" joinstyle="miter"/>
            <v:imagedata r:id="rId56" o:title=""/>
            <o:lock v:ext="edit" aspectratio="t"/>
            <w10:wrap type="none"/>
            <w10:anchorlock/>
          </v:shape>
          <o:OLEObject Type="Embed" ProgID="Equation.DSMT4" ShapeID="_x0000_i1032" DrawAspect="Content" ObjectID="_1468075732" r:id="rId55">
            <o:LockedField>false</o:LockedField>
          </o:OLEObject>
        </w:object>
      </w:r>
      <w:r>
        <w:rPr>
          <w:b w:val="0"/>
        </w:rPr>
        <w:tab/>
      </w:r>
      <w:r>
        <w:rPr>
          <w:b w:val="0"/>
        </w:rPr>
        <w:t>(</w:t>
      </w:r>
      <w:r>
        <w:rPr>
          <w:rFonts w:hint="eastAsia" w:eastAsia="宋体"/>
          <w:b w:val="0"/>
        </w:rPr>
        <w:t>S</w:t>
      </w:r>
      <w:r>
        <w:rPr>
          <w:b w:val="0"/>
        </w:rPr>
        <w:t>8.4)</w:t>
      </w:r>
    </w:p>
    <w:p w14:paraId="049CCC11">
      <w:pPr>
        <w:pStyle w:val="21"/>
        <w:ind w:firstLineChars="0"/>
        <w:rPr>
          <w:b w:val="0"/>
        </w:rPr>
      </w:pPr>
      <w:r>
        <w:rPr>
          <w:b w:val="0"/>
        </w:rPr>
        <w:tab/>
      </w:r>
      <w:r>
        <w:rPr>
          <w:b w:val="0"/>
        </w:rPr>
        <w:object>
          <v:shape id="_x0000_i1033" o:spt="75" type="#_x0000_t75" style="height:17.65pt;width:56.65pt;" o:ole="t" filled="f" o:preferrelative="t" stroked="f" coordsize="21600,21600">
            <v:path/>
            <v:fill on="f" focussize="0,0"/>
            <v:stroke on="f" joinstyle="miter"/>
            <v:imagedata r:id="rId58" o:title=""/>
            <o:lock v:ext="edit" aspectratio="t"/>
            <w10:wrap type="none"/>
            <w10:anchorlock/>
          </v:shape>
          <o:OLEObject Type="Embed" ProgID="Equation.DSMT4" ShapeID="_x0000_i1033" DrawAspect="Content" ObjectID="_1468075733" r:id="rId57">
            <o:LockedField>false</o:LockedField>
          </o:OLEObject>
        </w:object>
      </w:r>
      <w:r>
        <w:rPr>
          <w:b w:val="0"/>
        </w:rPr>
        <w:tab/>
      </w:r>
      <w:r>
        <w:rPr>
          <w:b w:val="0"/>
        </w:rPr>
        <w:t>(</w:t>
      </w:r>
      <w:r>
        <w:rPr>
          <w:rFonts w:hint="eastAsia" w:eastAsia="宋体"/>
          <w:b w:val="0"/>
        </w:rPr>
        <w:t>S</w:t>
      </w:r>
      <w:r>
        <w:rPr>
          <w:b w:val="0"/>
        </w:rPr>
        <w:t>8.5)</w:t>
      </w:r>
    </w:p>
    <w:p w14:paraId="3CCB005D">
      <w:pPr>
        <w:pStyle w:val="21"/>
        <w:ind w:firstLineChars="0"/>
        <w:rPr>
          <w:b w:val="0"/>
        </w:rPr>
      </w:pPr>
      <w:r>
        <w:rPr>
          <w:b w:val="0"/>
        </w:rPr>
        <w:tab/>
      </w:r>
      <w:r>
        <w:rPr>
          <w:b w:val="0"/>
        </w:rPr>
        <w:object>
          <v:shape id="_x0000_i1034" o:spt="75" type="#_x0000_t75" style="height:17.65pt;width:55pt;" o:ole="t" filled="f" o:preferrelative="t" stroked="f" coordsize="21600,21600">
            <v:path/>
            <v:fill on="f" focussize="0,0"/>
            <v:stroke on="f" joinstyle="miter"/>
            <v:imagedata r:id="rId60" o:title=""/>
            <o:lock v:ext="edit" aspectratio="t"/>
            <w10:wrap type="none"/>
            <w10:anchorlock/>
          </v:shape>
          <o:OLEObject Type="Embed" ProgID="Equation.DSMT4" ShapeID="_x0000_i1034" DrawAspect="Content" ObjectID="_1468075734" r:id="rId59">
            <o:LockedField>false</o:LockedField>
          </o:OLEObject>
        </w:object>
      </w:r>
      <w:r>
        <w:rPr>
          <w:b w:val="0"/>
        </w:rPr>
        <w:tab/>
      </w:r>
      <w:r>
        <w:rPr>
          <w:b w:val="0"/>
        </w:rPr>
        <w:t>(</w:t>
      </w:r>
      <w:r>
        <w:rPr>
          <w:rFonts w:hint="eastAsia" w:eastAsia="宋体"/>
          <w:b w:val="0"/>
        </w:rPr>
        <w:t>S</w:t>
      </w:r>
      <w:r>
        <w:rPr>
          <w:b w:val="0"/>
        </w:rPr>
        <w:t>8.6)</w:t>
      </w:r>
    </w:p>
    <w:p w14:paraId="607EBB52">
      <w:pPr>
        <w:pStyle w:val="21"/>
        <w:ind w:firstLineChars="0"/>
        <w:jc w:val="center"/>
        <w:rPr>
          <w:b w:val="0"/>
        </w:rPr>
      </w:pPr>
      <w:r>
        <w:rPr>
          <w:b w:val="0"/>
        </w:rPr>
        <w:tab/>
      </w:r>
      <w:r>
        <w:rPr>
          <w:b w:val="0"/>
        </w:rPr>
        <w:object>
          <v:shape id="_x0000_i1035" o:spt="75" type="#_x0000_t75" style="height:17.65pt;width:53pt;" o:ole="t" filled="f" o:preferrelative="t" stroked="f" coordsize="21600,21600">
            <v:path/>
            <v:fill on="f" focussize="0,0"/>
            <v:stroke on="f" joinstyle="miter"/>
            <v:imagedata r:id="rId62" o:title=""/>
            <o:lock v:ext="edit" aspectratio="t"/>
            <w10:wrap type="none"/>
            <w10:anchorlock/>
          </v:shape>
          <o:OLEObject Type="Embed" ProgID="Equation.DSMT4" ShapeID="_x0000_i1035" DrawAspect="Content" ObjectID="_1468075735" r:id="rId61">
            <o:LockedField>false</o:LockedField>
          </o:OLEObject>
        </w:object>
      </w:r>
      <w:r>
        <w:rPr>
          <w:b w:val="0"/>
        </w:rPr>
        <w:tab/>
      </w:r>
      <w:r>
        <w:rPr>
          <w:b w:val="0"/>
        </w:rPr>
        <w:t>(</w:t>
      </w:r>
      <w:r>
        <w:rPr>
          <w:rFonts w:hint="eastAsia" w:eastAsia="宋体"/>
          <w:b w:val="0"/>
        </w:rPr>
        <w:t>S</w:t>
      </w:r>
      <w:r>
        <w:rPr>
          <w:b w:val="0"/>
        </w:rPr>
        <w:t>8.7)</w:t>
      </w:r>
    </w:p>
    <w:p w14:paraId="4E2CA787">
      <w:pPr>
        <w:pStyle w:val="21"/>
        <w:ind w:firstLineChars="0"/>
        <w:jc w:val="left"/>
        <w:rPr>
          <w:b w:val="0"/>
          <w:sz w:val="21"/>
          <w:szCs w:val="21"/>
        </w:rPr>
      </w:pPr>
      <w:r>
        <w:rPr>
          <w:b w:val="0"/>
          <w:sz w:val="21"/>
          <w:szCs w:val="21"/>
        </w:rPr>
        <w:t>A larger CCI indicates stronger roughness-induced vibration intensity and, consequently, greater potential for additional carbon emissions during taxiing.</w:t>
      </w:r>
    </w:p>
    <w:p w14:paraId="23413EE3">
      <w:pPr>
        <w:pStyle w:val="4"/>
        <w:ind w:firstLine="482"/>
      </w:pPr>
      <w:r>
        <w:rPr>
          <w:rFonts w:cs="Calibri"/>
          <w:szCs w:val="24"/>
        </w:rPr>
        <w:t>8.1.3 Standardized Aircraft Model Parameters for CCI</w:t>
      </w:r>
    </w:p>
    <w:p w14:paraId="7FFB9C5A">
      <w:pPr>
        <w:ind w:firstLine="420"/>
        <w:jc w:val="left"/>
        <w:rPr>
          <w:rFonts w:cs="Calibri"/>
          <w:szCs w:val="24"/>
        </w:rPr>
      </w:pPr>
      <w:r>
        <w:rPr>
          <w:rFonts w:cs="Calibri"/>
          <w:szCs w:val="24"/>
        </w:rPr>
        <w:t>To ensure that the CCI model is not tied to a specific aircraft type or airport, a representative standardized aircraft model was constructed. The objective is to derive a parameter set capable of reproducing the energy dissipation trends of the current fleet under varying pavement conditions, thereby ensuring that CCI remains strongly correlated with actual fleet-level energy responses.</w:t>
      </w:r>
    </w:p>
    <w:p w14:paraId="3018C10F">
      <w:pPr>
        <w:ind w:firstLine="422"/>
        <w:jc w:val="left"/>
        <w:rPr>
          <w:rFonts w:cs="Calibri"/>
          <w:b/>
          <w:bCs/>
          <w:szCs w:val="24"/>
        </w:rPr>
      </w:pPr>
      <w:r>
        <w:rPr>
          <w:rFonts w:cs="Calibri"/>
          <w:b/>
          <w:bCs/>
          <w:szCs w:val="24"/>
        </w:rPr>
        <w:t>(1) Sample Selection and Data Construction</w:t>
      </w:r>
    </w:p>
    <w:p w14:paraId="6DDCC28D">
      <w:pPr>
        <w:ind w:firstLine="422"/>
        <w:jc w:val="left"/>
        <w:rPr>
          <w:rFonts w:cs="Calibri"/>
          <w:szCs w:val="24"/>
        </w:rPr>
      </w:pPr>
      <w:r>
        <w:rPr>
          <w:rFonts w:cs="Calibri"/>
          <w:b/>
          <w:bCs/>
          <w:szCs w:val="24"/>
        </w:rPr>
        <w:t>Aircraft samples.</w:t>
      </w:r>
      <w:r>
        <w:rPr>
          <w:rFonts w:cs="Calibri"/>
          <w:szCs w:val="24"/>
        </w:rPr>
        <w:t xml:space="preserve"> Based on 2019 civil aviation operational statistics in China, the 20 aircraft types with the highest movement frequencies were selected (Table </w:t>
      </w:r>
      <w:r>
        <w:rPr>
          <w:rFonts w:hint="eastAsia" w:cs="Calibri"/>
          <w:szCs w:val="24"/>
        </w:rPr>
        <w:t>S</w:t>
      </w:r>
      <w:r>
        <w:rPr>
          <w:rFonts w:cs="Calibri"/>
          <w:szCs w:val="24"/>
        </w:rPr>
        <w:t xml:space="preserve">8.1). These aircraft account for approximately 80% of total annual movements, ensuring strong representativeness of the active fleet structure. Aircraft frequency proportions were introduced as weighting factors in the optimization process. For weighting stability, aircraft were grouped into three frequency categories: </w:t>
      </w:r>
    </w:p>
    <w:p w14:paraId="50BD7C04">
      <w:pPr>
        <w:ind w:firstLine="420"/>
        <w:jc w:val="left"/>
        <w:rPr>
          <w:rFonts w:cs="Calibri"/>
          <w:szCs w:val="24"/>
        </w:rPr>
      </w:pPr>
      <w:r>
        <w:rPr>
          <w:rFonts w:hint="eastAsia" w:cs="Calibri"/>
          <w:szCs w:val="24"/>
        </w:rPr>
        <w:t>①</w:t>
      </w:r>
      <w:r>
        <w:rPr>
          <w:rFonts w:cs="Calibri"/>
          <w:szCs w:val="24"/>
        </w:rPr>
        <w:t>Top 2 aircraft types: 30.5% each (dominant fleet)</w:t>
      </w:r>
    </w:p>
    <w:p w14:paraId="60787D9D">
      <w:pPr>
        <w:ind w:firstLine="420"/>
        <w:jc w:val="left"/>
        <w:rPr>
          <w:rFonts w:cs="Calibri"/>
          <w:szCs w:val="24"/>
        </w:rPr>
      </w:pPr>
      <w:r>
        <w:rPr>
          <w:rFonts w:hint="eastAsia" w:cs="Calibri"/>
          <w:szCs w:val="24"/>
        </w:rPr>
        <w:t>②</w:t>
      </w:r>
      <w:r>
        <w:rPr>
          <w:rFonts w:cs="Calibri"/>
          <w:szCs w:val="24"/>
        </w:rPr>
        <w:t>Next 3 aircraft types: 7.5% each</w:t>
      </w:r>
    </w:p>
    <w:p w14:paraId="7B177F48">
      <w:pPr>
        <w:ind w:firstLine="420"/>
        <w:jc w:val="left"/>
        <w:rPr>
          <w:rFonts w:cs="Calibri"/>
          <w:szCs w:val="24"/>
        </w:rPr>
      </w:pPr>
      <w:r>
        <w:rPr>
          <w:rFonts w:hint="eastAsia" w:cs="Calibri"/>
          <w:szCs w:val="24"/>
        </w:rPr>
        <w:t>③</w:t>
      </w:r>
      <w:r>
        <w:rPr>
          <w:rFonts w:cs="Calibri"/>
          <w:szCs w:val="24"/>
        </w:rPr>
        <w:t>Remaining 15 aircraft types: 1.1% each</w:t>
      </w:r>
    </w:p>
    <w:p w14:paraId="4CD167D4">
      <w:pPr>
        <w:ind w:firstLine="420"/>
        <w:jc w:val="left"/>
        <w:rPr>
          <w:rFonts w:cs="Calibri"/>
          <w:szCs w:val="24"/>
        </w:rPr>
      </w:pPr>
      <w:r>
        <w:rPr>
          <w:rFonts w:cs="Calibri"/>
          <w:szCs w:val="24"/>
        </w:rPr>
        <w:t>This weighted scheme ensures that the optimization emphasizes dominant fleet types while maintaining coverage of less frequent aircraft.</w:t>
      </w:r>
    </w:p>
    <w:p w14:paraId="3428FFF7">
      <w:pPr>
        <w:ind w:firstLine="420"/>
        <w:jc w:val="center"/>
        <w:rPr>
          <w:kern w:val="2"/>
          <w:szCs w:val="21"/>
        </w:rPr>
      </w:pPr>
      <w:r>
        <w:rPr>
          <w:kern w:val="2"/>
          <w:szCs w:val="21"/>
        </w:rPr>
        <w:t xml:space="preserve">Table </w:t>
      </w:r>
      <w:r>
        <w:rPr>
          <w:rFonts w:hint="eastAsia"/>
          <w:kern w:val="2"/>
          <w:szCs w:val="21"/>
        </w:rPr>
        <w:t>S</w:t>
      </w:r>
      <w:r>
        <w:rPr>
          <w:kern w:val="2"/>
          <w:szCs w:val="21"/>
        </w:rPr>
        <w:t>8.1</w:t>
      </w:r>
      <w:r>
        <w:rPr>
          <w:rFonts w:hint="eastAsia"/>
          <w:kern w:val="2"/>
          <w:szCs w:val="21"/>
        </w:rPr>
        <w:t>.</w:t>
      </w:r>
      <w:r>
        <w:rPr>
          <w:kern w:val="2"/>
          <w:szCs w:val="21"/>
        </w:rPr>
        <w:t xml:space="preserve"> Aircraft Movement Frequencies in 2019</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6"/>
        <w:gridCol w:w="2584"/>
        <w:gridCol w:w="2516"/>
      </w:tblGrid>
      <w:tr w14:paraId="6D4EA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12" w:space="0"/>
              <w:left w:val="nil"/>
              <w:bottom w:val="single" w:color="auto" w:sz="12" w:space="0"/>
              <w:right w:val="single" w:color="auto" w:sz="4" w:space="0"/>
            </w:tcBorders>
            <w:shd w:val="clear" w:color="auto" w:fill="auto"/>
            <w:vAlign w:val="center"/>
          </w:tcPr>
          <w:p w14:paraId="6E1A6358">
            <w:pPr>
              <w:pStyle w:val="49"/>
            </w:pPr>
            <w:r>
              <w:t>Aircraft Type</w:t>
            </w:r>
          </w:p>
        </w:tc>
        <w:tc>
          <w:tcPr>
            <w:tcW w:w="2584" w:type="dxa"/>
            <w:tcBorders>
              <w:top w:val="single" w:color="auto" w:sz="12" w:space="0"/>
              <w:left w:val="single" w:color="auto" w:sz="4" w:space="0"/>
              <w:bottom w:val="single" w:color="auto" w:sz="12" w:space="0"/>
              <w:right w:val="single" w:color="auto" w:sz="4" w:space="0"/>
            </w:tcBorders>
            <w:shd w:val="clear" w:color="auto" w:fill="auto"/>
            <w:vAlign w:val="center"/>
          </w:tcPr>
          <w:p w14:paraId="08A7B7DC">
            <w:pPr>
              <w:pStyle w:val="49"/>
            </w:pPr>
            <w:r>
              <w:t>Movements</w:t>
            </w:r>
          </w:p>
        </w:tc>
        <w:tc>
          <w:tcPr>
            <w:tcW w:w="2516" w:type="dxa"/>
            <w:tcBorders>
              <w:top w:val="single" w:color="auto" w:sz="12" w:space="0"/>
              <w:left w:val="single" w:color="auto" w:sz="4" w:space="0"/>
              <w:bottom w:val="single" w:color="auto" w:sz="12" w:space="0"/>
              <w:right w:val="nil"/>
            </w:tcBorders>
            <w:shd w:val="clear" w:color="auto" w:fill="auto"/>
          </w:tcPr>
          <w:p w14:paraId="2D4EF33B">
            <w:pPr>
              <w:pStyle w:val="49"/>
            </w:pPr>
            <w:r>
              <w:t>Proportion</w:t>
            </w:r>
          </w:p>
        </w:tc>
      </w:tr>
      <w:tr w14:paraId="7F051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12" w:space="0"/>
              <w:left w:val="nil"/>
              <w:bottom w:val="single" w:color="auto" w:sz="4" w:space="0"/>
              <w:right w:val="single" w:color="auto" w:sz="4" w:space="0"/>
            </w:tcBorders>
            <w:shd w:val="clear" w:color="auto" w:fill="auto"/>
            <w:vAlign w:val="center"/>
          </w:tcPr>
          <w:p w14:paraId="1C71C039">
            <w:pPr>
              <w:pStyle w:val="49"/>
            </w:pPr>
            <w:r>
              <w:t xml:space="preserve">B737 - 800 </w:t>
            </w:r>
          </w:p>
        </w:tc>
        <w:tc>
          <w:tcPr>
            <w:tcW w:w="2584" w:type="dxa"/>
            <w:tcBorders>
              <w:top w:val="single" w:color="auto" w:sz="12" w:space="0"/>
              <w:left w:val="single" w:color="auto" w:sz="4" w:space="0"/>
              <w:bottom w:val="single" w:color="auto" w:sz="4" w:space="0"/>
              <w:right w:val="single" w:color="auto" w:sz="4" w:space="0"/>
            </w:tcBorders>
            <w:shd w:val="clear" w:color="auto" w:fill="auto"/>
            <w:vAlign w:val="center"/>
          </w:tcPr>
          <w:p w14:paraId="7BBF08D3">
            <w:pPr>
              <w:pStyle w:val="49"/>
            </w:pPr>
            <w:r>
              <w:t>1392047</w:t>
            </w:r>
          </w:p>
        </w:tc>
        <w:tc>
          <w:tcPr>
            <w:tcW w:w="2516" w:type="dxa"/>
            <w:tcBorders>
              <w:top w:val="single" w:color="auto" w:sz="12" w:space="0"/>
              <w:left w:val="single" w:color="auto" w:sz="4" w:space="0"/>
              <w:bottom w:val="single" w:color="auto" w:sz="4" w:space="0"/>
              <w:right w:val="nil"/>
            </w:tcBorders>
            <w:shd w:val="clear" w:color="auto" w:fill="auto"/>
            <w:vAlign w:val="center"/>
          </w:tcPr>
          <w:p w14:paraId="3492F120">
            <w:pPr>
              <w:pStyle w:val="49"/>
            </w:pPr>
            <w:r>
              <w:t>0.322880432</w:t>
            </w:r>
          </w:p>
        </w:tc>
      </w:tr>
      <w:tr w14:paraId="7992D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0FA56F69">
            <w:pPr>
              <w:pStyle w:val="49"/>
            </w:pPr>
            <w:r>
              <w:t>A320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1DB32E9F">
            <w:pPr>
              <w:pStyle w:val="49"/>
            </w:pPr>
            <w:r>
              <w:t>1262856</w:t>
            </w:r>
          </w:p>
        </w:tc>
        <w:tc>
          <w:tcPr>
            <w:tcW w:w="2516" w:type="dxa"/>
            <w:tcBorders>
              <w:top w:val="single" w:color="auto" w:sz="4" w:space="0"/>
              <w:left w:val="single" w:color="auto" w:sz="4" w:space="0"/>
              <w:bottom w:val="single" w:color="auto" w:sz="4" w:space="0"/>
              <w:right w:val="nil"/>
            </w:tcBorders>
            <w:shd w:val="clear" w:color="auto" w:fill="auto"/>
            <w:vAlign w:val="center"/>
          </w:tcPr>
          <w:p w14:paraId="61FE9EC1">
            <w:pPr>
              <w:pStyle w:val="49"/>
            </w:pPr>
            <w:r>
              <w:t>0.292915032</w:t>
            </w:r>
          </w:p>
        </w:tc>
      </w:tr>
      <w:tr w14:paraId="19FF8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5EBC89F7">
            <w:pPr>
              <w:pStyle w:val="49"/>
            </w:pPr>
            <w:r>
              <w:t xml:space="preserve"> A321</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0FDDE0B1">
            <w:pPr>
              <w:pStyle w:val="49"/>
            </w:pPr>
            <w:r>
              <w:t>380637</w:t>
            </w:r>
          </w:p>
        </w:tc>
        <w:tc>
          <w:tcPr>
            <w:tcW w:w="2516" w:type="dxa"/>
            <w:tcBorders>
              <w:top w:val="single" w:color="auto" w:sz="4" w:space="0"/>
              <w:left w:val="single" w:color="auto" w:sz="4" w:space="0"/>
              <w:bottom w:val="single" w:color="auto" w:sz="4" w:space="0"/>
              <w:right w:val="nil"/>
            </w:tcBorders>
            <w:shd w:val="clear" w:color="auto" w:fill="auto"/>
            <w:vAlign w:val="center"/>
          </w:tcPr>
          <w:p w14:paraId="7194735A">
            <w:pPr>
              <w:pStyle w:val="49"/>
            </w:pPr>
            <w:r>
              <w:t>0.088287421</w:t>
            </w:r>
          </w:p>
        </w:tc>
      </w:tr>
      <w:tr w14:paraId="307E6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66E38E84">
            <w:pPr>
              <w:pStyle w:val="49"/>
            </w:pPr>
            <w:r>
              <w:t xml:space="preserve"> A319</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1C0193F7">
            <w:pPr>
              <w:pStyle w:val="49"/>
            </w:pPr>
            <w:r>
              <w:t>287959</w:t>
            </w:r>
          </w:p>
        </w:tc>
        <w:tc>
          <w:tcPr>
            <w:tcW w:w="2516" w:type="dxa"/>
            <w:tcBorders>
              <w:top w:val="single" w:color="auto" w:sz="4" w:space="0"/>
              <w:left w:val="single" w:color="auto" w:sz="4" w:space="0"/>
              <w:bottom w:val="single" w:color="auto" w:sz="4" w:space="0"/>
              <w:right w:val="nil"/>
            </w:tcBorders>
            <w:shd w:val="clear" w:color="auto" w:fill="auto"/>
            <w:vAlign w:val="center"/>
          </w:tcPr>
          <w:p w14:paraId="58FE9DE1">
            <w:pPr>
              <w:pStyle w:val="49"/>
            </w:pPr>
            <w:r>
              <w:t>0.066791083</w:t>
            </w:r>
          </w:p>
        </w:tc>
      </w:tr>
      <w:tr w14:paraId="582EA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7B912DB1">
            <w:pPr>
              <w:pStyle w:val="49"/>
            </w:pPr>
            <w:r>
              <w:t xml:space="preserve">B737 </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18268B82">
            <w:pPr>
              <w:pStyle w:val="49"/>
            </w:pPr>
            <w:r>
              <w:t>287462</w:t>
            </w:r>
          </w:p>
        </w:tc>
        <w:tc>
          <w:tcPr>
            <w:tcW w:w="2516" w:type="dxa"/>
            <w:tcBorders>
              <w:top w:val="single" w:color="auto" w:sz="4" w:space="0"/>
              <w:left w:val="single" w:color="auto" w:sz="4" w:space="0"/>
              <w:bottom w:val="single" w:color="auto" w:sz="4" w:space="0"/>
              <w:right w:val="nil"/>
            </w:tcBorders>
            <w:shd w:val="clear" w:color="auto" w:fill="auto"/>
            <w:vAlign w:val="center"/>
          </w:tcPr>
          <w:p w14:paraId="526F81E6">
            <w:pPr>
              <w:pStyle w:val="49"/>
            </w:pPr>
            <w:r>
              <w:t>0.066675805</w:t>
            </w:r>
          </w:p>
        </w:tc>
      </w:tr>
      <w:tr w14:paraId="5B30B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23F893CE">
            <w:pPr>
              <w:pStyle w:val="49"/>
            </w:pPr>
            <w:r>
              <w:t>Embraer 190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1AD680C7">
            <w:pPr>
              <w:pStyle w:val="49"/>
            </w:pPr>
            <w:r>
              <w:t>120591</w:t>
            </w:r>
          </w:p>
        </w:tc>
        <w:tc>
          <w:tcPr>
            <w:tcW w:w="2516" w:type="dxa"/>
            <w:tcBorders>
              <w:top w:val="single" w:color="auto" w:sz="4" w:space="0"/>
              <w:left w:val="single" w:color="auto" w:sz="4" w:space="0"/>
              <w:bottom w:val="single" w:color="auto" w:sz="4" w:space="0"/>
              <w:right w:val="nil"/>
            </w:tcBorders>
            <w:shd w:val="clear" w:color="auto" w:fill="auto"/>
            <w:vAlign w:val="center"/>
          </w:tcPr>
          <w:p w14:paraId="22277990">
            <w:pPr>
              <w:pStyle w:val="49"/>
            </w:pPr>
            <w:r>
              <w:t>0.027970661</w:t>
            </w:r>
          </w:p>
        </w:tc>
      </w:tr>
      <w:tr w14:paraId="601C9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7E7FD057">
            <w:pPr>
              <w:pStyle w:val="49"/>
            </w:pPr>
            <w:r>
              <w:t xml:space="preserve">B737 - 700 </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53961D4A">
            <w:pPr>
              <w:pStyle w:val="49"/>
            </w:pPr>
            <w:r>
              <w:t>102724</w:t>
            </w:r>
          </w:p>
        </w:tc>
        <w:tc>
          <w:tcPr>
            <w:tcW w:w="2516" w:type="dxa"/>
            <w:tcBorders>
              <w:top w:val="single" w:color="auto" w:sz="4" w:space="0"/>
              <w:left w:val="single" w:color="auto" w:sz="4" w:space="0"/>
              <w:bottom w:val="single" w:color="auto" w:sz="4" w:space="0"/>
              <w:right w:val="nil"/>
            </w:tcBorders>
            <w:shd w:val="clear" w:color="auto" w:fill="auto"/>
            <w:vAlign w:val="center"/>
          </w:tcPr>
          <w:p w14:paraId="34F2BA86">
            <w:pPr>
              <w:pStyle w:val="49"/>
            </w:pPr>
            <w:r>
              <w:t>0.023826472</w:t>
            </w:r>
          </w:p>
        </w:tc>
      </w:tr>
      <w:tr w14:paraId="75A82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669B7CA1">
            <w:pPr>
              <w:pStyle w:val="49"/>
            </w:pPr>
            <w:r>
              <w:t>Canadair Regional Jet 900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57E975BE">
            <w:pPr>
              <w:pStyle w:val="49"/>
            </w:pPr>
            <w:r>
              <w:t>97031</w:t>
            </w:r>
          </w:p>
        </w:tc>
        <w:tc>
          <w:tcPr>
            <w:tcW w:w="2516" w:type="dxa"/>
            <w:tcBorders>
              <w:top w:val="single" w:color="auto" w:sz="4" w:space="0"/>
              <w:left w:val="single" w:color="auto" w:sz="4" w:space="0"/>
              <w:bottom w:val="single" w:color="auto" w:sz="4" w:space="0"/>
              <w:right w:val="nil"/>
            </w:tcBorders>
            <w:shd w:val="clear" w:color="auto" w:fill="auto"/>
            <w:vAlign w:val="center"/>
          </w:tcPr>
          <w:p w14:paraId="081222FC">
            <w:pPr>
              <w:pStyle w:val="49"/>
            </w:pPr>
            <w:r>
              <w:t>0.022506001</w:t>
            </w:r>
          </w:p>
        </w:tc>
      </w:tr>
      <w:tr w14:paraId="23226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1702B132">
            <w:pPr>
              <w:pStyle w:val="49"/>
            </w:pPr>
            <w:r>
              <w:t xml:space="preserve">B 737 - 800 (winglets) </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303B3AE7">
            <w:pPr>
              <w:pStyle w:val="49"/>
            </w:pPr>
            <w:r>
              <w:t>68468</w:t>
            </w:r>
          </w:p>
        </w:tc>
        <w:tc>
          <w:tcPr>
            <w:tcW w:w="2516" w:type="dxa"/>
            <w:tcBorders>
              <w:top w:val="single" w:color="auto" w:sz="4" w:space="0"/>
              <w:left w:val="single" w:color="auto" w:sz="4" w:space="0"/>
              <w:bottom w:val="single" w:color="auto" w:sz="4" w:space="0"/>
              <w:right w:val="nil"/>
            </w:tcBorders>
            <w:shd w:val="clear" w:color="auto" w:fill="auto"/>
            <w:vAlign w:val="center"/>
          </w:tcPr>
          <w:p w14:paraId="693ED4E4">
            <w:pPr>
              <w:pStyle w:val="49"/>
            </w:pPr>
            <w:r>
              <w:t>0.015880913</w:t>
            </w:r>
          </w:p>
        </w:tc>
      </w:tr>
      <w:tr w14:paraId="0F68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6AA3C1E6">
            <w:pPr>
              <w:pStyle w:val="49"/>
            </w:pPr>
            <w:r>
              <w:t xml:space="preserve"> A330 - 300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6C42A8BE">
            <w:pPr>
              <w:pStyle w:val="49"/>
            </w:pPr>
            <w:r>
              <w:t>63168</w:t>
            </w:r>
          </w:p>
        </w:tc>
        <w:tc>
          <w:tcPr>
            <w:tcW w:w="2516" w:type="dxa"/>
            <w:tcBorders>
              <w:top w:val="single" w:color="auto" w:sz="4" w:space="0"/>
              <w:left w:val="single" w:color="auto" w:sz="4" w:space="0"/>
              <w:bottom w:val="single" w:color="auto" w:sz="4" w:space="0"/>
              <w:right w:val="nil"/>
            </w:tcBorders>
            <w:shd w:val="clear" w:color="auto" w:fill="auto"/>
            <w:vAlign w:val="center"/>
          </w:tcPr>
          <w:p w14:paraId="25067E5C">
            <w:pPr>
              <w:pStyle w:val="49"/>
            </w:pPr>
            <w:r>
              <w:t>0.014651597</w:t>
            </w:r>
          </w:p>
        </w:tc>
      </w:tr>
      <w:tr w14:paraId="1FC4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2E276C99">
            <w:pPr>
              <w:pStyle w:val="49"/>
            </w:pPr>
            <w:r>
              <w:t>A330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077375CA">
            <w:pPr>
              <w:pStyle w:val="49"/>
            </w:pPr>
            <w:r>
              <w:t>45593</w:t>
            </w:r>
          </w:p>
        </w:tc>
        <w:tc>
          <w:tcPr>
            <w:tcW w:w="2516" w:type="dxa"/>
            <w:tcBorders>
              <w:top w:val="single" w:color="auto" w:sz="4" w:space="0"/>
              <w:left w:val="single" w:color="auto" w:sz="4" w:space="0"/>
              <w:bottom w:val="single" w:color="auto" w:sz="4" w:space="0"/>
              <w:right w:val="nil"/>
            </w:tcBorders>
            <w:shd w:val="clear" w:color="auto" w:fill="auto"/>
            <w:vAlign w:val="center"/>
          </w:tcPr>
          <w:p w14:paraId="379754A6">
            <w:pPr>
              <w:pStyle w:val="49"/>
            </w:pPr>
            <w:r>
              <w:t>0.010575137</w:t>
            </w:r>
          </w:p>
        </w:tc>
      </w:tr>
      <w:tr w14:paraId="08B2F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77AA7220">
            <w:pPr>
              <w:pStyle w:val="49"/>
            </w:pPr>
            <w:r>
              <w:t>B787 - 9</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4DA47613">
            <w:pPr>
              <w:pStyle w:val="49"/>
            </w:pPr>
            <w:r>
              <w:t>33478</w:t>
            </w:r>
          </w:p>
        </w:tc>
        <w:tc>
          <w:tcPr>
            <w:tcW w:w="2516" w:type="dxa"/>
            <w:tcBorders>
              <w:top w:val="single" w:color="auto" w:sz="4" w:space="0"/>
              <w:left w:val="single" w:color="auto" w:sz="4" w:space="0"/>
              <w:bottom w:val="single" w:color="auto" w:sz="4" w:space="0"/>
              <w:right w:val="nil"/>
            </w:tcBorders>
            <w:shd w:val="clear" w:color="auto" w:fill="auto"/>
            <w:vAlign w:val="center"/>
          </w:tcPr>
          <w:p w14:paraId="34AC3904">
            <w:pPr>
              <w:pStyle w:val="49"/>
            </w:pPr>
            <w:r>
              <w:t>0.007765105</w:t>
            </w:r>
          </w:p>
        </w:tc>
      </w:tr>
      <w:tr w14:paraId="6D2F5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4686CBD9">
            <w:pPr>
              <w:pStyle w:val="49"/>
            </w:pPr>
            <w:r>
              <w:t>Embraer 195</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73597379">
            <w:pPr>
              <w:pStyle w:val="49"/>
            </w:pPr>
            <w:r>
              <w:t>32161</w:t>
            </w:r>
          </w:p>
        </w:tc>
        <w:tc>
          <w:tcPr>
            <w:tcW w:w="2516" w:type="dxa"/>
            <w:tcBorders>
              <w:top w:val="single" w:color="auto" w:sz="4" w:space="0"/>
              <w:left w:val="single" w:color="auto" w:sz="4" w:space="0"/>
              <w:bottom w:val="single" w:color="auto" w:sz="4" w:space="0"/>
              <w:right w:val="nil"/>
            </w:tcBorders>
            <w:shd w:val="clear" w:color="auto" w:fill="auto"/>
            <w:vAlign w:val="center"/>
          </w:tcPr>
          <w:p w14:paraId="61B39503">
            <w:pPr>
              <w:pStyle w:val="49"/>
            </w:pPr>
            <w:r>
              <w:t>0.007459631</w:t>
            </w:r>
          </w:p>
        </w:tc>
      </w:tr>
      <w:tr w14:paraId="6D6FE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09FABEFE">
            <w:pPr>
              <w:pStyle w:val="49"/>
            </w:pPr>
            <w:r>
              <w:t>A330 - 200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5954758B">
            <w:pPr>
              <w:pStyle w:val="49"/>
            </w:pPr>
            <w:r>
              <w:t>30936</w:t>
            </w:r>
          </w:p>
        </w:tc>
        <w:tc>
          <w:tcPr>
            <w:tcW w:w="2516" w:type="dxa"/>
            <w:tcBorders>
              <w:top w:val="single" w:color="auto" w:sz="4" w:space="0"/>
              <w:left w:val="single" w:color="auto" w:sz="4" w:space="0"/>
              <w:bottom w:val="single" w:color="auto" w:sz="4" w:space="0"/>
              <w:right w:val="nil"/>
            </w:tcBorders>
            <w:shd w:val="clear" w:color="auto" w:fill="auto"/>
            <w:vAlign w:val="center"/>
          </w:tcPr>
          <w:p w14:paraId="073D8C3B">
            <w:pPr>
              <w:pStyle w:val="49"/>
            </w:pPr>
            <w:r>
              <w:t>0.007175497</w:t>
            </w:r>
          </w:p>
        </w:tc>
      </w:tr>
      <w:tr w14:paraId="02F9C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31712482">
            <w:pPr>
              <w:pStyle w:val="49"/>
            </w:pPr>
            <w:r>
              <w:t>Xian Yunshuji Ma - 60</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6D904313">
            <w:pPr>
              <w:pStyle w:val="49"/>
            </w:pPr>
            <w:r>
              <w:t>27578</w:t>
            </w:r>
          </w:p>
        </w:tc>
        <w:tc>
          <w:tcPr>
            <w:tcW w:w="2516" w:type="dxa"/>
            <w:tcBorders>
              <w:top w:val="single" w:color="auto" w:sz="4" w:space="0"/>
              <w:left w:val="single" w:color="auto" w:sz="4" w:space="0"/>
              <w:bottom w:val="single" w:color="auto" w:sz="4" w:space="0"/>
              <w:right w:val="nil"/>
            </w:tcBorders>
            <w:shd w:val="clear" w:color="auto" w:fill="auto"/>
            <w:vAlign w:val="center"/>
          </w:tcPr>
          <w:p w14:paraId="7FD9B0FE">
            <w:pPr>
              <w:pStyle w:val="49"/>
            </w:pPr>
            <w:r>
              <w:t>0.006396621</w:t>
            </w:r>
          </w:p>
        </w:tc>
      </w:tr>
      <w:tr w14:paraId="36CBA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1820FE1A">
            <w:pPr>
              <w:pStyle w:val="49"/>
            </w:pPr>
            <w:r>
              <w:t>A321neo</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0FD5749B">
            <w:pPr>
              <w:pStyle w:val="49"/>
            </w:pPr>
            <w:r>
              <w:t>22369</w:t>
            </w:r>
          </w:p>
        </w:tc>
        <w:tc>
          <w:tcPr>
            <w:tcW w:w="2516" w:type="dxa"/>
            <w:tcBorders>
              <w:top w:val="single" w:color="auto" w:sz="4" w:space="0"/>
              <w:left w:val="single" w:color="auto" w:sz="4" w:space="0"/>
              <w:bottom w:val="single" w:color="auto" w:sz="4" w:space="0"/>
              <w:right w:val="nil"/>
            </w:tcBorders>
            <w:shd w:val="clear" w:color="auto" w:fill="auto"/>
            <w:vAlign w:val="center"/>
          </w:tcPr>
          <w:p w14:paraId="07E37EA6">
            <w:pPr>
              <w:pStyle w:val="49"/>
            </w:pPr>
            <w:r>
              <w:t>0.005188411</w:t>
            </w:r>
          </w:p>
        </w:tc>
      </w:tr>
      <w:tr w14:paraId="4A6DD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446B160E">
            <w:pPr>
              <w:pStyle w:val="49"/>
            </w:pPr>
            <w:r>
              <w:t xml:space="preserve"> A321 (Sharklets)</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151F8332">
            <w:pPr>
              <w:pStyle w:val="49"/>
            </w:pPr>
            <w:r>
              <w:t>15421</w:t>
            </w:r>
          </w:p>
        </w:tc>
        <w:tc>
          <w:tcPr>
            <w:tcW w:w="2516" w:type="dxa"/>
            <w:tcBorders>
              <w:top w:val="single" w:color="auto" w:sz="4" w:space="0"/>
              <w:left w:val="single" w:color="auto" w:sz="4" w:space="0"/>
              <w:bottom w:val="single" w:color="auto" w:sz="4" w:space="0"/>
              <w:right w:val="nil"/>
            </w:tcBorders>
            <w:shd w:val="clear" w:color="auto" w:fill="auto"/>
            <w:vAlign w:val="center"/>
          </w:tcPr>
          <w:p w14:paraId="4E39016D">
            <w:pPr>
              <w:pStyle w:val="49"/>
            </w:pPr>
            <w:r>
              <w:t>0.003576847</w:t>
            </w:r>
          </w:p>
        </w:tc>
      </w:tr>
      <w:tr w14:paraId="59919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0128063C">
            <w:pPr>
              <w:pStyle w:val="49"/>
            </w:pPr>
            <w:r>
              <w:t xml:space="preserve">B737 - 900 </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5FB748AF">
            <w:pPr>
              <w:pStyle w:val="49"/>
            </w:pPr>
            <w:r>
              <w:t>15279</w:t>
            </w:r>
          </w:p>
        </w:tc>
        <w:tc>
          <w:tcPr>
            <w:tcW w:w="2516" w:type="dxa"/>
            <w:tcBorders>
              <w:top w:val="single" w:color="auto" w:sz="4" w:space="0"/>
              <w:left w:val="single" w:color="auto" w:sz="4" w:space="0"/>
              <w:bottom w:val="single" w:color="auto" w:sz="4" w:space="0"/>
              <w:right w:val="nil"/>
            </w:tcBorders>
            <w:shd w:val="clear" w:color="auto" w:fill="auto"/>
            <w:vAlign w:val="center"/>
          </w:tcPr>
          <w:p w14:paraId="5A680413">
            <w:pPr>
              <w:pStyle w:val="49"/>
            </w:pPr>
            <w:r>
              <w:t>0.003543911</w:t>
            </w:r>
          </w:p>
        </w:tc>
      </w:tr>
      <w:tr w14:paraId="15BA3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4" w:space="0"/>
              <w:right w:val="single" w:color="auto" w:sz="4" w:space="0"/>
            </w:tcBorders>
            <w:shd w:val="clear" w:color="auto" w:fill="auto"/>
            <w:vAlign w:val="center"/>
          </w:tcPr>
          <w:p w14:paraId="0BEFF42E">
            <w:pPr>
              <w:pStyle w:val="49"/>
            </w:pPr>
            <w:r>
              <w:t xml:space="preserve">B737 - 300 </w:t>
            </w:r>
          </w:p>
        </w:tc>
        <w:tc>
          <w:tcPr>
            <w:tcW w:w="2584" w:type="dxa"/>
            <w:tcBorders>
              <w:top w:val="single" w:color="auto" w:sz="4" w:space="0"/>
              <w:left w:val="single" w:color="auto" w:sz="4" w:space="0"/>
              <w:bottom w:val="single" w:color="auto" w:sz="4" w:space="0"/>
              <w:right w:val="single" w:color="auto" w:sz="4" w:space="0"/>
            </w:tcBorders>
            <w:shd w:val="clear" w:color="auto" w:fill="auto"/>
            <w:vAlign w:val="center"/>
          </w:tcPr>
          <w:p w14:paraId="650AC08A">
            <w:pPr>
              <w:pStyle w:val="49"/>
            </w:pPr>
            <w:r>
              <w:t>14661</w:t>
            </w:r>
          </w:p>
        </w:tc>
        <w:tc>
          <w:tcPr>
            <w:tcW w:w="2516" w:type="dxa"/>
            <w:tcBorders>
              <w:top w:val="single" w:color="auto" w:sz="4" w:space="0"/>
              <w:left w:val="single" w:color="auto" w:sz="4" w:space="0"/>
              <w:bottom w:val="single" w:color="auto" w:sz="4" w:space="0"/>
              <w:right w:val="nil"/>
            </w:tcBorders>
            <w:shd w:val="clear" w:color="auto" w:fill="auto"/>
            <w:vAlign w:val="center"/>
          </w:tcPr>
          <w:p w14:paraId="46F496A4">
            <w:pPr>
              <w:pStyle w:val="49"/>
            </w:pPr>
            <w:r>
              <w:t>0.003400568</w:t>
            </w:r>
          </w:p>
        </w:tc>
      </w:tr>
      <w:tr w14:paraId="44EFF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6" w:type="dxa"/>
            <w:tcBorders>
              <w:top w:val="single" w:color="auto" w:sz="4" w:space="0"/>
              <w:left w:val="nil"/>
              <w:bottom w:val="single" w:color="auto" w:sz="12" w:space="0"/>
              <w:right w:val="single" w:color="auto" w:sz="4" w:space="0"/>
            </w:tcBorders>
            <w:shd w:val="clear" w:color="auto" w:fill="auto"/>
            <w:vAlign w:val="center"/>
          </w:tcPr>
          <w:p w14:paraId="79D5134F">
            <w:pPr>
              <w:pStyle w:val="49"/>
            </w:pPr>
            <w:r>
              <w:t>A320 (Sharklets)</w:t>
            </w:r>
          </w:p>
        </w:tc>
        <w:tc>
          <w:tcPr>
            <w:tcW w:w="2584" w:type="dxa"/>
            <w:tcBorders>
              <w:top w:val="single" w:color="auto" w:sz="4" w:space="0"/>
              <w:left w:val="single" w:color="auto" w:sz="4" w:space="0"/>
              <w:bottom w:val="single" w:color="auto" w:sz="12" w:space="0"/>
              <w:right w:val="single" w:color="auto" w:sz="4" w:space="0"/>
            </w:tcBorders>
            <w:shd w:val="clear" w:color="auto" w:fill="auto"/>
            <w:vAlign w:val="center"/>
          </w:tcPr>
          <w:p w14:paraId="7E015A22">
            <w:pPr>
              <w:pStyle w:val="49"/>
            </w:pPr>
            <w:r>
              <w:t>10920</w:t>
            </w:r>
          </w:p>
        </w:tc>
        <w:tc>
          <w:tcPr>
            <w:tcW w:w="2516" w:type="dxa"/>
            <w:tcBorders>
              <w:top w:val="single" w:color="auto" w:sz="4" w:space="0"/>
              <w:left w:val="single" w:color="auto" w:sz="4" w:space="0"/>
              <w:bottom w:val="single" w:color="auto" w:sz="12" w:space="0"/>
              <w:right w:val="nil"/>
            </w:tcBorders>
            <w:shd w:val="clear" w:color="auto" w:fill="auto"/>
            <w:vAlign w:val="center"/>
          </w:tcPr>
          <w:p w14:paraId="220C36B8">
            <w:pPr>
              <w:pStyle w:val="49"/>
            </w:pPr>
            <w:r>
              <w:t>0.002532856</w:t>
            </w:r>
          </w:p>
        </w:tc>
      </w:tr>
    </w:tbl>
    <w:p w14:paraId="42B31E90">
      <w:pPr>
        <w:ind w:firstLine="420"/>
        <w:rPr>
          <w:kern w:val="2"/>
          <w:szCs w:val="21"/>
        </w:rPr>
      </w:pPr>
      <w:r>
        <w:rPr>
          <w:kern w:val="2"/>
          <w:szCs w:val="21"/>
          <w:lang w:bidi="ar"/>
        </w:rPr>
        <w:t xml:space="preserve"> </w:t>
      </w:r>
    </w:p>
    <w:p w14:paraId="5DC245B1">
      <w:pPr>
        <w:ind w:firstLine="422"/>
      </w:pPr>
      <w:r>
        <w:rPr>
          <w:b/>
          <w:bCs/>
        </w:rPr>
        <w:t>Runway samples</w:t>
      </w:r>
      <w:r>
        <w:rPr>
          <w:rFonts w:hint="eastAsia"/>
          <w:b/>
          <w:bCs/>
        </w:rPr>
        <w:t>.</w:t>
      </w:r>
      <w:r>
        <w:t xml:space="preserve"> Ten measured runway roughness profiles were selected, covering four roughness levels (excellent, good, moderate, poor). The dataset includes newly constructed runways as well as aged pavements requiring maintenance, thereby representing full life-cycle roughness conditions.</w:t>
      </w:r>
    </w:p>
    <w:p w14:paraId="768A3A0A">
      <w:pPr>
        <w:ind w:firstLine="422"/>
      </w:pPr>
      <w:r>
        <w:rPr>
          <w:b/>
          <w:bCs/>
        </w:rPr>
        <w:t xml:space="preserve">Standard taxi speed determination. </w:t>
      </w:r>
      <w:r>
        <w:t>For the 20 aircraft types, energy dissipation was computed under IRI values ranging from 2.0 to 4.0 m/km and taxi speeds within 100–240 km/h.For each aircraft, the speed corresponding to maximum energy dissipation was identified. A frequency-weighted average across aircraft yielded a representative speed of 207.36 km</w:t>
      </w:r>
      <w:r>
        <w:rPr>
          <w:rFonts w:hint="eastAsia"/>
          <w:lang w:val="en-US" w:eastAsia="zh-CN"/>
        </w:rPr>
        <w:t>/</w:t>
      </w:r>
      <w:r>
        <w:t>h, which was rounded to 210 km</w:t>
      </w:r>
      <w:r>
        <w:rPr>
          <w:rFonts w:hint="eastAsia"/>
          <w:lang w:val="en-US" w:eastAsia="zh-CN"/>
        </w:rPr>
        <w:t>/</w:t>
      </w:r>
      <w:r>
        <w:t>h. This value was adopted as the standard operating speed for the CCI model.</w:t>
      </w:r>
    </w:p>
    <w:p w14:paraId="3996A2D1">
      <w:pPr>
        <w:ind w:firstLine="420"/>
      </w:pPr>
      <w:r>
        <w:t>Using these inputs, a 20×10 energy dissipation matrix was generated, representing energy responses of all aircraft across all runway samples at 210 km/h. This matrix serves as the reference dataset for parameter optimization.</w:t>
      </w:r>
    </w:p>
    <w:p w14:paraId="64E63A8B">
      <w:pPr>
        <w:ind w:firstLine="422"/>
        <w:rPr>
          <w:b/>
          <w:bCs/>
        </w:rPr>
      </w:pPr>
      <w:r>
        <w:rPr>
          <w:b/>
          <w:bCs/>
        </w:rPr>
        <w:t>(2) Optimization of Standard Aircraft Parameters</w:t>
      </w:r>
    </w:p>
    <w:p w14:paraId="2B4208A6">
      <w:pPr>
        <w:ind w:firstLine="420"/>
      </w:pPr>
      <w:r>
        <w:t>The standardized aircraft dynamic model contains 22 parameters, categorized as follows:</w:t>
      </w:r>
    </w:p>
    <w:p w14:paraId="70CAF637">
      <w:pPr>
        <w:ind w:firstLine="422"/>
        <w:rPr>
          <w:b/>
          <w:bCs/>
        </w:rPr>
      </w:pPr>
      <w:r>
        <w:rPr>
          <w:b/>
          <w:bCs/>
        </w:rPr>
        <w:t>(i) Geometric parameters (fixed)</w:t>
      </w:r>
    </w:p>
    <w:p w14:paraId="27271ACE">
      <w:pPr>
        <w:ind w:firstLine="420"/>
      </w:pPr>
      <w:r>
        <w:rPr>
          <w:rFonts w:ascii="Cambria Math" w:hAnsi="Cambria Math" w:cs="Cambria Math"/>
        </w:rPr>
        <w:t>𝑙</w:t>
      </w:r>
      <w:r>
        <w:rPr>
          <w:rFonts w:ascii="Cambria Math" w:hAnsi="Cambria Math" w:cs="Cambria Math"/>
          <w:vertAlign w:val="subscript"/>
        </w:rPr>
        <w:t>𝑓</w:t>
      </w:r>
      <w:r>
        <w:t xml:space="preserve">, </w:t>
      </w:r>
      <w:r>
        <w:rPr>
          <w:rFonts w:ascii="Cambria Math" w:hAnsi="Cambria Math" w:cs="Cambria Math"/>
        </w:rPr>
        <w:t>𝑙</w:t>
      </w:r>
      <w:r>
        <w:rPr>
          <w:rFonts w:ascii="Cambria Math" w:hAnsi="Cambria Math" w:cs="Cambria Math"/>
          <w:vertAlign w:val="subscript"/>
        </w:rPr>
        <w:t>𝑚</w:t>
      </w:r>
      <w:r>
        <w:t>: longitudinal distances from aircraft CG to nose and main gear</w:t>
      </w:r>
    </w:p>
    <w:p w14:paraId="5A4AC8E2">
      <w:pPr>
        <w:ind w:firstLine="420"/>
      </w:pPr>
      <w:r>
        <w:rPr>
          <w:rFonts w:ascii="Cambria Math" w:hAnsi="Cambria Math" w:cs="Cambria Math"/>
        </w:rPr>
        <w:t>𝑏</w:t>
      </w:r>
      <w:r>
        <w:rPr>
          <w:rFonts w:ascii="Cambria Math" w:hAnsi="Cambria Math" w:cs="Cambria Math"/>
          <w:vertAlign w:val="subscript"/>
        </w:rPr>
        <w:t>𝑙</w:t>
      </w:r>
      <w:r>
        <w:t>,</w:t>
      </w:r>
      <w:r>
        <w:rPr>
          <w:rFonts w:ascii="Cambria Math" w:hAnsi="Cambria Math" w:cs="Cambria Math"/>
        </w:rPr>
        <w:t>𝑏</w:t>
      </w:r>
      <w:r>
        <w:rPr>
          <w:rFonts w:ascii="Cambria Math" w:hAnsi="Cambria Math" w:cs="Cambria Math"/>
          <w:vertAlign w:val="subscript"/>
        </w:rPr>
        <w:t>𝑟</w:t>
      </w:r>
      <w:r>
        <w:t>: lateral distances to left/right main gear</w:t>
      </w:r>
    </w:p>
    <w:p w14:paraId="0B8C9F37">
      <w:pPr>
        <w:ind w:firstLine="420"/>
      </w:pPr>
      <w:r>
        <w:rPr>
          <w:rFonts w:ascii="Cambria Math" w:hAnsi="Cambria Math" w:cs="Cambria Math"/>
        </w:rPr>
        <w:t>𝐼</w:t>
      </w:r>
      <w:r>
        <w:rPr>
          <w:rFonts w:ascii="Cambria Math" w:hAnsi="Cambria Math" w:cs="Cambria Math"/>
          <w:vertAlign w:val="subscript"/>
        </w:rPr>
        <w:t>𝑥</w:t>
      </w:r>
      <w:r>
        <w:t>,</w:t>
      </w:r>
      <w:r>
        <w:rPr>
          <w:rFonts w:ascii="Cambria Math" w:hAnsi="Cambria Math" w:cs="Cambria Math"/>
        </w:rPr>
        <w:t>𝐼</w:t>
      </w:r>
      <w:r>
        <w:rPr>
          <w:rFonts w:ascii="Cambria Math" w:hAnsi="Cambria Math" w:cs="Cambria Math"/>
          <w:vertAlign w:val="subscript"/>
        </w:rPr>
        <w:t>𝑦</w:t>
      </w:r>
      <w:r>
        <w:t>: mass moments of inertia</w:t>
      </w:r>
    </w:p>
    <w:p w14:paraId="541A6F50">
      <w:pPr>
        <w:ind w:firstLine="420"/>
      </w:pPr>
      <w:r>
        <w:t>Because geometric differences among dominant aircraft types are relatively limited, mean values of the top five aircraft (covering &gt;80% of movements) were adopted as fixed geometric parameters.</w:t>
      </w:r>
    </w:p>
    <w:p w14:paraId="1088C1CF">
      <w:pPr>
        <w:ind w:firstLine="422"/>
        <w:rPr>
          <w:b/>
          <w:bCs/>
        </w:rPr>
      </w:pPr>
      <w:r>
        <w:rPr>
          <w:b/>
          <w:bCs/>
        </w:rPr>
        <w:t>(ii) Dynamic parameters (optimized)</w:t>
      </w:r>
    </w:p>
    <w:p w14:paraId="6ABF2CDC">
      <w:pPr>
        <w:ind w:firstLine="420"/>
      </w:pPr>
      <w:r>
        <w:t>Sixteen dynamic parameters, including:</w:t>
      </w:r>
    </w:p>
    <w:p w14:paraId="27B261DF">
      <w:pPr>
        <w:ind w:firstLine="420"/>
      </w:pPr>
      <w:r>
        <w:t xml:space="preserve">Sprung mass </w:t>
      </w:r>
      <w:r>
        <w:rPr>
          <w:rFonts w:ascii="Cambria Math" w:hAnsi="Cambria Math" w:cs="Cambria Math"/>
        </w:rPr>
        <w:t>𝑚</w:t>
      </w:r>
      <w:r>
        <w:rPr>
          <w:rFonts w:ascii="Cambria Math" w:hAnsi="Cambria Math" w:cs="Cambria Math"/>
          <w:vertAlign w:val="subscript"/>
        </w:rPr>
        <w:t xml:space="preserve">𝑠; </w:t>
      </w:r>
    </w:p>
    <w:p w14:paraId="259C65A0">
      <w:pPr>
        <w:ind w:firstLine="420"/>
      </w:pPr>
      <w:r>
        <w:t xml:space="preserve">Unsprung masses </w:t>
      </w:r>
      <w:r>
        <w:rPr>
          <w:rFonts w:ascii="Cambria Math" w:hAnsi="Cambria Math" w:cs="Cambria Math"/>
        </w:rPr>
        <w:t>𝑚</w:t>
      </w:r>
      <w:r>
        <w:rPr>
          <w:rFonts w:ascii="Cambria Math" w:hAnsi="Cambria Math" w:cs="Cambria Math"/>
          <w:vertAlign w:val="subscript"/>
        </w:rPr>
        <w:t>𝑓</w:t>
      </w:r>
      <w:r>
        <w:t xml:space="preserve">, </w:t>
      </w:r>
      <w:r>
        <w:rPr>
          <w:rFonts w:ascii="Cambria Math" w:hAnsi="Cambria Math" w:cs="Cambria Math"/>
        </w:rPr>
        <w:t>𝑚</w:t>
      </w:r>
      <w:r>
        <w:rPr>
          <w:rFonts w:ascii="Cambria Math" w:hAnsi="Cambria Math" w:cs="Cambria Math"/>
          <w:vertAlign w:val="subscript"/>
        </w:rPr>
        <w:t>𝑙</w:t>
      </w:r>
      <w:r>
        <w:t xml:space="preserve">, </w:t>
      </w:r>
      <w:r>
        <w:rPr>
          <w:rFonts w:ascii="Cambria Math" w:hAnsi="Cambria Math" w:cs="Cambria Math"/>
        </w:rPr>
        <w:t>𝑚</w:t>
      </w:r>
      <w:r>
        <w:rPr>
          <w:rFonts w:ascii="Cambria Math" w:hAnsi="Cambria Math" w:cs="Cambria Math"/>
          <w:vertAlign w:val="subscript"/>
        </w:rPr>
        <w:t>𝑟;</w:t>
      </w:r>
    </w:p>
    <w:p w14:paraId="0F67517E">
      <w:pPr>
        <w:ind w:firstLine="420"/>
      </w:pPr>
      <w:r>
        <w:t>Suspension stiffness and damping parameters;</w:t>
      </w:r>
    </w:p>
    <w:p w14:paraId="5110EE17">
      <w:pPr>
        <w:ind w:firstLine="420"/>
      </w:pPr>
      <w:r>
        <w:t>Tire stiffness and damping parameters</w:t>
      </w:r>
    </w:p>
    <w:p w14:paraId="3610D1E4">
      <w:pPr>
        <w:ind w:firstLine="420"/>
      </w:pPr>
      <w:r>
        <w:t>These parameters govern vibration response and were treated as optimization variables. Bounds were defined based on statistical ranges of the 20 aircraft samples to ensure physical feasibility.</w:t>
      </w:r>
    </w:p>
    <w:p w14:paraId="3273C494">
      <w:pPr>
        <w:ind w:firstLine="422"/>
        <w:rPr>
          <w:b/>
          <w:bCs/>
        </w:rPr>
      </w:pPr>
      <w:r>
        <w:rPr>
          <w:b/>
          <w:bCs/>
        </w:rPr>
        <w:t>(3) Optimization Method</w:t>
      </w:r>
    </w:p>
    <w:p w14:paraId="6ECD4F6A">
      <w:pPr>
        <w:ind w:firstLine="420"/>
      </w:pPr>
      <w:r>
        <w:t>The optimization problem exhibits: high dimensionality (16 variables), strong nonlinearity, implicit mapping between parameters and CCI, and no analytical gradient (Newmark–Beta time integration required)</w:t>
      </w:r>
    </w:p>
    <w:p w14:paraId="55EFBFBF">
      <w:pPr>
        <w:ind w:firstLine="420"/>
      </w:pPr>
      <w:r>
        <w:t>Therefore, article Swarm Optimization (PSO) was employed due to its: derivative-free search capability, global exploration strength, and suitability for simulation-based fitness evaluation.</w:t>
      </w:r>
    </w:p>
    <w:p w14:paraId="35748AD4">
      <w:pPr>
        <w:ind w:firstLine="420"/>
      </w:pPr>
      <w:r>
        <w:t>A swarm of 100 particles was initialized within the feasible domain and iterated for 100 generations using a linearly decreasing inertia weight strategy.</w:t>
      </w:r>
    </w:p>
    <w:p w14:paraId="7D1B9FA0">
      <w:pPr>
        <w:ind w:firstLine="422"/>
        <w:rPr>
          <w:b/>
          <w:bCs/>
        </w:rPr>
      </w:pPr>
      <w:r>
        <w:rPr>
          <w:b/>
          <w:bCs/>
        </w:rPr>
        <w:t>(4) Fitness Function Design</w:t>
      </w:r>
    </w:p>
    <w:p w14:paraId="4F40D962">
      <w:pPr>
        <w:ind w:firstLine="420"/>
      </w:pPr>
      <w:r>
        <w:t>To align CCI with fleet energy dissipation trends:</w:t>
      </w:r>
    </w:p>
    <w:p w14:paraId="0EE4E328">
      <w:pPr>
        <w:ind w:firstLine="420"/>
      </w:pPr>
      <w:r>
        <w:rPr>
          <w:rFonts w:hint="eastAsia"/>
        </w:rPr>
        <w:t>①</w:t>
      </w:r>
      <w:r>
        <w:t>Aircraft energy values were normalized:</w:t>
      </w:r>
    </w:p>
    <w:p w14:paraId="7E2C1835">
      <w:pPr>
        <w:pStyle w:val="21"/>
        <w:ind w:firstLine="482"/>
      </w:pPr>
      <w:r>
        <w:rPr>
          <w:rFonts w:hint="eastAsia"/>
        </w:rPr>
        <w:tab/>
      </w:r>
      <w:r>
        <w:rPr>
          <w:rFonts w:hint="eastAsia"/>
          <w14:ligatures w14:val="none"/>
        </w:rPr>
        <w:object>
          <v:shape id="_x0000_i1036" o:spt="75" type="#_x0000_t75" style="height:36pt;width:118.65pt;" o:ole="t" filled="f" o:preferrelative="t" stroked="f" coordsize="21600,21600">
            <v:path/>
            <v:fill on="f" focussize="0,0"/>
            <v:stroke on="f" joinstyle="miter"/>
            <v:imagedata r:id="rId64" o:title=""/>
            <o:lock v:ext="edit" aspectratio="t"/>
            <w10:wrap type="none"/>
            <w10:anchorlock/>
          </v:shape>
          <o:OLEObject Type="Embed" ProgID="Equation.DSMT4" ShapeID="_x0000_i1036" DrawAspect="Content" ObjectID="_1468075736" r:id="rId63">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8</w:t>
      </w:r>
      <w:r>
        <w:rPr>
          <w:rFonts w:hint="eastAsia"/>
          <w:b w:val="0"/>
          <w:bCs w:val="0"/>
        </w:rPr>
        <w:t>)</w:t>
      </w:r>
    </w:p>
    <w:p w14:paraId="70A9D7A5">
      <w:pPr>
        <w:ind w:firstLine="420"/>
      </w:pPr>
      <w:r>
        <w:rPr>
          <w:rFonts w:hint="eastAsia"/>
        </w:rPr>
        <w:t>②</w:t>
      </w:r>
      <w:r>
        <w:t>Standard aircraft CCI values were normalized:</w:t>
      </w:r>
    </w:p>
    <w:p w14:paraId="357F7E0E">
      <w:pPr>
        <w:pStyle w:val="21"/>
        <w:ind w:firstLine="482"/>
      </w:pPr>
      <w:r>
        <w:rPr>
          <w:rFonts w:hint="eastAsia"/>
        </w:rPr>
        <w:tab/>
      </w:r>
      <w:r>
        <w:rPr>
          <w:rFonts w:hint="eastAsia"/>
          <w14:ligatures w14:val="none"/>
        </w:rPr>
        <w:object>
          <v:shape id="_x0000_i1037" o:spt="75" type="#_x0000_t75" style="height:34.35pt;width:147pt;" o:ole="t" filled="f" o:preferrelative="t" stroked="f" coordsize="21600,21600">
            <v:path/>
            <v:fill on="f" focussize="0,0"/>
            <v:stroke on="f" joinstyle="miter"/>
            <v:imagedata r:id="rId66" o:title=""/>
            <o:lock v:ext="edit" aspectratio="t"/>
            <w10:wrap type="none"/>
            <w10:anchorlock/>
          </v:shape>
          <o:OLEObject Type="Embed" ProgID="Equation.DSMT4" ShapeID="_x0000_i1037" DrawAspect="Content" ObjectID="_1468075737" r:id="rId65">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9</w:t>
      </w:r>
      <w:r>
        <w:rPr>
          <w:rFonts w:hint="eastAsia"/>
          <w:b w:val="0"/>
          <w:bCs w:val="0"/>
        </w:rPr>
        <w:t>)</w:t>
      </w:r>
    </w:p>
    <w:p w14:paraId="3E7EAEFE">
      <w:pPr>
        <w:ind w:firstLine="420"/>
      </w:pPr>
      <w:r>
        <w:t xml:space="preserve">Pearson correlation coefficient </w:t>
      </w:r>
      <w:r>
        <w:rPr>
          <w:i/>
          <w:iCs/>
        </w:rPr>
        <w:t>r</w:t>
      </w:r>
      <w:r>
        <w:rPr>
          <w:vertAlign w:val="subscript"/>
        </w:rPr>
        <w:t>i</w:t>
      </w:r>
      <w:r>
        <w:t xml:space="preserve"> between normalized CCI and each aircraft’s normalized energy was computed</w:t>
      </w:r>
      <w:r>
        <w:rPr>
          <w:rFonts w:hint="eastAsia"/>
        </w:rPr>
        <w:t>：</w:t>
      </w:r>
    </w:p>
    <w:p w14:paraId="4E90B9C4">
      <w:pPr>
        <w:ind w:firstLine="420"/>
      </w:pPr>
    </w:p>
    <w:p w14:paraId="534F3FF6">
      <w:pPr>
        <w:pStyle w:val="21"/>
        <w:ind w:firstLine="482"/>
      </w:pPr>
      <w:r>
        <w:rPr>
          <w:rFonts w:hint="eastAsia"/>
        </w:rPr>
        <w:tab/>
      </w:r>
      <w:r>
        <w:rPr>
          <w:rFonts w:hint="eastAsia"/>
          <w14:ligatures w14:val="none"/>
        </w:rPr>
        <w:object>
          <v:shape id="_x0000_i1038" o:spt="75" type="#_x0000_t75" style="height:72pt;width:274.35pt;" o:ole="t" filled="f" o:preferrelative="t" stroked="f" coordsize="21600,21600">
            <v:path/>
            <v:fill on="f" focussize="0,0"/>
            <v:stroke on="f"/>
            <v:imagedata r:id="rId68" o:title=""/>
            <o:lock v:ext="edit" aspectratio="t"/>
            <w10:wrap type="none"/>
            <w10:anchorlock/>
          </v:shape>
          <o:OLEObject Type="Embed" ProgID="Equation.DSMT4" ShapeID="_x0000_i1038" DrawAspect="Content" ObjectID="_1468075738" r:id="rId67">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10</w:t>
      </w:r>
      <w:r>
        <w:rPr>
          <w:rFonts w:hint="eastAsia"/>
          <w:b w:val="0"/>
          <w:bCs w:val="0"/>
        </w:rPr>
        <w:t>)</w:t>
      </w:r>
    </w:p>
    <w:p w14:paraId="19D760A1">
      <w:pPr>
        <w:ind w:firstLine="420"/>
      </w:pPr>
      <w:r>
        <w:t>A weighted average correlation was defined:</w:t>
      </w:r>
    </w:p>
    <w:p w14:paraId="4D1D3772">
      <w:pPr>
        <w:pStyle w:val="21"/>
        <w:ind w:firstLine="482"/>
      </w:pPr>
      <w:r>
        <w:rPr>
          <w:rFonts w:hint="eastAsia"/>
        </w:rPr>
        <w:tab/>
      </w:r>
      <w:r>
        <w:rPr>
          <w:rFonts w:hint="eastAsia"/>
          <w14:ligatures w14:val="none"/>
        </w:rPr>
        <w:object>
          <v:shape id="_x0000_i1039" o:spt="75" type="#_x0000_t75" style="height:34.35pt;width:82.65pt;" o:ole="t" filled="f" o:preferrelative="t" stroked="f" coordsize="21600,21600">
            <v:path/>
            <v:fill on="f" focussize="0,0"/>
            <v:stroke on="f"/>
            <v:imagedata r:id="rId70" o:title=""/>
            <o:lock v:ext="edit" aspectratio="t"/>
            <w10:wrap type="none"/>
            <w10:anchorlock/>
          </v:shape>
          <o:OLEObject Type="Embed" ProgID="Equation.DSMT4" ShapeID="_x0000_i1039" DrawAspect="Content" ObjectID="_1468075739" r:id="rId69">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11</w:t>
      </w:r>
      <w:r>
        <w:rPr>
          <w:rFonts w:hint="eastAsia"/>
          <w:b w:val="0"/>
          <w:bCs w:val="0"/>
        </w:rPr>
        <w:t>)</w:t>
      </w:r>
    </w:p>
    <w:p w14:paraId="1505344E">
      <w:pPr>
        <w:ind w:firstLine="420"/>
      </w:pPr>
      <w:r>
        <w:t>The fitness function was constructed as:</w:t>
      </w:r>
    </w:p>
    <w:p w14:paraId="70CA98F0">
      <w:pPr>
        <w:pStyle w:val="21"/>
        <w:ind w:firstLine="482"/>
      </w:pPr>
      <w:r>
        <w:rPr>
          <w:rFonts w:hint="eastAsia"/>
        </w:rPr>
        <w:tab/>
      </w:r>
      <w:r>
        <w:rPr>
          <w:rFonts w:hint="eastAsia"/>
          <w14:ligatures w14:val="none"/>
        </w:rPr>
        <w:object>
          <v:shape id="_x0000_i1040" o:spt="75" type="#_x0000_t75" style="height:19.35pt;width:160.65pt;" o:ole="t" filled="f" o:preferrelative="t" stroked="f" coordsize="21600,21600">
            <v:path/>
            <v:fill on="f" focussize="0,0"/>
            <v:stroke on="f" joinstyle="miter"/>
            <v:imagedata r:id="rId72" o:title=""/>
            <o:lock v:ext="edit" aspectratio="t"/>
            <w10:wrap type="none"/>
            <w10:anchorlock/>
          </v:shape>
          <o:OLEObject Type="Embed" ProgID="Equation.DSMT4" ShapeID="_x0000_i1040" DrawAspect="Content" ObjectID="_1468075740" r:id="rId71">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12</w:t>
      </w:r>
      <w:r>
        <w:rPr>
          <w:rFonts w:hint="eastAsia"/>
          <w:b w:val="0"/>
          <w:bCs w:val="0"/>
        </w:rPr>
        <w:t>)</w:t>
      </w:r>
    </w:p>
    <w:p w14:paraId="252E81C4">
      <w:pPr>
        <w:ind w:firstLine="420"/>
      </w:pPr>
      <w:r>
        <w:t>Where α=0.7，β=0.3. The first term ensures fleet-level representativeness, while the second prevents severe mismatch for individual aircraft types.</w:t>
      </w:r>
    </w:p>
    <w:p w14:paraId="47234F36">
      <w:pPr>
        <w:ind w:firstLine="420"/>
      </w:pPr>
      <w:r>
        <w:t xml:space="preserve">Optimization converges when </w:t>
      </w:r>
      <w:r>
        <w:rPr>
          <w:rFonts w:ascii="Cambria Math" w:hAnsi="Cambria Math" w:cs="Cambria Math"/>
        </w:rPr>
        <w:t>𝐹</w:t>
      </w:r>
      <w:r>
        <w:rPr>
          <w:rFonts w:hint="eastAsia"/>
        </w:rPr>
        <w:t>→</w:t>
      </w:r>
      <w:r>
        <w:t>1,</w:t>
      </w:r>
      <w:r>
        <w:rPr>
          <w:rFonts w:hint="eastAsia"/>
        </w:rPr>
        <w:t xml:space="preserve"> indicating strong positive correlation across all aircraft.</w:t>
      </w:r>
    </w:p>
    <w:p w14:paraId="7636729A">
      <w:pPr>
        <w:ind w:firstLine="422"/>
        <w:rPr>
          <w:b/>
          <w:bCs/>
        </w:rPr>
      </w:pPr>
      <w:r>
        <w:rPr>
          <w:b/>
          <w:bCs/>
        </w:rPr>
        <w:t>(5) Optimized Standard Parameter Set</w:t>
      </w:r>
    </w:p>
    <w:p w14:paraId="7DFA0445">
      <w:pPr>
        <w:ind w:firstLine="420"/>
      </w:pPr>
      <w:r>
        <w:t xml:space="preserve">The optimal parameter combination (Table </w:t>
      </w:r>
      <w:r>
        <w:rPr>
          <w:rFonts w:hint="eastAsia"/>
        </w:rPr>
        <w:t>S</w:t>
      </w:r>
      <w:r>
        <w:t>8.2) does not correspond to any specific aircraft, but instead represents a characteristic dynamic surrogate of the dominant fleet.</w:t>
      </w:r>
    </w:p>
    <w:p w14:paraId="1103784B">
      <w:pPr>
        <w:ind w:firstLine="0" w:firstLineChars="0"/>
        <w:jc w:val="center"/>
      </w:pPr>
      <w:r>
        <w:t xml:space="preserve">Table </w:t>
      </w:r>
      <w:r>
        <w:rPr>
          <w:rFonts w:hint="eastAsia"/>
        </w:rPr>
        <w:t>S</w:t>
      </w:r>
      <w:r>
        <w:t>8.2</w:t>
      </w:r>
      <w:r>
        <w:rPr>
          <w:rFonts w:hint="eastAsia"/>
        </w:rPr>
        <w:t>.</w:t>
      </w:r>
      <w:r>
        <w:t xml:space="preserve"> Optimized Parameter Set of the CCI Model</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0"/>
        <w:gridCol w:w="1903"/>
      </w:tblGrid>
      <w:tr w14:paraId="56D4D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0BC0070C">
            <w:pPr>
              <w:pStyle w:val="49"/>
            </w:pPr>
            <w:r>
              <w:rPr>
                <w:rFonts w:hint="eastAsia"/>
              </w:rPr>
              <w:t>m</w:t>
            </w:r>
            <w:r>
              <w:rPr>
                <w:rFonts w:hint="eastAsia"/>
                <w:vertAlign w:val="subscript"/>
              </w:rPr>
              <w:t>s</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63C38DF8">
            <w:pPr>
              <w:pStyle w:val="49"/>
            </w:pPr>
            <w:r>
              <w:rPr>
                <w:rFonts w:hint="eastAsia"/>
              </w:rPr>
              <w:t>32217.87</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3520FF1E">
            <w:pPr>
              <w:pStyle w:val="49"/>
            </w:pPr>
            <w:r>
              <w:rPr>
                <w:rFonts w:hint="eastAsia"/>
              </w:rPr>
              <w:t>C</w:t>
            </w:r>
            <w:r>
              <w:rPr>
                <w:rFonts w:hint="eastAsia"/>
                <w:vertAlign w:val="subscript"/>
              </w:rPr>
              <w:t>l</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3394B3B4">
            <w:pPr>
              <w:pStyle w:val="49"/>
            </w:pPr>
            <w:r>
              <w:rPr>
                <w:rFonts w:hint="eastAsia"/>
              </w:rPr>
              <w:t>159044.18</w:t>
            </w:r>
          </w:p>
        </w:tc>
      </w:tr>
      <w:tr w14:paraId="6A0F7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73C0B252">
            <w:pPr>
              <w:pStyle w:val="49"/>
            </w:pPr>
            <w:r>
              <w:rPr>
                <w:rFonts w:hint="eastAsia"/>
              </w:rPr>
              <w:t>m</w:t>
            </w:r>
            <w:r>
              <w:rPr>
                <w:rFonts w:hint="eastAsia"/>
                <w:vertAlign w:val="subscript"/>
              </w:rPr>
              <w:t>f</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1CF5F628">
            <w:pPr>
              <w:pStyle w:val="49"/>
            </w:pPr>
            <w:r>
              <w:rPr>
                <w:rFonts w:hint="eastAsia"/>
              </w:rPr>
              <w:t>361.22</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225504D0">
            <w:pPr>
              <w:pStyle w:val="49"/>
            </w:pPr>
            <w:r>
              <w:rPr>
                <w:rFonts w:hint="eastAsia"/>
              </w:rPr>
              <w:t>C</w:t>
            </w:r>
            <w:r>
              <w:rPr>
                <w:rFonts w:hint="eastAsia"/>
                <w:vertAlign w:val="subscript"/>
              </w:rPr>
              <w:t>r</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42A58CF6">
            <w:pPr>
              <w:pStyle w:val="49"/>
            </w:pPr>
            <w:r>
              <w:rPr>
                <w:rFonts w:hint="eastAsia"/>
              </w:rPr>
              <w:t>159044.18</w:t>
            </w:r>
          </w:p>
        </w:tc>
      </w:tr>
      <w:tr w14:paraId="5B878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2E97BA84">
            <w:pPr>
              <w:pStyle w:val="49"/>
            </w:pPr>
            <w:r>
              <w:rPr>
                <w:rFonts w:hint="eastAsia"/>
              </w:rPr>
              <w:t>m</w:t>
            </w:r>
            <w:r>
              <w:rPr>
                <w:rFonts w:hint="eastAsia"/>
                <w:vertAlign w:val="subscript"/>
              </w:rPr>
              <w:t>l</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40729222">
            <w:pPr>
              <w:pStyle w:val="49"/>
            </w:pPr>
            <w:r>
              <w:rPr>
                <w:rFonts w:hint="eastAsia"/>
              </w:rPr>
              <w:t>1450.00</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57BBF111">
            <w:pPr>
              <w:pStyle w:val="49"/>
            </w:pPr>
            <w:r>
              <w:rPr>
                <w:rFonts w:hint="eastAsia"/>
              </w:rPr>
              <w:t>c</w:t>
            </w:r>
            <w:r>
              <w:rPr>
                <w:rFonts w:hint="eastAsia"/>
                <w:vertAlign w:val="subscript"/>
              </w:rPr>
              <w:t>f</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6E7C9AC2">
            <w:pPr>
              <w:pStyle w:val="49"/>
            </w:pPr>
            <w:r>
              <w:rPr>
                <w:rFonts w:hint="eastAsia"/>
              </w:rPr>
              <w:t>3950.00</w:t>
            </w:r>
          </w:p>
        </w:tc>
      </w:tr>
      <w:tr w14:paraId="1DE95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76388F80">
            <w:pPr>
              <w:pStyle w:val="49"/>
            </w:pPr>
            <w:r>
              <w:rPr>
                <w:rFonts w:hint="eastAsia"/>
              </w:rPr>
              <w:t>m</w:t>
            </w:r>
            <w:r>
              <w:rPr>
                <w:rFonts w:hint="eastAsia"/>
                <w:vertAlign w:val="subscript"/>
              </w:rPr>
              <w:t>r</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544A8F1E">
            <w:pPr>
              <w:pStyle w:val="49"/>
            </w:pPr>
            <w:r>
              <w:rPr>
                <w:rFonts w:hint="eastAsia"/>
              </w:rPr>
              <w:t>1450.00</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11722702">
            <w:pPr>
              <w:pStyle w:val="49"/>
            </w:pPr>
            <w:r>
              <w:rPr>
                <w:rFonts w:hint="eastAsia"/>
              </w:rPr>
              <w:t>c</w:t>
            </w:r>
            <w:r>
              <w:rPr>
                <w:rFonts w:hint="eastAsia"/>
                <w:vertAlign w:val="subscript"/>
              </w:rPr>
              <w:t>l</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6845C186">
            <w:pPr>
              <w:pStyle w:val="49"/>
            </w:pPr>
            <w:r>
              <w:rPr>
                <w:rFonts w:hint="eastAsia"/>
              </w:rPr>
              <w:t>4016.02</w:t>
            </w:r>
          </w:p>
        </w:tc>
      </w:tr>
      <w:tr w14:paraId="3E094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417E2F1F">
            <w:pPr>
              <w:pStyle w:val="49"/>
            </w:pPr>
            <w:r>
              <w:rPr>
                <w:rFonts w:hint="eastAsia"/>
              </w:rPr>
              <w:t>K</w:t>
            </w:r>
            <w:r>
              <w:rPr>
                <w:rFonts w:hint="eastAsia"/>
                <w:vertAlign w:val="subscript"/>
              </w:rPr>
              <w:t>f</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329D541E">
            <w:pPr>
              <w:pStyle w:val="49"/>
            </w:pPr>
            <w:r>
              <w:rPr>
                <w:rFonts w:hint="eastAsia"/>
              </w:rPr>
              <w:t>406386.40</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35D8FD84">
            <w:pPr>
              <w:pStyle w:val="49"/>
            </w:pPr>
            <w:r>
              <w:rPr>
                <w:rFonts w:hint="eastAsia"/>
              </w:rPr>
              <w:t>c</w:t>
            </w:r>
            <w:r>
              <w:rPr>
                <w:rFonts w:hint="eastAsia"/>
                <w:vertAlign w:val="subscript"/>
              </w:rPr>
              <w:t>r</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15564B0F">
            <w:pPr>
              <w:pStyle w:val="49"/>
            </w:pPr>
            <w:r>
              <w:rPr>
                <w:rFonts w:hint="eastAsia"/>
              </w:rPr>
              <w:t>4016.02</w:t>
            </w:r>
          </w:p>
        </w:tc>
      </w:tr>
      <w:tr w14:paraId="19006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13E3F85B">
            <w:pPr>
              <w:pStyle w:val="49"/>
            </w:pPr>
            <w:r>
              <w:rPr>
                <w:rFonts w:hint="eastAsia"/>
              </w:rPr>
              <w:t>K</w:t>
            </w:r>
            <w:r>
              <w:rPr>
                <w:rFonts w:hint="eastAsia"/>
                <w:vertAlign w:val="subscript"/>
              </w:rPr>
              <w:t>l</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436A747A">
            <w:pPr>
              <w:pStyle w:val="49"/>
            </w:pPr>
            <w:r>
              <w:rPr>
                <w:rFonts w:hint="eastAsia"/>
              </w:rPr>
              <w:t>7286161.44</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E984CEE">
            <w:pPr>
              <w:pStyle w:val="49"/>
            </w:pPr>
            <w:r>
              <w:rPr>
                <w:rFonts w:hint="eastAsia"/>
              </w:rPr>
              <w:t>I</w:t>
            </w:r>
            <w:r>
              <w:rPr>
                <w:rFonts w:hint="eastAsia"/>
                <w:vertAlign w:val="subscript"/>
              </w:rPr>
              <w:t>x</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3DA00C9F">
            <w:pPr>
              <w:pStyle w:val="49"/>
            </w:pPr>
            <w:r>
              <w:rPr>
                <w:rFonts w:hint="eastAsia"/>
              </w:rPr>
              <w:t>3394953</w:t>
            </w:r>
          </w:p>
        </w:tc>
      </w:tr>
      <w:tr w14:paraId="053C9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182B0322">
            <w:pPr>
              <w:pStyle w:val="49"/>
            </w:pPr>
            <w:r>
              <w:rPr>
                <w:rFonts w:hint="eastAsia"/>
              </w:rPr>
              <w:t>K</w:t>
            </w:r>
            <w:r>
              <w:rPr>
                <w:rFonts w:hint="eastAsia"/>
                <w:vertAlign w:val="subscript"/>
              </w:rPr>
              <w:t>r</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46CAB289">
            <w:pPr>
              <w:pStyle w:val="49"/>
            </w:pPr>
            <w:r>
              <w:rPr>
                <w:rFonts w:hint="eastAsia"/>
              </w:rPr>
              <w:t>7286161.44</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893956A">
            <w:pPr>
              <w:pStyle w:val="49"/>
            </w:pPr>
            <w:r>
              <w:rPr>
                <w:rFonts w:hint="eastAsia"/>
              </w:rPr>
              <w:t>I</w:t>
            </w:r>
            <w:r>
              <w:rPr>
                <w:rFonts w:hint="eastAsia"/>
                <w:vertAlign w:val="subscript"/>
              </w:rPr>
              <w:t>y</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37962E31">
            <w:pPr>
              <w:pStyle w:val="49"/>
            </w:pPr>
            <w:r>
              <w:rPr>
                <w:rFonts w:hint="eastAsia"/>
              </w:rPr>
              <w:t>1866711</w:t>
            </w:r>
          </w:p>
        </w:tc>
      </w:tr>
      <w:tr w14:paraId="3A385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65133EC6">
            <w:pPr>
              <w:pStyle w:val="49"/>
            </w:pPr>
            <w:r>
              <w:rPr>
                <w:rFonts w:hint="eastAsia"/>
              </w:rPr>
              <w:t>k</w:t>
            </w:r>
            <w:r>
              <w:rPr>
                <w:rFonts w:hint="eastAsia"/>
                <w:vertAlign w:val="subscript"/>
              </w:rPr>
              <w:t>f</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0F6A22A1">
            <w:pPr>
              <w:pStyle w:val="49"/>
            </w:pPr>
            <w:r>
              <w:rPr>
                <w:rFonts w:hint="eastAsia"/>
              </w:rPr>
              <w:t>546250.00</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3C8147C3">
            <w:pPr>
              <w:pStyle w:val="49"/>
            </w:pPr>
            <w:r>
              <w:rPr>
                <w:rFonts w:hint="eastAsia"/>
              </w:rPr>
              <w:t>l</w:t>
            </w:r>
            <w:r>
              <w:rPr>
                <w:rFonts w:hint="eastAsia"/>
                <w:vertAlign w:val="subscript"/>
              </w:rPr>
              <w:t>f</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4B87433C">
            <w:pPr>
              <w:pStyle w:val="49"/>
            </w:pPr>
            <w:r>
              <w:rPr>
                <w:rFonts w:hint="eastAsia"/>
              </w:rPr>
              <w:t>13.4</w:t>
            </w:r>
          </w:p>
        </w:tc>
      </w:tr>
      <w:tr w14:paraId="7A566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3AB89E58">
            <w:pPr>
              <w:pStyle w:val="49"/>
            </w:pPr>
            <w:r>
              <w:rPr>
                <w:rFonts w:hint="eastAsia"/>
              </w:rPr>
              <w:t>k</w:t>
            </w:r>
            <w:r>
              <w:rPr>
                <w:rFonts w:hint="eastAsia"/>
                <w:vertAlign w:val="subscript"/>
              </w:rPr>
              <w:t>l</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729F357E">
            <w:pPr>
              <w:pStyle w:val="49"/>
            </w:pPr>
            <w:r>
              <w:rPr>
                <w:rFonts w:hint="eastAsia"/>
              </w:rPr>
              <w:t>2585210.89</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2A488F3">
            <w:pPr>
              <w:pStyle w:val="49"/>
            </w:pPr>
            <w:r>
              <w:rPr>
                <w:rFonts w:hint="eastAsia"/>
              </w:rPr>
              <w:t>l</w:t>
            </w:r>
            <w:r>
              <w:rPr>
                <w:rFonts w:hint="eastAsia"/>
                <w:vertAlign w:val="subscript"/>
              </w:rPr>
              <w:t>m</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691E20C9">
            <w:pPr>
              <w:pStyle w:val="49"/>
            </w:pPr>
            <w:r>
              <w:rPr>
                <w:rFonts w:hint="eastAsia"/>
              </w:rPr>
              <w:t>0.9</w:t>
            </w:r>
          </w:p>
        </w:tc>
      </w:tr>
      <w:tr w14:paraId="44E88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vAlign w:val="center"/>
          </w:tcPr>
          <w:p w14:paraId="1824856B">
            <w:pPr>
              <w:pStyle w:val="49"/>
            </w:pPr>
            <w:r>
              <w:rPr>
                <w:rFonts w:hint="eastAsia"/>
              </w:rPr>
              <w:t>k</w:t>
            </w:r>
            <w:r>
              <w:rPr>
                <w:rFonts w:hint="eastAsia"/>
                <w:vertAlign w:val="subscript"/>
              </w:rPr>
              <w:t>r</w:t>
            </w:r>
          </w:p>
        </w:tc>
        <w:tc>
          <w:tcPr>
            <w:tcW w:w="2130" w:type="dxa"/>
            <w:tcBorders>
              <w:top w:val="single" w:color="auto" w:sz="4" w:space="0"/>
              <w:left w:val="single" w:color="auto" w:sz="4" w:space="0"/>
              <w:bottom w:val="single" w:color="auto" w:sz="4" w:space="0"/>
              <w:right w:val="single" w:color="auto" w:sz="4" w:space="0"/>
              <w:tl2br w:val="nil"/>
              <w:tr2bl w:val="nil"/>
            </w:tcBorders>
            <w:vAlign w:val="center"/>
          </w:tcPr>
          <w:p w14:paraId="352B1A1B">
            <w:pPr>
              <w:pStyle w:val="49"/>
            </w:pPr>
            <w:r>
              <w:rPr>
                <w:rFonts w:hint="eastAsia"/>
              </w:rPr>
              <w:t>2585210.89</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5F9CBE2">
            <w:pPr>
              <w:pStyle w:val="49"/>
            </w:pPr>
            <w:r>
              <w:rPr>
                <w:rFonts w:hint="eastAsia"/>
              </w:rPr>
              <w:t>b</w:t>
            </w:r>
            <w:r>
              <w:rPr>
                <w:rFonts w:hint="eastAsia"/>
                <w:vertAlign w:val="subscript"/>
              </w:rPr>
              <w:t>l</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248265C6">
            <w:pPr>
              <w:pStyle w:val="49"/>
            </w:pPr>
            <w:r>
              <w:rPr>
                <w:rFonts w:hint="eastAsia"/>
              </w:rPr>
              <w:t>3.4</w:t>
            </w:r>
          </w:p>
        </w:tc>
      </w:tr>
      <w:tr w14:paraId="705DE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4" w:space="0"/>
              <w:left w:val="nil"/>
              <w:bottom w:val="single" w:color="auto" w:sz="4" w:space="0"/>
              <w:right w:val="single" w:color="auto" w:sz="4" w:space="0"/>
              <w:tl2br w:val="nil"/>
              <w:tr2bl w:val="nil"/>
            </w:tcBorders>
            <w:shd w:val="clear" w:color="auto" w:fill="auto"/>
            <w:vAlign w:val="center"/>
          </w:tcPr>
          <w:p w14:paraId="2C944963">
            <w:pPr>
              <w:pStyle w:val="49"/>
            </w:pPr>
            <w:r>
              <w:rPr>
                <w:rFonts w:hint="eastAsia"/>
              </w:rPr>
              <w:t>C</w:t>
            </w:r>
            <w:r>
              <w:rPr>
                <w:rFonts w:hint="eastAsia"/>
                <w:vertAlign w:val="subscript"/>
              </w:rPr>
              <w:t>f</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0E8376D1">
            <w:pPr>
              <w:pStyle w:val="49"/>
            </w:pPr>
            <w:r>
              <w:rPr>
                <w:rFonts w:hint="eastAsia"/>
              </w:rPr>
              <w:t>36531.50</w:t>
            </w:r>
          </w:p>
        </w:tc>
        <w:tc>
          <w:tcPr>
            <w:tcW w:w="213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75B9937D">
            <w:pPr>
              <w:pStyle w:val="49"/>
            </w:pPr>
            <w:r>
              <w:rPr>
                <w:rFonts w:hint="eastAsia"/>
              </w:rPr>
              <w:t>b</w:t>
            </w:r>
            <w:r>
              <w:rPr>
                <w:rFonts w:hint="eastAsia"/>
                <w:vertAlign w:val="subscript"/>
              </w:rPr>
              <w:t>r</w:t>
            </w:r>
          </w:p>
        </w:tc>
        <w:tc>
          <w:tcPr>
            <w:tcW w:w="1903" w:type="dxa"/>
            <w:tcBorders>
              <w:top w:val="single" w:color="auto" w:sz="4" w:space="0"/>
              <w:left w:val="single" w:color="auto" w:sz="4" w:space="0"/>
              <w:bottom w:val="single" w:color="auto" w:sz="4" w:space="0"/>
              <w:right w:val="nil"/>
              <w:tl2br w:val="nil"/>
              <w:tr2bl w:val="nil"/>
            </w:tcBorders>
            <w:shd w:val="clear" w:color="auto" w:fill="auto"/>
            <w:vAlign w:val="center"/>
          </w:tcPr>
          <w:p w14:paraId="7BE28497">
            <w:pPr>
              <w:pStyle w:val="49"/>
            </w:pPr>
            <w:r>
              <w:rPr>
                <w:rFonts w:hint="eastAsia"/>
              </w:rPr>
              <w:t>3.4</w:t>
            </w:r>
          </w:p>
        </w:tc>
      </w:tr>
    </w:tbl>
    <w:p w14:paraId="77810200">
      <w:pPr>
        <w:ind w:firstLine="420" w:firstLineChars="0"/>
      </w:pPr>
      <w:r>
        <w:t>Correlation results between standardized CCI and actual aircraft energy dissipation are shown in Fig.</w:t>
      </w:r>
      <w:r>
        <w:rPr>
          <w:rFonts w:hint="eastAsia"/>
        </w:rPr>
        <w:t>S</w:t>
      </w:r>
      <w:r>
        <w:t>8.3, demonstrating strong agreement across aircraft types.</w:t>
      </w:r>
    </w:p>
    <w:p w14:paraId="3E3699BB">
      <w:pPr>
        <w:ind w:firstLine="420" w:firstLineChars="0"/>
      </w:pPr>
    </w:p>
    <w:p w14:paraId="57DEDC41">
      <w:pPr>
        <w:ind w:firstLine="0" w:firstLineChars="0"/>
        <w:jc w:val="center"/>
      </w:pPr>
      <w:r>
        <w:rPr>
          <w:rFonts w:hint="eastAsia"/>
        </w:rPr>
        <w:drawing>
          <wp:inline distT="0" distB="0" distL="114300" distR="114300">
            <wp:extent cx="5266055" cy="2240280"/>
            <wp:effectExtent l="0" t="0" r="4445" b="7620"/>
            <wp:docPr id="76" name="图片 7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ig"/>
                    <pic:cNvPicPr>
                      <a:picLocks noChangeAspect="1"/>
                    </pic:cNvPicPr>
                  </pic:nvPicPr>
                  <pic:blipFill>
                    <a:blip r:embed="rId73"/>
                    <a:stretch>
                      <a:fillRect/>
                    </a:stretch>
                  </pic:blipFill>
                  <pic:spPr>
                    <a:xfrm>
                      <a:off x="0" y="0"/>
                      <a:ext cx="5266055" cy="2240280"/>
                    </a:xfrm>
                    <a:prstGeom prst="rect">
                      <a:avLst/>
                    </a:prstGeom>
                  </pic:spPr>
                </pic:pic>
              </a:graphicData>
            </a:graphic>
          </wp:inline>
        </w:drawing>
      </w:r>
    </w:p>
    <w:p w14:paraId="5ED0E0A6">
      <w:pPr>
        <w:ind w:firstLine="420"/>
        <w:jc w:val="center"/>
      </w:pPr>
      <w:r>
        <w:t>Fig</w:t>
      </w:r>
      <w:r>
        <w:rPr>
          <w:rFonts w:hint="eastAsia"/>
        </w:rPr>
        <w:t>.S</w:t>
      </w:r>
      <w:r>
        <w:t>8.3</w:t>
      </w:r>
      <w:r>
        <w:rPr>
          <w:rFonts w:hint="eastAsia"/>
        </w:rPr>
        <w:t>.</w:t>
      </w:r>
      <w:r>
        <w:t xml:space="preserve"> Correlation Analysis Between Standardized Aircraft CCI and Energy Dissipation of Sample Aircraft</w:t>
      </w:r>
    </w:p>
    <w:p w14:paraId="3F4C06F9">
      <w:pPr>
        <w:ind w:firstLine="420"/>
      </w:pPr>
    </w:p>
    <w:p w14:paraId="736FA8E5">
      <w:pPr>
        <w:ind w:firstLine="420"/>
      </w:pPr>
      <w:r>
        <w:t>The optimized parameters were then substituted into the multibody dynamic equilibrium equations to obtain closed-form vibration velocity expressions for:</w:t>
      </w:r>
    </w:p>
    <w:p w14:paraId="5D526A89">
      <w:pPr>
        <w:ind w:firstLine="420"/>
      </w:pPr>
      <w:r>
        <w:t>Sprung mass vertical velocity</w:t>
      </w:r>
    </w:p>
    <w:p w14:paraId="6ED7E986">
      <w:pPr>
        <w:pStyle w:val="21"/>
        <w:ind w:firstLine="482"/>
      </w:pPr>
      <w:r>
        <w:rPr>
          <w:rFonts w:hint="eastAsia"/>
        </w:rPr>
        <w:tab/>
      </w:r>
      <w:r>
        <w:rPr>
          <w:rFonts w:hint="eastAsia"/>
        </w:rPr>
        <w:object>
          <v:shape id="_x0000_i1041" o:spt="75" type="#_x0000_t75" style="height:76.35pt;width:340.65pt;" o:ole="t" filled="f" o:preferrelative="t" stroked="f" coordsize="21600,21600">
            <v:path/>
            <v:fill on="f" focussize="0,0"/>
            <v:stroke on="f" joinstyle="miter"/>
            <v:imagedata r:id="rId75" o:title=""/>
            <o:lock v:ext="edit" aspectratio="t"/>
            <w10:wrap type="none"/>
            <w10:anchorlock/>
          </v:shape>
          <o:OLEObject Type="Embed" ProgID="Equation.DSMT4" ShapeID="_x0000_i1041" DrawAspect="Content" ObjectID="_1468075741" r:id="rId74">
            <o:LockedField>false</o:LockedField>
          </o:OLEObject>
        </w:object>
      </w:r>
      <w:r>
        <w:rPr>
          <w:rFonts w:hint="eastAsia"/>
          <w:b w:val="0"/>
          <w:bCs w:val="0"/>
        </w:rPr>
        <w:tab/>
      </w:r>
      <w:r>
        <w:rPr>
          <w:rFonts w:hint="eastAsia"/>
          <w:b w:val="0"/>
          <w:bCs w:val="0"/>
        </w:rPr>
        <w:t>(</w:t>
      </w:r>
      <w:r>
        <w:rPr>
          <w:rFonts w:hint="eastAsia" w:eastAsia="宋体"/>
          <w:b w:val="0"/>
          <w:bCs w:val="0"/>
        </w:rPr>
        <w:t>S</w:t>
      </w:r>
      <w:r>
        <w:rPr>
          <w:rFonts w:hint="eastAsia"/>
          <w:b w:val="0"/>
          <w:bCs w:val="0"/>
        </w:rPr>
        <w:t>8.</w:t>
      </w:r>
      <w:r>
        <w:rPr>
          <w:b w:val="0"/>
          <w:bCs w:val="0"/>
        </w:rPr>
        <w:t>13</w:t>
      </w:r>
      <w:r>
        <w:rPr>
          <w:rFonts w:hint="eastAsia"/>
          <w:b w:val="0"/>
          <w:bCs w:val="0"/>
        </w:rPr>
        <w:t>)</w:t>
      </w:r>
    </w:p>
    <w:p w14:paraId="77B24AEF">
      <w:pPr>
        <w:ind w:firstLine="420"/>
      </w:pPr>
      <w:r>
        <w:t>Nose gear vertical velocity</w:t>
      </w:r>
    </w:p>
    <w:p w14:paraId="1210EE0B">
      <w:pPr>
        <w:pStyle w:val="21"/>
        <w:ind w:firstLine="482"/>
      </w:pPr>
      <w:r>
        <w:rPr>
          <w:rFonts w:hint="eastAsia"/>
        </w:rPr>
        <w:tab/>
      </w:r>
      <w:r>
        <w:rPr>
          <w:rFonts w:hint="eastAsia"/>
        </w:rPr>
        <w:object>
          <v:shape id="_x0000_i1042" o:spt="75" type="#_x0000_t75" style="height:36.65pt;width:321.65pt;" o:ole="t" filled="f" o:preferrelative="t" stroked="f" coordsize="21600,21600">
            <v:path/>
            <v:fill on="f" focussize="0,0"/>
            <v:stroke on="f" joinstyle="miter"/>
            <v:imagedata r:id="rId77" o:title=""/>
            <o:lock v:ext="edit" aspectratio="t"/>
            <w10:wrap type="none"/>
            <w10:anchorlock/>
          </v:shape>
          <o:OLEObject Type="Embed" ProgID="Equation.DSMT4" ShapeID="_x0000_i1042" DrawAspect="Content" ObjectID="_1468075742" r:id="rId76">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14</w:t>
      </w:r>
      <w:r>
        <w:rPr>
          <w:rFonts w:hint="eastAsia"/>
          <w:b w:val="0"/>
          <w:bCs w:val="0"/>
        </w:rPr>
        <w:t>)</w:t>
      </w:r>
    </w:p>
    <w:p w14:paraId="24C474B0">
      <w:pPr>
        <w:ind w:firstLine="420"/>
      </w:pPr>
      <w:r>
        <w:t>Right main gear vertical velocity</w:t>
      </w:r>
    </w:p>
    <w:p w14:paraId="75C2295A">
      <w:pPr>
        <w:ind w:firstLine="420"/>
      </w:pPr>
    </w:p>
    <w:p w14:paraId="430330CC">
      <w:pPr>
        <w:pStyle w:val="21"/>
        <w:ind w:firstLine="482"/>
      </w:pPr>
      <w:r>
        <w:rPr>
          <w:rFonts w:hint="eastAsia"/>
        </w:rPr>
        <w:tab/>
      </w:r>
      <w:r>
        <w:rPr>
          <w:rFonts w:hint="eastAsia"/>
        </w:rPr>
        <w:object>
          <v:shape id="_x0000_i1043" o:spt="75" type="#_x0000_t75" style="height:55pt;width:276.65pt;" o:ole="t" filled="f" o:preferrelative="t" stroked="f" coordsize="21600,21600">
            <v:path/>
            <v:fill on="f" focussize="0,0"/>
            <v:stroke on="f" joinstyle="miter"/>
            <v:imagedata r:id="rId79" o:title=""/>
            <o:lock v:ext="edit" aspectratio="t"/>
            <w10:wrap type="none"/>
            <w10:anchorlock/>
          </v:shape>
          <o:OLEObject Type="Embed" ProgID="Equation.DSMT4" ShapeID="_x0000_i1043" DrawAspect="Content" ObjectID="_1468075743" r:id="rId78">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15</w:t>
      </w:r>
      <w:r>
        <w:rPr>
          <w:rFonts w:hint="eastAsia"/>
          <w:b w:val="0"/>
          <w:bCs w:val="0"/>
        </w:rPr>
        <w:t>)</w:t>
      </w:r>
    </w:p>
    <w:p w14:paraId="2D7BCD8B">
      <w:pPr>
        <w:ind w:firstLine="420"/>
      </w:pPr>
      <w:r>
        <w:t>Left main gear vertical velocity</w:t>
      </w:r>
    </w:p>
    <w:p w14:paraId="1308D753">
      <w:pPr>
        <w:pStyle w:val="21"/>
        <w:ind w:firstLine="482"/>
      </w:pPr>
      <w:r>
        <w:rPr>
          <w:rFonts w:hint="eastAsia"/>
        </w:rPr>
        <w:tab/>
      </w:r>
      <w:r>
        <w:rPr>
          <w:rFonts w:hint="eastAsia"/>
        </w:rPr>
        <w:object>
          <v:shape id="_x0000_i1044" o:spt="75" type="#_x0000_t75" style="height:55pt;width:274pt;" o:ole="t" filled="f" o:preferrelative="t" stroked="f" coordsize="21600,21600">
            <v:path/>
            <v:fill on="f" focussize="0,0"/>
            <v:stroke on="f" joinstyle="miter"/>
            <v:imagedata r:id="rId81" o:title=""/>
            <o:lock v:ext="edit" aspectratio="t"/>
            <w10:wrap type="none"/>
            <w10:anchorlock/>
          </v:shape>
          <o:OLEObject Type="Embed" ProgID="Equation.DSMT4" ShapeID="_x0000_i1044" DrawAspect="Content" ObjectID="_1468075744" r:id="rId80">
            <o:LockedField>false</o:LockedField>
          </o:OLEObject>
        </w:object>
      </w:r>
      <w:r>
        <w:rPr>
          <w:rFonts w:hint="eastAsia"/>
        </w:rPr>
        <w:tab/>
      </w:r>
      <w:r>
        <w:rPr>
          <w:rFonts w:hint="eastAsia"/>
          <w:b w:val="0"/>
          <w:bCs w:val="0"/>
        </w:rPr>
        <w:t>(</w:t>
      </w:r>
      <w:r>
        <w:rPr>
          <w:rFonts w:hint="eastAsia" w:eastAsia="宋体"/>
          <w:b w:val="0"/>
          <w:bCs w:val="0"/>
        </w:rPr>
        <w:t>S</w:t>
      </w:r>
      <w:r>
        <w:rPr>
          <w:rFonts w:hint="eastAsia"/>
          <w:b w:val="0"/>
          <w:bCs w:val="0"/>
        </w:rPr>
        <w:t>8.</w:t>
      </w:r>
      <w:r>
        <w:rPr>
          <w:b w:val="0"/>
          <w:bCs w:val="0"/>
        </w:rPr>
        <w:t>16</w:t>
      </w:r>
      <w:r>
        <w:rPr>
          <w:rFonts w:hint="eastAsia"/>
          <w:b w:val="0"/>
          <w:bCs w:val="0"/>
        </w:rPr>
        <w:t>)</w:t>
      </w:r>
    </w:p>
    <w:p w14:paraId="56AAC323">
      <w:pPr>
        <w:ind w:firstLine="420" w:firstLineChars="0"/>
      </w:pPr>
      <w:r>
        <w:t>The detailed expressions of the velocity components are given in Eqs. (</w:t>
      </w:r>
      <w:r>
        <w:rPr>
          <w:rFonts w:hint="eastAsia"/>
        </w:rPr>
        <w:t>S</w:t>
      </w:r>
      <w:r>
        <w:t>8.17)–(</w:t>
      </w:r>
      <w:r>
        <w:rPr>
          <w:rFonts w:hint="eastAsia"/>
        </w:rPr>
        <w:t>S</w:t>
      </w:r>
      <w:r>
        <w:t>8.22).</w:t>
      </w:r>
    </w:p>
    <w:p w14:paraId="67B52A02">
      <w:pPr>
        <w:pStyle w:val="21"/>
        <w:ind w:firstLine="0" w:firstLineChars="0"/>
        <w:jc w:val="center"/>
      </w:pPr>
      <w:r>
        <w:rPr>
          <w:rFonts w:hint="eastAsia"/>
        </w:rPr>
        <w:tab/>
      </w:r>
      <w:r>
        <w:rPr>
          <w:rFonts w:hint="eastAsia"/>
          <w14:ligatures w14:val="none"/>
        </w:rPr>
        <w:object>
          <v:shape id="_x0000_i1045" o:spt="75" type="#_x0000_t75" style="height:19.35pt;width:93pt;" o:ole="t" filled="f" o:preferrelative="t" stroked="f" coordsize="21600,21600">
            <v:path/>
            <v:fill on="f" focussize="0,0"/>
            <v:stroke on="f" joinstyle="miter"/>
            <v:imagedata r:id="rId83" o:title=""/>
            <o:lock v:ext="edit" aspectratio="t"/>
            <w10:wrap type="none"/>
            <w10:anchorlock/>
          </v:shape>
          <o:OLEObject Type="Embed" ProgID="Equation.DSMT4" ShapeID="_x0000_i1045" DrawAspect="Content" ObjectID="_1468075745" r:id="rId82">
            <o:LockedField>false</o:LockedField>
          </o:OLEObject>
        </w:object>
      </w:r>
      <w:r>
        <w:rPr>
          <w:rFonts w:hint="eastAsia"/>
        </w:rPr>
        <w:tab/>
      </w:r>
      <w:r>
        <w:rPr>
          <w:b w:val="0"/>
          <w:bCs w:val="0"/>
        </w:rPr>
        <w:t>(</w:t>
      </w:r>
      <w:r>
        <w:rPr>
          <w:rFonts w:hint="eastAsia" w:eastAsia="宋体"/>
          <w:b w:val="0"/>
          <w:bCs w:val="0"/>
        </w:rPr>
        <w:t>S</w:t>
      </w:r>
      <w:r>
        <w:rPr>
          <w:b w:val="0"/>
          <w:bCs w:val="0"/>
        </w:rPr>
        <w:t>8.17)</w:t>
      </w:r>
    </w:p>
    <w:p w14:paraId="5691F0A6">
      <w:pPr>
        <w:pStyle w:val="21"/>
        <w:ind w:firstLine="0" w:firstLineChars="0"/>
        <w:jc w:val="center"/>
      </w:pPr>
      <w:r>
        <w:rPr>
          <w:rFonts w:hint="eastAsia"/>
        </w:rPr>
        <w:tab/>
      </w:r>
      <w:r>
        <w:rPr>
          <w:rFonts w:hint="eastAsia"/>
          <w14:ligatures w14:val="none"/>
        </w:rPr>
        <w:object>
          <v:shape id="_x0000_i1046" o:spt="75" type="#_x0000_t75" style="height:19.35pt;width:121.65pt;" o:ole="t" filled="f" o:preferrelative="t" stroked="f" coordsize="21600,21600">
            <v:path/>
            <v:fill on="f" focussize="0,0"/>
            <v:stroke on="f" joinstyle="miter"/>
            <v:imagedata r:id="rId85" o:title=""/>
            <o:lock v:ext="edit" aspectratio="t"/>
            <w10:wrap type="none"/>
            <w10:anchorlock/>
          </v:shape>
          <o:OLEObject Type="Embed" ProgID="Equation.DSMT4" ShapeID="_x0000_i1046" DrawAspect="Content" ObjectID="_1468075746" r:id="rId84">
            <o:LockedField>false</o:LockedField>
          </o:OLEObject>
        </w:object>
      </w:r>
      <w:r>
        <w:rPr>
          <w:rFonts w:hint="eastAsia"/>
        </w:rPr>
        <w:tab/>
      </w:r>
      <w:r>
        <w:rPr>
          <w:b w:val="0"/>
          <w:bCs w:val="0"/>
        </w:rPr>
        <w:t>(</w:t>
      </w:r>
      <w:r>
        <w:rPr>
          <w:rFonts w:hint="eastAsia" w:eastAsia="宋体"/>
          <w:b w:val="0"/>
          <w:bCs w:val="0"/>
        </w:rPr>
        <w:t>S</w:t>
      </w:r>
      <w:r>
        <w:rPr>
          <w:b w:val="0"/>
          <w:bCs w:val="0"/>
        </w:rPr>
        <w:t>8.18)</w:t>
      </w:r>
    </w:p>
    <w:p w14:paraId="69CB29BA">
      <w:pPr>
        <w:pStyle w:val="21"/>
        <w:ind w:firstLine="0" w:firstLineChars="0"/>
        <w:jc w:val="center"/>
      </w:pPr>
      <w:r>
        <w:rPr>
          <w:rFonts w:hint="eastAsia"/>
        </w:rPr>
        <w:tab/>
      </w:r>
      <w:r>
        <w:rPr>
          <w:rFonts w:hint="eastAsia"/>
          <w14:ligatures w14:val="none"/>
        </w:rPr>
        <w:object>
          <v:shape id="_x0000_i1047" o:spt="75" type="#_x0000_t75" style="height:19.35pt;width:121.35pt;" o:ole="t" filled="f" o:preferrelative="t" stroked="f" coordsize="21600,21600">
            <v:path/>
            <v:fill on="f" focussize="0,0"/>
            <v:stroke on="f" joinstyle="miter"/>
            <v:imagedata r:id="rId87" o:title=""/>
            <o:lock v:ext="edit" aspectratio="t"/>
            <w10:wrap type="none"/>
            <w10:anchorlock/>
          </v:shape>
          <o:OLEObject Type="Embed" ProgID="Equation.DSMT4" ShapeID="_x0000_i1047" DrawAspect="Content" ObjectID="_1468075747" r:id="rId86">
            <o:LockedField>false</o:LockedField>
          </o:OLEObject>
        </w:object>
      </w:r>
      <w:r>
        <w:rPr>
          <w:rFonts w:hint="eastAsia"/>
        </w:rPr>
        <w:tab/>
      </w:r>
      <w:r>
        <w:rPr>
          <w:b w:val="0"/>
          <w:bCs w:val="0"/>
        </w:rPr>
        <w:t>(</w:t>
      </w:r>
      <w:r>
        <w:rPr>
          <w:rFonts w:hint="eastAsia" w:eastAsia="宋体"/>
          <w:b w:val="0"/>
          <w:bCs w:val="0"/>
        </w:rPr>
        <w:t>S</w:t>
      </w:r>
      <w:r>
        <w:rPr>
          <w:b w:val="0"/>
          <w:bCs w:val="0"/>
        </w:rPr>
        <w:t>8.19)</w:t>
      </w:r>
    </w:p>
    <w:p w14:paraId="6B7C3CF6">
      <w:pPr>
        <w:pStyle w:val="21"/>
        <w:ind w:firstLine="0" w:firstLineChars="0"/>
        <w:jc w:val="center"/>
      </w:pPr>
      <w:r>
        <w:rPr>
          <w:rFonts w:hint="eastAsia"/>
        </w:rPr>
        <w:tab/>
      </w:r>
      <w:r>
        <w:object>
          <v:shape id="_x0000_i1048" o:spt="75" type="#_x0000_t75" style="height:16.8pt;width:56.4pt;" o:ole="t" filled="f" o:preferrelative="t" stroked="f" coordsize="21600,21600">
            <v:path/>
            <v:fill on="f" focussize="0,0"/>
            <v:stroke on="f" joinstyle="miter"/>
            <v:imagedata r:id="rId58" o:title=""/>
            <o:lock v:ext="edit" aspectratio="t"/>
            <w10:wrap type="none"/>
            <w10:anchorlock/>
          </v:shape>
          <o:OLEObject Type="Embed" ProgID="Equation.DSMT4" ShapeID="_x0000_i1048" DrawAspect="Content" ObjectID="_1468075748" r:id="rId88">
            <o:LockedField>false</o:LockedField>
          </o:OLEObject>
        </w:object>
      </w:r>
      <w:r>
        <w:rPr>
          <w:rFonts w:hint="eastAsia"/>
        </w:rPr>
        <w:tab/>
      </w:r>
      <w:r>
        <w:rPr>
          <w:b w:val="0"/>
          <w:bCs w:val="0"/>
        </w:rPr>
        <w:t>(</w:t>
      </w:r>
      <w:r>
        <w:rPr>
          <w:rFonts w:hint="eastAsia" w:eastAsia="宋体"/>
          <w:b w:val="0"/>
          <w:bCs w:val="0"/>
        </w:rPr>
        <w:t>S</w:t>
      </w:r>
      <w:r>
        <w:rPr>
          <w:b w:val="0"/>
          <w:bCs w:val="0"/>
        </w:rPr>
        <w:t>8.20)</w:t>
      </w:r>
    </w:p>
    <w:p w14:paraId="73433E10">
      <w:pPr>
        <w:pStyle w:val="21"/>
        <w:ind w:firstLine="0" w:firstLineChars="0"/>
        <w:jc w:val="center"/>
      </w:pPr>
      <w:r>
        <w:rPr>
          <w:rFonts w:hint="eastAsia"/>
        </w:rPr>
        <w:tab/>
      </w:r>
      <w:r>
        <w:object>
          <v:shape id="_x0000_i1049" o:spt="75" type="#_x0000_t75" style="height:16.8pt;width:54.6pt;" o:ole="t" filled="f" o:preferrelative="t" stroked="f" coordsize="21600,21600">
            <v:path/>
            <v:fill on="f" focussize="0,0"/>
            <v:stroke on="f" joinstyle="miter"/>
            <v:imagedata r:id="rId60" o:title=""/>
            <o:lock v:ext="edit" aspectratio="t"/>
            <w10:wrap type="none"/>
            <w10:anchorlock/>
          </v:shape>
          <o:OLEObject Type="Embed" ProgID="Equation.DSMT4" ShapeID="_x0000_i1049" DrawAspect="Content" ObjectID="_1468075749" r:id="rId89">
            <o:LockedField>false</o:LockedField>
          </o:OLEObject>
        </w:object>
      </w:r>
      <w:r>
        <w:rPr>
          <w:rFonts w:hint="eastAsia"/>
        </w:rPr>
        <w:tab/>
      </w:r>
      <w:r>
        <w:rPr>
          <w:b w:val="0"/>
          <w:bCs w:val="0"/>
        </w:rPr>
        <w:t>(</w:t>
      </w:r>
      <w:r>
        <w:rPr>
          <w:rFonts w:hint="eastAsia" w:eastAsia="宋体"/>
          <w:b w:val="0"/>
          <w:bCs w:val="0"/>
        </w:rPr>
        <w:t>S</w:t>
      </w:r>
      <w:r>
        <w:rPr>
          <w:b w:val="0"/>
          <w:bCs w:val="0"/>
        </w:rPr>
        <w:t>8.21)</w:t>
      </w:r>
    </w:p>
    <w:p w14:paraId="172B327F">
      <w:pPr>
        <w:pStyle w:val="21"/>
        <w:ind w:firstLine="0" w:firstLineChars="0"/>
        <w:jc w:val="center"/>
      </w:pPr>
      <w:r>
        <w:rPr>
          <w:rFonts w:hint="eastAsia"/>
        </w:rPr>
        <w:tab/>
      </w:r>
      <w:r>
        <w:object>
          <v:shape id="_x0000_i1050" o:spt="75" type="#_x0000_t75" style="height:16.8pt;width:52.8pt;" o:ole="t" filled="f" o:preferrelative="t" stroked="f" coordsize="21600,21600">
            <v:path/>
            <v:fill on="f" focussize="0,0"/>
            <v:stroke on="f" joinstyle="miter"/>
            <v:imagedata r:id="rId62" o:title=""/>
            <o:lock v:ext="edit" aspectratio="t"/>
            <w10:wrap type="none"/>
            <w10:anchorlock/>
          </v:shape>
          <o:OLEObject Type="Embed" ProgID="Equation.DSMT4" ShapeID="_x0000_i1050" DrawAspect="Content" ObjectID="_1468075750" r:id="rId90">
            <o:LockedField>false</o:LockedField>
          </o:OLEObject>
        </w:object>
      </w:r>
      <w:r>
        <w:rPr>
          <w:rFonts w:hint="eastAsia"/>
        </w:rPr>
        <w:tab/>
      </w:r>
      <w:r>
        <w:rPr>
          <w:b w:val="0"/>
          <w:bCs w:val="0"/>
        </w:rPr>
        <w:t>(</w:t>
      </w:r>
      <w:r>
        <w:rPr>
          <w:rFonts w:hint="eastAsia" w:eastAsia="宋体"/>
          <w:b w:val="0"/>
          <w:bCs w:val="0"/>
        </w:rPr>
        <w:t>S</w:t>
      </w:r>
      <w:r>
        <w:rPr>
          <w:b w:val="0"/>
          <w:bCs w:val="0"/>
        </w:rPr>
        <w:t>8.22)</w:t>
      </w:r>
    </w:p>
    <w:p w14:paraId="514FFB9E">
      <w:pPr>
        <w:pStyle w:val="21"/>
        <w:ind w:firstLine="0" w:firstLineChars="0"/>
        <w:jc w:val="center"/>
      </w:pPr>
    </w:p>
    <w:p w14:paraId="1062A0F8">
      <w:pPr>
        <w:pStyle w:val="3"/>
        <w:ind w:firstLine="482"/>
      </w:pPr>
      <w:r>
        <w:rPr>
          <w:rFonts w:hint="eastAsia"/>
        </w:rPr>
        <w:t>8.2 CCI Standard</w:t>
      </w:r>
    </w:p>
    <w:p w14:paraId="40BAA786">
      <w:pPr>
        <w:ind w:firstLine="420"/>
      </w:pPr>
      <w:r>
        <w:t>According to the International Civil Aviation Organization (ICAO), international aviation has implemented the Carbon Neutral Growth (CNG 2020) target since 2020, aiming to stabilize net CO₂ emissions at the 2020 level</w:t>
      </w:r>
      <w:r>
        <w:rPr>
          <w:vertAlign w:val="superscript"/>
        </w:rPr>
        <w:fldChar w:fldCharType="begin"/>
      </w:r>
      <w:r>
        <w:rPr>
          <w:vertAlign w:val="superscript"/>
        </w:rPr>
        <w:instrText xml:space="preserve"> REF _Ref5664 \r \h </w:instrText>
      </w:r>
      <w:r>
        <w:rPr>
          <w:vertAlign w:val="superscript"/>
        </w:rPr>
        <w:fldChar w:fldCharType="separate"/>
      </w:r>
      <w:r>
        <w:rPr>
          <w:vertAlign w:val="superscript"/>
        </w:rPr>
        <w:t>1</w:t>
      </w:r>
      <w:r>
        <w:rPr>
          <w:vertAlign w:val="superscript"/>
        </w:rPr>
        <w:fldChar w:fldCharType="end"/>
      </w:r>
      <w:r>
        <w:t>. The year 2035 marks the end of the mandatory phase of the Carbon Offsetting and Reduction Scheme for International Aviation (CORSIA) and serves as a key milestone for evaluating CNG implementation</w:t>
      </w:r>
      <w:r>
        <w:rPr>
          <w:vertAlign w:val="superscript"/>
        </w:rPr>
        <w:fldChar w:fldCharType="begin"/>
      </w:r>
      <w:r>
        <w:rPr>
          <w:vertAlign w:val="superscript"/>
        </w:rPr>
        <w:instrText xml:space="preserve"> REF _Ref5710 \r \h </w:instrText>
      </w:r>
      <w:r>
        <w:rPr>
          <w:vertAlign w:val="superscript"/>
        </w:rPr>
        <w:fldChar w:fldCharType="separate"/>
      </w:r>
      <w:r>
        <w:rPr>
          <w:vertAlign w:val="superscript"/>
        </w:rPr>
        <w:t>2</w:t>
      </w:r>
      <w:r>
        <w:rPr>
          <w:vertAlign w:val="superscript"/>
        </w:rPr>
        <w:fldChar w:fldCharType="end"/>
      </w:r>
      <w:r>
        <w:t xml:space="preserve">. Therefore, international aviation CO₂ emissions in 2035 are expected to remain at the 2020 baseline level. </w:t>
      </w:r>
    </w:p>
    <w:p w14:paraId="7FD6943B">
      <w:pPr>
        <w:ind w:firstLine="420"/>
      </w:pPr>
      <w:r>
        <w:t>Based on this policy background, the present study establishes the CCI control threshold under the constraint that total carbon emissions in 2035 should not exceed the 2020 level. The procedure is summarized as follows:</w:t>
      </w:r>
    </w:p>
    <w:p w14:paraId="18480313">
      <w:pPr>
        <w:ind w:firstLine="422"/>
        <w:rPr>
          <w:b/>
          <w:bCs/>
        </w:rPr>
      </w:pPr>
      <w:r>
        <w:rPr>
          <w:b/>
          <w:bCs/>
        </w:rPr>
        <w:t>(1) Baseline assumptions</w:t>
      </w:r>
      <w:r>
        <w:rPr>
          <w:rFonts w:hint="eastAsia"/>
          <w:b/>
          <w:bCs/>
        </w:rPr>
        <w:t>.</w:t>
      </w:r>
      <w:r>
        <w:rPr>
          <w:b/>
          <w:bCs/>
        </w:rPr>
        <w:t xml:space="preserve"> </w:t>
      </w:r>
    </w:p>
    <w:p w14:paraId="6AC21A9F">
      <w:pPr>
        <w:ind w:firstLine="420"/>
      </w:pPr>
      <w:r>
        <w:t>Due to the short interval between 2019 and 2020, runway roughness is assumed unchanged.</w:t>
      </w:r>
    </w:p>
    <w:p w14:paraId="57323298">
      <w:pPr>
        <w:ind w:firstLine="420"/>
      </w:pPr>
      <w:r>
        <w:t>Total aircraft movements in China were 9.049 million in 2020.</w:t>
      </w:r>
    </w:p>
    <w:p w14:paraId="21386363">
      <w:pPr>
        <w:ind w:firstLine="420"/>
      </w:pPr>
      <w:r>
        <w:t>Predicted aircraft movements in 2035 are 30 million.</w:t>
      </w:r>
    </w:p>
    <w:p w14:paraId="432E5E41">
      <w:pPr>
        <w:ind w:firstLine="422"/>
        <w:rPr>
          <w:b/>
          <w:bCs/>
        </w:rPr>
      </w:pPr>
      <w:r>
        <w:rPr>
          <w:b/>
          <w:bCs/>
        </w:rPr>
        <w:t>(2) Single-event emission equivalence</w:t>
      </w:r>
    </w:p>
    <w:p w14:paraId="1A49B382">
      <w:pPr>
        <w:ind w:firstLine="420"/>
      </w:pPr>
      <w:r>
        <w:t>The total CO₂ emissions induced by runway roughness in 2020 were calculated as 52.917 t. This corresponds to:</w:t>
      </w:r>
    </w:p>
    <w:p w14:paraId="67C1C271">
      <w:pPr>
        <w:ind w:firstLine="420"/>
      </w:pPr>
      <w:r>
        <w:t>1.7639 g CO₂ per taxiing event</w:t>
      </w:r>
      <w:r>
        <w:rPr>
          <w:rFonts w:hint="eastAsia"/>
        </w:rPr>
        <w:t>;</w:t>
      </w:r>
    </w:p>
    <w:p w14:paraId="42562333">
      <w:pPr>
        <w:ind w:firstLine="420"/>
      </w:pPr>
      <w:r>
        <w:t>0.02415 MJ additional mechanical energy per taxiing event</w:t>
      </w:r>
      <w:r>
        <w:rPr>
          <w:rFonts w:hint="eastAsia"/>
        </w:rPr>
        <w:t>;</w:t>
      </w:r>
    </w:p>
    <w:p w14:paraId="692C8A8B">
      <w:pPr>
        <w:ind w:firstLine="420"/>
      </w:pPr>
      <w:r>
        <w:t>These values serve as the reference constraint for CCI calibration.</w:t>
      </w:r>
    </w:p>
    <w:p w14:paraId="599E69AD">
      <w:pPr>
        <w:ind w:firstLine="422"/>
        <w:rPr>
          <w:b/>
          <w:bCs/>
        </w:rPr>
      </w:pPr>
      <w:r>
        <w:rPr>
          <w:b/>
          <w:bCs/>
        </w:rPr>
        <w:t>(3) Scenario coverage</w:t>
      </w:r>
    </w:p>
    <w:p w14:paraId="731F973E">
      <w:pPr>
        <w:ind w:firstLine="420"/>
      </w:pPr>
      <w:r>
        <w:t>Taxiing distances vary significantly across hub, trunk, and regional airports. To ensure threshold universality, taxiing distances in the range [2600, 3300] m were evaluated at 100 m intervals, forming a multi-scenario dataset linking CCI to CO₂ emissions.</w:t>
      </w:r>
    </w:p>
    <w:p w14:paraId="37E1B197">
      <w:pPr>
        <w:ind w:firstLine="422"/>
        <w:rPr>
          <w:b/>
          <w:bCs/>
        </w:rPr>
      </w:pPr>
      <w:r>
        <w:rPr>
          <w:b/>
          <w:bCs/>
        </w:rPr>
        <w:t>(4) Determination of CCI threshold</w:t>
      </w:r>
    </w:p>
    <w:p w14:paraId="6F534295">
      <w:pPr>
        <w:ind w:firstLine="420"/>
      </w:pPr>
      <w:r>
        <w:t xml:space="preserve">Under the constraint that 2035 total emissions equal the 2020 level, the quantitative mapping between CCI and CO₂ emissions yields a feasible CCI range of </w:t>
      </w:r>
      <w:r>
        <w:rPr>
          <w:rFonts w:hint="eastAsia"/>
        </w:rPr>
        <w:t>[3.508,4.085]</w:t>
      </w:r>
      <w:r>
        <w:t xml:space="preserve"> s⁻¹, this interval satisfies the physical carbon constraint.</w:t>
      </w:r>
    </w:p>
    <w:p w14:paraId="5D99D24F">
      <w:pPr>
        <w:ind w:firstLine="422"/>
        <w:rPr>
          <w:b/>
          <w:bCs/>
        </w:rPr>
      </w:pPr>
      <w:r>
        <w:rPr>
          <w:b/>
          <w:bCs/>
        </w:rPr>
        <w:t xml:space="preserve">Economic constraint. </w:t>
      </w:r>
    </w:p>
    <w:p w14:paraId="08C50BB7">
      <w:pPr>
        <w:ind w:firstLine="420"/>
      </w:pPr>
      <w:r>
        <w:t>A life-cycle maintenance cost model (Supplementary Note 9) was introduced, incorporating both high-frequency preventive maintenance and low-frequency structural rehabilitation. The cost function exhibits a convex optimization characteristic. The minimum stable annual maintenance cost occurs when</w:t>
      </w:r>
      <w:r>
        <w:rPr>
          <w:rFonts w:hint="eastAsia"/>
        </w:rPr>
        <w:t xml:space="preserve"> CCI=</w:t>
      </w:r>
      <w:r>
        <w:t>[3.72, 4.31]</w:t>
      </w:r>
      <w:r>
        <w:rPr>
          <w:rFonts w:hint="eastAsia"/>
        </w:rPr>
        <w:t xml:space="preserve"> s</w:t>
      </w:r>
      <w:r>
        <w:rPr>
          <w:rFonts w:hint="eastAsia"/>
          <w:vertAlign w:val="superscript"/>
        </w:rPr>
        <w:t>-1</w:t>
      </w:r>
      <w:r>
        <w:t xml:space="preserve">. </w:t>
      </w:r>
    </w:p>
    <w:p w14:paraId="2B7D0324">
      <w:pPr>
        <w:ind w:firstLine="422"/>
        <w:rPr>
          <w:b/>
          <w:bCs/>
        </w:rPr>
      </w:pPr>
      <w:r>
        <w:rPr>
          <w:b/>
          <w:bCs/>
        </w:rPr>
        <w:t>Final recommended CCI control range</w:t>
      </w:r>
    </w:p>
    <w:p w14:paraId="23D8F471">
      <w:pPr>
        <w:ind w:firstLine="420"/>
      </w:pPr>
      <w:r>
        <w:t>The intersection of the physical and economic constraints yields: CCI=[3.508,4.085] s⁻¹</w:t>
      </w:r>
      <w:r>
        <w:rPr>
          <w:rFonts w:ascii="Cambria Math" w:hAnsi="Cambria Math" w:cs="Cambria Math"/>
        </w:rPr>
        <w:t xml:space="preserve">. </w:t>
      </w:r>
      <w:r>
        <w:t>For practical implementation and standardization, this study recommends: CCI=3.9 s⁻¹ as the suggested control threshold.</w:t>
      </w:r>
    </w:p>
    <w:p w14:paraId="06ED8032">
      <w:pPr>
        <w:ind w:firstLine="422"/>
        <w:rPr>
          <w:b/>
          <w:bCs/>
        </w:rPr>
      </w:pPr>
      <w:r>
        <w:rPr>
          <w:b/>
          <w:bCs/>
        </w:rPr>
        <w:t xml:space="preserve">Emission projection under CCI control (2025–2050). </w:t>
      </w:r>
    </w:p>
    <w:p w14:paraId="686BB670">
      <w:pPr>
        <w:ind w:firstLine="420"/>
      </w:pPr>
      <w:r>
        <w:t>Under the proposed CCI standard, cumulative emissions from 2025 to 2050 across Chinese airports are projected as: CO₂: 872462408.4g; HC: 17652.29g; CO: 81991.16g; NOₓ: 9247743.23 g; nvPM: 10858902.42g</w:t>
      </w:r>
      <w:r>
        <w:rPr>
          <w:rFonts w:hint="eastAsia"/>
        </w:rPr>
        <w:t>.</w:t>
      </w:r>
    </w:p>
    <w:p w14:paraId="0F736011">
      <w:pPr>
        <w:ind w:firstLine="422"/>
        <w:rPr>
          <w:b/>
          <w:bCs/>
        </w:rPr>
      </w:pPr>
      <w:r>
        <w:rPr>
          <w:b/>
          <w:bCs/>
        </w:rPr>
        <w:t>Applicability statement</w:t>
      </w:r>
    </w:p>
    <w:p w14:paraId="1B33F9EE">
      <w:pPr>
        <w:ind w:firstLine="420"/>
      </w:pPr>
      <w:r>
        <w:t>The CCI evaluation framework and threshold calibration were established using a representative dual-slab pavement structure. However, its applicability does not depend on a specific structural configuration. The robustness of CCI originates from the fundamental roughness–vibration–energy dissipation mechanism. Sensitivity analyses indicate that the correlation between CCI and additional energy consumption remains stable across a broad range of pavement structural parameters and operational conditions, supporting its use as a standardized metric for airport pavement carbon assessment.</w:t>
      </w:r>
    </w:p>
    <w:p w14:paraId="4DB29847">
      <w:pPr>
        <w:pStyle w:val="3"/>
        <w:ind w:firstLine="482"/>
      </w:pPr>
      <w:r>
        <w:t>8.3 Runway Roughness Testing and Evaluation Procedure Based on CCI</w:t>
      </w:r>
    </w:p>
    <w:p w14:paraId="54F7D341">
      <w:pPr>
        <w:ind w:firstLine="420"/>
      </w:pPr>
      <w:r>
        <w:rPr>
          <w:rFonts w:hint="eastAsia"/>
        </w:rPr>
        <w:t>T</w:t>
      </w:r>
      <w:r>
        <w:t>he CCI-based testing approach builds upon the conventional runway relative elevation measurement systems widely adopted in airport pavement inspection practice (see Section 1.2.1 in Supplementary Note 1). By applying the computational framework described in Sections 8.1 and 8.2, longitudinal segmental CCI values can be obtained and compared against the prescribed threshold criteria to achieve carbon-oriented pavement condition evaluation.</w:t>
      </w:r>
    </w:p>
    <w:p w14:paraId="1A65A959">
      <w:pPr>
        <w:ind w:firstLine="420"/>
      </w:pPr>
      <w:r>
        <w:t>The overall CCI-based runway roughness testing and evaluation workflow is illustrated in Fig.</w:t>
      </w:r>
      <w:r>
        <w:rPr>
          <w:rFonts w:hint="eastAsia"/>
          <w:lang w:val="en-US" w:eastAsia="zh-CN"/>
        </w:rPr>
        <w:t>S</w:t>
      </w:r>
      <w:r>
        <w:t>8.4, taking the laser profilometer + BeiDou satellite positioning system (BDS) as an example.</w:t>
      </w:r>
    </w:p>
    <w:p w14:paraId="6927476F">
      <w:pPr>
        <w:pStyle w:val="58"/>
        <w:rPr>
          <w:rFonts w:hint="default" w:ascii="宋体" w:hAnsi="宋体" w:cs="宋体"/>
          <w:szCs w:val="24"/>
          <w:lang w:bidi="ar"/>
        </w:rPr>
      </w:pPr>
      <w:r>
        <w:rPr>
          <w:rFonts w:ascii="宋体" w:hAnsi="宋体" w:cs="宋体"/>
          <w:szCs w:val="24"/>
          <w:lang w:bidi="ar"/>
        </w:rPr>
        <w:drawing>
          <wp:inline distT="0" distB="0" distL="114300" distR="114300">
            <wp:extent cx="5039995" cy="4401820"/>
            <wp:effectExtent l="0" t="0" r="1905" b="5080"/>
            <wp:docPr id="34" name="图片 34" descr="论文图片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论文图片_02"/>
                    <pic:cNvPicPr>
                      <a:picLocks noChangeAspect="1"/>
                    </pic:cNvPicPr>
                  </pic:nvPicPr>
                  <pic:blipFill>
                    <a:blip r:embed="rId91"/>
                    <a:srcRect l="18531" t="4158" r="29021" b="14423"/>
                    <a:stretch>
                      <a:fillRect/>
                    </a:stretch>
                  </pic:blipFill>
                  <pic:spPr>
                    <a:xfrm>
                      <a:off x="0" y="0"/>
                      <a:ext cx="5039995" cy="4401820"/>
                    </a:xfrm>
                    <a:prstGeom prst="rect">
                      <a:avLst/>
                    </a:prstGeom>
                  </pic:spPr>
                </pic:pic>
              </a:graphicData>
            </a:graphic>
          </wp:inline>
        </w:drawing>
      </w:r>
    </w:p>
    <w:p w14:paraId="32687D81">
      <w:pPr>
        <w:pStyle w:val="52"/>
      </w:pPr>
      <w:r>
        <w:t>Fig.</w:t>
      </w:r>
      <w:r>
        <w:rPr>
          <w:rFonts w:hint="eastAsia"/>
        </w:rPr>
        <w:t>S</w:t>
      </w:r>
      <w:r>
        <w:t>8.4</w:t>
      </w:r>
      <w:r>
        <w:rPr>
          <w:rFonts w:hint="eastAsia"/>
        </w:rPr>
        <w:t>.</w:t>
      </w:r>
      <w:r>
        <w:t xml:space="preserve"> Workflow for runway roughness testing and evaluation based on CCI</w:t>
      </w:r>
    </w:p>
    <w:p w14:paraId="3B028721">
      <w:pPr>
        <w:ind w:firstLine="420"/>
      </w:pPr>
      <w:r>
        <w:t>The procedure consists of the following steps:</w:t>
      </w:r>
    </w:p>
    <w:p w14:paraId="50742D1D">
      <w:pPr>
        <w:ind w:firstLine="420"/>
      </w:pPr>
      <w:r>
        <w:rPr>
          <w:rFonts w:hint="eastAsia"/>
        </w:rPr>
        <w:t>①</w:t>
      </w:r>
      <w:r>
        <w:t>System initialization</w:t>
      </w:r>
    </w:p>
    <w:p w14:paraId="31D4C7B9">
      <w:pPr>
        <w:ind w:firstLine="420"/>
      </w:pPr>
      <w:r>
        <w:t>At the designated runway starting threshold, activate the rapid relative elevation acquisition system, ensuring that both the BDS positioning module and the laser profilometer operate simultaneously.</w:t>
      </w:r>
    </w:p>
    <w:p w14:paraId="107CB736">
      <w:pPr>
        <w:ind w:firstLine="420"/>
      </w:pPr>
      <w:r>
        <w:rPr>
          <w:rFonts w:hint="eastAsia"/>
        </w:rPr>
        <w:t>②</w:t>
      </w:r>
      <w:r>
        <w:t>Elevation data acquisition</w:t>
      </w:r>
    </w:p>
    <w:p w14:paraId="4A6CC51E">
      <w:pPr>
        <w:ind w:firstLine="420"/>
      </w:pPr>
      <w:r>
        <w:t>Conduct measurements at a test speed of 60 km/h along the runway centerline, while simultaneously collecting data from 10 parallel longitudinal survey lines arranged at 1 m transverse intervals on each side of the centerline.</w:t>
      </w:r>
    </w:p>
    <w:p w14:paraId="246C849C">
      <w:pPr>
        <w:ind w:firstLine="420"/>
      </w:pPr>
      <w:r>
        <w:rPr>
          <w:rFonts w:hint="eastAsia"/>
        </w:rPr>
        <w:t>③</w:t>
      </w:r>
      <w:r>
        <w:t>Full-field elevation reconstruction</w:t>
      </w:r>
    </w:p>
    <w:p w14:paraId="78FC8158">
      <w:pPr>
        <w:ind w:firstLine="420"/>
      </w:pPr>
      <w:r>
        <w:t>Based on synchronized time stamps, travel distance, and GPS planar coordinates, automatically integrate short-wavelength and long-wavelength components to generate a full-field relative elevation dataset of the runway.</w:t>
      </w:r>
    </w:p>
    <w:p w14:paraId="0399AE7A">
      <w:pPr>
        <w:ind w:firstLine="420"/>
      </w:pPr>
      <w:r>
        <w:rPr>
          <w:rFonts w:hint="eastAsia"/>
        </w:rPr>
        <w:t>④</w:t>
      </w:r>
      <w:r>
        <w:t>CCI computation</w:t>
      </w:r>
    </w:p>
    <w:p w14:paraId="16C9E8F0">
      <w:pPr>
        <w:ind w:firstLine="420"/>
      </w:pPr>
      <w:r>
        <w:t>Input the reconstructed runway elevation data into the standardized CCI aircraft model. Using the CCI formulation, compute the longitudinal distribution of CCI values along the runway.</w:t>
      </w:r>
    </w:p>
    <w:p w14:paraId="4E52AC33">
      <w:pPr>
        <w:ind w:firstLine="420"/>
      </w:pPr>
      <w:r>
        <w:rPr>
          <w:rFonts w:hint="eastAsia"/>
        </w:rPr>
        <w:t>⑤</w:t>
      </w:r>
      <w:r>
        <w:t>Segmental evaluation</w:t>
      </w:r>
    </w:p>
    <w:p w14:paraId="3DB4C497">
      <w:pPr>
        <w:ind w:firstLine="420"/>
      </w:pPr>
      <w:r>
        <w:t>Specify a statistical segmentation interval (default: 100 m). Compare segmental CCI values with the recommended threshold to obtain a CCI-based runway roughness assessment result.</w:t>
      </w:r>
    </w:p>
    <w:p w14:paraId="725224E2">
      <w:pPr>
        <w:pStyle w:val="3"/>
        <w:ind w:firstLine="482"/>
      </w:pPr>
      <w:r>
        <w:t>8.4 Airworthiness Validation of the CCI Model</w:t>
      </w:r>
    </w:p>
    <w:p w14:paraId="6D925A16">
      <w:pPr>
        <w:ind w:firstLine="420" w:firstLineChars="0"/>
      </w:pPr>
      <w:r>
        <w:t>The effectiveness of the Carbon Condition Index (CCI) in controlling additional carbon emissions has been demonstrated through the case study of Shanghai Pudong International Airport (Supplementary Note 11) and comparison with IRI (Supplementary Note 12). To ensure practical applicability in airport engineering, it is further necessary to verify that the CCI threshold guarantees aircraft ground operational safety while constraining carbon emissions.</w:t>
      </w:r>
    </w:p>
    <w:p w14:paraId="446BA647">
      <w:pPr>
        <w:ind w:firstLine="420" w:firstLineChars="0"/>
      </w:pPr>
      <w:r>
        <w:t>Accordingly, correlation analyses were conducted between CCI and three key aircraft vibration response indicators: center-of-gravity acceleration (CGA), pilot-seat acceleration (PSA), and main landing gear dynamic load coefficient (DLC). The objective is to confirm that the recommended CCI threshold is consistent with established airworthiness safety criteria.</w:t>
      </w:r>
    </w:p>
    <w:p w14:paraId="6AF6D645">
      <w:pPr>
        <w:pStyle w:val="4"/>
        <w:ind w:firstLine="482"/>
      </w:pPr>
      <w:r>
        <w:t>8.4.1 Selection of Airworthiness Indicators</w:t>
      </w:r>
    </w:p>
    <w:p w14:paraId="4E41F206">
      <w:pPr>
        <w:ind w:firstLineChars="0"/>
      </w:pPr>
      <w:r>
        <w:t>Runway unevenness acts as an excitation source for the aircraft–runway system and affects aircraft structural integrity, runway durability, and operational comfort. CGA reflects overall aircraft vibration and passenger comfort. PSA characterizes pilot operational stability. DLC represents landing gear fatigue risk and dynamic interaction with the pavement.</w:t>
      </w:r>
    </w:p>
    <w:p w14:paraId="5ADABD02">
      <w:pPr>
        <w:ind w:firstLineChars="0"/>
      </w:pPr>
      <w:r>
        <w:t>Based on engineering practice and existing studies</w:t>
      </w:r>
      <w:r>
        <w:rPr>
          <w:vertAlign w:val="superscript"/>
        </w:rPr>
        <w:fldChar w:fldCharType="begin"/>
      </w:r>
      <w:r>
        <w:rPr>
          <w:vertAlign w:val="superscript"/>
        </w:rPr>
        <w:instrText xml:space="preserve"> REF _Ref5811 \r \h </w:instrText>
      </w:r>
      <w:r>
        <w:rPr>
          <w:vertAlign w:val="superscript"/>
        </w:rPr>
        <w:fldChar w:fldCharType="separate"/>
      </w:r>
      <w:r>
        <w:rPr>
          <w:vertAlign w:val="superscript"/>
        </w:rPr>
        <w:t>3</w:t>
      </w:r>
      <w:r>
        <w:rPr>
          <w:vertAlign w:val="superscript"/>
        </w:rPr>
        <w:fldChar w:fldCharType="end"/>
      </w:r>
      <w:r>
        <w:rPr>
          <w:rFonts w:hint="eastAsia"/>
          <w:vertAlign w:val="superscript"/>
        </w:rPr>
        <w:t>,</w:t>
      </w:r>
      <w:r>
        <w:rPr>
          <w:vertAlign w:val="superscript"/>
        </w:rPr>
        <w:fldChar w:fldCharType="begin"/>
      </w:r>
      <w:r>
        <w:rPr>
          <w:vertAlign w:val="superscript"/>
        </w:rPr>
        <w:instrText xml:space="preserve"> REF _Ref5818 \r \h </w:instrText>
      </w:r>
      <w:r>
        <w:rPr>
          <w:vertAlign w:val="superscript"/>
        </w:rPr>
        <w:fldChar w:fldCharType="separate"/>
      </w:r>
      <w:r>
        <w:rPr>
          <w:vertAlign w:val="superscript"/>
        </w:rPr>
        <w:t>4</w:t>
      </w:r>
      <w:r>
        <w:rPr>
          <w:vertAlign w:val="superscript"/>
        </w:rPr>
        <w:fldChar w:fldCharType="end"/>
      </w:r>
      <w:r>
        <w:t xml:space="preserve">, the safety limits are defined as: </w:t>
      </w:r>
      <w:r>
        <w:rPr>
          <w:rFonts w:hint="eastAsia"/>
        </w:rPr>
        <w:t>CGA ≤ 0.27 g</w:t>
      </w:r>
      <w:r>
        <w:t xml:space="preserve">, </w:t>
      </w:r>
      <w:r>
        <w:rPr>
          <w:rFonts w:hint="eastAsia"/>
        </w:rPr>
        <w:t>PSA ≤ 0.27 g</w:t>
      </w:r>
      <w:r>
        <w:t xml:space="preserve">, </w:t>
      </w:r>
      <w:r>
        <w:rPr>
          <w:rFonts w:hint="eastAsia"/>
        </w:rPr>
        <w:t>DLC ≤ 1.2.</w:t>
      </w:r>
    </w:p>
    <w:p w14:paraId="11DDD972">
      <w:pPr>
        <w:ind w:firstLineChars="0"/>
      </w:pPr>
      <w:r>
        <w:t>CGA and PSA increase monotonically with taxiing speed. DLC exhibits a speed-sensitive response due to the combined effects of lift and pavement excitation</w:t>
      </w:r>
      <w:r>
        <w:rPr>
          <w:vertAlign w:val="superscript"/>
        </w:rPr>
        <w:t xml:space="preserve"> </w:t>
      </w:r>
      <w:r>
        <w:rPr>
          <w:vertAlign w:val="superscript"/>
        </w:rPr>
        <w:fldChar w:fldCharType="begin"/>
      </w:r>
      <w:r>
        <w:rPr>
          <w:vertAlign w:val="superscript"/>
        </w:rPr>
        <w:instrText xml:space="preserve"> REF _Ref5876 \r \h </w:instrText>
      </w:r>
      <w:r>
        <w:rPr>
          <w:vertAlign w:val="superscript"/>
        </w:rPr>
        <w:fldChar w:fldCharType="separate"/>
      </w:r>
      <w:r>
        <w:rPr>
          <w:vertAlign w:val="superscript"/>
        </w:rPr>
        <w:t>5</w:t>
      </w:r>
      <w:r>
        <w:rPr>
          <w:vertAlign w:val="superscript"/>
        </w:rPr>
        <w:fldChar w:fldCharType="end"/>
      </w:r>
      <w:r>
        <w:rPr>
          <w:rFonts w:hint="eastAsia"/>
          <w:vertAlign w:val="superscript"/>
        </w:rPr>
        <w:t>,</w:t>
      </w:r>
      <w:r>
        <w:rPr>
          <w:vertAlign w:val="superscript"/>
        </w:rPr>
        <w:fldChar w:fldCharType="begin"/>
      </w:r>
      <w:r>
        <w:rPr>
          <w:vertAlign w:val="superscript"/>
        </w:rPr>
        <w:instrText xml:space="preserve"> REF _Ref5880 \r \h </w:instrText>
      </w:r>
      <w:r>
        <w:rPr>
          <w:vertAlign w:val="superscript"/>
        </w:rPr>
        <w:fldChar w:fldCharType="separate"/>
      </w:r>
      <w:r>
        <w:rPr>
          <w:vertAlign w:val="superscript"/>
        </w:rPr>
        <w:t>6</w:t>
      </w:r>
      <w:r>
        <w:rPr>
          <w:vertAlign w:val="superscript"/>
        </w:rPr>
        <w:fldChar w:fldCharType="end"/>
      </w:r>
      <w:r>
        <w:t>.</w:t>
      </w:r>
    </w:p>
    <w:p w14:paraId="74454960">
      <w:pPr>
        <w:ind w:firstLineChars="0"/>
      </w:pPr>
      <w:r>
        <w:t>To represent unfavorable operating conditions: CGA and PSA are evaluated at 210 km/h, and DLC is evaluated at 80 km/h</w:t>
      </w:r>
      <w:r>
        <w:rPr>
          <w:rFonts w:hint="eastAsia"/>
        </w:rPr>
        <w:t>.</w:t>
      </w:r>
    </w:p>
    <w:p w14:paraId="2D0CF20C">
      <w:pPr>
        <w:pStyle w:val="4"/>
        <w:ind w:firstLine="482"/>
      </w:pPr>
      <w:r>
        <w:t>8.4.2 Virtual Prototype Simulation</w:t>
      </w:r>
    </w:p>
    <w:p w14:paraId="53A59BB1">
      <w:pPr>
        <w:ind w:firstLineChars="0"/>
      </w:pPr>
      <w:r>
        <w:t>Four representative aircraft types (B737, B787, B777, and B747) were modeled using ADAMS/Aircraft to evaluate the robustness of CCI across different aircraft configurations</w:t>
      </w:r>
      <w:r>
        <w:rPr>
          <w:vertAlign w:val="superscript"/>
        </w:rPr>
        <w:fldChar w:fldCharType="begin"/>
      </w:r>
      <w:r>
        <w:rPr>
          <w:vertAlign w:val="superscript"/>
        </w:rPr>
        <w:instrText xml:space="preserve"> REF _Ref6046 \r \h </w:instrText>
      </w:r>
      <w:r>
        <w:rPr>
          <w:vertAlign w:val="superscript"/>
        </w:rPr>
        <w:fldChar w:fldCharType="separate"/>
      </w:r>
      <w:r>
        <w:rPr>
          <w:vertAlign w:val="superscript"/>
        </w:rPr>
        <w:t>7</w:t>
      </w:r>
      <w:r>
        <w:rPr>
          <w:vertAlign w:val="superscript"/>
        </w:rPr>
        <w:fldChar w:fldCharType="end"/>
      </w:r>
      <w:r>
        <w:rPr>
          <w:rFonts w:hint="eastAsia"/>
          <w:vertAlign w:val="superscript"/>
        </w:rPr>
        <w:t>,</w:t>
      </w:r>
      <w:r>
        <w:rPr>
          <w:vertAlign w:val="superscript"/>
        </w:rPr>
        <w:fldChar w:fldCharType="begin"/>
      </w:r>
      <w:r>
        <w:rPr>
          <w:vertAlign w:val="superscript"/>
        </w:rPr>
        <w:instrText xml:space="preserve"> REF _Ref6053 \r \h </w:instrText>
      </w:r>
      <w:r>
        <w:rPr>
          <w:vertAlign w:val="superscript"/>
        </w:rPr>
        <w:fldChar w:fldCharType="separate"/>
      </w:r>
      <w:r>
        <w:rPr>
          <w:vertAlign w:val="superscript"/>
        </w:rPr>
        <w:t>8</w:t>
      </w:r>
      <w:r>
        <w:rPr>
          <w:vertAlign w:val="superscript"/>
        </w:rPr>
        <w:fldChar w:fldCharType="end"/>
      </w:r>
      <w:r>
        <w:rPr>
          <w:rFonts w:hint="eastAsia"/>
          <w:vertAlign w:val="superscript"/>
        </w:rPr>
        <w:t>,</w:t>
      </w:r>
      <w:r>
        <w:rPr>
          <w:vertAlign w:val="superscript"/>
        </w:rPr>
        <w:fldChar w:fldCharType="begin"/>
      </w:r>
      <w:r>
        <w:rPr>
          <w:vertAlign w:val="superscript"/>
        </w:rPr>
        <w:instrText xml:space="preserve"> REF _Ref6056 \r \h </w:instrText>
      </w:r>
      <w:r>
        <w:rPr>
          <w:vertAlign w:val="superscript"/>
        </w:rPr>
        <w:fldChar w:fldCharType="separate"/>
      </w:r>
      <w:r>
        <w:rPr>
          <w:vertAlign w:val="superscript"/>
        </w:rPr>
        <w:t>9</w:t>
      </w:r>
      <w:r>
        <w:rPr>
          <w:vertAlign w:val="superscript"/>
        </w:rPr>
        <w:fldChar w:fldCharType="end"/>
      </w:r>
      <w:r>
        <w:t>. The modeling procedure includes:</w:t>
      </w:r>
    </w:p>
    <w:p w14:paraId="53824319">
      <w:pPr>
        <w:ind w:firstLineChars="0"/>
      </w:pPr>
      <w:r>
        <w:t>(1)Geometric modeling</w:t>
      </w:r>
    </w:p>
    <w:p w14:paraId="48DD5185">
      <w:pPr>
        <w:ind w:firstLineChars="0"/>
      </w:pPr>
      <w:r>
        <w:t>Three-dimensional models of the fuselage, landing gear, and tires were developed in CATIA and imported into ADAMS/Aircraft</w:t>
      </w:r>
      <w:r>
        <w:rPr>
          <w:vertAlign w:val="superscript"/>
        </w:rPr>
        <w:fldChar w:fldCharType="begin"/>
      </w:r>
      <w:r>
        <w:rPr>
          <w:vertAlign w:val="superscript"/>
        </w:rPr>
        <w:instrText xml:space="preserve"> REF _Ref6115 \r \h </w:instrText>
      </w:r>
      <w:r>
        <w:rPr>
          <w:vertAlign w:val="superscript"/>
        </w:rPr>
        <w:fldChar w:fldCharType="separate"/>
      </w:r>
      <w:r>
        <w:rPr>
          <w:vertAlign w:val="superscript"/>
        </w:rPr>
        <w:t>10</w:t>
      </w:r>
      <w:r>
        <w:rPr>
          <w:vertAlign w:val="superscript"/>
        </w:rPr>
        <w:fldChar w:fldCharType="end"/>
      </w:r>
      <w:r>
        <w:t>.</w:t>
      </w:r>
    </w:p>
    <w:p w14:paraId="4E012078">
      <w:pPr>
        <w:ind w:firstLineChars="0"/>
      </w:pPr>
      <w:r>
        <w:t>(2)Parameter definition</w:t>
      </w:r>
    </w:p>
    <w:p w14:paraId="7D4F5CB6">
      <w:pPr>
        <w:ind w:firstLineChars="0"/>
      </w:pPr>
      <w:r>
        <w:t>Mass properties, geometric dimensions, aerodynamic forces, suspension forces, and constraint relationships were defined to construct subsystem templates</w:t>
      </w:r>
      <w:r>
        <w:rPr>
          <w:vertAlign w:val="superscript"/>
        </w:rPr>
        <w:fldChar w:fldCharType="begin"/>
      </w:r>
      <w:r>
        <w:rPr>
          <w:vertAlign w:val="superscript"/>
        </w:rPr>
        <w:instrText xml:space="preserve"> REF _Ref6157 \r \h </w:instrText>
      </w:r>
      <w:r>
        <w:rPr>
          <w:vertAlign w:val="superscript"/>
        </w:rPr>
        <w:fldChar w:fldCharType="separate"/>
      </w:r>
      <w:r>
        <w:rPr>
          <w:vertAlign w:val="superscript"/>
        </w:rPr>
        <w:t>11</w:t>
      </w:r>
      <w:r>
        <w:rPr>
          <w:vertAlign w:val="superscript"/>
        </w:rPr>
        <w:fldChar w:fldCharType="end"/>
      </w:r>
      <w:r>
        <w:rPr>
          <w:rFonts w:hint="eastAsia"/>
          <w:vertAlign w:val="superscript"/>
        </w:rPr>
        <w:t>,</w:t>
      </w:r>
      <w:r>
        <w:rPr>
          <w:vertAlign w:val="superscript"/>
        </w:rPr>
        <w:fldChar w:fldCharType="begin"/>
      </w:r>
      <w:r>
        <w:rPr>
          <w:vertAlign w:val="superscript"/>
        </w:rPr>
        <w:instrText xml:space="preserve"> REF _Ref6161 \r \h </w:instrText>
      </w:r>
      <w:r>
        <w:rPr>
          <w:vertAlign w:val="superscript"/>
        </w:rPr>
        <w:fldChar w:fldCharType="separate"/>
      </w:r>
      <w:r>
        <w:rPr>
          <w:vertAlign w:val="superscript"/>
        </w:rPr>
        <w:t>12</w:t>
      </w:r>
      <w:r>
        <w:rPr>
          <w:vertAlign w:val="superscript"/>
        </w:rPr>
        <w:fldChar w:fldCharType="end"/>
      </w:r>
      <w:r>
        <w:t>.</w:t>
      </w:r>
    </w:p>
    <w:p w14:paraId="61F40E30">
      <w:pPr>
        <w:ind w:firstLineChars="0"/>
      </w:pPr>
      <w:r>
        <w:rPr>
          <w:rFonts w:hint="eastAsia"/>
        </w:rPr>
        <w:t>(</w:t>
      </w:r>
      <w:r>
        <w:t>3)System assembly</w:t>
      </w:r>
    </w:p>
    <w:p w14:paraId="40892AB1">
      <w:pPr>
        <w:ind w:firstLineChars="0"/>
      </w:pPr>
      <w:r>
        <w:t>Subsystems were integrated into a complete multi-body dynamic model (Fig.</w:t>
      </w:r>
      <w:r>
        <w:rPr>
          <w:rFonts w:hint="eastAsia"/>
        </w:rPr>
        <w:t>S</w:t>
      </w:r>
      <w:r>
        <w:t>8.5).</w:t>
      </w:r>
    </w:p>
    <w:p w14:paraId="4A8D5F7B">
      <w:pPr>
        <w:ind w:firstLineChars="0"/>
      </w:pPr>
      <w:r>
        <w:rPr>
          <w:rFonts w:hint="eastAsia"/>
        </w:rPr>
        <w:t>(</w:t>
      </w:r>
      <w:r>
        <w:t>4)Taxi simulation</w:t>
      </w:r>
    </w:p>
    <w:p w14:paraId="5D0162A8">
      <w:pPr>
        <w:ind w:firstLine="420" w:firstLineChars="0"/>
      </w:pPr>
      <w:r>
        <w:t>Reconstructed runway unevenness profiles were used as excitation inputs. For each 100 m segment, peak values of CGA, PSA, and DLC were extracted.</w:t>
      </w:r>
    </w:p>
    <w:p w14:paraId="7A3C11DA">
      <w:pPr>
        <w:spacing w:line="312" w:lineRule="auto"/>
        <w:ind w:firstLine="0" w:firstLineChars="0"/>
      </w:pPr>
      <w:r>
        <w:rPr>
          <w:rFonts w:hint="eastAsia"/>
        </w:rPr>
        <w:drawing>
          <wp:inline distT="0" distB="0" distL="114300" distR="114300">
            <wp:extent cx="5039995" cy="1467485"/>
            <wp:effectExtent l="0" t="0" r="1905" b="571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92"/>
                    <a:stretch>
                      <a:fillRect/>
                    </a:stretch>
                  </pic:blipFill>
                  <pic:spPr>
                    <a:xfrm>
                      <a:off x="0" y="0"/>
                      <a:ext cx="5039995" cy="1467485"/>
                    </a:xfrm>
                    <a:prstGeom prst="rect">
                      <a:avLst/>
                    </a:prstGeom>
                    <a:noFill/>
                    <a:ln>
                      <a:noFill/>
                    </a:ln>
                  </pic:spPr>
                </pic:pic>
              </a:graphicData>
            </a:graphic>
          </wp:inline>
        </w:drawing>
      </w:r>
    </w:p>
    <w:p w14:paraId="420693F3">
      <w:pPr>
        <w:pStyle w:val="52"/>
      </w:pPr>
      <w:r>
        <w:t>Fig.</w:t>
      </w:r>
      <w:r>
        <w:rPr>
          <w:rFonts w:hint="eastAsia"/>
        </w:rPr>
        <w:t>S</w:t>
      </w:r>
      <w:r>
        <w:t>8.5</w:t>
      </w:r>
      <w:r>
        <w:rPr>
          <w:rFonts w:hint="eastAsia"/>
        </w:rPr>
        <w:t>.</w:t>
      </w:r>
      <w:r>
        <w:t xml:space="preserve"> Multi-body virtual aircraft model established in ADAMS/Aircraft for taxi dynamic simulation.</w:t>
      </w:r>
    </w:p>
    <w:p w14:paraId="628A57B2">
      <w:pPr>
        <w:pStyle w:val="4"/>
        <w:ind w:firstLine="482"/>
      </w:pPr>
      <w:r>
        <w:t>8.4.3 Correlation Analysis and Threshold Verification</w:t>
      </w:r>
    </w:p>
    <w:p w14:paraId="1C0FF0B9">
      <w:pPr>
        <w:ind w:firstLineChars="0"/>
      </w:pPr>
      <w:r>
        <w:t>Using simulation results from 21 virtual runway profiles (ranging from smooth to severely uneven conditions), correlation analyses were conducted between CCI and the three airworthiness indicators. Results (Fig.</w:t>
      </w:r>
      <w:r>
        <w:rPr>
          <w:rFonts w:hint="eastAsia"/>
        </w:rPr>
        <w:t>S</w:t>
      </w:r>
      <w:r>
        <w:t xml:space="preserve">8.6) show strong positive correlations: correlation coefficients range from 0.89 to 0.91, and CCI increases monotonically with center-of-gravity acceleration (CGA), pilot-seat acceleration (PSA), and main landing gear dynamic load coefficient (DLC). When CCI is controlled below the recommended threshold, all four aircraft types remain within the defined safety limits, with additional safety margins observed. </w:t>
      </w:r>
    </w:p>
    <w:p w14:paraId="145D003F">
      <w:pPr>
        <w:ind w:firstLineChars="0"/>
      </w:pPr>
      <w:r>
        <w:t xml:space="preserve">These results demonstrate that: </w:t>
      </w:r>
    </w:p>
    <w:p w14:paraId="1464B4B4">
      <w:pPr>
        <w:ind w:firstLineChars="0"/>
      </w:pPr>
      <w:r>
        <w:t>(1)CCI effectively captures pavement-induced vibration intensity.</w:t>
      </w:r>
    </w:p>
    <w:p w14:paraId="0A307E82">
      <w:pPr>
        <w:ind w:firstLineChars="0"/>
      </w:pPr>
      <w:r>
        <w:t>(2)The recommended CCI threshold satisfies airworthiness safety requirements.</w:t>
      </w:r>
    </w:p>
    <w:p w14:paraId="63B65AA2">
      <w:pPr>
        <w:ind w:firstLineChars="0"/>
      </w:pPr>
      <w:r>
        <w:t>(3)CCI can simultaneously serve as a carbon-control and safety-consistent pavement evaluation index.</w:t>
      </w:r>
    </w:p>
    <w:p w14:paraId="04D2856F">
      <w:pPr>
        <w:ind w:firstLine="420" w:firstLineChars="0"/>
      </w:pPr>
      <w:r>
        <w:t>Compared with traditional roughness indices such as IRI and BBI, CCI directly links pavement unevenness to vibration energy dissipation and carbon emission potential, while maintaining compliance with aircraft ground operational safety standards.</w:t>
      </w:r>
    </w:p>
    <w:p w14:paraId="24809DC3">
      <w:pPr>
        <w:spacing w:line="312" w:lineRule="auto"/>
        <w:ind w:firstLine="0" w:firstLineChars="0"/>
        <w:jc w:val="center"/>
      </w:pPr>
      <w:r>
        <w:rPr>
          <w:rFonts w:hint="eastAsia"/>
        </w:rPr>
        <w:drawing>
          <wp:inline distT="0" distB="0" distL="0" distR="0">
            <wp:extent cx="4615180" cy="1943735"/>
            <wp:effectExtent l="0" t="0" r="7620" b="12065"/>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noChangeArrowheads="1"/>
                    </pic:cNvPicPr>
                  </pic:nvPicPr>
                  <pic:blipFill>
                    <a:blip r:embed="rId93">
                      <a:extLst>
                        <a:ext uri="{28A0092B-C50C-407E-A947-70E740481C1C}">
                          <a14:useLocalDpi xmlns:a14="http://schemas.microsoft.com/office/drawing/2010/main" val="0"/>
                        </a:ext>
                      </a:extLst>
                    </a:blip>
                    <a:srcRect l="9126" r="8754"/>
                    <a:stretch>
                      <a:fillRect/>
                    </a:stretch>
                  </pic:blipFill>
                  <pic:spPr>
                    <a:xfrm>
                      <a:off x="0" y="0"/>
                      <a:ext cx="4615365" cy="1944000"/>
                    </a:xfrm>
                    <a:prstGeom prst="rect">
                      <a:avLst/>
                    </a:prstGeom>
                    <a:noFill/>
                    <a:ln>
                      <a:noFill/>
                    </a:ln>
                  </pic:spPr>
                </pic:pic>
              </a:graphicData>
            </a:graphic>
          </wp:inline>
        </w:drawing>
      </w:r>
    </w:p>
    <w:p w14:paraId="3454BC9F">
      <w:pPr>
        <w:pStyle w:val="52"/>
      </w:pPr>
      <w:r>
        <w:t>Fig.</w:t>
      </w:r>
      <w:r>
        <w:rPr>
          <w:rFonts w:hint="eastAsia"/>
        </w:rPr>
        <w:t>S</w:t>
      </w:r>
      <w:r>
        <w:t>8.6</w:t>
      </w:r>
      <w:r>
        <w:rPr>
          <w:rFonts w:hint="eastAsia"/>
        </w:rPr>
        <w:t>.</w:t>
      </w:r>
      <w:r>
        <w:t xml:space="preserve"> Correlation between CCI and key aircraft vibration response indicators (CGA, PSA, and DLC).</w:t>
      </w:r>
    </w:p>
    <w:p w14:paraId="0357DACC">
      <w:pPr>
        <w:spacing w:line="312" w:lineRule="auto"/>
        <w:ind w:firstLine="0" w:firstLineChars="0"/>
        <w:rPr>
          <w:b/>
          <w:bCs/>
          <w:sz w:val="24"/>
          <w:szCs w:val="24"/>
        </w:rPr>
      </w:pPr>
      <w:r>
        <w:rPr>
          <w:rFonts w:hint="eastAsia"/>
          <w:b/>
          <w:bCs/>
          <w:sz w:val="24"/>
          <w:szCs w:val="24"/>
        </w:rPr>
        <w:t>References</w:t>
      </w:r>
    </w:p>
    <w:p w14:paraId="2FF53121">
      <w:pPr>
        <w:numPr>
          <w:ilvl w:val="0"/>
          <w:numId w:val="6"/>
        </w:numPr>
        <w:spacing w:line="312" w:lineRule="auto"/>
        <w:ind w:firstLineChars="0"/>
      </w:pPr>
      <w:bookmarkStart w:id="5" w:name="_Ref5664"/>
      <w:r>
        <w:t xml:space="preserve">International Civil Aviation Organization. (2016). Resolution A39-3: Consolidated statement of continuing ICAO policies and practices related to environmental protection – Global Market-based Measure (MBM) scheme. </w:t>
      </w:r>
      <w:bookmarkEnd w:id="5"/>
    </w:p>
    <w:p w14:paraId="3422FA71">
      <w:pPr>
        <w:numPr>
          <w:ilvl w:val="0"/>
          <w:numId w:val="6"/>
        </w:numPr>
        <w:spacing w:line="312" w:lineRule="auto"/>
        <w:ind w:firstLineChars="0"/>
        <w:rPr>
          <w:szCs w:val="24"/>
          <w:lang w:bidi="ar"/>
        </w:rPr>
      </w:pPr>
      <w:bookmarkStart w:id="6" w:name="_Ref5710"/>
      <w:r>
        <w:t>International Civil Aviation Organization. (2025). Resolution A42-22: Consolidated statement of continuing ICAO policies and practices related to environmental protection - Carbon Offsetting and Reduction Scheme for International Aviation (CORSIA). International Civil Aviation Organization.</w:t>
      </w:r>
      <w:bookmarkEnd w:id="6"/>
    </w:p>
    <w:p w14:paraId="69FFE9B0">
      <w:pPr>
        <w:numPr>
          <w:ilvl w:val="0"/>
          <w:numId w:val="6"/>
        </w:numPr>
        <w:spacing w:line="312" w:lineRule="auto"/>
        <w:ind w:firstLineChars="0"/>
        <w:rPr>
          <w:szCs w:val="24"/>
          <w:lang w:bidi="ar"/>
        </w:rPr>
      </w:pPr>
      <w:bookmarkStart w:id="7" w:name="_Ref5811"/>
      <w:r>
        <w:rPr>
          <w:szCs w:val="24"/>
          <w:lang w:bidi="ar"/>
        </w:rPr>
        <w:t>Kuncas A. New index testing and verification-runway roughness index[R]. New Jersey: Federal Aviation Administration William J. Hughes Technical Center, 2021.</w:t>
      </w:r>
      <w:bookmarkEnd w:id="7"/>
    </w:p>
    <w:p w14:paraId="1D56922C">
      <w:pPr>
        <w:numPr>
          <w:ilvl w:val="0"/>
          <w:numId w:val="6"/>
        </w:numPr>
        <w:spacing w:line="312" w:lineRule="auto"/>
        <w:ind w:firstLineChars="0"/>
        <w:rPr>
          <w:szCs w:val="24"/>
          <w:lang w:bidi="ar"/>
        </w:rPr>
      </w:pPr>
      <w:bookmarkStart w:id="8" w:name="_Ref5818"/>
      <w:r>
        <w:rPr>
          <w:szCs w:val="24"/>
          <w:lang w:bidi="ar"/>
        </w:rPr>
        <w:t>Qian J S, Pan X W, Cen Y B, et al. Analysis of aircraft sliding dynamic load under runway unevenness excitation[J]. Journal of Vibration and Shock, 2022, 41(20): 176-184+269.</w:t>
      </w:r>
      <w:bookmarkEnd w:id="8"/>
    </w:p>
    <w:p w14:paraId="01F628E2">
      <w:pPr>
        <w:numPr>
          <w:ilvl w:val="0"/>
          <w:numId w:val="6"/>
        </w:numPr>
        <w:spacing w:line="312" w:lineRule="auto"/>
        <w:ind w:firstLineChars="0"/>
        <w:rPr>
          <w:szCs w:val="24"/>
          <w:lang w:bidi="ar"/>
        </w:rPr>
      </w:pPr>
      <w:bookmarkStart w:id="9" w:name="_Ref5876"/>
      <w:r>
        <w:rPr>
          <w:szCs w:val="24"/>
          <w:lang w:bidi="ar"/>
        </w:rPr>
        <w:t>Liu S F, Zhao J F, Hou T X, et al. Mechanism of unevenness excitation on dynamic response of aircraft-runway system[J]. Journal of Vibration and Shock, 2025, 44(10): 198-207.</w:t>
      </w:r>
      <w:bookmarkEnd w:id="9"/>
    </w:p>
    <w:p w14:paraId="579C7767">
      <w:pPr>
        <w:numPr>
          <w:ilvl w:val="0"/>
          <w:numId w:val="6"/>
        </w:numPr>
        <w:spacing w:line="312" w:lineRule="auto"/>
        <w:ind w:firstLineChars="0"/>
        <w:rPr>
          <w:szCs w:val="24"/>
          <w:lang w:bidi="ar"/>
        </w:rPr>
      </w:pPr>
      <w:bookmarkStart w:id="10" w:name="_Ref5880"/>
      <w:r>
        <w:rPr>
          <w:szCs w:val="24"/>
          <w:lang w:val="fr-FR" w:bidi="ar"/>
        </w:rPr>
        <w:t xml:space="preserve">Qian J S, Cen Y B, Pan X W, et al. </w:t>
      </w:r>
      <w:r>
        <w:rPr>
          <w:szCs w:val="24"/>
          <w:lang w:bidi="ar"/>
        </w:rPr>
        <w:t>Spectrum parameters for runway roughness based on statistical and vibration analysis[J]. International Journal of Pavement Engineering, 2022, 23(11): 3757-3769.</w:t>
      </w:r>
      <w:bookmarkEnd w:id="10"/>
    </w:p>
    <w:p w14:paraId="776F45AE">
      <w:pPr>
        <w:numPr>
          <w:ilvl w:val="0"/>
          <w:numId w:val="6"/>
        </w:numPr>
        <w:ind w:firstLineChars="0"/>
      </w:pPr>
      <w:bookmarkStart w:id="11" w:name="_Ref6046"/>
      <w:r>
        <w:t>Liu S F, Zhu L G, Tian Y, et al. Airport runway rigid pavement dynamic response under multi-state ground operations of different aircraft using virtual prototypes[J]. International Journal of Pavement Engineering, 2025, 26(1): 2571737.</w:t>
      </w:r>
      <w:bookmarkEnd w:id="11"/>
    </w:p>
    <w:p w14:paraId="23A9B5B5">
      <w:pPr>
        <w:numPr>
          <w:ilvl w:val="0"/>
          <w:numId w:val="6"/>
        </w:numPr>
        <w:ind w:firstLineChars="0"/>
      </w:pPr>
      <w:bookmarkStart w:id="12" w:name="_Ref6053"/>
      <w:r>
        <w:t>Liu S F, Ling J M, Tian Y, et al. Assessment of aircraft landing gear cumulative stroke to develop a new runway roughness evaluation index[J]. International Journal of Pavement Engineering, 2022, 23(10): 3609-3620.</w:t>
      </w:r>
      <w:bookmarkEnd w:id="12"/>
    </w:p>
    <w:p w14:paraId="1AA7D3DA">
      <w:pPr>
        <w:numPr>
          <w:ilvl w:val="0"/>
          <w:numId w:val="6"/>
        </w:numPr>
        <w:ind w:firstLineChars="0"/>
      </w:pPr>
      <w:bookmarkStart w:id="13" w:name="_Ref6056"/>
      <w:r>
        <w:t>Liu S F, Ling J M, Zhu L G, et al. A novel analytical approach for the spatial distribution of accumulated damage on the airport runway considering dynamic fatigue[J]. Engineering Failure Analysis, 2025: 110222.</w:t>
      </w:r>
      <w:bookmarkEnd w:id="13"/>
    </w:p>
    <w:p w14:paraId="69CAF795">
      <w:pPr>
        <w:numPr>
          <w:ilvl w:val="0"/>
          <w:numId w:val="6"/>
        </w:numPr>
        <w:ind w:firstLineChars="0"/>
      </w:pPr>
      <w:bookmarkStart w:id="14" w:name="_Ref6115"/>
      <w:r>
        <w:t>Liu S F, Tian Y, Liu L, et al. Improvement of Boeing Bump method considering aircraft vibration superposition effect[J]. Applied Sciences, 2021, 11(5): 2147.</w:t>
      </w:r>
      <w:bookmarkEnd w:id="14"/>
    </w:p>
    <w:p w14:paraId="0D930A23">
      <w:pPr>
        <w:numPr>
          <w:ilvl w:val="0"/>
          <w:numId w:val="6"/>
        </w:numPr>
        <w:ind w:firstLineChars="0"/>
      </w:pPr>
      <w:bookmarkStart w:id="15" w:name="_Ref6157"/>
      <w:r>
        <w:t>Tian Y, Liu S F, Liu L, et al. Optimization of International Roughness Index Model Parameters for Sustainable Runway[J]. Sustainability, 2021, 13(4): 2184.</w:t>
      </w:r>
      <w:bookmarkEnd w:id="15"/>
    </w:p>
    <w:p w14:paraId="31740CA7">
      <w:pPr>
        <w:numPr>
          <w:ilvl w:val="0"/>
          <w:numId w:val="6"/>
        </w:numPr>
        <w:ind w:firstLineChars="0"/>
      </w:pPr>
      <w:bookmarkStart w:id="16" w:name="_Ref6161"/>
      <w:r>
        <w:t>Qian J S, Cen Y B, Ling J M, Liu S F, et al. Dynamic stress in the ground of rigid pavement subjected to moving aircraft loads at various speeds[J]. International Journal of Pavement Engineering, 2023, 24(2): 2273327.</w:t>
      </w:r>
      <w:bookmarkEnd w:id="16"/>
    </w:p>
    <w:p w14:paraId="0E760E68">
      <w:pPr>
        <w:pStyle w:val="2"/>
        <w:ind w:firstLine="0" w:firstLineChars="0"/>
        <w:rPr>
          <w:rFonts w:ascii="Times New Roman" w:hAnsi="Times New Roman"/>
          <w:b w:val="0"/>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C969E39">
      <w:pPr>
        <w:pStyle w:val="2"/>
        <w:ind w:firstLine="0" w:firstLineChars="0"/>
        <w:rPr>
          <w:rFonts w:eastAsiaTheme="minorEastAsia"/>
        </w:rPr>
      </w:pPr>
      <w:r>
        <w:rPr>
          <w:rFonts w:eastAsiaTheme="minorEastAsia"/>
        </w:rPr>
        <w:t>Supplementary Note 9</w:t>
      </w:r>
      <w:r>
        <w:rPr>
          <w:rFonts w:hint="eastAsia" w:eastAsiaTheme="minorEastAsia"/>
        </w:rPr>
        <w:t>.</w:t>
      </w:r>
      <w:r>
        <w:rPr>
          <w:rFonts w:eastAsiaTheme="minorEastAsia"/>
        </w:rPr>
        <w:t xml:space="preserve"> Economic assessment of runway roughness control</w:t>
      </w:r>
    </w:p>
    <w:p w14:paraId="1B2DCF6D">
      <w:pPr>
        <w:ind w:firstLine="420"/>
      </w:pPr>
      <w:r>
        <w:t>The main text proposes runway roughness control thresholds aimed at mitigating aviation carbon emissions. To evaluate the economic feasibility of these thresholds and ensure that the recommended control strategy does not impose excessive operational burdens, we develop a physically grounded cost–response model linking roughness evolution to maintenance expenditure.</w:t>
      </w:r>
    </w:p>
    <w:p w14:paraId="34311901">
      <w:pPr>
        <w:ind w:firstLine="420"/>
      </w:pPr>
      <w:r>
        <w:t>The framework consists of four components:</w:t>
      </w:r>
    </w:p>
    <w:p w14:paraId="256DAACB">
      <w:pPr>
        <w:ind w:firstLine="420"/>
      </w:pPr>
      <w:r>
        <w:t>(i) a physics-based model describing differential settlement–induced roughness evolution;</w:t>
      </w:r>
    </w:p>
    <w:p w14:paraId="78233C30">
      <w:pPr>
        <w:ind w:firstLine="420"/>
      </w:pPr>
      <w:r>
        <w:t>(ii) a probabilistic structural fragility model capturing major rehabilitation risk;</w:t>
      </w:r>
    </w:p>
    <w:p w14:paraId="752CD01A">
      <w:pPr>
        <w:ind w:firstLine="420"/>
      </w:pPr>
      <w:r>
        <w:t>(iii) an annual expected total cost formulation integrating high-frequency minor repair and low-frequency structural reset; and</w:t>
      </w:r>
    </w:p>
    <w:p w14:paraId="236A198C">
      <w:pPr>
        <w:ind w:firstLine="420"/>
      </w:pPr>
      <w:r>
        <w:t>(iv) a mapping between the microscopic settlement threshold and the macroscopic CCI index.</w:t>
      </w:r>
    </w:p>
    <w:p w14:paraId="114FC939">
      <w:pPr>
        <w:pStyle w:val="3"/>
        <w:ind w:firstLine="482"/>
      </w:pPr>
      <w:r>
        <w:t>9.1 Physical model of roughness evolution</w:t>
      </w:r>
    </w:p>
    <w:p w14:paraId="208B9DF6">
      <w:pPr>
        <w:ind w:firstLine="420"/>
      </w:pPr>
      <w:r>
        <w:t xml:space="preserve">To establish a mechanistic relationship between settlement and maintenance demand, a representative rigid pavement unit is idealized as two adjacent concrete slabs (5 m×5 m each, area </w:t>
      </w:r>
      <m:oMath>
        <m:sSub>
          <m:sSubPr>
            <m:ctrlPr>
              <w:rPr>
                <w:rFonts w:ascii="Cambria Math" w:hAnsi="Cambria Math"/>
              </w:rPr>
            </m:ctrlPr>
          </m:sSubPr>
          <m:e>
            <m:r>
              <m:rPr>
                <m:sty m:val="p"/>
              </m:rPr>
              <w:rPr>
                <w:rFonts w:hint="eastAsia" w:ascii="Cambria Math" w:hAnsi="Cambria Math"/>
              </w:rPr>
              <m:t>A</m:t>
            </m:r>
            <m:ctrlPr>
              <w:rPr>
                <w:rFonts w:ascii="Cambria Math" w:hAnsi="Cambria Math"/>
              </w:rPr>
            </m:ctrlPr>
          </m:e>
          <m:sub>
            <m:r>
              <m:rPr>
                <m:sty m:val="p"/>
              </m:rPr>
              <w:rPr>
                <w:rFonts w:hint="eastAsia" w:ascii="Cambria Math" w:hAnsi="Cambria Math"/>
              </w:rPr>
              <m:t>slab</m:t>
            </m:r>
            <m:ctrlPr>
              <w:rPr>
                <w:rFonts w:ascii="Cambria Math" w:hAnsi="Cambria Math"/>
              </w:rPr>
            </m:ctrlPr>
          </m:sub>
        </m:sSub>
        <m:r>
          <m:rPr>
            <m:sty m:val="p"/>
          </m:rPr>
          <w:rPr>
            <w:rFonts w:ascii="Cambria Math" w:hAnsi="Cambria Math"/>
          </w:rPr>
          <m:t>=25</m:t>
        </m:r>
        <m:sSup>
          <m:sSupPr>
            <m:ctrlPr>
              <w:rPr>
                <w:rFonts w:ascii="Cambria Math" w:hAnsi="Cambria Math"/>
              </w:rPr>
            </m:ctrlPr>
          </m:sSupPr>
          <m:e>
            <m:r>
              <m:rPr>
                <m:sty m:val="p"/>
              </m:rPr>
              <w:rPr>
                <w:rFonts w:hint="eastAsia" w:ascii="Cambria Math" w:hAnsi="Cambria Math"/>
              </w:rPr>
              <m:t>m</m:t>
            </m:r>
            <m:ctrlPr>
              <w:rPr>
                <w:rFonts w:ascii="Cambria Math" w:hAnsi="Cambria Math"/>
              </w:rPr>
            </m:ctrlPr>
          </m:e>
          <m:sup>
            <m:r>
              <m:rPr>
                <m:sty m:val="p"/>
              </m:rPr>
              <w:rPr>
                <w:rFonts w:ascii="Cambria Math" w:hAnsi="Cambria Math"/>
              </w:rPr>
              <m:t>2</m:t>
            </m:r>
            <m:ctrlPr>
              <w:rPr>
                <w:rFonts w:ascii="Cambria Math" w:hAnsi="Cambria Math"/>
              </w:rPr>
            </m:ctrlPr>
          </m:sup>
        </m:sSup>
      </m:oMath>
      <w:r>
        <w:t>) connected by a joint. The subgrade is assumed to undergo non-uniform settlement at a constant rate. Based on long-term monitoring data from Shanghai Pudong International Airport (PVG), the average settlement rate is taken as: v</w:t>
      </w:r>
      <w:r>
        <w:rPr>
          <w:vertAlign w:val="subscript"/>
        </w:rPr>
        <w:t>sub</w:t>
      </w:r>
      <w:r>
        <w:t xml:space="preserve">=3.6cm/year. </w:t>
      </w:r>
    </w:p>
    <w:p w14:paraId="071EAE84">
      <w:pPr>
        <w:ind w:firstLine="420"/>
      </w:pPr>
      <w:r>
        <w:t>In the absence of intervention, differential settlement generates a V-shaped joint depression or faulting (Fig.</w:t>
      </w:r>
      <w:r>
        <w:rPr>
          <w:rFonts w:hint="eastAsia"/>
        </w:rPr>
        <w:t>S</w:t>
      </w:r>
      <w:r>
        <w:t xml:space="preserve">9.1). The maximum vertical displacement difference at the joint, </w:t>
      </w:r>
      <m:oMath>
        <m:r>
          <m:rPr>
            <m:sty m:val="p"/>
          </m:rPr>
          <w:rPr>
            <w:rFonts w:ascii="Cambria Math" w:hAnsi="Cambria Math"/>
          </w:rPr>
          <m:t>∆h</m:t>
        </m:r>
      </m:oMath>
      <w:r>
        <w:t>, is defined as the maintenance control variable.</w:t>
      </w:r>
    </w:p>
    <w:p w14:paraId="2EC700BD">
      <w:pPr>
        <w:ind w:firstLine="420"/>
        <w:jc w:val="center"/>
      </w:pPr>
      <w:r>
        <w:drawing>
          <wp:inline distT="0" distB="0" distL="0" distR="0">
            <wp:extent cx="4555490" cy="2646045"/>
            <wp:effectExtent l="0" t="0" r="381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4"/>
                    <a:stretch>
                      <a:fillRect/>
                    </a:stretch>
                  </pic:blipFill>
                  <pic:spPr>
                    <a:xfrm>
                      <a:off x="0" y="0"/>
                      <a:ext cx="4557145" cy="2647270"/>
                    </a:xfrm>
                    <a:prstGeom prst="rect">
                      <a:avLst/>
                    </a:prstGeom>
                  </pic:spPr>
                </pic:pic>
              </a:graphicData>
            </a:graphic>
          </wp:inline>
        </w:drawing>
      </w:r>
    </w:p>
    <w:p w14:paraId="408E3016">
      <w:pPr>
        <w:pStyle w:val="52"/>
      </w:pPr>
      <w:r>
        <w:t>Fig.</w:t>
      </w:r>
      <w:r>
        <w:rPr>
          <w:rFonts w:hint="eastAsia"/>
        </w:rPr>
        <w:t>S</w:t>
      </w:r>
      <w:r>
        <w:t>9.1</w:t>
      </w:r>
      <w:r>
        <w:rPr>
          <w:rFonts w:hint="eastAsia"/>
        </w:rPr>
        <w:t>.</w:t>
      </w:r>
      <w:r>
        <w:t xml:space="preserve"> Schematic illustration of the physical model for pavement roughness evolution</w:t>
      </w:r>
    </w:p>
    <w:p w14:paraId="539E6098">
      <w:pPr>
        <w:ind w:firstLine="420"/>
      </w:pPr>
      <w:r>
        <w:t xml:space="preserve">For small </w:t>
      </w:r>
      <m:oMath>
        <m:r>
          <m:rPr>
            <m:sty m:val="p"/>
          </m:rPr>
          <w:rPr>
            <w:rFonts w:ascii="Cambria Math" w:hAnsi="Cambria Math"/>
          </w:rPr>
          <m:t>∆h</m:t>
        </m:r>
      </m:oMath>
      <w:r>
        <w:t>, slab lifting by pressure grouting can restore surface levelness. Assuming a wedge-shaped void beneath the slab, the required grout volume is linearly related to settlement depth:</w:t>
      </w:r>
    </w:p>
    <w:p w14:paraId="7455673D">
      <w:pPr>
        <w:pStyle w:val="21"/>
        <w:ind w:firstLine="482"/>
        <w:rPr>
          <w:rFonts w:eastAsia="宋体"/>
          <w:b w:val="0"/>
          <w:bCs w:val="0"/>
        </w:rPr>
      </w:pPr>
      <w:r>
        <w:rPr>
          <w:rFonts w:hint="eastAsia" w:hAnsi="Cambria Math"/>
        </w:rPr>
        <w:tab/>
      </w:r>
      <m:oMath>
        <m:sSub>
          <m:sSubPr>
            <m:ctrlPr>
              <w:rPr>
                <w:rFonts w:ascii="Cambria Math" w:hAnsi="Cambria Math"/>
                <w:b w:val="0"/>
                <w:bCs w:val="0"/>
                <w:i/>
              </w:rPr>
            </m:ctrlPr>
          </m:sSubPr>
          <m:e>
            <m:r>
              <m:rPr/>
              <w:rPr>
                <w:rFonts w:ascii="Cambria Math" w:hAnsi="Cambria Math"/>
              </w:rPr>
              <m:t>V</m:t>
            </m:r>
            <m:ctrlPr>
              <w:rPr>
                <w:rFonts w:ascii="Cambria Math" w:hAnsi="Cambria Math"/>
                <w:b w:val="0"/>
                <w:bCs w:val="0"/>
                <w:i/>
              </w:rPr>
            </m:ctrlPr>
          </m:e>
          <m:sub>
            <m:r>
              <m:rPr/>
              <w:rPr>
                <w:rFonts w:ascii="Cambria Math" w:hAnsi="Cambria Math"/>
              </w:rPr>
              <m:t>grout</m:t>
            </m:r>
            <m:ctrlPr>
              <w:rPr>
                <w:rFonts w:ascii="Cambria Math" w:hAnsi="Cambria Math"/>
                <w:b w:val="0"/>
                <w:bCs w:val="0"/>
                <w:i/>
              </w:rPr>
            </m:ctrlPr>
          </m:sub>
        </m:sSub>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r>
          <m:rPr/>
          <w:rPr>
            <w:rFonts w:ascii="Cambria Math" w:hAnsi="Cambria Math"/>
          </w:rPr>
          <m:t>=η∙</m:t>
        </m:r>
        <m:sSub>
          <m:sSubPr>
            <m:ctrlPr>
              <w:rPr>
                <w:rFonts w:ascii="Cambria Math" w:hAnsi="Cambria Math"/>
                <w:b w:val="0"/>
                <w:bCs w:val="0"/>
                <w:i/>
              </w:rPr>
            </m:ctrlPr>
          </m:sSubPr>
          <m:e>
            <m:r>
              <m:rPr/>
              <w:rPr>
                <w:rFonts w:ascii="Cambria Math" w:hAnsi="Cambria Math"/>
              </w:rPr>
              <m:t>A</m:t>
            </m:r>
            <m:ctrlPr>
              <w:rPr>
                <w:rFonts w:ascii="Cambria Math" w:hAnsi="Cambria Math"/>
                <w:b w:val="0"/>
                <w:bCs w:val="0"/>
                <w:i/>
              </w:rPr>
            </m:ctrlPr>
          </m:e>
          <m:sub>
            <m:r>
              <m:rPr/>
              <w:rPr>
                <w:rFonts w:ascii="Cambria Math" w:hAnsi="Cambria Math"/>
              </w:rPr>
              <m:t>slab</m:t>
            </m:r>
            <m:ctrlPr>
              <w:rPr>
                <w:rFonts w:ascii="Cambria Math" w:hAnsi="Cambria Math"/>
                <w:b w:val="0"/>
                <w:bCs w:val="0"/>
                <w:i/>
              </w:rPr>
            </m:ctrlPr>
          </m:sub>
        </m:sSub>
        <m:r>
          <m:rPr/>
          <w:rPr>
            <w:rFonts w:ascii="Cambria Math" w:hAnsi="Cambria Math"/>
          </w:rPr>
          <m:t>∙∆h</m:t>
        </m:r>
      </m:oMath>
      <w:r>
        <w:rPr>
          <w:rFonts w:hint="eastAsia"/>
        </w:rPr>
        <w:tab/>
      </w:r>
      <w:r>
        <w:rPr>
          <w:rStyle w:val="51"/>
          <w:rFonts w:hint="eastAsia"/>
          <w:b w:val="0"/>
          <w:bCs w:val="0"/>
        </w:rPr>
        <w:t>(</w:t>
      </w:r>
      <w:r>
        <w:rPr>
          <w:rStyle w:val="51"/>
          <w:rFonts w:hint="eastAsia" w:eastAsia="宋体"/>
          <w:b w:val="0"/>
          <w:bCs w:val="0"/>
        </w:rPr>
        <w:t>S9</w:t>
      </w:r>
      <w:r>
        <w:rPr>
          <w:rStyle w:val="51"/>
          <w:b w:val="0"/>
          <w:bCs w:val="0"/>
        </w:rPr>
        <w:t>.1</w:t>
      </w:r>
      <w:r>
        <w:rPr>
          <w:rStyle w:val="51"/>
          <w:rFonts w:hint="eastAsia"/>
          <w:b w:val="0"/>
          <w:bCs w:val="0"/>
        </w:rPr>
        <w:t>)</w:t>
      </w:r>
    </w:p>
    <w:p w14:paraId="4611DE58">
      <w:pPr>
        <w:ind w:firstLine="0" w:firstLineChars="0"/>
      </w:pPr>
      <w:r>
        <w:rPr>
          <w:rFonts w:hint="eastAsia"/>
        </w:rPr>
        <w:t>w</w:t>
      </w:r>
      <w:r>
        <w:t xml:space="preserve">here </w:t>
      </w:r>
      <w:r>
        <w:rPr>
          <w:rFonts w:ascii="Cambria Math" w:hAnsi="Cambria Math" w:cs="Cambria Math"/>
        </w:rPr>
        <w:t>𝜂</w:t>
      </w:r>
      <w:r>
        <w:rPr>
          <w:rFonts w:hint="eastAsia"/>
        </w:rPr>
        <w:t>≈</w:t>
      </w:r>
      <w:r>
        <w:t>0.5</w:t>
      </w:r>
      <w:r>
        <w:rPr>
          <w:rFonts w:hint="eastAsia"/>
        </w:rPr>
        <w:t xml:space="preserve"> represents the geometric void factor for symmetric two-slab settlement.</w:t>
      </w:r>
      <w:r>
        <w:t xml:space="preserve"> </w:t>
      </w:r>
    </w:p>
    <w:p w14:paraId="5E7CDB53">
      <w:pPr>
        <w:ind w:firstLine="420"/>
      </w:pPr>
      <w:r>
        <w:t xml:space="preserve">A stricter threshold (smaller Δℎ) reduces per-event repair volume but increases intervention frequency. </w:t>
      </w:r>
    </w:p>
    <w:p w14:paraId="68423899">
      <w:pPr>
        <w:ind w:firstLine="420"/>
      </w:pPr>
      <w:r>
        <w:t>When Δℎ becomes excessive, bending stress concentration may trigger slab cracking or structural failure, requiring overlay reconstruction. To describe this transition, a logistic fragility function is introduced:</w:t>
      </w:r>
    </w:p>
    <w:p w14:paraId="42E06D76">
      <w:pPr>
        <w:pStyle w:val="21"/>
        <w:ind w:firstLine="482"/>
        <w:rPr>
          <w:rFonts w:eastAsia="宋体"/>
          <w:b w:val="0"/>
          <w:bCs w:val="0"/>
        </w:rPr>
      </w:pPr>
      <w:r>
        <w:rPr>
          <w:rFonts w:hint="eastAsia" w:hAnsi="Cambria Math"/>
        </w:rPr>
        <w:tab/>
      </w:r>
      <m:oMath>
        <m:sSub>
          <m:sSubPr>
            <m:ctrlPr>
              <w:rPr>
                <w:rFonts w:ascii="Cambria Math" w:hAnsi="Cambria Math"/>
                <w:b w:val="0"/>
                <w:bCs w:val="0"/>
                <w:i/>
              </w:rPr>
            </m:ctrlPr>
          </m:sSubPr>
          <m:e>
            <m:r>
              <m:rPr/>
              <w:rPr>
                <w:rFonts w:ascii="Cambria Math" w:hAnsi="Cambria Math"/>
              </w:rPr>
              <m:t>P</m:t>
            </m:r>
            <m:ctrlPr>
              <w:rPr>
                <w:rFonts w:ascii="Cambria Math" w:hAnsi="Cambria Math"/>
                <w:b w:val="0"/>
                <w:bCs w:val="0"/>
                <w:i/>
              </w:rPr>
            </m:ctrlPr>
          </m:e>
          <m:sub>
            <m:r>
              <m:rPr/>
              <w:rPr>
                <w:rFonts w:ascii="Cambria Math" w:hAnsi="Cambria Math"/>
              </w:rPr>
              <m:t>fail</m:t>
            </m:r>
            <m:ctrlPr>
              <w:rPr>
                <w:rFonts w:ascii="Cambria Math" w:hAnsi="Cambria Math"/>
                <w:b w:val="0"/>
                <w:bCs w:val="0"/>
                <w:i/>
              </w:rPr>
            </m:ctrlPr>
          </m:sub>
        </m:sSub>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r>
          <m:rPr/>
          <w:rPr>
            <w:rFonts w:ascii="Cambria Math" w:hAnsi="Cambria Math"/>
          </w:rPr>
          <m:t>=</m:t>
        </m:r>
        <m:f>
          <m:fPr>
            <m:ctrlPr>
              <w:rPr>
                <w:rFonts w:ascii="Cambria Math" w:hAnsi="Cambria Math"/>
                <w:b w:val="0"/>
                <w:bCs w:val="0"/>
                <w:i/>
              </w:rPr>
            </m:ctrlPr>
          </m:fPr>
          <m:num>
            <m:r>
              <m:rPr/>
              <w:rPr>
                <w:rFonts w:ascii="Cambria Math" w:hAnsi="Cambria Math"/>
              </w:rPr>
              <m:t>1</m:t>
            </m:r>
            <m:ctrlPr>
              <w:rPr>
                <w:rFonts w:ascii="Cambria Math" w:hAnsi="Cambria Math"/>
                <w:b w:val="0"/>
                <w:bCs w:val="0"/>
                <w:i/>
              </w:rPr>
            </m:ctrlPr>
          </m:num>
          <m:den>
            <m:r>
              <m:rPr/>
              <w:rPr>
                <w:rFonts w:ascii="Cambria Math" w:hAnsi="Cambria Math"/>
              </w:rPr>
              <m:t>1+exp⁡(−k</m:t>
            </m:r>
            <m:d>
              <m:dPr>
                <m:ctrlPr>
                  <w:rPr>
                    <w:rFonts w:ascii="Cambria Math" w:hAnsi="Cambria Math"/>
                    <w:b w:val="0"/>
                    <w:bCs w:val="0"/>
                    <w:i/>
                  </w:rPr>
                </m:ctrlPr>
              </m:dPr>
              <m:e>
                <m:r>
                  <m:rPr/>
                  <w:rPr>
                    <w:rFonts w:ascii="Cambria Math" w:hAnsi="Cambria Math"/>
                  </w:rPr>
                  <m:t>∆h−μ</m:t>
                </m:r>
                <m:ctrlPr>
                  <w:rPr>
                    <w:rFonts w:ascii="Cambria Math" w:hAnsi="Cambria Math"/>
                    <w:b w:val="0"/>
                    <w:bCs w:val="0"/>
                    <w:i/>
                  </w:rPr>
                </m:ctrlPr>
              </m:e>
            </m:d>
            <m:r>
              <m:rPr/>
              <w:rPr>
                <w:rFonts w:ascii="Cambria Math" w:hAnsi="Cambria Math"/>
              </w:rPr>
              <m:t>)</m:t>
            </m:r>
            <m:ctrlPr>
              <w:rPr>
                <w:rFonts w:ascii="Cambria Math" w:hAnsi="Cambria Math"/>
                <w:b w:val="0"/>
                <w:bCs w:val="0"/>
                <w:i/>
              </w:rPr>
            </m:ctrlPr>
          </m:den>
        </m:f>
      </m:oMath>
      <w:r>
        <w:rPr>
          <w:rFonts w:hint="eastAsia" w:hAnsi="Cambria Math"/>
        </w:rPr>
        <w:tab/>
      </w:r>
      <w:r>
        <w:rPr>
          <w:rFonts w:hint="eastAsia" w:hAnsi="Cambria Math"/>
          <w:b w:val="0"/>
          <w:bCs w:val="0"/>
        </w:rPr>
        <w:t>(</w:t>
      </w:r>
      <w:r>
        <w:rPr>
          <w:rFonts w:hint="eastAsia" w:hAnsi="Cambria Math" w:eastAsia="宋体"/>
          <w:b w:val="0"/>
          <w:bCs w:val="0"/>
        </w:rPr>
        <w:t>S9</w:t>
      </w:r>
      <w:r>
        <w:rPr>
          <w:rFonts w:hint="eastAsia" w:hAnsi="Cambria Math"/>
          <w:b w:val="0"/>
          <w:bCs w:val="0"/>
        </w:rPr>
        <w:t>.2)</w:t>
      </w:r>
    </w:p>
    <w:p w14:paraId="037A9E7C">
      <w:pPr>
        <w:ind w:firstLine="420"/>
      </w:pPr>
      <w:r>
        <w:t>with parameters</w:t>
      </w:r>
      <w:r>
        <w:rPr>
          <w:rFonts w:hint="eastAsia"/>
        </w:rPr>
        <w:t xml:space="preserve"> </w:t>
      </w:r>
      <m:oMath>
        <m:r>
          <m:rPr/>
          <w:rPr>
            <w:rFonts w:ascii="Cambria Math" w:hAnsi="Cambria Math"/>
          </w:rPr>
          <m:t>μ</m:t>
        </m:r>
        <m:r>
          <m:rPr>
            <m:sty m:val="p"/>
          </m:rPr>
          <w:rPr>
            <w:rFonts w:ascii="Cambria Math" w:hAnsi="Cambria Math"/>
          </w:rPr>
          <m:t>=1.5cm</m:t>
        </m:r>
      </m:oMath>
      <w:r>
        <w:t>，</w:t>
      </w:r>
      <m:oMath>
        <m:r>
          <m:rPr/>
          <w:rPr>
            <w:rFonts w:ascii="Cambria Math" w:hAnsi="Cambria Math"/>
          </w:rPr>
          <m:t>k</m:t>
        </m:r>
        <m:r>
          <m:rPr>
            <m:sty m:val="p"/>
          </m:rPr>
          <w:rPr>
            <w:rFonts w:ascii="Cambria Math" w:hAnsi="Cambria Math"/>
          </w:rPr>
          <m:t>=12</m:t>
        </m:r>
      </m:oMath>
      <w:r>
        <w:t xml:space="preserve">. For </w:t>
      </w:r>
      <m:oMath>
        <m:r>
          <m:rPr>
            <m:sty m:val="p"/>
          </m:rPr>
          <w:rPr>
            <w:rFonts w:ascii="Cambria Math" w:hAnsi="Cambria Math"/>
          </w:rPr>
          <m:t>∆h&lt;2.0 cm</m:t>
        </m:r>
      </m:oMath>
      <w:r>
        <w:t xml:space="preserve">, </w:t>
      </w:r>
      <m:oMath>
        <m:sSub>
          <m:sSubPr>
            <m:ctrlPr>
              <w:rPr>
                <w:rFonts w:ascii="Cambria Math" w:hAnsi="Cambria Math"/>
              </w:rPr>
            </m:ctrlPr>
          </m:sSubPr>
          <m:e>
            <m:r>
              <m:rPr>
                <m:sty m:val="p"/>
              </m:rPr>
              <w:rPr>
                <w:rFonts w:ascii="Cambria Math" w:hAnsi="Cambria Math"/>
              </w:rPr>
              <m:t>P</m:t>
            </m:r>
            <m:ctrlPr>
              <w:rPr>
                <w:rFonts w:ascii="Cambria Math" w:hAnsi="Cambria Math"/>
              </w:rPr>
            </m:ctrlPr>
          </m:e>
          <m:sub>
            <m:r>
              <m:rPr>
                <m:sty m:val="p"/>
              </m:rPr>
              <w:rPr>
                <w:rFonts w:ascii="Cambria Math" w:hAnsi="Cambria Math"/>
              </w:rPr>
              <m:t>fail</m:t>
            </m:r>
            <m:ctrlPr>
              <w:rPr>
                <w:rFonts w:ascii="Cambria Math" w:hAnsi="Cambria Math"/>
              </w:rPr>
            </m:ctrlPr>
          </m:sub>
        </m:sSub>
        <m:r>
          <m:rPr>
            <m:sty m:val="p"/>
          </m:rPr>
          <w:rPr>
            <w:rFonts w:ascii="Cambria Math" w:hAnsi="Cambria Math"/>
          </w:rPr>
          <m:t>→0</m:t>
        </m:r>
      </m:oMath>
      <w:r>
        <w:t>, as Δℎ→3.0cm, failure probability approaches unity.</w:t>
      </w:r>
    </w:p>
    <w:p w14:paraId="1653D26B">
      <w:pPr>
        <w:pStyle w:val="3"/>
        <w:ind w:firstLine="482"/>
      </w:pPr>
      <w:r>
        <w:t>9.2 Annual expected total cost model</w:t>
      </w:r>
    </w:p>
    <w:p w14:paraId="2701AB44">
      <w:pPr>
        <w:ind w:firstLine="420"/>
      </w:pPr>
      <w:r>
        <w:t>Assuming continuous settlement, the annual intervention frequency is:</w:t>
      </w:r>
    </w:p>
    <w:p w14:paraId="15D4600C">
      <w:pPr>
        <w:pStyle w:val="21"/>
        <w:ind w:firstLine="482"/>
        <w:rPr>
          <w:rFonts w:eastAsia="宋体"/>
          <w:b w:val="0"/>
          <w:bCs w:val="0"/>
        </w:rPr>
      </w:pPr>
      <w:r>
        <w:rPr>
          <w:rFonts w:hint="eastAsia"/>
        </w:rPr>
        <w:tab/>
      </w:r>
      <m:oMath>
        <m:r>
          <m:rPr/>
          <w:rPr>
            <w:rFonts w:ascii="Cambria Math" w:hAnsi="Cambria Math"/>
          </w:rPr>
          <m:t>N</m:t>
        </m:r>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r>
          <m:rPr/>
          <w:rPr>
            <w:rFonts w:ascii="Cambria Math" w:hAnsi="Cambria Math"/>
          </w:rPr>
          <m:t>=</m:t>
        </m:r>
        <m:f>
          <m:fPr>
            <m:ctrlPr>
              <w:rPr>
                <w:rFonts w:ascii="Cambria Math" w:hAnsi="Cambria Math"/>
                <w:b w:val="0"/>
                <w:bCs w:val="0"/>
                <w:i/>
              </w:rPr>
            </m:ctrlPr>
          </m:fPr>
          <m:num>
            <m:sSub>
              <m:sSubPr>
                <m:ctrlPr>
                  <w:rPr>
                    <w:rFonts w:ascii="Cambria Math" w:hAnsi="Cambria Math"/>
                    <w:b w:val="0"/>
                    <w:bCs w:val="0"/>
                    <w:i/>
                  </w:rPr>
                </m:ctrlPr>
              </m:sSubPr>
              <m:e>
                <m:r>
                  <m:rPr/>
                  <w:rPr>
                    <w:rFonts w:ascii="Cambria Math" w:hAnsi="Cambria Math"/>
                  </w:rPr>
                  <m:t>v</m:t>
                </m:r>
                <m:ctrlPr>
                  <w:rPr>
                    <w:rFonts w:ascii="Cambria Math" w:hAnsi="Cambria Math"/>
                    <w:b w:val="0"/>
                    <w:bCs w:val="0"/>
                    <w:i/>
                  </w:rPr>
                </m:ctrlPr>
              </m:e>
              <m:sub>
                <m:r>
                  <m:rPr/>
                  <w:rPr>
                    <w:rFonts w:ascii="Cambria Math" w:hAnsi="Cambria Math"/>
                  </w:rPr>
                  <m:t>sub</m:t>
                </m:r>
                <m:ctrlPr>
                  <w:rPr>
                    <w:rFonts w:ascii="Cambria Math" w:hAnsi="Cambria Math"/>
                    <w:b w:val="0"/>
                    <w:bCs w:val="0"/>
                    <w:i/>
                  </w:rPr>
                </m:ctrlPr>
              </m:sub>
            </m:sSub>
            <m:ctrlPr>
              <w:rPr>
                <w:rFonts w:ascii="Cambria Math" w:hAnsi="Cambria Math"/>
                <w:b w:val="0"/>
                <w:bCs w:val="0"/>
                <w:i/>
              </w:rPr>
            </m:ctrlPr>
          </m:num>
          <m:den>
            <m:r>
              <m:rPr/>
              <w:rPr>
                <w:rFonts w:ascii="Cambria Math" w:hAnsi="Cambria Math"/>
              </w:rPr>
              <m:t>∆h</m:t>
            </m:r>
            <m:ctrlPr>
              <w:rPr>
                <w:rFonts w:ascii="Cambria Math" w:hAnsi="Cambria Math"/>
                <w:b w:val="0"/>
                <w:bCs w:val="0"/>
                <w:i/>
              </w:rPr>
            </m:ctrlPr>
          </m:den>
        </m:f>
      </m:oMath>
      <w:r>
        <w:rPr>
          <w:rFonts w:hint="eastAsia" w:hAnsi="Cambria Math"/>
        </w:rPr>
        <w:tab/>
      </w:r>
      <w:r>
        <w:rPr>
          <w:rFonts w:hint="eastAsia" w:hAnsi="Cambria Math"/>
          <w:b w:val="0"/>
          <w:bCs w:val="0"/>
        </w:rPr>
        <w:t>(</w:t>
      </w:r>
      <w:r>
        <w:rPr>
          <w:rFonts w:hint="eastAsia" w:hAnsi="Cambria Math" w:eastAsia="宋体"/>
          <w:b w:val="0"/>
          <w:bCs w:val="0"/>
        </w:rPr>
        <w:t>S9</w:t>
      </w:r>
      <w:r>
        <w:rPr>
          <w:rFonts w:hint="eastAsia" w:hAnsi="Cambria Math"/>
          <w:b w:val="0"/>
          <w:bCs w:val="0"/>
        </w:rPr>
        <w:t>.3)</w:t>
      </w:r>
    </w:p>
    <w:p w14:paraId="0DD75801">
      <w:pPr>
        <w:ind w:firstLine="420"/>
      </w:pPr>
      <w:r>
        <w:t>The annual expected total maintenance cost is therefore:</w:t>
      </w:r>
    </w:p>
    <w:p w14:paraId="3B26546C">
      <w:pPr>
        <w:pStyle w:val="21"/>
        <w:ind w:firstLine="482"/>
        <w:rPr>
          <w:rFonts w:eastAsia="宋体"/>
          <w:b w:val="0"/>
          <w:bCs w:val="0"/>
        </w:rPr>
      </w:pPr>
      <w:r>
        <w:rPr>
          <w:rFonts w:hint="eastAsia"/>
        </w:rPr>
        <w:tab/>
      </w:r>
      <m:oMath>
        <m:r>
          <m:rPr/>
          <w:rPr>
            <w:rFonts w:ascii="Cambria Math" w:hAnsi="Cambria Math"/>
          </w:rPr>
          <m:t>E</m:t>
        </m:r>
        <m:d>
          <m:dPr>
            <m:begChr m:val="["/>
            <m:endChr m:val="]"/>
            <m:ctrlPr>
              <w:rPr>
                <w:rFonts w:ascii="Cambria Math" w:hAnsi="Cambria Math"/>
                <w:b w:val="0"/>
                <w:bCs w:val="0"/>
                <w:i/>
              </w:rPr>
            </m:ctrlPr>
          </m:dPr>
          <m:e>
            <m:sSub>
              <m:sSubPr>
                <m:ctrlPr>
                  <w:rPr>
                    <w:rFonts w:ascii="Cambria Math" w:hAnsi="Cambria Math"/>
                    <w:b w:val="0"/>
                    <w:bCs w:val="0"/>
                    <w:i/>
                  </w:rPr>
                </m:ctrlPr>
              </m:sSubPr>
              <m:e>
                <m:r>
                  <m:rPr/>
                  <w:rPr>
                    <w:rFonts w:ascii="Cambria Math" w:hAnsi="Cambria Math"/>
                  </w:rPr>
                  <m:t>C</m:t>
                </m:r>
                <m:ctrlPr>
                  <w:rPr>
                    <w:rFonts w:ascii="Cambria Math" w:hAnsi="Cambria Math"/>
                    <w:b w:val="0"/>
                    <w:bCs w:val="0"/>
                    <w:i/>
                  </w:rPr>
                </m:ctrlPr>
              </m:e>
              <m:sub>
                <m:r>
                  <m:rPr/>
                  <w:rPr>
                    <w:rFonts w:ascii="Cambria Math" w:hAnsi="Cambria Math"/>
                  </w:rPr>
                  <m:t>total</m:t>
                </m:r>
                <m:ctrlPr>
                  <w:rPr>
                    <w:rFonts w:ascii="Cambria Math" w:hAnsi="Cambria Math"/>
                    <w:b w:val="0"/>
                    <w:bCs w:val="0"/>
                    <w:i/>
                  </w:rPr>
                </m:ctrlPr>
              </m:sub>
            </m:sSub>
            <m:ctrlPr>
              <w:rPr>
                <w:rFonts w:ascii="Cambria Math" w:hAnsi="Cambria Math"/>
                <w:b w:val="0"/>
                <w:bCs w:val="0"/>
                <w:i/>
              </w:rPr>
            </m:ctrlPr>
          </m:e>
        </m:d>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r>
          <m:rPr/>
          <w:rPr>
            <w:rFonts w:ascii="Cambria Math" w:hAnsi="Cambria Math"/>
          </w:rPr>
          <m:t>=</m:t>
        </m:r>
        <m:f>
          <m:fPr>
            <m:ctrlPr>
              <w:rPr>
                <w:rFonts w:ascii="Cambria Math" w:hAnsi="Cambria Math"/>
                <w:b w:val="0"/>
                <w:bCs w:val="0"/>
                <w:i/>
              </w:rPr>
            </m:ctrlPr>
          </m:fPr>
          <m:num>
            <m:sSub>
              <m:sSubPr>
                <m:ctrlPr>
                  <w:rPr>
                    <w:rFonts w:ascii="Cambria Math" w:hAnsi="Cambria Math"/>
                    <w:b w:val="0"/>
                    <w:bCs w:val="0"/>
                    <w:i/>
                  </w:rPr>
                </m:ctrlPr>
              </m:sSubPr>
              <m:e>
                <m:r>
                  <m:rPr/>
                  <w:rPr>
                    <w:rFonts w:ascii="Cambria Math" w:hAnsi="Cambria Math"/>
                  </w:rPr>
                  <m:t>v</m:t>
                </m:r>
                <m:ctrlPr>
                  <w:rPr>
                    <w:rFonts w:ascii="Cambria Math" w:hAnsi="Cambria Math"/>
                    <w:b w:val="0"/>
                    <w:bCs w:val="0"/>
                    <w:i/>
                  </w:rPr>
                </m:ctrlPr>
              </m:e>
              <m:sub>
                <m:r>
                  <m:rPr/>
                  <w:rPr>
                    <w:rFonts w:ascii="Cambria Math" w:hAnsi="Cambria Math"/>
                  </w:rPr>
                  <m:t>sub</m:t>
                </m:r>
                <m:ctrlPr>
                  <w:rPr>
                    <w:rFonts w:ascii="Cambria Math" w:hAnsi="Cambria Math"/>
                    <w:b w:val="0"/>
                    <w:bCs w:val="0"/>
                    <w:i/>
                  </w:rPr>
                </m:ctrlPr>
              </m:sub>
            </m:sSub>
            <m:ctrlPr>
              <w:rPr>
                <w:rFonts w:ascii="Cambria Math" w:hAnsi="Cambria Math"/>
                <w:b w:val="0"/>
                <w:bCs w:val="0"/>
                <w:i/>
              </w:rPr>
            </m:ctrlPr>
          </m:num>
          <m:den>
            <m:r>
              <m:rPr/>
              <w:rPr>
                <w:rFonts w:ascii="Cambria Math" w:hAnsi="Cambria Math"/>
              </w:rPr>
              <m:t>∆h</m:t>
            </m:r>
            <m:ctrlPr>
              <w:rPr>
                <w:rFonts w:ascii="Cambria Math" w:hAnsi="Cambria Math"/>
                <w:b w:val="0"/>
                <w:bCs w:val="0"/>
                <w:i/>
              </w:rPr>
            </m:ctrlPr>
          </m:den>
        </m:f>
        <m:r>
          <m:rPr/>
          <w:rPr>
            <w:rFonts w:ascii="Cambria Math" w:hAnsi="Cambria Math"/>
          </w:rPr>
          <m:t>∙</m:t>
        </m:r>
        <m:d>
          <m:dPr>
            <m:begChr m:val="["/>
            <m:endChr m:val="]"/>
            <m:ctrlPr>
              <w:rPr>
                <w:rFonts w:ascii="Cambria Math" w:hAnsi="Cambria Math"/>
                <w:b w:val="0"/>
                <w:bCs w:val="0"/>
                <w:i/>
              </w:rPr>
            </m:ctrlPr>
          </m:dPr>
          <m:e>
            <m:d>
              <m:dPr>
                <m:ctrlPr>
                  <w:rPr>
                    <w:rFonts w:ascii="Cambria Math" w:hAnsi="Cambria Math"/>
                    <w:b w:val="0"/>
                    <w:bCs w:val="0"/>
                    <w:i/>
                  </w:rPr>
                </m:ctrlPr>
              </m:dPr>
              <m:e>
                <m:r>
                  <m:rPr/>
                  <w:rPr>
                    <w:rFonts w:ascii="Cambria Math" w:hAnsi="Cambria Math"/>
                  </w:rPr>
                  <m:t>1−</m:t>
                </m:r>
                <m:sSub>
                  <m:sSubPr>
                    <m:ctrlPr>
                      <w:rPr>
                        <w:rFonts w:ascii="Cambria Math" w:hAnsi="Cambria Math"/>
                        <w:b w:val="0"/>
                        <w:bCs w:val="0"/>
                        <w:i/>
                      </w:rPr>
                    </m:ctrlPr>
                  </m:sSubPr>
                  <m:e>
                    <m:r>
                      <m:rPr/>
                      <w:rPr>
                        <w:rFonts w:ascii="Cambria Math" w:hAnsi="Cambria Math"/>
                      </w:rPr>
                      <m:t>P</m:t>
                    </m:r>
                    <m:ctrlPr>
                      <w:rPr>
                        <w:rFonts w:ascii="Cambria Math" w:hAnsi="Cambria Math"/>
                        <w:b w:val="0"/>
                        <w:bCs w:val="0"/>
                        <w:i/>
                      </w:rPr>
                    </m:ctrlPr>
                  </m:e>
                  <m:sub>
                    <m:r>
                      <m:rPr/>
                      <w:rPr>
                        <w:rFonts w:ascii="Cambria Math" w:hAnsi="Cambria Math"/>
                      </w:rPr>
                      <m:t>fail</m:t>
                    </m:r>
                    <m:ctrlPr>
                      <w:rPr>
                        <w:rFonts w:ascii="Cambria Math" w:hAnsi="Cambria Math"/>
                        <w:b w:val="0"/>
                        <w:bCs w:val="0"/>
                        <w:i/>
                      </w:rPr>
                    </m:ctrlPr>
                  </m:sub>
                </m:sSub>
                <m:ctrlPr>
                  <w:rPr>
                    <w:rFonts w:ascii="Cambria Math" w:hAnsi="Cambria Math"/>
                    <w:b w:val="0"/>
                    <w:bCs w:val="0"/>
                    <w:i/>
                  </w:rPr>
                </m:ctrlPr>
              </m:e>
            </m:d>
            <m:r>
              <m:rPr/>
              <w:rPr>
                <w:rFonts w:ascii="Cambria Math" w:hAnsi="Cambria Math"/>
              </w:rPr>
              <m:t>∙</m:t>
            </m:r>
            <m:sSub>
              <m:sSubPr>
                <m:ctrlPr>
                  <w:rPr>
                    <w:rFonts w:ascii="Cambria Math" w:hAnsi="Cambria Math"/>
                    <w:b w:val="0"/>
                    <w:bCs w:val="0"/>
                    <w:i/>
                  </w:rPr>
                </m:ctrlPr>
              </m:sSubPr>
              <m:e>
                <m:r>
                  <m:rPr/>
                  <w:rPr>
                    <w:rFonts w:ascii="Cambria Math" w:hAnsi="Cambria Math"/>
                  </w:rPr>
                  <m:t>C</m:t>
                </m:r>
                <m:ctrlPr>
                  <w:rPr>
                    <w:rFonts w:ascii="Cambria Math" w:hAnsi="Cambria Math"/>
                    <w:b w:val="0"/>
                    <w:bCs w:val="0"/>
                    <w:i/>
                  </w:rPr>
                </m:ctrlPr>
              </m:e>
              <m:sub>
                <m:r>
                  <m:rPr/>
                  <w:rPr>
                    <w:rFonts w:ascii="Cambria Math" w:hAnsi="Cambria Math"/>
                  </w:rPr>
                  <m:t>grout</m:t>
                </m:r>
                <m:ctrlPr>
                  <w:rPr>
                    <w:rFonts w:ascii="Cambria Math" w:hAnsi="Cambria Math"/>
                    <w:b w:val="0"/>
                    <w:bCs w:val="0"/>
                    <w:i/>
                  </w:rPr>
                </m:ctrlPr>
              </m:sub>
            </m:sSub>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r>
              <m:rPr/>
              <w:rPr>
                <w:rFonts w:ascii="Cambria Math" w:hAnsi="Cambria Math"/>
              </w:rPr>
              <m:t>+</m:t>
            </m:r>
            <m:sSub>
              <m:sSubPr>
                <m:ctrlPr>
                  <w:rPr>
                    <w:rFonts w:ascii="Cambria Math" w:hAnsi="Cambria Math"/>
                    <w:b w:val="0"/>
                    <w:bCs w:val="0"/>
                    <w:i/>
                  </w:rPr>
                </m:ctrlPr>
              </m:sSubPr>
              <m:e>
                <m:r>
                  <m:rPr/>
                  <w:rPr>
                    <w:rFonts w:ascii="Cambria Math" w:hAnsi="Cambria Math"/>
                  </w:rPr>
                  <m:t>P</m:t>
                </m:r>
                <m:ctrlPr>
                  <w:rPr>
                    <w:rFonts w:ascii="Cambria Math" w:hAnsi="Cambria Math"/>
                    <w:b w:val="0"/>
                    <w:bCs w:val="0"/>
                    <w:i/>
                  </w:rPr>
                </m:ctrlPr>
              </m:e>
              <m:sub>
                <m:r>
                  <m:rPr/>
                  <w:rPr>
                    <w:rFonts w:ascii="Cambria Math" w:hAnsi="Cambria Math"/>
                  </w:rPr>
                  <m:t>fail</m:t>
                </m:r>
                <m:ctrlPr>
                  <w:rPr>
                    <w:rFonts w:ascii="Cambria Math" w:hAnsi="Cambria Math"/>
                    <w:b w:val="0"/>
                    <w:bCs w:val="0"/>
                    <w:i/>
                  </w:rPr>
                </m:ctrlPr>
              </m:sub>
            </m:sSub>
            <m:r>
              <m:rPr/>
              <w:rPr>
                <w:rFonts w:ascii="Cambria Math" w:hAnsi="Cambria Math"/>
              </w:rPr>
              <m:t>∙</m:t>
            </m:r>
            <m:sSub>
              <m:sSubPr>
                <m:ctrlPr>
                  <w:rPr>
                    <w:rFonts w:ascii="Cambria Math" w:hAnsi="Cambria Math"/>
                    <w:b w:val="0"/>
                    <w:bCs w:val="0"/>
                    <w:i/>
                  </w:rPr>
                </m:ctrlPr>
              </m:sSubPr>
              <m:e>
                <m:r>
                  <m:rPr/>
                  <w:rPr>
                    <w:rFonts w:ascii="Cambria Math" w:hAnsi="Cambria Math"/>
                  </w:rPr>
                  <m:t>C</m:t>
                </m:r>
                <m:ctrlPr>
                  <w:rPr>
                    <w:rFonts w:ascii="Cambria Math" w:hAnsi="Cambria Math"/>
                    <w:b w:val="0"/>
                    <w:bCs w:val="0"/>
                    <w:i/>
                  </w:rPr>
                </m:ctrlPr>
              </m:e>
              <m:sub>
                <m:r>
                  <m:rPr/>
                  <w:rPr>
                    <w:rFonts w:ascii="Cambria Math" w:hAnsi="Cambria Math"/>
                  </w:rPr>
                  <m:t>overlay</m:t>
                </m:r>
                <m:ctrlPr>
                  <w:rPr>
                    <w:rFonts w:ascii="Cambria Math" w:hAnsi="Cambria Math"/>
                    <w:b w:val="0"/>
                    <w:bCs w:val="0"/>
                    <w:i/>
                  </w:rPr>
                </m:ctrlPr>
              </m:sub>
            </m:sSub>
            <m:ctrlPr>
              <w:rPr>
                <w:rFonts w:ascii="Cambria Math" w:hAnsi="Cambria Math"/>
                <w:b w:val="0"/>
                <w:bCs w:val="0"/>
                <w:i/>
              </w:rPr>
            </m:ctrlPr>
          </m:e>
        </m:d>
      </m:oMath>
      <w:r>
        <w:rPr>
          <w:rFonts w:hint="eastAsia" w:hAnsi="Cambria Math"/>
          <w:b w:val="0"/>
          <w:bCs w:val="0"/>
        </w:rPr>
        <w:tab/>
      </w:r>
      <w:r>
        <w:rPr>
          <w:rFonts w:hint="eastAsia" w:hAnsi="Cambria Math"/>
          <w:b w:val="0"/>
          <w:bCs w:val="0"/>
        </w:rPr>
        <w:t>(</w:t>
      </w:r>
      <w:r>
        <w:rPr>
          <w:rFonts w:hint="eastAsia" w:hAnsi="Cambria Math" w:eastAsia="宋体"/>
          <w:b w:val="0"/>
          <w:bCs w:val="0"/>
        </w:rPr>
        <w:t>S9</w:t>
      </w:r>
      <w:r>
        <w:rPr>
          <w:rFonts w:hint="eastAsia" w:hAnsi="Cambria Math"/>
          <w:b w:val="0"/>
          <w:bCs w:val="0"/>
        </w:rPr>
        <w:t>.4)</w:t>
      </w:r>
    </w:p>
    <w:p w14:paraId="510F4F1C">
      <w:pPr>
        <w:ind w:firstLine="420"/>
      </w:pPr>
      <w:r>
        <w:rPr>
          <w:rFonts w:hint="eastAsia"/>
        </w:rPr>
        <w:t>W</w:t>
      </w:r>
      <w:r>
        <w:t>here</w:t>
      </w:r>
      <w:r>
        <w:rPr>
          <w:rFonts w:hint="eastAsia"/>
        </w:rPr>
        <w:t xml:space="preserve"> </w:t>
      </w:r>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grout</m:t>
            </m:r>
            <m:ctrlPr>
              <w:rPr>
                <w:rFonts w:ascii="Cambria Math" w:hAnsi="Cambria Math"/>
                <w:i/>
              </w:rPr>
            </m:ctrlPr>
          </m:sub>
        </m:sSub>
        <m:d>
          <m:dPr>
            <m:ctrlPr>
              <w:rPr>
                <w:rFonts w:ascii="Cambria Math" w:hAnsi="Cambria Math"/>
                <w:i/>
              </w:rPr>
            </m:ctrlPr>
          </m:dPr>
          <m:e>
            <m:r>
              <m:rPr/>
              <w:rPr>
                <w:rFonts w:ascii="Cambria Math" w:hAnsi="Cambria Math"/>
              </w:rPr>
              <m:t>∆h</m:t>
            </m:r>
            <m:ctrlPr>
              <w:rPr>
                <w:rFonts w:ascii="Cambria Math" w:hAnsi="Cambria Math"/>
                <w:i/>
              </w:rPr>
            </m:ctrlPr>
          </m:e>
        </m:d>
      </m:oMath>
      <w:r>
        <w:t xml:space="preserve"> is the grouting cost, </w:t>
      </w:r>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overlay</m:t>
            </m:r>
            <m:ctrlPr>
              <w:rPr>
                <w:rFonts w:ascii="Cambria Math" w:hAnsi="Cambria Math"/>
                <w:i/>
              </w:rPr>
            </m:ctrlPr>
          </m:sub>
        </m:sSub>
        <m:r>
          <m:rPr/>
          <w:rPr>
            <w:rFonts w:ascii="Cambria Math" w:hAnsi="Cambria Math"/>
          </w:rPr>
          <m:t xml:space="preserve"> </m:t>
        </m:r>
      </m:oMath>
      <w:r>
        <w:t>is the structural overlay cost.</w:t>
      </w:r>
    </w:p>
    <w:p w14:paraId="30B5FD01">
      <w:pPr>
        <w:ind w:firstLine="420"/>
      </w:pPr>
      <w:r>
        <w:t>This formulation integrates frequent minor repair and probabilistic major rehabilitation within a unified framework.</w:t>
      </w:r>
    </w:p>
    <w:p w14:paraId="68919271">
      <w:pPr>
        <w:pStyle w:val="3"/>
        <w:ind w:firstLine="482"/>
        <w:rPr>
          <w:bCs/>
        </w:rPr>
      </w:pPr>
      <w:r>
        <w:rPr>
          <w:bCs/>
        </w:rPr>
        <w:t>9.3 Parameterization of maintenance costs</w:t>
      </w:r>
    </w:p>
    <w:p w14:paraId="48573FDF">
      <w:pPr>
        <w:ind w:firstLine="420"/>
      </w:pPr>
      <w:r>
        <w:t>Cost parameters are calibrated using the Civil Aviation Engineering Consumption Standards and prevailing market prices.</w:t>
      </w:r>
    </w:p>
    <w:p w14:paraId="33AB03AF">
      <w:pPr>
        <w:ind w:firstLine="420"/>
      </w:pPr>
      <w:r>
        <w:t>(1) Grouting cost</w:t>
      </w:r>
    </w:p>
    <w:p w14:paraId="715149E5">
      <w:pPr>
        <w:pStyle w:val="21"/>
        <w:rPr>
          <w:rFonts w:eastAsia="宋体"/>
          <w:b w:val="0"/>
          <w:bCs w:val="0"/>
        </w:rPr>
      </w:pPr>
      <w:r>
        <w:rPr>
          <w:rFonts w:hint="eastAsia" w:hAnsi="Cambria Math"/>
          <w:b w:val="0"/>
          <w:bCs w:val="0"/>
        </w:rPr>
        <w:tab/>
      </w:r>
      <m:oMath>
        <m:sSub>
          <m:sSubPr>
            <m:ctrlPr>
              <w:rPr>
                <w:rFonts w:ascii="Cambria Math" w:hAnsi="Cambria Math"/>
                <w:b w:val="0"/>
                <w:bCs w:val="0"/>
                <w:i/>
              </w:rPr>
            </m:ctrlPr>
          </m:sSubPr>
          <m:e>
            <m:r>
              <m:rPr/>
              <w:rPr>
                <w:rFonts w:ascii="Cambria Math" w:hAnsi="Cambria Math"/>
              </w:rPr>
              <m:t>C</m:t>
            </m:r>
            <m:ctrlPr>
              <w:rPr>
                <w:rFonts w:ascii="Cambria Math" w:hAnsi="Cambria Math"/>
                <w:b w:val="0"/>
                <w:bCs w:val="0"/>
                <w:i/>
              </w:rPr>
            </m:ctrlPr>
          </m:e>
          <m:sub>
            <m:r>
              <m:rPr/>
              <w:rPr>
                <w:rFonts w:ascii="Cambria Math" w:hAnsi="Cambria Math"/>
              </w:rPr>
              <m:t>grout</m:t>
            </m:r>
            <m:ctrlPr>
              <w:rPr>
                <w:rFonts w:ascii="Cambria Math" w:hAnsi="Cambria Math"/>
                <w:b w:val="0"/>
                <w:bCs w:val="0"/>
                <w:i/>
              </w:rPr>
            </m:ctrlPr>
          </m:sub>
        </m:sSub>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r>
          <m:rPr/>
          <w:rPr>
            <w:rFonts w:ascii="Cambria Math" w:hAnsi="Cambria Math"/>
          </w:rPr>
          <m:t>=</m:t>
        </m:r>
        <m:sSub>
          <m:sSubPr>
            <m:ctrlPr>
              <w:rPr>
                <w:rFonts w:ascii="Cambria Math" w:hAnsi="Cambria Math"/>
                <w:b w:val="0"/>
                <w:bCs w:val="0"/>
                <w:i/>
              </w:rPr>
            </m:ctrlPr>
          </m:sSubPr>
          <m:e>
            <m:r>
              <m:rPr/>
              <w:rPr>
                <w:rFonts w:ascii="Cambria Math" w:hAnsi="Cambria Math"/>
              </w:rPr>
              <m:t>C</m:t>
            </m:r>
            <m:ctrlPr>
              <w:rPr>
                <w:rFonts w:ascii="Cambria Math" w:hAnsi="Cambria Math"/>
                <w:b w:val="0"/>
                <w:bCs w:val="0"/>
                <w:i/>
              </w:rPr>
            </m:ctrlPr>
          </m:e>
          <m:sub>
            <m:r>
              <m:rPr/>
              <w:rPr>
                <w:rFonts w:ascii="Cambria Math" w:hAnsi="Cambria Math"/>
              </w:rPr>
              <m:t>mob</m:t>
            </m:r>
            <m:ctrlPr>
              <w:rPr>
                <w:rFonts w:ascii="Cambria Math" w:hAnsi="Cambria Math"/>
                <w:b w:val="0"/>
                <w:bCs w:val="0"/>
                <w:i/>
              </w:rPr>
            </m:ctrlPr>
          </m:sub>
        </m:sSub>
        <m:r>
          <m:rPr/>
          <w:rPr>
            <w:rFonts w:ascii="Cambria Math" w:hAnsi="Cambria Math"/>
          </w:rPr>
          <m:t>+</m:t>
        </m:r>
        <m:sSub>
          <m:sSubPr>
            <m:ctrlPr>
              <w:rPr>
                <w:rFonts w:ascii="Cambria Math" w:hAnsi="Cambria Math"/>
                <w:b w:val="0"/>
                <w:bCs w:val="0"/>
                <w:i/>
              </w:rPr>
            </m:ctrlPr>
          </m:sSubPr>
          <m:e>
            <m:r>
              <m:rPr/>
              <w:rPr>
                <w:rFonts w:ascii="Cambria Math" w:hAnsi="Cambria Math"/>
              </w:rPr>
              <m:t>C</m:t>
            </m:r>
            <m:ctrlPr>
              <w:rPr>
                <w:rFonts w:ascii="Cambria Math" w:hAnsi="Cambria Math"/>
                <w:b w:val="0"/>
                <w:bCs w:val="0"/>
                <w:i/>
              </w:rPr>
            </m:ctrlPr>
          </m:e>
          <m:sub>
            <m:r>
              <m:rPr/>
              <w:rPr>
                <w:rFonts w:ascii="Cambria Math" w:hAnsi="Cambria Math"/>
              </w:rPr>
              <m:t>vol</m:t>
            </m:r>
            <m:ctrlPr>
              <w:rPr>
                <w:rFonts w:ascii="Cambria Math" w:hAnsi="Cambria Math"/>
                <w:b w:val="0"/>
                <w:bCs w:val="0"/>
                <w:i/>
              </w:rPr>
            </m:ctrlPr>
          </m:sub>
        </m:sSub>
        <m:r>
          <m:rPr/>
          <w:rPr>
            <w:rFonts w:ascii="Cambria Math" w:hAnsi="Cambria Math"/>
          </w:rPr>
          <m:t>∙</m:t>
        </m:r>
        <m:sSub>
          <m:sSubPr>
            <m:ctrlPr>
              <w:rPr>
                <w:rFonts w:ascii="Cambria Math" w:hAnsi="Cambria Math"/>
                <w:b w:val="0"/>
                <w:bCs w:val="0"/>
                <w:i/>
              </w:rPr>
            </m:ctrlPr>
          </m:sSubPr>
          <m:e>
            <m:r>
              <m:rPr/>
              <w:rPr>
                <w:rFonts w:ascii="Cambria Math" w:hAnsi="Cambria Math"/>
              </w:rPr>
              <m:t>V</m:t>
            </m:r>
            <m:ctrlPr>
              <w:rPr>
                <w:rFonts w:ascii="Cambria Math" w:hAnsi="Cambria Math"/>
                <w:b w:val="0"/>
                <w:bCs w:val="0"/>
                <w:i/>
              </w:rPr>
            </m:ctrlPr>
          </m:e>
          <m:sub>
            <m:r>
              <m:rPr/>
              <w:rPr>
                <w:rFonts w:ascii="Cambria Math" w:hAnsi="Cambria Math"/>
              </w:rPr>
              <m:t>grout</m:t>
            </m:r>
            <m:ctrlPr>
              <w:rPr>
                <w:rFonts w:ascii="Cambria Math" w:hAnsi="Cambria Math"/>
                <w:b w:val="0"/>
                <w:bCs w:val="0"/>
                <w:i/>
              </w:rPr>
            </m:ctrlPr>
          </m:sub>
        </m:sSub>
        <m:d>
          <m:dPr>
            <m:ctrlPr>
              <w:rPr>
                <w:rFonts w:ascii="Cambria Math" w:hAnsi="Cambria Math"/>
                <w:b w:val="0"/>
                <w:bCs w:val="0"/>
                <w:i/>
              </w:rPr>
            </m:ctrlPr>
          </m:dPr>
          <m:e>
            <m:r>
              <m:rPr/>
              <w:rPr>
                <w:rFonts w:ascii="Cambria Math" w:hAnsi="Cambria Math"/>
              </w:rPr>
              <m:t>∆h</m:t>
            </m:r>
            <m:ctrlPr>
              <w:rPr>
                <w:rFonts w:ascii="Cambria Math" w:hAnsi="Cambria Math"/>
                <w:b w:val="0"/>
                <w:bCs w:val="0"/>
                <w:i/>
              </w:rPr>
            </m:ctrlPr>
          </m:e>
        </m:d>
      </m:oMath>
      <w:r>
        <w:rPr>
          <w:rFonts w:hint="eastAsia" w:hAnsi="Cambria Math"/>
          <w:b w:val="0"/>
          <w:bCs w:val="0"/>
        </w:rPr>
        <w:tab/>
      </w:r>
      <w:r>
        <w:rPr>
          <w:rFonts w:hint="eastAsia" w:hAnsi="Cambria Math"/>
          <w:b w:val="0"/>
          <w:bCs w:val="0"/>
        </w:rPr>
        <w:t>(</w:t>
      </w:r>
      <w:r>
        <w:rPr>
          <w:rFonts w:hint="eastAsia" w:hAnsi="Cambria Math" w:eastAsia="宋体"/>
          <w:b w:val="0"/>
          <w:bCs w:val="0"/>
        </w:rPr>
        <w:t>S9</w:t>
      </w:r>
      <w:r>
        <w:rPr>
          <w:rFonts w:hint="eastAsia" w:hAnsi="Cambria Math"/>
          <w:b w:val="0"/>
          <w:bCs w:val="0"/>
        </w:rPr>
        <w:t>.5)</w:t>
      </w:r>
    </w:p>
    <w:p w14:paraId="38BF5923">
      <w:pPr>
        <w:ind w:firstLine="420"/>
      </w:pPr>
      <w:r>
        <w:t xml:space="preserve">Where: Mobilization cost </w:t>
      </w:r>
      <m:oMath>
        <m:sSub>
          <m:sSubPr>
            <m:ctrlPr>
              <w:rPr>
                <w:rFonts w:ascii="Cambria Math" w:hAnsi="Cambria Math"/>
              </w:rPr>
            </m:ctrlPr>
          </m:sSubPr>
          <m:e>
            <m:r>
              <m:rPr>
                <m:sty m:val="p"/>
              </m:rPr>
              <w:rPr>
                <w:rFonts w:ascii="Cambria Math" w:hAnsi="Cambria Math"/>
              </w:rPr>
              <m:t>C</m:t>
            </m:r>
            <m:ctrlPr>
              <w:rPr>
                <w:rFonts w:ascii="Cambria Math" w:hAnsi="Cambria Math"/>
              </w:rPr>
            </m:ctrlPr>
          </m:e>
          <m:sub>
            <m:r>
              <m:rPr>
                <m:sty m:val="p"/>
              </m:rPr>
              <w:rPr>
                <w:rFonts w:hint="eastAsia" w:ascii="Cambria Math" w:hAnsi="Cambria Math"/>
              </w:rPr>
              <m:t>mob</m:t>
            </m:r>
            <m:ctrlPr>
              <w:rPr>
                <w:rFonts w:ascii="Cambria Math" w:hAnsi="Cambria Math"/>
              </w:rPr>
            </m:ctrlPr>
          </m:sub>
        </m:sSub>
      </m:oMath>
      <w:r>
        <w:t xml:space="preserve">= 4568.35CNY/event, Volumetric grouting cost </w:t>
      </w:r>
      <m:oMath>
        <m:sSub>
          <m:sSubPr>
            <m:ctrlPr>
              <w:rPr>
                <w:rFonts w:ascii="Cambria Math" w:hAnsi="Cambria Math"/>
              </w:rPr>
            </m:ctrlPr>
          </m:sSubPr>
          <m:e>
            <m:r>
              <m:rPr>
                <m:sty m:val="p"/>
              </m:rPr>
              <w:rPr>
                <w:rFonts w:ascii="Cambria Math" w:hAnsi="Cambria Math"/>
              </w:rPr>
              <m:t>C</m:t>
            </m:r>
            <m:ctrlPr>
              <w:rPr>
                <w:rFonts w:ascii="Cambria Math" w:hAnsi="Cambria Math"/>
              </w:rPr>
            </m:ctrlPr>
          </m:e>
          <m:sub>
            <m:r>
              <m:rPr>
                <m:sty m:val="p"/>
              </m:rPr>
              <w:rPr>
                <w:rFonts w:ascii="Cambria Math" w:hAnsi="Cambria Math"/>
              </w:rPr>
              <m:t>vol</m:t>
            </m:r>
            <m:ctrlPr>
              <w:rPr>
                <w:rFonts w:ascii="Cambria Math" w:hAnsi="Cambria Math"/>
              </w:rPr>
            </m:ctrlPr>
          </m:sub>
        </m:sSub>
      </m:oMath>
      <w:r>
        <w:t>= 457.59CNY/m³.</w:t>
      </w:r>
    </w:p>
    <w:p w14:paraId="3B7B06F3">
      <w:pPr>
        <w:ind w:firstLine="420"/>
      </w:pPr>
      <w:r>
        <w:t>(2) Overlay cost</w:t>
      </w:r>
    </w:p>
    <w:p w14:paraId="5CB8B686">
      <w:pPr>
        <w:ind w:firstLine="420"/>
      </w:pPr>
      <w:r>
        <w:t>Overlay reconstruction, including surface removal and slab replacement, is estimated as: C</w:t>
      </w:r>
      <w:r>
        <w:rPr>
          <w:vertAlign w:val="subscript"/>
        </w:rPr>
        <w:t>overlay</w:t>
      </w:r>
      <w:r>
        <w:rPr>
          <w:rFonts w:hint="eastAsia"/>
          <w:vertAlign w:val="subscript"/>
        </w:rPr>
        <w:t xml:space="preserve"> </w:t>
      </w:r>
      <w:r>
        <w:t>=33470.03 CNY/event</w:t>
      </w:r>
      <w:r>
        <w:rPr>
          <w:rFonts w:hint="eastAsia"/>
        </w:rPr>
        <w:t>.</w:t>
      </w:r>
    </w:p>
    <w:p w14:paraId="16FB629B">
      <w:pPr>
        <w:pStyle w:val="3"/>
        <w:ind w:firstLine="482"/>
      </w:pPr>
      <w:r>
        <w:t>9.4 Mapping to CCI and optimal maintenance interval</w:t>
      </w:r>
    </w:p>
    <w:p w14:paraId="22BE7288">
      <w:pPr>
        <w:ind w:firstLine="420"/>
      </w:pPr>
      <w:r>
        <w:t>Using the physical model described above, the microscopic settlement threshold Δℎ is mapped to the macroscopic Carbon Condition Index (CCI). Substituting the calibrated parameters into Eq.(</w:t>
      </w:r>
      <w:r>
        <w:rPr>
          <w:rFonts w:hint="eastAsia"/>
        </w:rPr>
        <w:t>S</w:t>
      </w:r>
      <w:r>
        <w:t>9.4) yields the CCI–annual cost response curve (Fig.</w:t>
      </w:r>
      <w:r>
        <w:rPr>
          <w:rFonts w:hint="eastAsia"/>
        </w:rPr>
        <w:t>S</w:t>
      </w:r>
      <w:r>
        <w:t>9.2). The resulting function exhibits a clear convex profile with a unique global minimum. This minimum corresponds to the optimal trade-off between minimizing carbon emissions induced by excessive roughness and minimizing lifecycle maintenance expenditure.</w:t>
      </w:r>
    </w:p>
    <w:p w14:paraId="0F7161D6">
      <w:pPr>
        <w:ind w:firstLine="420"/>
      </w:pPr>
      <w:r>
        <w:t>The economically optimal CCI interval coincides with the carbon-control interval identified in Supplementary Note 8, confirming that the recommended threshold achieves a balanced solution under both environmental and financial constraints.</w:t>
      </w:r>
    </w:p>
    <w:p w14:paraId="0EDAD45C">
      <w:pPr>
        <w:ind w:firstLine="420"/>
        <w:jc w:val="center"/>
      </w:pPr>
      <w:r>
        <w:rPr>
          <w:rFonts w:hint="eastAsia"/>
        </w:rPr>
        <w:drawing>
          <wp:inline distT="0" distB="0" distL="114300" distR="114300">
            <wp:extent cx="3599815" cy="2459990"/>
            <wp:effectExtent l="0" t="0" r="6985" b="3810"/>
            <wp:docPr id="59" name="图片 59" descr="48227a05d2ef9076fb8bdd6c30e3b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8227a05d2ef9076fb8bdd6c30e3be03"/>
                    <pic:cNvPicPr>
                      <a:picLocks noChangeAspect="1"/>
                    </pic:cNvPicPr>
                  </pic:nvPicPr>
                  <pic:blipFill>
                    <a:blip r:embed="rId95"/>
                    <a:stretch>
                      <a:fillRect/>
                    </a:stretch>
                  </pic:blipFill>
                  <pic:spPr>
                    <a:xfrm>
                      <a:off x="0" y="0"/>
                      <a:ext cx="3599815" cy="2459990"/>
                    </a:xfrm>
                    <a:prstGeom prst="rect">
                      <a:avLst/>
                    </a:prstGeom>
                  </pic:spPr>
                </pic:pic>
              </a:graphicData>
            </a:graphic>
          </wp:inline>
        </w:drawing>
      </w:r>
    </w:p>
    <w:p w14:paraId="5CA920BA">
      <w:pPr>
        <w:pStyle w:val="52"/>
      </w:pPr>
      <w:r>
        <w:t>Fig.</w:t>
      </w:r>
      <w:r>
        <w:rPr>
          <w:rFonts w:hint="eastAsia"/>
        </w:rPr>
        <w:t>S</w:t>
      </w:r>
      <w:r>
        <w:t>9.2</w:t>
      </w:r>
      <w:r>
        <w:rPr>
          <w:rFonts w:hint="eastAsia"/>
        </w:rPr>
        <w:t>.</w:t>
      </w:r>
      <w:r>
        <w:t xml:space="preserve"> Relationship between CCI and annual maintenance cost</w:t>
      </w:r>
    </w:p>
    <w:p w14:paraId="2610F061">
      <w:pPr>
        <w:ind w:firstLine="420"/>
        <w:jc w:val="center"/>
      </w:pPr>
    </w:p>
    <w:p w14:paraId="055C36D2">
      <w:pPr>
        <w:pStyle w:val="52"/>
      </w:pPr>
      <w:r>
        <w:rPr>
          <w:rFonts w:hint="eastAsia"/>
        </w:rPr>
        <w:t>Table S9.1. Mobilization and Demobilization Cost for Grouting Repair Equipment(Unit: operation)</w:t>
      </w:r>
    </w:p>
    <w:tbl>
      <w:tblPr>
        <w:tblStyle w:val="15"/>
        <w:tblW w:w="0" w:type="auto"/>
        <w:jc w:val="center"/>
        <w:tblLayout w:type="fixed"/>
        <w:tblCellMar>
          <w:top w:w="0" w:type="dxa"/>
          <w:left w:w="108" w:type="dxa"/>
          <w:bottom w:w="0" w:type="dxa"/>
          <w:right w:w="108" w:type="dxa"/>
        </w:tblCellMar>
      </w:tblPr>
      <w:tblGrid>
        <w:gridCol w:w="598"/>
        <w:gridCol w:w="3071"/>
        <w:gridCol w:w="1157"/>
        <w:gridCol w:w="892"/>
        <w:gridCol w:w="1089"/>
        <w:gridCol w:w="916"/>
      </w:tblGrid>
      <w:tr w14:paraId="18C05E2A">
        <w:tblPrEx>
          <w:tblCellMar>
            <w:top w:w="0" w:type="dxa"/>
            <w:left w:w="108" w:type="dxa"/>
            <w:bottom w:w="0" w:type="dxa"/>
            <w:right w:w="108" w:type="dxa"/>
          </w:tblCellMar>
        </w:tblPrEx>
        <w:trPr>
          <w:trHeight w:val="288" w:hRule="atLeast"/>
          <w:jc w:val="center"/>
        </w:trPr>
        <w:tc>
          <w:tcPr>
            <w:tcW w:w="598" w:type="dxa"/>
            <w:tcBorders>
              <w:top w:val="single" w:color="000000" w:sz="12" w:space="0"/>
              <w:bottom w:val="single" w:color="000000" w:sz="12" w:space="0"/>
            </w:tcBorders>
            <w:vAlign w:val="center"/>
          </w:tcPr>
          <w:p w14:paraId="7C466057">
            <w:pPr>
              <w:widowControl/>
              <w:snapToGrid w:val="0"/>
              <w:ind w:firstLine="0" w:firstLineChars="0"/>
              <w:jc w:val="center"/>
              <w:rPr>
                <w:b/>
                <w:bCs/>
                <w:color w:val="000000"/>
                <w:kern w:val="0"/>
                <w:sz w:val="16"/>
                <w:szCs w:val="16"/>
              </w:rPr>
            </w:pPr>
            <w:r>
              <w:rPr>
                <w:b/>
                <w:bCs/>
                <w:color w:val="000000"/>
                <w:kern w:val="0"/>
                <w:sz w:val="16"/>
                <w:szCs w:val="16"/>
              </w:rPr>
              <w:t>No.</w:t>
            </w:r>
          </w:p>
        </w:tc>
        <w:tc>
          <w:tcPr>
            <w:tcW w:w="3071" w:type="dxa"/>
            <w:tcBorders>
              <w:top w:val="single" w:color="000000" w:sz="12" w:space="0"/>
              <w:bottom w:val="single" w:color="000000" w:sz="12" w:space="0"/>
            </w:tcBorders>
            <w:vAlign w:val="center"/>
          </w:tcPr>
          <w:p w14:paraId="1F88FDCF">
            <w:pPr>
              <w:widowControl/>
              <w:snapToGrid w:val="0"/>
              <w:ind w:firstLine="0" w:firstLineChars="0"/>
              <w:jc w:val="center"/>
              <w:rPr>
                <w:b/>
                <w:bCs/>
                <w:color w:val="000000"/>
                <w:kern w:val="0"/>
                <w:sz w:val="16"/>
                <w:szCs w:val="16"/>
              </w:rPr>
            </w:pPr>
            <w:r>
              <w:rPr>
                <w:b/>
                <w:bCs/>
                <w:color w:val="000000"/>
                <w:kern w:val="0"/>
                <w:sz w:val="16"/>
                <w:szCs w:val="16"/>
              </w:rPr>
              <w:t>Item</w:t>
            </w:r>
          </w:p>
        </w:tc>
        <w:tc>
          <w:tcPr>
            <w:tcW w:w="1157" w:type="dxa"/>
            <w:tcBorders>
              <w:top w:val="single" w:color="000000" w:sz="12" w:space="0"/>
              <w:bottom w:val="single" w:color="000000" w:sz="12" w:space="0"/>
            </w:tcBorders>
            <w:vAlign w:val="center"/>
          </w:tcPr>
          <w:p w14:paraId="1C0C7AE7">
            <w:pPr>
              <w:widowControl/>
              <w:snapToGrid w:val="0"/>
              <w:ind w:firstLine="0" w:firstLineChars="0"/>
              <w:jc w:val="center"/>
              <w:rPr>
                <w:b/>
                <w:bCs/>
                <w:color w:val="000000"/>
                <w:kern w:val="0"/>
                <w:sz w:val="16"/>
                <w:szCs w:val="16"/>
              </w:rPr>
            </w:pPr>
            <w:r>
              <w:rPr>
                <w:b/>
                <w:bCs/>
                <w:color w:val="000000"/>
                <w:kern w:val="0"/>
                <w:sz w:val="16"/>
                <w:szCs w:val="16"/>
              </w:rPr>
              <w:t>Unit</w:t>
            </w:r>
          </w:p>
        </w:tc>
        <w:tc>
          <w:tcPr>
            <w:tcW w:w="892" w:type="dxa"/>
            <w:tcBorders>
              <w:top w:val="single" w:color="000000" w:sz="12" w:space="0"/>
              <w:bottom w:val="single" w:color="000000" w:sz="12" w:space="0"/>
            </w:tcBorders>
            <w:vAlign w:val="center"/>
          </w:tcPr>
          <w:p w14:paraId="2D0CC0D6">
            <w:pPr>
              <w:widowControl/>
              <w:snapToGrid w:val="0"/>
              <w:ind w:firstLine="0" w:firstLineChars="0"/>
              <w:jc w:val="center"/>
              <w:rPr>
                <w:b/>
                <w:bCs/>
                <w:color w:val="000000"/>
                <w:kern w:val="0"/>
                <w:sz w:val="16"/>
                <w:szCs w:val="16"/>
              </w:rPr>
            </w:pPr>
            <w:r>
              <w:rPr>
                <w:b/>
                <w:bCs/>
                <w:color w:val="000000"/>
                <w:kern w:val="0"/>
                <w:sz w:val="16"/>
                <w:szCs w:val="16"/>
              </w:rPr>
              <w:t>Quantity</w:t>
            </w:r>
          </w:p>
        </w:tc>
        <w:tc>
          <w:tcPr>
            <w:tcW w:w="1089" w:type="dxa"/>
            <w:tcBorders>
              <w:top w:val="single" w:color="000000" w:sz="12" w:space="0"/>
              <w:bottom w:val="single" w:color="000000" w:sz="12" w:space="0"/>
            </w:tcBorders>
            <w:vAlign w:val="center"/>
          </w:tcPr>
          <w:p w14:paraId="31719A8D">
            <w:pPr>
              <w:widowControl/>
              <w:snapToGrid w:val="0"/>
              <w:ind w:firstLine="0" w:firstLineChars="0"/>
              <w:jc w:val="center"/>
              <w:rPr>
                <w:b/>
                <w:bCs/>
                <w:color w:val="000000"/>
                <w:kern w:val="0"/>
                <w:sz w:val="16"/>
                <w:szCs w:val="16"/>
              </w:rPr>
            </w:pPr>
            <w:r>
              <w:rPr>
                <w:b/>
                <w:bCs/>
                <w:color w:val="000000"/>
                <w:kern w:val="0"/>
                <w:sz w:val="16"/>
                <w:szCs w:val="16"/>
              </w:rPr>
              <w:t>Unit Price (CNY)</w:t>
            </w:r>
          </w:p>
        </w:tc>
        <w:tc>
          <w:tcPr>
            <w:tcW w:w="916" w:type="dxa"/>
            <w:tcBorders>
              <w:top w:val="single" w:color="000000" w:sz="12" w:space="0"/>
              <w:bottom w:val="single" w:color="000000" w:sz="12" w:space="0"/>
            </w:tcBorders>
            <w:vAlign w:val="center"/>
          </w:tcPr>
          <w:p w14:paraId="068872E0">
            <w:pPr>
              <w:widowControl/>
              <w:snapToGrid w:val="0"/>
              <w:ind w:firstLine="0" w:firstLineChars="0"/>
              <w:jc w:val="center"/>
              <w:rPr>
                <w:b/>
                <w:bCs/>
                <w:color w:val="000000"/>
                <w:kern w:val="0"/>
                <w:sz w:val="16"/>
                <w:szCs w:val="16"/>
              </w:rPr>
            </w:pPr>
            <w:r>
              <w:rPr>
                <w:b/>
                <w:bCs/>
                <w:color w:val="000000"/>
                <w:kern w:val="0"/>
                <w:sz w:val="16"/>
                <w:szCs w:val="16"/>
              </w:rPr>
              <w:t>Total (CNY)</w:t>
            </w:r>
          </w:p>
        </w:tc>
      </w:tr>
      <w:tr w14:paraId="4EF34DF4">
        <w:tblPrEx>
          <w:tblCellMar>
            <w:top w:w="0" w:type="dxa"/>
            <w:left w:w="108" w:type="dxa"/>
            <w:bottom w:w="0" w:type="dxa"/>
            <w:right w:w="108" w:type="dxa"/>
          </w:tblCellMar>
        </w:tblPrEx>
        <w:trPr>
          <w:trHeight w:val="288" w:hRule="atLeast"/>
          <w:jc w:val="center"/>
        </w:trPr>
        <w:tc>
          <w:tcPr>
            <w:tcW w:w="598" w:type="dxa"/>
            <w:tcBorders>
              <w:top w:val="single" w:color="000000" w:sz="12" w:space="0"/>
              <w:bottom w:val="single" w:color="auto" w:sz="4" w:space="0"/>
            </w:tcBorders>
            <w:noWrap/>
            <w:vAlign w:val="center"/>
          </w:tcPr>
          <w:p w14:paraId="430AD83A">
            <w:pPr>
              <w:widowControl/>
              <w:snapToGrid w:val="0"/>
              <w:ind w:firstLine="0" w:firstLineChars="0"/>
              <w:jc w:val="center"/>
              <w:rPr>
                <w:color w:val="000000"/>
                <w:kern w:val="0"/>
                <w:sz w:val="16"/>
                <w:szCs w:val="16"/>
              </w:rPr>
            </w:pPr>
            <w:r>
              <w:rPr>
                <w:color w:val="000000"/>
                <w:kern w:val="0"/>
                <w:sz w:val="16"/>
                <w:szCs w:val="16"/>
              </w:rPr>
              <w:t>1</w:t>
            </w:r>
          </w:p>
        </w:tc>
        <w:tc>
          <w:tcPr>
            <w:tcW w:w="3071" w:type="dxa"/>
            <w:tcBorders>
              <w:top w:val="single" w:color="000000" w:sz="12" w:space="0"/>
              <w:bottom w:val="single" w:color="auto" w:sz="4" w:space="0"/>
            </w:tcBorders>
            <w:noWrap/>
            <w:vAlign w:val="center"/>
          </w:tcPr>
          <w:p w14:paraId="42CAF8A0">
            <w:pPr>
              <w:widowControl/>
              <w:snapToGrid w:val="0"/>
              <w:ind w:firstLine="0" w:firstLineChars="0"/>
              <w:jc w:val="center"/>
              <w:rPr>
                <w:color w:val="000000"/>
                <w:kern w:val="0"/>
                <w:sz w:val="16"/>
                <w:szCs w:val="16"/>
              </w:rPr>
            </w:pPr>
            <w:r>
              <w:rPr>
                <w:color w:val="000000"/>
                <w:kern w:val="0"/>
                <w:sz w:val="16"/>
                <w:szCs w:val="16"/>
              </w:rPr>
              <w:t>Direct Cost</w:t>
            </w:r>
          </w:p>
        </w:tc>
        <w:tc>
          <w:tcPr>
            <w:tcW w:w="1157" w:type="dxa"/>
            <w:tcBorders>
              <w:top w:val="single" w:color="000000" w:sz="12" w:space="0"/>
              <w:bottom w:val="single" w:color="auto" w:sz="4" w:space="0"/>
            </w:tcBorders>
            <w:noWrap/>
            <w:vAlign w:val="center"/>
          </w:tcPr>
          <w:p w14:paraId="0BC31E19">
            <w:pPr>
              <w:widowControl/>
              <w:snapToGrid w:val="0"/>
              <w:ind w:firstLine="0" w:firstLineChars="0"/>
              <w:jc w:val="center"/>
              <w:rPr>
                <w:color w:val="000000"/>
                <w:kern w:val="0"/>
                <w:sz w:val="16"/>
                <w:szCs w:val="16"/>
              </w:rPr>
            </w:pPr>
          </w:p>
        </w:tc>
        <w:tc>
          <w:tcPr>
            <w:tcW w:w="892" w:type="dxa"/>
            <w:tcBorders>
              <w:top w:val="single" w:color="000000" w:sz="12" w:space="0"/>
              <w:bottom w:val="single" w:color="auto" w:sz="4" w:space="0"/>
            </w:tcBorders>
            <w:noWrap/>
            <w:vAlign w:val="center"/>
          </w:tcPr>
          <w:p w14:paraId="3F4459E7">
            <w:pPr>
              <w:widowControl/>
              <w:snapToGrid w:val="0"/>
              <w:ind w:firstLine="0" w:firstLineChars="0"/>
              <w:jc w:val="center"/>
              <w:rPr>
                <w:color w:val="000000"/>
                <w:kern w:val="0"/>
                <w:sz w:val="16"/>
                <w:szCs w:val="16"/>
              </w:rPr>
            </w:pPr>
          </w:p>
        </w:tc>
        <w:tc>
          <w:tcPr>
            <w:tcW w:w="1089" w:type="dxa"/>
            <w:tcBorders>
              <w:top w:val="single" w:color="000000" w:sz="12" w:space="0"/>
              <w:bottom w:val="single" w:color="auto" w:sz="4" w:space="0"/>
            </w:tcBorders>
            <w:noWrap/>
            <w:vAlign w:val="center"/>
          </w:tcPr>
          <w:p w14:paraId="71F96FEC">
            <w:pPr>
              <w:widowControl/>
              <w:snapToGrid w:val="0"/>
              <w:ind w:firstLine="0" w:firstLineChars="0"/>
              <w:jc w:val="center"/>
              <w:rPr>
                <w:color w:val="000000"/>
                <w:kern w:val="0"/>
                <w:sz w:val="16"/>
                <w:szCs w:val="16"/>
              </w:rPr>
            </w:pPr>
          </w:p>
        </w:tc>
        <w:tc>
          <w:tcPr>
            <w:tcW w:w="916" w:type="dxa"/>
            <w:tcBorders>
              <w:top w:val="single" w:color="000000" w:sz="12" w:space="0"/>
              <w:bottom w:val="single" w:color="auto" w:sz="4" w:space="0"/>
            </w:tcBorders>
            <w:noWrap/>
            <w:vAlign w:val="center"/>
          </w:tcPr>
          <w:p w14:paraId="6A9999FD">
            <w:pPr>
              <w:widowControl/>
              <w:snapToGrid w:val="0"/>
              <w:ind w:firstLine="0" w:firstLineChars="0"/>
              <w:jc w:val="center"/>
              <w:rPr>
                <w:color w:val="000000"/>
                <w:kern w:val="0"/>
                <w:sz w:val="16"/>
                <w:szCs w:val="16"/>
              </w:rPr>
            </w:pPr>
            <w:r>
              <w:rPr>
                <w:color w:val="000000"/>
                <w:kern w:val="0"/>
                <w:sz w:val="16"/>
                <w:szCs w:val="16"/>
              </w:rPr>
              <w:t>2815.75</w:t>
            </w:r>
          </w:p>
        </w:tc>
      </w:tr>
      <w:tr w14:paraId="4CFD25BB">
        <w:tblPrEx>
          <w:tblCellMar>
            <w:top w:w="0" w:type="dxa"/>
            <w:left w:w="108" w:type="dxa"/>
            <w:bottom w:w="0" w:type="dxa"/>
            <w:right w:w="108" w:type="dxa"/>
          </w:tblCellMar>
        </w:tblPrEx>
        <w:trPr>
          <w:trHeight w:val="288" w:hRule="atLeast"/>
          <w:jc w:val="center"/>
        </w:trPr>
        <w:tc>
          <w:tcPr>
            <w:tcW w:w="598" w:type="dxa"/>
            <w:tcBorders>
              <w:top w:val="single" w:color="auto" w:sz="4" w:space="0"/>
            </w:tcBorders>
            <w:noWrap/>
            <w:vAlign w:val="center"/>
          </w:tcPr>
          <w:p w14:paraId="3E59EA57">
            <w:pPr>
              <w:widowControl/>
              <w:snapToGrid w:val="0"/>
              <w:ind w:firstLine="0" w:firstLineChars="0"/>
              <w:jc w:val="center"/>
              <w:rPr>
                <w:color w:val="000000"/>
                <w:kern w:val="0"/>
                <w:sz w:val="16"/>
                <w:szCs w:val="16"/>
              </w:rPr>
            </w:pPr>
            <w:r>
              <w:rPr>
                <w:color w:val="000000"/>
                <w:kern w:val="0"/>
                <w:sz w:val="16"/>
                <w:szCs w:val="16"/>
              </w:rPr>
              <w:t>1.1</w:t>
            </w:r>
          </w:p>
        </w:tc>
        <w:tc>
          <w:tcPr>
            <w:tcW w:w="3071" w:type="dxa"/>
            <w:tcBorders>
              <w:top w:val="single" w:color="auto" w:sz="4" w:space="0"/>
            </w:tcBorders>
            <w:noWrap/>
            <w:vAlign w:val="center"/>
          </w:tcPr>
          <w:p w14:paraId="76AAD4AE">
            <w:pPr>
              <w:widowControl/>
              <w:snapToGrid w:val="0"/>
              <w:ind w:firstLine="0" w:firstLineChars="0"/>
              <w:jc w:val="center"/>
              <w:rPr>
                <w:color w:val="000000"/>
                <w:kern w:val="0"/>
                <w:sz w:val="16"/>
                <w:szCs w:val="16"/>
              </w:rPr>
            </w:pPr>
            <w:r>
              <w:rPr>
                <w:color w:val="000000"/>
                <w:kern w:val="0"/>
                <w:sz w:val="16"/>
                <w:szCs w:val="16"/>
              </w:rPr>
              <w:t>Basic Direct Cost</w:t>
            </w:r>
          </w:p>
        </w:tc>
        <w:tc>
          <w:tcPr>
            <w:tcW w:w="1157" w:type="dxa"/>
            <w:tcBorders>
              <w:top w:val="single" w:color="auto" w:sz="4" w:space="0"/>
            </w:tcBorders>
            <w:noWrap/>
            <w:vAlign w:val="center"/>
          </w:tcPr>
          <w:p w14:paraId="7F652F83">
            <w:pPr>
              <w:widowControl/>
              <w:snapToGrid w:val="0"/>
              <w:ind w:firstLine="0" w:firstLineChars="0"/>
              <w:jc w:val="center"/>
              <w:rPr>
                <w:color w:val="000000"/>
                <w:kern w:val="0"/>
                <w:sz w:val="16"/>
                <w:szCs w:val="16"/>
              </w:rPr>
            </w:pPr>
          </w:p>
        </w:tc>
        <w:tc>
          <w:tcPr>
            <w:tcW w:w="892" w:type="dxa"/>
            <w:tcBorders>
              <w:top w:val="single" w:color="auto" w:sz="4" w:space="0"/>
            </w:tcBorders>
            <w:noWrap/>
            <w:vAlign w:val="center"/>
          </w:tcPr>
          <w:p w14:paraId="272F2F7A">
            <w:pPr>
              <w:widowControl/>
              <w:snapToGrid w:val="0"/>
              <w:ind w:firstLine="0" w:firstLineChars="0"/>
              <w:jc w:val="center"/>
              <w:rPr>
                <w:color w:val="000000"/>
                <w:kern w:val="0"/>
                <w:sz w:val="16"/>
                <w:szCs w:val="16"/>
              </w:rPr>
            </w:pPr>
          </w:p>
        </w:tc>
        <w:tc>
          <w:tcPr>
            <w:tcW w:w="1089" w:type="dxa"/>
            <w:tcBorders>
              <w:top w:val="single" w:color="auto" w:sz="4" w:space="0"/>
            </w:tcBorders>
            <w:noWrap/>
            <w:vAlign w:val="center"/>
          </w:tcPr>
          <w:p w14:paraId="6960FC9E">
            <w:pPr>
              <w:widowControl/>
              <w:snapToGrid w:val="0"/>
              <w:ind w:firstLine="0" w:firstLineChars="0"/>
              <w:jc w:val="center"/>
              <w:rPr>
                <w:color w:val="000000"/>
                <w:kern w:val="0"/>
                <w:sz w:val="16"/>
                <w:szCs w:val="16"/>
              </w:rPr>
            </w:pPr>
          </w:p>
        </w:tc>
        <w:tc>
          <w:tcPr>
            <w:tcW w:w="916" w:type="dxa"/>
            <w:tcBorders>
              <w:top w:val="single" w:color="auto" w:sz="4" w:space="0"/>
            </w:tcBorders>
            <w:noWrap/>
            <w:vAlign w:val="center"/>
          </w:tcPr>
          <w:p w14:paraId="0CC20BEB">
            <w:pPr>
              <w:widowControl/>
              <w:snapToGrid w:val="0"/>
              <w:ind w:firstLine="0" w:firstLineChars="0"/>
              <w:jc w:val="center"/>
              <w:rPr>
                <w:color w:val="000000"/>
                <w:kern w:val="0"/>
                <w:sz w:val="16"/>
                <w:szCs w:val="16"/>
              </w:rPr>
            </w:pPr>
            <w:r>
              <w:rPr>
                <w:color w:val="000000"/>
                <w:kern w:val="0"/>
                <w:sz w:val="16"/>
                <w:szCs w:val="16"/>
              </w:rPr>
              <w:t>2390.65</w:t>
            </w:r>
          </w:p>
        </w:tc>
      </w:tr>
      <w:tr w14:paraId="785C7C63">
        <w:tblPrEx>
          <w:tblCellMar>
            <w:top w:w="0" w:type="dxa"/>
            <w:left w:w="108" w:type="dxa"/>
            <w:bottom w:w="0" w:type="dxa"/>
            <w:right w:w="108" w:type="dxa"/>
          </w:tblCellMar>
        </w:tblPrEx>
        <w:trPr>
          <w:trHeight w:val="288" w:hRule="atLeast"/>
          <w:jc w:val="center"/>
        </w:trPr>
        <w:tc>
          <w:tcPr>
            <w:tcW w:w="598" w:type="dxa"/>
            <w:noWrap/>
            <w:vAlign w:val="center"/>
          </w:tcPr>
          <w:p w14:paraId="2161E2A8">
            <w:pPr>
              <w:widowControl/>
              <w:snapToGrid w:val="0"/>
              <w:ind w:firstLine="0" w:firstLineChars="0"/>
              <w:jc w:val="center"/>
              <w:rPr>
                <w:color w:val="000000"/>
                <w:kern w:val="0"/>
                <w:sz w:val="16"/>
                <w:szCs w:val="16"/>
              </w:rPr>
            </w:pPr>
            <w:r>
              <w:rPr>
                <w:color w:val="000000"/>
                <w:kern w:val="0"/>
                <w:sz w:val="16"/>
                <w:szCs w:val="16"/>
              </w:rPr>
              <w:t>1.1.1</w:t>
            </w:r>
          </w:p>
        </w:tc>
        <w:tc>
          <w:tcPr>
            <w:tcW w:w="3071" w:type="dxa"/>
            <w:noWrap/>
            <w:vAlign w:val="center"/>
          </w:tcPr>
          <w:p w14:paraId="1CF6A1EE">
            <w:pPr>
              <w:widowControl/>
              <w:snapToGrid w:val="0"/>
              <w:ind w:firstLine="0" w:firstLineChars="0"/>
              <w:jc w:val="center"/>
              <w:rPr>
                <w:color w:val="000000"/>
                <w:kern w:val="0"/>
                <w:sz w:val="16"/>
                <w:szCs w:val="16"/>
              </w:rPr>
            </w:pPr>
            <w:r>
              <w:rPr>
                <w:color w:val="000000"/>
                <w:kern w:val="0"/>
                <w:sz w:val="16"/>
                <w:szCs w:val="16"/>
              </w:rPr>
              <w:t>Labor Cost</w:t>
            </w:r>
          </w:p>
        </w:tc>
        <w:tc>
          <w:tcPr>
            <w:tcW w:w="1157" w:type="dxa"/>
            <w:noWrap/>
            <w:vAlign w:val="center"/>
          </w:tcPr>
          <w:p w14:paraId="05161149">
            <w:pPr>
              <w:widowControl/>
              <w:snapToGrid w:val="0"/>
              <w:ind w:firstLine="0" w:firstLineChars="0"/>
              <w:jc w:val="center"/>
              <w:rPr>
                <w:color w:val="000000"/>
                <w:kern w:val="0"/>
                <w:sz w:val="16"/>
                <w:szCs w:val="16"/>
              </w:rPr>
            </w:pPr>
          </w:p>
        </w:tc>
        <w:tc>
          <w:tcPr>
            <w:tcW w:w="892" w:type="dxa"/>
            <w:noWrap/>
            <w:vAlign w:val="center"/>
          </w:tcPr>
          <w:p w14:paraId="26E779CB">
            <w:pPr>
              <w:widowControl/>
              <w:snapToGrid w:val="0"/>
              <w:ind w:firstLine="0" w:firstLineChars="0"/>
              <w:jc w:val="center"/>
              <w:rPr>
                <w:color w:val="000000"/>
                <w:kern w:val="0"/>
                <w:sz w:val="16"/>
                <w:szCs w:val="16"/>
              </w:rPr>
            </w:pPr>
          </w:p>
        </w:tc>
        <w:tc>
          <w:tcPr>
            <w:tcW w:w="1089" w:type="dxa"/>
            <w:noWrap/>
            <w:vAlign w:val="center"/>
          </w:tcPr>
          <w:p w14:paraId="4C49783C">
            <w:pPr>
              <w:widowControl/>
              <w:snapToGrid w:val="0"/>
              <w:ind w:firstLine="0" w:firstLineChars="0"/>
              <w:jc w:val="center"/>
              <w:rPr>
                <w:color w:val="000000"/>
                <w:kern w:val="0"/>
                <w:sz w:val="16"/>
                <w:szCs w:val="16"/>
              </w:rPr>
            </w:pPr>
          </w:p>
        </w:tc>
        <w:tc>
          <w:tcPr>
            <w:tcW w:w="916" w:type="dxa"/>
            <w:noWrap/>
            <w:vAlign w:val="center"/>
          </w:tcPr>
          <w:p w14:paraId="6BDBBFEB">
            <w:pPr>
              <w:widowControl/>
              <w:snapToGrid w:val="0"/>
              <w:ind w:firstLine="0" w:firstLineChars="0"/>
              <w:jc w:val="center"/>
              <w:rPr>
                <w:color w:val="000000"/>
                <w:kern w:val="0"/>
                <w:sz w:val="16"/>
                <w:szCs w:val="16"/>
              </w:rPr>
            </w:pPr>
            <w:r>
              <w:rPr>
                <w:color w:val="000000"/>
                <w:kern w:val="0"/>
                <w:sz w:val="16"/>
                <w:szCs w:val="16"/>
              </w:rPr>
              <w:t>1455.80</w:t>
            </w:r>
          </w:p>
        </w:tc>
      </w:tr>
      <w:tr w14:paraId="6EC47563">
        <w:tblPrEx>
          <w:tblCellMar>
            <w:top w:w="0" w:type="dxa"/>
            <w:left w:w="108" w:type="dxa"/>
            <w:bottom w:w="0" w:type="dxa"/>
            <w:right w:w="108" w:type="dxa"/>
          </w:tblCellMar>
        </w:tblPrEx>
        <w:trPr>
          <w:trHeight w:val="288" w:hRule="atLeast"/>
          <w:jc w:val="center"/>
        </w:trPr>
        <w:tc>
          <w:tcPr>
            <w:tcW w:w="598" w:type="dxa"/>
            <w:noWrap/>
            <w:vAlign w:val="center"/>
          </w:tcPr>
          <w:p w14:paraId="783CE14A">
            <w:pPr>
              <w:widowControl/>
              <w:snapToGrid w:val="0"/>
              <w:ind w:firstLine="0" w:firstLineChars="0"/>
              <w:jc w:val="center"/>
              <w:rPr>
                <w:color w:val="000000"/>
                <w:kern w:val="0"/>
                <w:sz w:val="16"/>
                <w:szCs w:val="16"/>
              </w:rPr>
            </w:pPr>
          </w:p>
        </w:tc>
        <w:tc>
          <w:tcPr>
            <w:tcW w:w="3071" w:type="dxa"/>
            <w:noWrap/>
            <w:vAlign w:val="center"/>
          </w:tcPr>
          <w:p w14:paraId="16468550">
            <w:pPr>
              <w:widowControl/>
              <w:snapToGrid w:val="0"/>
              <w:ind w:firstLine="0" w:firstLineChars="0"/>
              <w:jc w:val="center"/>
              <w:rPr>
                <w:color w:val="000000"/>
                <w:kern w:val="0"/>
                <w:sz w:val="16"/>
                <w:szCs w:val="16"/>
              </w:rPr>
            </w:pPr>
            <w:r>
              <w:rPr>
                <w:color w:val="000000"/>
                <w:kern w:val="0"/>
                <w:sz w:val="16"/>
                <w:szCs w:val="16"/>
              </w:rPr>
              <w:t>Composite Labor</w:t>
            </w:r>
          </w:p>
        </w:tc>
        <w:tc>
          <w:tcPr>
            <w:tcW w:w="1157" w:type="dxa"/>
            <w:noWrap/>
            <w:vAlign w:val="center"/>
          </w:tcPr>
          <w:p w14:paraId="0FA8C9E9">
            <w:pPr>
              <w:widowControl/>
              <w:snapToGrid w:val="0"/>
              <w:ind w:firstLine="0" w:firstLineChars="0"/>
              <w:jc w:val="center"/>
              <w:rPr>
                <w:color w:val="000000"/>
                <w:kern w:val="0"/>
                <w:sz w:val="16"/>
                <w:szCs w:val="16"/>
              </w:rPr>
            </w:pPr>
            <w:r>
              <w:rPr>
                <w:color w:val="000000"/>
                <w:kern w:val="0"/>
                <w:sz w:val="16"/>
                <w:szCs w:val="16"/>
              </w:rPr>
              <w:t>Man-day</w:t>
            </w:r>
          </w:p>
        </w:tc>
        <w:tc>
          <w:tcPr>
            <w:tcW w:w="892" w:type="dxa"/>
            <w:shd w:val="clear" w:color="000000" w:fill="FFFFFF"/>
            <w:noWrap/>
            <w:vAlign w:val="center"/>
          </w:tcPr>
          <w:p w14:paraId="269BEFD4">
            <w:pPr>
              <w:widowControl/>
              <w:snapToGrid w:val="0"/>
              <w:ind w:firstLine="0" w:firstLineChars="0"/>
              <w:jc w:val="center"/>
              <w:rPr>
                <w:kern w:val="0"/>
                <w:sz w:val="16"/>
                <w:szCs w:val="16"/>
              </w:rPr>
            </w:pPr>
            <w:r>
              <w:rPr>
                <w:kern w:val="0"/>
                <w:sz w:val="16"/>
                <w:szCs w:val="16"/>
              </w:rPr>
              <w:t>5.800</w:t>
            </w:r>
          </w:p>
        </w:tc>
        <w:tc>
          <w:tcPr>
            <w:tcW w:w="1089" w:type="dxa"/>
            <w:shd w:val="clear" w:color="000000" w:fill="FFFFFF"/>
            <w:noWrap/>
            <w:vAlign w:val="center"/>
          </w:tcPr>
          <w:p w14:paraId="35F2CFAD">
            <w:pPr>
              <w:widowControl/>
              <w:snapToGrid w:val="0"/>
              <w:ind w:firstLine="0" w:firstLineChars="0"/>
              <w:jc w:val="center"/>
              <w:rPr>
                <w:kern w:val="0"/>
                <w:sz w:val="16"/>
                <w:szCs w:val="16"/>
              </w:rPr>
            </w:pPr>
            <w:r>
              <w:rPr>
                <w:kern w:val="0"/>
                <w:sz w:val="16"/>
                <w:szCs w:val="16"/>
              </w:rPr>
              <w:t>251.00</w:t>
            </w:r>
          </w:p>
        </w:tc>
        <w:tc>
          <w:tcPr>
            <w:tcW w:w="916" w:type="dxa"/>
            <w:noWrap/>
            <w:vAlign w:val="center"/>
          </w:tcPr>
          <w:p w14:paraId="0A9E2B6A">
            <w:pPr>
              <w:widowControl/>
              <w:snapToGrid w:val="0"/>
              <w:ind w:firstLine="0" w:firstLineChars="0"/>
              <w:jc w:val="center"/>
              <w:rPr>
                <w:color w:val="000000"/>
                <w:kern w:val="0"/>
                <w:sz w:val="16"/>
                <w:szCs w:val="16"/>
              </w:rPr>
            </w:pPr>
            <w:r>
              <w:rPr>
                <w:color w:val="000000"/>
                <w:kern w:val="0"/>
                <w:sz w:val="16"/>
                <w:szCs w:val="16"/>
              </w:rPr>
              <w:t>1455.80</w:t>
            </w:r>
          </w:p>
        </w:tc>
      </w:tr>
      <w:tr w14:paraId="475FAC8B">
        <w:tblPrEx>
          <w:tblCellMar>
            <w:top w:w="0" w:type="dxa"/>
            <w:left w:w="108" w:type="dxa"/>
            <w:bottom w:w="0" w:type="dxa"/>
            <w:right w:w="108" w:type="dxa"/>
          </w:tblCellMar>
        </w:tblPrEx>
        <w:trPr>
          <w:trHeight w:val="288" w:hRule="atLeast"/>
          <w:jc w:val="center"/>
        </w:trPr>
        <w:tc>
          <w:tcPr>
            <w:tcW w:w="598" w:type="dxa"/>
            <w:noWrap/>
            <w:vAlign w:val="center"/>
          </w:tcPr>
          <w:p w14:paraId="1784C480">
            <w:pPr>
              <w:widowControl/>
              <w:snapToGrid w:val="0"/>
              <w:ind w:firstLine="0" w:firstLineChars="0"/>
              <w:jc w:val="center"/>
              <w:rPr>
                <w:color w:val="000000"/>
                <w:kern w:val="0"/>
                <w:sz w:val="16"/>
                <w:szCs w:val="16"/>
              </w:rPr>
            </w:pPr>
            <w:r>
              <w:rPr>
                <w:color w:val="000000"/>
                <w:kern w:val="0"/>
                <w:sz w:val="16"/>
                <w:szCs w:val="16"/>
              </w:rPr>
              <w:t>1.1.2</w:t>
            </w:r>
          </w:p>
        </w:tc>
        <w:tc>
          <w:tcPr>
            <w:tcW w:w="3071" w:type="dxa"/>
            <w:noWrap/>
            <w:vAlign w:val="center"/>
          </w:tcPr>
          <w:p w14:paraId="5F9CD299">
            <w:pPr>
              <w:widowControl/>
              <w:snapToGrid w:val="0"/>
              <w:ind w:firstLine="0" w:firstLineChars="0"/>
              <w:jc w:val="center"/>
              <w:rPr>
                <w:color w:val="000000"/>
                <w:kern w:val="0"/>
                <w:sz w:val="16"/>
                <w:szCs w:val="16"/>
              </w:rPr>
            </w:pPr>
            <w:r>
              <w:rPr>
                <w:color w:val="000000"/>
                <w:kern w:val="0"/>
                <w:sz w:val="16"/>
                <w:szCs w:val="16"/>
              </w:rPr>
              <w:t>Material Cost</w:t>
            </w:r>
          </w:p>
        </w:tc>
        <w:tc>
          <w:tcPr>
            <w:tcW w:w="1157" w:type="dxa"/>
            <w:noWrap/>
            <w:vAlign w:val="center"/>
          </w:tcPr>
          <w:p w14:paraId="7736FF83">
            <w:pPr>
              <w:widowControl/>
              <w:snapToGrid w:val="0"/>
              <w:ind w:firstLine="0" w:firstLineChars="0"/>
              <w:jc w:val="center"/>
              <w:rPr>
                <w:color w:val="000000"/>
                <w:kern w:val="0"/>
                <w:sz w:val="16"/>
                <w:szCs w:val="16"/>
              </w:rPr>
            </w:pPr>
          </w:p>
        </w:tc>
        <w:tc>
          <w:tcPr>
            <w:tcW w:w="892" w:type="dxa"/>
            <w:noWrap/>
            <w:vAlign w:val="center"/>
          </w:tcPr>
          <w:p w14:paraId="5AAD3481">
            <w:pPr>
              <w:widowControl/>
              <w:snapToGrid w:val="0"/>
              <w:ind w:firstLine="0" w:firstLineChars="0"/>
              <w:jc w:val="center"/>
              <w:rPr>
                <w:color w:val="000000"/>
                <w:kern w:val="0"/>
                <w:sz w:val="16"/>
                <w:szCs w:val="16"/>
              </w:rPr>
            </w:pPr>
          </w:p>
        </w:tc>
        <w:tc>
          <w:tcPr>
            <w:tcW w:w="1089" w:type="dxa"/>
            <w:noWrap/>
            <w:vAlign w:val="center"/>
          </w:tcPr>
          <w:p w14:paraId="59ED1EF4">
            <w:pPr>
              <w:widowControl/>
              <w:snapToGrid w:val="0"/>
              <w:ind w:firstLine="0" w:firstLineChars="0"/>
              <w:jc w:val="center"/>
              <w:rPr>
                <w:color w:val="000000"/>
                <w:kern w:val="0"/>
                <w:sz w:val="16"/>
                <w:szCs w:val="16"/>
              </w:rPr>
            </w:pPr>
          </w:p>
        </w:tc>
        <w:tc>
          <w:tcPr>
            <w:tcW w:w="916" w:type="dxa"/>
            <w:noWrap/>
            <w:vAlign w:val="center"/>
          </w:tcPr>
          <w:p w14:paraId="72106CAC">
            <w:pPr>
              <w:widowControl/>
              <w:snapToGrid w:val="0"/>
              <w:ind w:firstLine="0" w:firstLineChars="0"/>
              <w:jc w:val="center"/>
              <w:rPr>
                <w:color w:val="000000"/>
                <w:kern w:val="0"/>
                <w:sz w:val="16"/>
                <w:szCs w:val="16"/>
              </w:rPr>
            </w:pPr>
            <w:r>
              <w:rPr>
                <w:color w:val="000000"/>
                <w:kern w:val="0"/>
                <w:sz w:val="16"/>
                <w:szCs w:val="16"/>
              </w:rPr>
              <w:t>86.86</w:t>
            </w:r>
          </w:p>
        </w:tc>
      </w:tr>
      <w:tr w14:paraId="7C418C78">
        <w:tblPrEx>
          <w:tblCellMar>
            <w:top w:w="0" w:type="dxa"/>
            <w:left w:w="108" w:type="dxa"/>
            <w:bottom w:w="0" w:type="dxa"/>
            <w:right w:w="108" w:type="dxa"/>
          </w:tblCellMar>
        </w:tblPrEx>
        <w:trPr>
          <w:trHeight w:val="288" w:hRule="atLeast"/>
          <w:jc w:val="center"/>
        </w:trPr>
        <w:tc>
          <w:tcPr>
            <w:tcW w:w="598" w:type="dxa"/>
            <w:noWrap/>
            <w:vAlign w:val="center"/>
          </w:tcPr>
          <w:p w14:paraId="3B58BBED">
            <w:pPr>
              <w:widowControl/>
              <w:snapToGrid w:val="0"/>
              <w:ind w:firstLine="0" w:firstLineChars="0"/>
              <w:jc w:val="center"/>
              <w:rPr>
                <w:color w:val="000000"/>
                <w:kern w:val="0"/>
                <w:sz w:val="16"/>
                <w:szCs w:val="16"/>
              </w:rPr>
            </w:pPr>
          </w:p>
        </w:tc>
        <w:tc>
          <w:tcPr>
            <w:tcW w:w="3071" w:type="dxa"/>
            <w:noWrap/>
            <w:vAlign w:val="center"/>
          </w:tcPr>
          <w:p w14:paraId="172E30FA">
            <w:pPr>
              <w:widowControl/>
              <w:snapToGrid w:val="0"/>
              <w:ind w:firstLine="0" w:firstLineChars="0"/>
              <w:jc w:val="center"/>
              <w:rPr>
                <w:color w:val="000000"/>
                <w:kern w:val="0"/>
                <w:sz w:val="16"/>
                <w:szCs w:val="16"/>
              </w:rPr>
            </w:pPr>
            <w:r>
              <w:rPr>
                <w:color w:val="000000"/>
                <w:kern w:val="0"/>
                <w:sz w:val="16"/>
                <w:szCs w:val="16"/>
              </w:rPr>
              <w:t>Galvanized Iron Wire</w:t>
            </w:r>
          </w:p>
        </w:tc>
        <w:tc>
          <w:tcPr>
            <w:tcW w:w="1157" w:type="dxa"/>
            <w:noWrap/>
            <w:vAlign w:val="center"/>
          </w:tcPr>
          <w:p w14:paraId="1A1A5B31">
            <w:pPr>
              <w:widowControl/>
              <w:snapToGrid w:val="0"/>
              <w:ind w:firstLine="0" w:firstLineChars="0"/>
              <w:jc w:val="center"/>
              <w:rPr>
                <w:color w:val="000000"/>
                <w:kern w:val="0"/>
                <w:sz w:val="16"/>
                <w:szCs w:val="16"/>
              </w:rPr>
            </w:pPr>
            <w:r>
              <w:rPr>
                <w:color w:val="000000"/>
                <w:kern w:val="0"/>
                <w:sz w:val="16"/>
                <w:szCs w:val="16"/>
              </w:rPr>
              <w:t>kg</w:t>
            </w:r>
          </w:p>
        </w:tc>
        <w:tc>
          <w:tcPr>
            <w:tcW w:w="892" w:type="dxa"/>
            <w:noWrap/>
            <w:vAlign w:val="center"/>
          </w:tcPr>
          <w:p w14:paraId="24F49891">
            <w:pPr>
              <w:widowControl/>
              <w:snapToGrid w:val="0"/>
              <w:ind w:firstLine="0" w:firstLineChars="0"/>
              <w:jc w:val="center"/>
              <w:rPr>
                <w:color w:val="000000"/>
                <w:kern w:val="0"/>
                <w:sz w:val="16"/>
                <w:szCs w:val="16"/>
              </w:rPr>
            </w:pPr>
            <w:r>
              <w:rPr>
                <w:color w:val="000000"/>
                <w:kern w:val="0"/>
                <w:sz w:val="16"/>
                <w:szCs w:val="16"/>
              </w:rPr>
              <w:t>7.000</w:t>
            </w:r>
          </w:p>
        </w:tc>
        <w:tc>
          <w:tcPr>
            <w:tcW w:w="1089" w:type="dxa"/>
            <w:noWrap/>
            <w:vAlign w:val="center"/>
          </w:tcPr>
          <w:p w14:paraId="61E6F5D8">
            <w:pPr>
              <w:widowControl/>
              <w:snapToGrid w:val="0"/>
              <w:ind w:firstLine="0" w:firstLineChars="0"/>
              <w:jc w:val="center"/>
              <w:rPr>
                <w:color w:val="000000"/>
                <w:kern w:val="0"/>
                <w:sz w:val="16"/>
                <w:szCs w:val="16"/>
              </w:rPr>
            </w:pPr>
            <w:r>
              <w:rPr>
                <w:color w:val="000000"/>
                <w:kern w:val="0"/>
                <w:sz w:val="16"/>
                <w:szCs w:val="16"/>
              </w:rPr>
              <w:t>6.13</w:t>
            </w:r>
          </w:p>
        </w:tc>
        <w:tc>
          <w:tcPr>
            <w:tcW w:w="916" w:type="dxa"/>
            <w:noWrap/>
            <w:vAlign w:val="center"/>
          </w:tcPr>
          <w:p w14:paraId="3741C3E5">
            <w:pPr>
              <w:widowControl/>
              <w:snapToGrid w:val="0"/>
              <w:ind w:firstLine="0" w:firstLineChars="0"/>
              <w:jc w:val="center"/>
              <w:rPr>
                <w:color w:val="000000"/>
                <w:kern w:val="0"/>
                <w:sz w:val="16"/>
                <w:szCs w:val="16"/>
              </w:rPr>
            </w:pPr>
            <w:r>
              <w:rPr>
                <w:color w:val="000000"/>
                <w:kern w:val="0"/>
                <w:sz w:val="16"/>
                <w:szCs w:val="16"/>
              </w:rPr>
              <w:t>42.91</w:t>
            </w:r>
          </w:p>
        </w:tc>
      </w:tr>
      <w:tr w14:paraId="28A13D56">
        <w:tblPrEx>
          <w:tblCellMar>
            <w:top w:w="0" w:type="dxa"/>
            <w:left w:w="108" w:type="dxa"/>
            <w:bottom w:w="0" w:type="dxa"/>
            <w:right w:w="108" w:type="dxa"/>
          </w:tblCellMar>
        </w:tblPrEx>
        <w:trPr>
          <w:trHeight w:val="288" w:hRule="atLeast"/>
          <w:jc w:val="center"/>
        </w:trPr>
        <w:tc>
          <w:tcPr>
            <w:tcW w:w="598" w:type="dxa"/>
            <w:noWrap/>
            <w:vAlign w:val="center"/>
          </w:tcPr>
          <w:p w14:paraId="6C8AE27F">
            <w:pPr>
              <w:widowControl/>
              <w:snapToGrid w:val="0"/>
              <w:ind w:firstLine="0" w:firstLineChars="0"/>
              <w:jc w:val="center"/>
              <w:rPr>
                <w:color w:val="000000"/>
                <w:kern w:val="0"/>
                <w:sz w:val="16"/>
                <w:szCs w:val="16"/>
              </w:rPr>
            </w:pPr>
          </w:p>
        </w:tc>
        <w:tc>
          <w:tcPr>
            <w:tcW w:w="3071" w:type="dxa"/>
            <w:noWrap/>
            <w:vAlign w:val="center"/>
          </w:tcPr>
          <w:p w14:paraId="541D8240">
            <w:pPr>
              <w:widowControl/>
              <w:snapToGrid w:val="0"/>
              <w:ind w:firstLine="0" w:firstLineChars="0"/>
              <w:jc w:val="center"/>
              <w:rPr>
                <w:color w:val="000000"/>
                <w:kern w:val="0"/>
                <w:sz w:val="16"/>
                <w:szCs w:val="16"/>
              </w:rPr>
            </w:pPr>
            <w:r>
              <w:rPr>
                <w:color w:val="000000"/>
                <w:kern w:val="0"/>
                <w:sz w:val="16"/>
                <w:szCs w:val="16"/>
              </w:rPr>
              <w:t>Straw Bags</w:t>
            </w:r>
          </w:p>
        </w:tc>
        <w:tc>
          <w:tcPr>
            <w:tcW w:w="1157" w:type="dxa"/>
            <w:noWrap/>
            <w:vAlign w:val="center"/>
          </w:tcPr>
          <w:p w14:paraId="4A841CC1">
            <w:pPr>
              <w:widowControl/>
              <w:snapToGrid w:val="0"/>
              <w:ind w:firstLine="0" w:firstLineChars="0"/>
              <w:jc w:val="center"/>
              <w:rPr>
                <w:color w:val="000000"/>
                <w:kern w:val="0"/>
                <w:sz w:val="16"/>
                <w:szCs w:val="16"/>
              </w:rPr>
            </w:pPr>
            <w:r>
              <w:rPr>
                <w:color w:val="000000"/>
                <w:kern w:val="0"/>
                <w:sz w:val="16"/>
                <w:szCs w:val="16"/>
              </w:rPr>
              <w:t>㎡</w:t>
            </w:r>
          </w:p>
        </w:tc>
        <w:tc>
          <w:tcPr>
            <w:tcW w:w="892" w:type="dxa"/>
            <w:noWrap/>
            <w:vAlign w:val="center"/>
          </w:tcPr>
          <w:p w14:paraId="5D4319ED">
            <w:pPr>
              <w:widowControl/>
              <w:snapToGrid w:val="0"/>
              <w:ind w:firstLine="0" w:firstLineChars="0"/>
              <w:jc w:val="center"/>
              <w:rPr>
                <w:color w:val="000000"/>
                <w:kern w:val="0"/>
                <w:sz w:val="16"/>
                <w:szCs w:val="16"/>
              </w:rPr>
            </w:pPr>
            <w:r>
              <w:rPr>
                <w:color w:val="000000"/>
                <w:kern w:val="0"/>
                <w:sz w:val="16"/>
                <w:szCs w:val="16"/>
              </w:rPr>
              <w:t>17.864</w:t>
            </w:r>
          </w:p>
        </w:tc>
        <w:tc>
          <w:tcPr>
            <w:tcW w:w="1089" w:type="dxa"/>
            <w:noWrap/>
            <w:vAlign w:val="center"/>
          </w:tcPr>
          <w:p w14:paraId="3096B8B5">
            <w:pPr>
              <w:widowControl/>
              <w:snapToGrid w:val="0"/>
              <w:ind w:firstLine="0" w:firstLineChars="0"/>
              <w:jc w:val="center"/>
              <w:rPr>
                <w:color w:val="000000"/>
                <w:kern w:val="0"/>
                <w:sz w:val="16"/>
                <w:szCs w:val="16"/>
              </w:rPr>
            </w:pPr>
            <w:r>
              <w:rPr>
                <w:color w:val="000000"/>
                <w:kern w:val="0"/>
                <w:sz w:val="16"/>
                <w:szCs w:val="16"/>
              </w:rPr>
              <w:t>2.46</w:t>
            </w:r>
          </w:p>
        </w:tc>
        <w:tc>
          <w:tcPr>
            <w:tcW w:w="916" w:type="dxa"/>
            <w:noWrap/>
            <w:vAlign w:val="center"/>
          </w:tcPr>
          <w:p w14:paraId="0370DD04">
            <w:pPr>
              <w:widowControl/>
              <w:snapToGrid w:val="0"/>
              <w:ind w:firstLine="0" w:firstLineChars="0"/>
              <w:jc w:val="center"/>
              <w:rPr>
                <w:color w:val="000000"/>
                <w:kern w:val="0"/>
                <w:sz w:val="16"/>
                <w:szCs w:val="16"/>
              </w:rPr>
            </w:pPr>
            <w:r>
              <w:rPr>
                <w:color w:val="000000"/>
                <w:kern w:val="0"/>
                <w:sz w:val="16"/>
                <w:szCs w:val="16"/>
              </w:rPr>
              <w:t>43.95</w:t>
            </w:r>
          </w:p>
        </w:tc>
      </w:tr>
      <w:tr w14:paraId="6B5B0FC0">
        <w:tblPrEx>
          <w:tblCellMar>
            <w:top w:w="0" w:type="dxa"/>
            <w:left w:w="108" w:type="dxa"/>
            <w:bottom w:w="0" w:type="dxa"/>
            <w:right w:w="108" w:type="dxa"/>
          </w:tblCellMar>
        </w:tblPrEx>
        <w:trPr>
          <w:trHeight w:val="288" w:hRule="atLeast"/>
          <w:jc w:val="center"/>
        </w:trPr>
        <w:tc>
          <w:tcPr>
            <w:tcW w:w="598" w:type="dxa"/>
            <w:noWrap/>
            <w:vAlign w:val="center"/>
          </w:tcPr>
          <w:p w14:paraId="48C5A929">
            <w:pPr>
              <w:widowControl/>
              <w:snapToGrid w:val="0"/>
              <w:ind w:firstLine="0" w:firstLineChars="0"/>
              <w:jc w:val="center"/>
              <w:rPr>
                <w:color w:val="000000"/>
                <w:kern w:val="0"/>
                <w:sz w:val="16"/>
                <w:szCs w:val="16"/>
              </w:rPr>
            </w:pPr>
            <w:r>
              <w:rPr>
                <w:color w:val="000000"/>
                <w:kern w:val="0"/>
                <w:sz w:val="16"/>
                <w:szCs w:val="16"/>
              </w:rPr>
              <w:t>1.1.3</w:t>
            </w:r>
          </w:p>
        </w:tc>
        <w:tc>
          <w:tcPr>
            <w:tcW w:w="3071" w:type="dxa"/>
            <w:noWrap/>
            <w:vAlign w:val="center"/>
          </w:tcPr>
          <w:p w14:paraId="0C120C20">
            <w:pPr>
              <w:widowControl/>
              <w:snapToGrid w:val="0"/>
              <w:ind w:firstLine="0" w:firstLineChars="0"/>
              <w:jc w:val="center"/>
              <w:rPr>
                <w:color w:val="000000"/>
                <w:kern w:val="0"/>
                <w:sz w:val="16"/>
                <w:szCs w:val="16"/>
              </w:rPr>
            </w:pPr>
            <w:r>
              <w:rPr>
                <w:color w:val="000000"/>
                <w:kern w:val="0"/>
                <w:sz w:val="16"/>
                <w:szCs w:val="16"/>
              </w:rPr>
              <w:t>Machinery Operation Cost</w:t>
            </w:r>
          </w:p>
        </w:tc>
        <w:tc>
          <w:tcPr>
            <w:tcW w:w="1157" w:type="dxa"/>
            <w:noWrap/>
            <w:vAlign w:val="center"/>
          </w:tcPr>
          <w:p w14:paraId="487E2DBD">
            <w:pPr>
              <w:widowControl/>
              <w:snapToGrid w:val="0"/>
              <w:ind w:firstLine="0" w:firstLineChars="0"/>
              <w:jc w:val="center"/>
              <w:rPr>
                <w:color w:val="000000"/>
                <w:kern w:val="0"/>
                <w:sz w:val="16"/>
                <w:szCs w:val="16"/>
              </w:rPr>
            </w:pPr>
          </w:p>
        </w:tc>
        <w:tc>
          <w:tcPr>
            <w:tcW w:w="892" w:type="dxa"/>
            <w:noWrap/>
            <w:vAlign w:val="center"/>
          </w:tcPr>
          <w:p w14:paraId="1A7B6815">
            <w:pPr>
              <w:widowControl/>
              <w:snapToGrid w:val="0"/>
              <w:ind w:firstLine="0" w:firstLineChars="0"/>
              <w:jc w:val="center"/>
              <w:rPr>
                <w:color w:val="000000"/>
                <w:kern w:val="0"/>
                <w:sz w:val="16"/>
                <w:szCs w:val="16"/>
              </w:rPr>
            </w:pPr>
          </w:p>
        </w:tc>
        <w:tc>
          <w:tcPr>
            <w:tcW w:w="1089" w:type="dxa"/>
            <w:noWrap/>
            <w:vAlign w:val="center"/>
          </w:tcPr>
          <w:p w14:paraId="50806BA7">
            <w:pPr>
              <w:widowControl/>
              <w:snapToGrid w:val="0"/>
              <w:ind w:firstLine="0" w:firstLineChars="0"/>
              <w:jc w:val="center"/>
              <w:rPr>
                <w:color w:val="000000"/>
                <w:kern w:val="0"/>
                <w:sz w:val="16"/>
                <w:szCs w:val="16"/>
              </w:rPr>
            </w:pPr>
          </w:p>
        </w:tc>
        <w:tc>
          <w:tcPr>
            <w:tcW w:w="916" w:type="dxa"/>
            <w:noWrap/>
            <w:vAlign w:val="center"/>
          </w:tcPr>
          <w:p w14:paraId="603AA08B">
            <w:pPr>
              <w:widowControl/>
              <w:snapToGrid w:val="0"/>
              <w:ind w:firstLine="0" w:firstLineChars="0"/>
              <w:jc w:val="center"/>
              <w:rPr>
                <w:color w:val="000000"/>
                <w:kern w:val="0"/>
                <w:sz w:val="16"/>
                <w:szCs w:val="16"/>
              </w:rPr>
            </w:pPr>
            <w:r>
              <w:rPr>
                <w:color w:val="000000"/>
                <w:kern w:val="0"/>
                <w:sz w:val="16"/>
                <w:szCs w:val="16"/>
              </w:rPr>
              <w:t>848.00</w:t>
            </w:r>
          </w:p>
        </w:tc>
      </w:tr>
      <w:tr w14:paraId="5806158F">
        <w:tblPrEx>
          <w:tblCellMar>
            <w:top w:w="0" w:type="dxa"/>
            <w:left w:w="108" w:type="dxa"/>
            <w:bottom w:w="0" w:type="dxa"/>
            <w:right w:w="108" w:type="dxa"/>
          </w:tblCellMar>
        </w:tblPrEx>
        <w:trPr>
          <w:trHeight w:val="288" w:hRule="atLeast"/>
          <w:jc w:val="center"/>
        </w:trPr>
        <w:tc>
          <w:tcPr>
            <w:tcW w:w="598" w:type="dxa"/>
            <w:noWrap/>
            <w:vAlign w:val="center"/>
          </w:tcPr>
          <w:p w14:paraId="08B33A1F">
            <w:pPr>
              <w:widowControl/>
              <w:snapToGrid w:val="0"/>
              <w:ind w:firstLine="0" w:firstLineChars="0"/>
              <w:jc w:val="center"/>
              <w:rPr>
                <w:color w:val="000000"/>
                <w:kern w:val="0"/>
                <w:sz w:val="16"/>
                <w:szCs w:val="16"/>
              </w:rPr>
            </w:pPr>
          </w:p>
        </w:tc>
        <w:tc>
          <w:tcPr>
            <w:tcW w:w="3071" w:type="dxa"/>
            <w:noWrap/>
            <w:vAlign w:val="center"/>
          </w:tcPr>
          <w:p w14:paraId="7E94EADA">
            <w:pPr>
              <w:widowControl/>
              <w:snapToGrid w:val="0"/>
              <w:ind w:firstLine="0" w:firstLineChars="0"/>
              <w:jc w:val="center"/>
              <w:rPr>
                <w:color w:val="000000"/>
                <w:kern w:val="0"/>
                <w:sz w:val="16"/>
                <w:szCs w:val="16"/>
              </w:rPr>
            </w:pPr>
            <w:r>
              <w:rPr>
                <w:color w:val="000000"/>
                <w:kern w:val="0"/>
                <w:sz w:val="16"/>
                <w:szCs w:val="16"/>
              </w:rPr>
              <w:t>Hydraulic Engineering Geological Drill</w:t>
            </w:r>
          </w:p>
        </w:tc>
        <w:tc>
          <w:tcPr>
            <w:tcW w:w="1157" w:type="dxa"/>
            <w:noWrap/>
            <w:vAlign w:val="center"/>
          </w:tcPr>
          <w:p w14:paraId="62147B6C">
            <w:pPr>
              <w:widowControl/>
              <w:snapToGrid w:val="0"/>
              <w:ind w:firstLine="0" w:firstLineChars="0"/>
              <w:jc w:val="center"/>
              <w:rPr>
                <w:color w:val="000000"/>
                <w:kern w:val="0"/>
                <w:sz w:val="16"/>
                <w:szCs w:val="16"/>
              </w:rPr>
            </w:pPr>
            <w:r>
              <w:rPr>
                <w:color w:val="000000"/>
                <w:kern w:val="0"/>
                <w:sz w:val="16"/>
                <w:szCs w:val="16"/>
              </w:rPr>
              <w:t>Machine-shift</w:t>
            </w:r>
          </w:p>
        </w:tc>
        <w:tc>
          <w:tcPr>
            <w:tcW w:w="892" w:type="dxa"/>
            <w:noWrap/>
            <w:vAlign w:val="center"/>
          </w:tcPr>
          <w:p w14:paraId="0008047B">
            <w:pPr>
              <w:widowControl/>
              <w:snapToGrid w:val="0"/>
              <w:ind w:firstLine="0" w:firstLineChars="0"/>
              <w:jc w:val="center"/>
              <w:rPr>
                <w:color w:val="000000"/>
                <w:kern w:val="0"/>
                <w:sz w:val="16"/>
                <w:szCs w:val="16"/>
              </w:rPr>
            </w:pPr>
            <w:r>
              <w:rPr>
                <w:color w:val="000000"/>
                <w:kern w:val="0"/>
                <w:sz w:val="16"/>
                <w:szCs w:val="16"/>
              </w:rPr>
              <w:t>0.300</w:t>
            </w:r>
          </w:p>
        </w:tc>
        <w:tc>
          <w:tcPr>
            <w:tcW w:w="1089" w:type="dxa"/>
            <w:noWrap/>
            <w:vAlign w:val="center"/>
          </w:tcPr>
          <w:p w14:paraId="38AE0679">
            <w:pPr>
              <w:widowControl/>
              <w:snapToGrid w:val="0"/>
              <w:ind w:firstLine="0" w:firstLineChars="0"/>
              <w:jc w:val="center"/>
              <w:rPr>
                <w:color w:val="000000"/>
                <w:kern w:val="0"/>
                <w:sz w:val="16"/>
                <w:szCs w:val="16"/>
              </w:rPr>
            </w:pPr>
            <w:r>
              <w:rPr>
                <w:color w:val="000000"/>
                <w:kern w:val="0"/>
                <w:sz w:val="16"/>
                <w:szCs w:val="16"/>
              </w:rPr>
              <w:t>770.78</w:t>
            </w:r>
          </w:p>
        </w:tc>
        <w:tc>
          <w:tcPr>
            <w:tcW w:w="916" w:type="dxa"/>
            <w:noWrap/>
            <w:vAlign w:val="center"/>
          </w:tcPr>
          <w:p w14:paraId="20FB82CF">
            <w:pPr>
              <w:widowControl/>
              <w:snapToGrid w:val="0"/>
              <w:ind w:firstLine="0" w:firstLineChars="0"/>
              <w:jc w:val="center"/>
              <w:rPr>
                <w:color w:val="000000"/>
                <w:kern w:val="0"/>
                <w:sz w:val="16"/>
                <w:szCs w:val="16"/>
              </w:rPr>
            </w:pPr>
            <w:r>
              <w:rPr>
                <w:color w:val="000000"/>
                <w:kern w:val="0"/>
                <w:sz w:val="16"/>
                <w:szCs w:val="16"/>
              </w:rPr>
              <w:t>231.23</w:t>
            </w:r>
          </w:p>
        </w:tc>
      </w:tr>
      <w:tr w14:paraId="5C9E869D">
        <w:tblPrEx>
          <w:tblCellMar>
            <w:top w:w="0" w:type="dxa"/>
            <w:left w:w="108" w:type="dxa"/>
            <w:bottom w:w="0" w:type="dxa"/>
            <w:right w:w="108" w:type="dxa"/>
          </w:tblCellMar>
        </w:tblPrEx>
        <w:trPr>
          <w:trHeight w:val="288" w:hRule="atLeast"/>
          <w:jc w:val="center"/>
        </w:trPr>
        <w:tc>
          <w:tcPr>
            <w:tcW w:w="598" w:type="dxa"/>
            <w:noWrap/>
            <w:vAlign w:val="center"/>
          </w:tcPr>
          <w:p w14:paraId="5E90675B">
            <w:pPr>
              <w:widowControl/>
              <w:snapToGrid w:val="0"/>
              <w:ind w:firstLine="0" w:firstLineChars="0"/>
              <w:jc w:val="center"/>
              <w:rPr>
                <w:color w:val="000000"/>
                <w:kern w:val="0"/>
                <w:sz w:val="16"/>
                <w:szCs w:val="16"/>
              </w:rPr>
            </w:pPr>
          </w:p>
        </w:tc>
        <w:tc>
          <w:tcPr>
            <w:tcW w:w="3071" w:type="dxa"/>
            <w:vAlign w:val="center"/>
          </w:tcPr>
          <w:p w14:paraId="2B6B30E6">
            <w:pPr>
              <w:widowControl/>
              <w:snapToGrid w:val="0"/>
              <w:ind w:firstLine="0" w:firstLineChars="0"/>
              <w:jc w:val="center"/>
              <w:rPr>
                <w:color w:val="000000"/>
                <w:kern w:val="0"/>
                <w:sz w:val="16"/>
                <w:szCs w:val="16"/>
              </w:rPr>
            </w:pPr>
            <w:r>
              <w:rPr>
                <w:color w:val="000000"/>
                <w:kern w:val="0"/>
                <w:sz w:val="16"/>
                <w:szCs w:val="16"/>
              </w:rPr>
              <w:t>Truck Crane (Lifting Capacity 20t)</w:t>
            </w:r>
          </w:p>
        </w:tc>
        <w:tc>
          <w:tcPr>
            <w:tcW w:w="1157" w:type="dxa"/>
            <w:noWrap/>
            <w:vAlign w:val="center"/>
          </w:tcPr>
          <w:p w14:paraId="1D56C687">
            <w:pPr>
              <w:widowControl/>
              <w:snapToGrid w:val="0"/>
              <w:ind w:firstLine="0" w:firstLineChars="0"/>
              <w:jc w:val="center"/>
              <w:rPr>
                <w:color w:val="000000"/>
                <w:kern w:val="0"/>
                <w:sz w:val="16"/>
                <w:szCs w:val="16"/>
              </w:rPr>
            </w:pPr>
            <w:r>
              <w:rPr>
                <w:color w:val="000000"/>
                <w:kern w:val="0"/>
                <w:sz w:val="16"/>
                <w:szCs w:val="16"/>
              </w:rPr>
              <w:t>Machine-shift</w:t>
            </w:r>
          </w:p>
        </w:tc>
        <w:tc>
          <w:tcPr>
            <w:tcW w:w="892" w:type="dxa"/>
            <w:noWrap/>
            <w:vAlign w:val="center"/>
          </w:tcPr>
          <w:p w14:paraId="2234C4DF">
            <w:pPr>
              <w:widowControl/>
              <w:snapToGrid w:val="0"/>
              <w:ind w:firstLine="0" w:firstLineChars="0"/>
              <w:jc w:val="center"/>
              <w:rPr>
                <w:color w:val="000000"/>
                <w:kern w:val="0"/>
                <w:sz w:val="16"/>
                <w:szCs w:val="16"/>
              </w:rPr>
            </w:pPr>
            <w:r>
              <w:rPr>
                <w:color w:val="000000"/>
                <w:kern w:val="0"/>
                <w:sz w:val="16"/>
                <w:szCs w:val="16"/>
              </w:rPr>
              <w:t>0.300</w:t>
            </w:r>
          </w:p>
        </w:tc>
        <w:tc>
          <w:tcPr>
            <w:tcW w:w="1089" w:type="dxa"/>
            <w:noWrap/>
            <w:vAlign w:val="center"/>
          </w:tcPr>
          <w:p w14:paraId="7D95C4EF">
            <w:pPr>
              <w:widowControl/>
              <w:snapToGrid w:val="0"/>
              <w:ind w:firstLine="0" w:firstLineChars="0"/>
              <w:jc w:val="center"/>
              <w:rPr>
                <w:color w:val="000000"/>
                <w:kern w:val="0"/>
                <w:sz w:val="16"/>
                <w:szCs w:val="16"/>
              </w:rPr>
            </w:pPr>
            <w:r>
              <w:rPr>
                <w:color w:val="000000"/>
                <w:kern w:val="0"/>
                <w:sz w:val="16"/>
                <w:szCs w:val="16"/>
              </w:rPr>
              <w:t>1396.90</w:t>
            </w:r>
          </w:p>
        </w:tc>
        <w:tc>
          <w:tcPr>
            <w:tcW w:w="916" w:type="dxa"/>
            <w:noWrap/>
            <w:vAlign w:val="center"/>
          </w:tcPr>
          <w:p w14:paraId="49F0D787">
            <w:pPr>
              <w:widowControl/>
              <w:snapToGrid w:val="0"/>
              <w:ind w:firstLine="0" w:firstLineChars="0"/>
              <w:jc w:val="center"/>
              <w:rPr>
                <w:color w:val="000000"/>
                <w:kern w:val="0"/>
                <w:sz w:val="16"/>
                <w:szCs w:val="16"/>
              </w:rPr>
            </w:pPr>
            <w:r>
              <w:rPr>
                <w:color w:val="000000"/>
                <w:kern w:val="0"/>
                <w:sz w:val="16"/>
                <w:szCs w:val="16"/>
              </w:rPr>
              <w:t>419.07</w:t>
            </w:r>
          </w:p>
        </w:tc>
      </w:tr>
      <w:tr w14:paraId="5ECA8B1C">
        <w:tblPrEx>
          <w:tblCellMar>
            <w:top w:w="0" w:type="dxa"/>
            <w:left w:w="108" w:type="dxa"/>
            <w:bottom w:w="0" w:type="dxa"/>
            <w:right w:w="108" w:type="dxa"/>
          </w:tblCellMar>
        </w:tblPrEx>
        <w:trPr>
          <w:trHeight w:val="288" w:hRule="atLeast"/>
          <w:jc w:val="center"/>
        </w:trPr>
        <w:tc>
          <w:tcPr>
            <w:tcW w:w="598" w:type="dxa"/>
            <w:noWrap/>
            <w:vAlign w:val="center"/>
          </w:tcPr>
          <w:p w14:paraId="7335A57F">
            <w:pPr>
              <w:widowControl/>
              <w:snapToGrid w:val="0"/>
              <w:ind w:firstLine="0" w:firstLineChars="0"/>
              <w:jc w:val="center"/>
              <w:rPr>
                <w:color w:val="000000"/>
                <w:kern w:val="0"/>
                <w:sz w:val="16"/>
                <w:szCs w:val="16"/>
              </w:rPr>
            </w:pPr>
          </w:p>
        </w:tc>
        <w:tc>
          <w:tcPr>
            <w:tcW w:w="3071" w:type="dxa"/>
            <w:vAlign w:val="center"/>
          </w:tcPr>
          <w:p w14:paraId="6CCEEA9C">
            <w:pPr>
              <w:widowControl/>
              <w:snapToGrid w:val="0"/>
              <w:ind w:firstLine="0" w:firstLineChars="0"/>
              <w:jc w:val="center"/>
              <w:rPr>
                <w:color w:val="000000"/>
                <w:kern w:val="0"/>
                <w:sz w:val="16"/>
                <w:szCs w:val="16"/>
              </w:rPr>
            </w:pPr>
            <w:r>
              <w:rPr>
                <w:color w:val="000000"/>
                <w:kern w:val="0"/>
                <w:sz w:val="16"/>
                <w:szCs w:val="16"/>
              </w:rPr>
              <w:t>Flatbed Trailer (Load Capacity 40t)</w:t>
            </w:r>
          </w:p>
        </w:tc>
        <w:tc>
          <w:tcPr>
            <w:tcW w:w="1157" w:type="dxa"/>
            <w:noWrap/>
            <w:vAlign w:val="center"/>
          </w:tcPr>
          <w:p w14:paraId="38C6313E">
            <w:pPr>
              <w:widowControl/>
              <w:snapToGrid w:val="0"/>
              <w:ind w:firstLine="0" w:firstLineChars="0"/>
              <w:jc w:val="center"/>
              <w:rPr>
                <w:color w:val="000000"/>
                <w:kern w:val="0"/>
                <w:sz w:val="16"/>
                <w:szCs w:val="16"/>
              </w:rPr>
            </w:pPr>
            <w:r>
              <w:rPr>
                <w:color w:val="000000"/>
                <w:kern w:val="0"/>
                <w:sz w:val="16"/>
                <w:szCs w:val="16"/>
              </w:rPr>
              <w:t>Machine-shift</w:t>
            </w:r>
          </w:p>
        </w:tc>
        <w:tc>
          <w:tcPr>
            <w:tcW w:w="892" w:type="dxa"/>
            <w:noWrap/>
            <w:vAlign w:val="center"/>
          </w:tcPr>
          <w:p w14:paraId="3F318C7E">
            <w:pPr>
              <w:widowControl/>
              <w:snapToGrid w:val="0"/>
              <w:ind w:firstLine="0" w:firstLineChars="0"/>
              <w:jc w:val="center"/>
              <w:rPr>
                <w:color w:val="000000"/>
                <w:kern w:val="0"/>
                <w:sz w:val="16"/>
                <w:szCs w:val="16"/>
              </w:rPr>
            </w:pPr>
            <w:r>
              <w:rPr>
                <w:color w:val="000000"/>
                <w:kern w:val="0"/>
                <w:sz w:val="16"/>
                <w:szCs w:val="16"/>
              </w:rPr>
              <w:t>0.000</w:t>
            </w:r>
          </w:p>
        </w:tc>
        <w:tc>
          <w:tcPr>
            <w:tcW w:w="1089" w:type="dxa"/>
            <w:noWrap/>
            <w:vAlign w:val="center"/>
          </w:tcPr>
          <w:p w14:paraId="79582945">
            <w:pPr>
              <w:widowControl/>
              <w:snapToGrid w:val="0"/>
              <w:ind w:firstLine="0" w:firstLineChars="0"/>
              <w:jc w:val="center"/>
              <w:rPr>
                <w:color w:val="000000"/>
                <w:kern w:val="0"/>
                <w:sz w:val="16"/>
                <w:szCs w:val="16"/>
              </w:rPr>
            </w:pPr>
            <w:r>
              <w:rPr>
                <w:color w:val="000000"/>
                <w:kern w:val="0"/>
                <w:sz w:val="16"/>
                <w:szCs w:val="16"/>
              </w:rPr>
              <w:t>1863.38</w:t>
            </w:r>
          </w:p>
        </w:tc>
        <w:tc>
          <w:tcPr>
            <w:tcW w:w="916" w:type="dxa"/>
            <w:noWrap/>
            <w:vAlign w:val="center"/>
          </w:tcPr>
          <w:p w14:paraId="6AE69577">
            <w:pPr>
              <w:widowControl/>
              <w:snapToGrid w:val="0"/>
              <w:ind w:firstLine="0" w:firstLineChars="0"/>
              <w:jc w:val="center"/>
              <w:rPr>
                <w:color w:val="000000"/>
                <w:kern w:val="0"/>
                <w:sz w:val="16"/>
                <w:szCs w:val="16"/>
              </w:rPr>
            </w:pPr>
            <w:r>
              <w:rPr>
                <w:color w:val="000000"/>
                <w:kern w:val="0"/>
                <w:sz w:val="16"/>
                <w:szCs w:val="16"/>
              </w:rPr>
              <w:t>0.00</w:t>
            </w:r>
          </w:p>
        </w:tc>
      </w:tr>
      <w:tr w14:paraId="4E8E0C58">
        <w:tblPrEx>
          <w:tblCellMar>
            <w:top w:w="0" w:type="dxa"/>
            <w:left w:w="108" w:type="dxa"/>
            <w:bottom w:w="0" w:type="dxa"/>
            <w:right w:w="108" w:type="dxa"/>
          </w:tblCellMar>
        </w:tblPrEx>
        <w:trPr>
          <w:trHeight w:val="288" w:hRule="atLeast"/>
          <w:jc w:val="center"/>
        </w:trPr>
        <w:tc>
          <w:tcPr>
            <w:tcW w:w="598" w:type="dxa"/>
            <w:noWrap/>
            <w:vAlign w:val="center"/>
          </w:tcPr>
          <w:p w14:paraId="38F2CC18">
            <w:pPr>
              <w:widowControl/>
              <w:snapToGrid w:val="0"/>
              <w:ind w:firstLine="0" w:firstLineChars="0"/>
              <w:jc w:val="center"/>
              <w:rPr>
                <w:color w:val="000000"/>
                <w:kern w:val="0"/>
                <w:sz w:val="16"/>
                <w:szCs w:val="16"/>
              </w:rPr>
            </w:pPr>
          </w:p>
        </w:tc>
        <w:tc>
          <w:tcPr>
            <w:tcW w:w="3071" w:type="dxa"/>
            <w:vAlign w:val="center"/>
          </w:tcPr>
          <w:p w14:paraId="62E103DA">
            <w:pPr>
              <w:widowControl/>
              <w:snapToGrid w:val="0"/>
              <w:ind w:firstLine="0" w:firstLineChars="0"/>
              <w:jc w:val="center"/>
              <w:rPr>
                <w:color w:val="000000"/>
                <w:kern w:val="0"/>
                <w:sz w:val="16"/>
                <w:szCs w:val="16"/>
              </w:rPr>
            </w:pPr>
            <w:r>
              <w:rPr>
                <w:color w:val="000000"/>
                <w:kern w:val="0"/>
                <w:sz w:val="16"/>
                <w:szCs w:val="16"/>
              </w:rPr>
              <w:t>Truck (Load Capacity 8t)</w:t>
            </w:r>
          </w:p>
        </w:tc>
        <w:tc>
          <w:tcPr>
            <w:tcW w:w="1157" w:type="dxa"/>
            <w:noWrap/>
            <w:vAlign w:val="center"/>
          </w:tcPr>
          <w:p w14:paraId="5F6AFD4B">
            <w:pPr>
              <w:widowControl/>
              <w:snapToGrid w:val="0"/>
              <w:ind w:firstLine="0" w:firstLineChars="0"/>
              <w:jc w:val="center"/>
              <w:rPr>
                <w:color w:val="000000"/>
                <w:kern w:val="0"/>
                <w:sz w:val="16"/>
                <w:szCs w:val="16"/>
              </w:rPr>
            </w:pPr>
            <w:r>
              <w:rPr>
                <w:color w:val="000000"/>
                <w:kern w:val="0"/>
                <w:sz w:val="16"/>
                <w:szCs w:val="16"/>
              </w:rPr>
              <w:t>Machine-shift</w:t>
            </w:r>
          </w:p>
        </w:tc>
        <w:tc>
          <w:tcPr>
            <w:tcW w:w="892" w:type="dxa"/>
            <w:noWrap/>
            <w:vAlign w:val="center"/>
          </w:tcPr>
          <w:p w14:paraId="4CB3DA5D">
            <w:pPr>
              <w:widowControl/>
              <w:snapToGrid w:val="0"/>
              <w:ind w:firstLine="0" w:firstLineChars="0"/>
              <w:jc w:val="center"/>
              <w:rPr>
                <w:color w:val="000000"/>
                <w:kern w:val="0"/>
                <w:sz w:val="16"/>
                <w:szCs w:val="16"/>
              </w:rPr>
            </w:pPr>
            <w:r>
              <w:rPr>
                <w:color w:val="000000"/>
                <w:kern w:val="0"/>
                <w:sz w:val="16"/>
                <w:szCs w:val="16"/>
              </w:rPr>
              <w:t>0.300</w:t>
            </w:r>
          </w:p>
        </w:tc>
        <w:tc>
          <w:tcPr>
            <w:tcW w:w="1089" w:type="dxa"/>
            <w:noWrap/>
            <w:vAlign w:val="center"/>
          </w:tcPr>
          <w:p w14:paraId="2C318F48">
            <w:pPr>
              <w:widowControl/>
              <w:snapToGrid w:val="0"/>
              <w:ind w:firstLine="0" w:firstLineChars="0"/>
              <w:jc w:val="center"/>
              <w:rPr>
                <w:color w:val="000000"/>
                <w:kern w:val="0"/>
                <w:sz w:val="16"/>
                <w:szCs w:val="16"/>
              </w:rPr>
            </w:pPr>
            <w:r>
              <w:rPr>
                <w:color w:val="000000"/>
                <w:kern w:val="0"/>
                <w:sz w:val="16"/>
                <w:szCs w:val="16"/>
              </w:rPr>
              <w:t>658.98</w:t>
            </w:r>
          </w:p>
        </w:tc>
        <w:tc>
          <w:tcPr>
            <w:tcW w:w="916" w:type="dxa"/>
            <w:noWrap/>
            <w:vAlign w:val="center"/>
          </w:tcPr>
          <w:p w14:paraId="0FBEB023">
            <w:pPr>
              <w:widowControl/>
              <w:snapToGrid w:val="0"/>
              <w:ind w:firstLine="0" w:firstLineChars="0"/>
              <w:jc w:val="center"/>
              <w:rPr>
                <w:color w:val="000000"/>
                <w:kern w:val="0"/>
                <w:sz w:val="16"/>
                <w:szCs w:val="16"/>
              </w:rPr>
            </w:pPr>
            <w:r>
              <w:rPr>
                <w:color w:val="000000"/>
                <w:kern w:val="0"/>
                <w:sz w:val="16"/>
                <w:szCs w:val="16"/>
              </w:rPr>
              <w:t>197.69</w:t>
            </w:r>
          </w:p>
        </w:tc>
      </w:tr>
      <w:tr w14:paraId="092D6B7C">
        <w:tblPrEx>
          <w:tblCellMar>
            <w:top w:w="0" w:type="dxa"/>
            <w:left w:w="108" w:type="dxa"/>
            <w:bottom w:w="0" w:type="dxa"/>
            <w:right w:w="108" w:type="dxa"/>
          </w:tblCellMar>
        </w:tblPrEx>
        <w:trPr>
          <w:trHeight w:val="288" w:hRule="atLeast"/>
          <w:jc w:val="center"/>
        </w:trPr>
        <w:tc>
          <w:tcPr>
            <w:tcW w:w="598" w:type="dxa"/>
            <w:tcBorders>
              <w:bottom w:val="single" w:color="auto" w:sz="4" w:space="0"/>
            </w:tcBorders>
            <w:noWrap/>
            <w:vAlign w:val="center"/>
          </w:tcPr>
          <w:p w14:paraId="75EDF0A9">
            <w:pPr>
              <w:widowControl/>
              <w:snapToGrid w:val="0"/>
              <w:ind w:firstLine="0" w:firstLineChars="0"/>
              <w:jc w:val="center"/>
              <w:rPr>
                <w:color w:val="000000"/>
                <w:kern w:val="0"/>
                <w:sz w:val="16"/>
                <w:szCs w:val="16"/>
              </w:rPr>
            </w:pPr>
          </w:p>
        </w:tc>
        <w:tc>
          <w:tcPr>
            <w:tcW w:w="3071" w:type="dxa"/>
            <w:tcBorders>
              <w:bottom w:val="single" w:color="auto" w:sz="4" w:space="0"/>
            </w:tcBorders>
            <w:vAlign w:val="center"/>
          </w:tcPr>
          <w:p w14:paraId="522C4143">
            <w:pPr>
              <w:widowControl/>
              <w:snapToGrid w:val="0"/>
              <w:ind w:firstLine="0" w:firstLineChars="0"/>
              <w:jc w:val="center"/>
              <w:rPr>
                <w:color w:val="000000"/>
                <w:kern w:val="0"/>
                <w:sz w:val="16"/>
                <w:szCs w:val="16"/>
              </w:rPr>
            </w:pPr>
            <w:r>
              <w:rPr>
                <w:color w:val="000000"/>
                <w:kern w:val="0"/>
                <w:sz w:val="16"/>
                <w:szCs w:val="16"/>
              </w:rPr>
              <w:t>Truck (Load Capacity 15t)</w:t>
            </w:r>
          </w:p>
        </w:tc>
        <w:tc>
          <w:tcPr>
            <w:tcW w:w="1157" w:type="dxa"/>
            <w:tcBorders>
              <w:bottom w:val="single" w:color="auto" w:sz="4" w:space="0"/>
            </w:tcBorders>
            <w:noWrap/>
            <w:vAlign w:val="center"/>
          </w:tcPr>
          <w:p w14:paraId="68EE32E2">
            <w:pPr>
              <w:widowControl/>
              <w:snapToGrid w:val="0"/>
              <w:ind w:firstLine="0" w:firstLineChars="0"/>
              <w:jc w:val="center"/>
              <w:rPr>
                <w:color w:val="000000"/>
                <w:kern w:val="0"/>
                <w:sz w:val="16"/>
                <w:szCs w:val="16"/>
              </w:rPr>
            </w:pPr>
            <w:r>
              <w:rPr>
                <w:color w:val="000000"/>
                <w:kern w:val="0"/>
                <w:sz w:val="16"/>
                <w:szCs w:val="16"/>
              </w:rPr>
              <w:t>Machine-shift</w:t>
            </w:r>
          </w:p>
        </w:tc>
        <w:tc>
          <w:tcPr>
            <w:tcW w:w="892" w:type="dxa"/>
            <w:tcBorders>
              <w:bottom w:val="single" w:color="auto" w:sz="4" w:space="0"/>
            </w:tcBorders>
            <w:noWrap/>
            <w:vAlign w:val="center"/>
          </w:tcPr>
          <w:p w14:paraId="258FF9CA">
            <w:pPr>
              <w:widowControl/>
              <w:snapToGrid w:val="0"/>
              <w:ind w:firstLine="0" w:firstLineChars="0"/>
              <w:jc w:val="center"/>
              <w:rPr>
                <w:color w:val="000000"/>
                <w:kern w:val="0"/>
                <w:sz w:val="16"/>
                <w:szCs w:val="16"/>
              </w:rPr>
            </w:pPr>
            <w:r>
              <w:rPr>
                <w:color w:val="000000"/>
                <w:kern w:val="0"/>
                <w:sz w:val="16"/>
                <w:szCs w:val="16"/>
              </w:rPr>
              <w:t>0.000</w:t>
            </w:r>
          </w:p>
        </w:tc>
        <w:tc>
          <w:tcPr>
            <w:tcW w:w="1089" w:type="dxa"/>
            <w:tcBorders>
              <w:bottom w:val="single" w:color="auto" w:sz="4" w:space="0"/>
            </w:tcBorders>
            <w:noWrap/>
            <w:vAlign w:val="center"/>
          </w:tcPr>
          <w:p w14:paraId="39D3B250">
            <w:pPr>
              <w:widowControl/>
              <w:snapToGrid w:val="0"/>
              <w:ind w:firstLine="0" w:firstLineChars="0"/>
              <w:jc w:val="center"/>
              <w:rPr>
                <w:color w:val="000000"/>
                <w:kern w:val="0"/>
                <w:sz w:val="16"/>
                <w:szCs w:val="16"/>
              </w:rPr>
            </w:pPr>
            <w:r>
              <w:rPr>
                <w:color w:val="000000"/>
                <w:kern w:val="0"/>
                <w:sz w:val="16"/>
                <w:szCs w:val="16"/>
              </w:rPr>
              <w:t>958.46</w:t>
            </w:r>
          </w:p>
        </w:tc>
        <w:tc>
          <w:tcPr>
            <w:tcW w:w="916" w:type="dxa"/>
            <w:tcBorders>
              <w:bottom w:val="single" w:color="auto" w:sz="4" w:space="0"/>
            </w:tcBorders>
            <w:noWrap/>
            <w:vAlign w:val="center"/>
          </w:tcPr>
          <w:p w14:paraId="2B45A4FF">
            <w:pPr>
              <w:widowControl/>
              <w:snapToGrid w:val="0"/>
              <w:ind w:firstLine="0" w:firstLineChars="0"/>
              <w:jc w:val="center"/>
              <w:rPr>
                <w:color w:val="000000"/>
                <w:kern w:val="0"/>
                <w:sz w:val="16"/>
                <w:szCs w:val="16"/>
              </w:rPr>
            </w:pPr>
            <w:r>
              <w:rPr>
                <w:color w:val="000000"/>
                <w:kern w:val="0"/>
                <w:sz w:val="16"/>
                <w:szCs w:val="16"/>
              </w:rPr>
              <w:t>0.00</w:t>
            </w:r>
          </w:p>
        </w:tc>
      </w:tr>
      <w:tr w14:paraId="4C16D5E4">
        <w:tblPrEx>
          <w:tblCellMar>
            <w:top w:w="0" w:type="dxa"/>
            <w:left w:w="108" w:type="dxa"/>
            <w:bottom w:w="0" w:type="dxa"/>
            <w:right w:w="108" w:type="dxa"/>
          </w:tblCellMar>
        </w:tblPrEx>
        <w:trPr>
          <w:trHeight w:val="288" w:hRule="atLeast"/>
          <w:jc w:val="center"/>
        </w:trPr>
        <w:tc>
          <w:tcPr>
            <w:tcW w:w="598" w:type="dxa"/>
            <w:tcBorders>
              <w:top w:val="single" w:color="auto" w:sz="4" w:space="0"/>
              <w:bottom w:val="single" w:color="auto" w:sz="4" w:space="0"/>
            </w:tcBorders>
            <w:noWrap/>
            <w:vAlign w:val="center"/>
          </w:tcPr>
          <w:p w14:paraId="60654CBB">
            <w:pPr>
              <w:widowControl/>
              <w:snapToGrid w:val="0"/>
              <w:ind w:firstLine="0" w:firstLineChars="0"/>
              <w:jc w:val="center"/>
              <w:rPr>
                <w:color w:val="000000"/>
                <w:kern w:val="0"/>
                <w:sz w:val="16"/>
                <w:szCs w:val="16"/>
              </w:rPr>
            </w:pPr>
            <w:r>
              <w:rPr>
                <w:color w:val="000000"/>
                <w:kern w:val="0"/>
                <w:sz w:val="16"/>
                <w:szCs w:val="16"/>
              </w:rPr>
              <w:t>1.2</w:t>
            </w:r>
          </w:p>
        </w:tc>
        <w:tc>
          <w:tcPr>
            <w:tcW w:w="3071" w:type="dxa"/>
            <w:tcBorders>
              <w:top w:val="single" w:color="auto" w:sz="4" w:space="0"/>
              <w:bottom w:val="single" w:color="auto" w:sz="4" w:space="0"/>
            </w:tcBorders>
            <w:noWrap/>
            <w:vAlign w:val="center"/>
          </w:tcPr>
          <w:p w14:paraId="3DD25DBF">
            <w:pPr>
              <w:widowControl/>
              <w:snapToGrid w:val="0"/>
              <w:ind w:firstLine="0" w:firstLineChars="0"/>
              <w:jc w:val="center"/>
              <w:rPr>
                <w:color w:val="000000"/>
                <w:kern w:val="0"/>
                <w:sz w:val="16"/>
                <w:szCs w:val="16"/>
              </w:rPr>
            </w:pPr>
            <w:r>
              <w:rPr>
                <w:color w:val="000000"/>
                <w:kern w:val="0"/>
                <w:sz w:val="16"/>
                <w:szCs w:val="16"/>
              </w:rPr>
              <w:t>Other Direct Costs (Measure Costs)</w:t>
            </w:r>
          </w:p>
        </w:tc>
        <w:tc>
          <w:tcPr>
            <w:tcW w:w="1157" w:type="dxa"/>
            <w:tcBorders>
              <w:top w:val="single" w:color="auto" w:sz="4" w:space="0"/>
              <w:bottom w:val="single" w:color="auto" w:sz="4" w:space="0"/>
            </w:tcBorders>
            <w:noWrap/>
            <w:vAlign w:val="center"/>
          </w:tcPr>
          <w:p w14:paraId="53A67122">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top w:val="single" w:color="auto" w:sz="4" w:space="0"/>
              <w:bottom w:val="single" w:color="auto" w:sz="4" w:space="0"/>
            </w:tcBorders>
            <w:noWrap/>
            <w:vAlign w:val="center"/>
          </w:tcPr>
          <w:p w14:paraId="1BD6327B">
            <w:pPr>
              <w:widowControl/>
              <w:snapToGrid w:val="0"/>
              <w:ind w:firstLine="0" w:firstLineChars="0"/>
              <w:jc w:val="center"/>
              <w:rPr>
                <w:color w:val="000000"/>
                <w:kern w:val="0"/>
                <w:sz w:val="16"/>
                <w:szCs w:val="16"/>
              </w:rPr>
            </w:pPr>
            <w:r>
              <w:rPr>
                <w:color w:val="000000"/>
                <w:kern w:val="0"/>
                <w:sz w:val="16"/>
                <w:szCs w:val="16"/>
              </w:rPr>
              <w:t>29.20%</w:t>
            </w:r>
          </w:p>
        </w:tc>
        <w:tc>
          <w:tcPr>
            <w:tcW w:w="1089" w:type="dxa"/>
            <w:tcBorders>
              <w:top w:val="single" w:color="auto" w:sz="4" w:space="0"/>
              <w:bottom w:val="single" w:color="auto" w:sz="4" w:space="0"/>
            </w:tcBorders>
            <w:noWrap/>
            <w:vAlign w:val="center"/>
          </w:tcPr>
          <w:p w14:paraId="518585A7">
            <w:pPr>
              <w:widowControl/>
              <w:snapToGrid w:val="0"/>
              <w:ind w:firstLine="0" w:firstLineChars="0"/>
              <w:jc w:val="center"/>
              <w:rPr>
                <w:color w:val="000000"/>
                <w:kern w:val="0"/>
                <w:sz w:val="16"/>
                <w:szCs w:val="16"/>
              </w:rPr>
            </w:pPr>
            <w:r>
              <w:rPr>
                <w:color w:val="000000"/>
                <w:kern w:val="0"/>
                <w:sz w:val="16"/>
                <w:szCs w:val="16"/>
              </w:rPr>
              <w:t>1455.80</w:t>
            </w:r>
          </w:p>
        </w:tc>
        <w:tc>
          <w:tcPr>
            <w:tcW w:w="916" w:type="dxa"/>
            <w:tcBorders>
              <w:top w:val="single" w:color="auto" w:sz="4" w:space="0"/>
              <w:bottom w:val="single" w:color="auto" w:sz="4" w:space="0"/>
            </w:tcBorders>
            <w:noWrap/>
            <w:vAlign w:val="center"/>
          </w:tcPr>
          <w:p w14:paraId="3BE84D91">
            <w:pPr>
              <w:widowControl/>
              <w:snapToGrid w:val="0"/>
              <w:ind w:firstLine="0" w:firstLineChars="0"/>
              <w:jc w:val="center"/>
              <w:rPr>
                <w:color w:val="000000"/>
                <w:kern w:val="0"/>
                <w:sz w:val="16"/>
                <w:szCs w:val="16"/>
              </w:rPr>
            </w:pPr>
            <w:r>
              <w:rPr>
                <w:color w:val="000000"/>
                <w:kern w:val="0"/>
                <w:sz w:val="16"/>
                <w:szCs w:val="16"/>
              </w:rPr>
              <w:t>425.09</w:t>
            </w:r>
          </w:p>
        </w:tc>
      </w:tr>
      <w:tr w14:paraId="61209A61">
        <w:tblPrEx>
          <w:tblCellMar>
            <w:top w:w="0" w:type="dxa"/>
            <w:left w:w="108" w:type="dxa"/>
            <w:bottom w:w="0" w:type="dxa"/>
            <w:right w:w="108" w:type="dxa"/>
          </w:tblCellMar>
        </w:tblPrEx>
        <w:trPr>
          <w:trHeight w:val="288" w:hRule="atLeast"/>
          <w:jc w:val="center"/>
        </w:trPr>
        <w:tc>
          <w:tcPr>
            <w:tcW w:w="598" w:type="dxa"/>
            <w:tcBorders>
              <w:top w:val="single" w:color="auto" w:sz="4" w:space="0"/>
              <w:bottom w:val="single" w:color="auto" w:sz="4" w:space="0"/>
            </w:tcBorders>
            <w:noWrap/>
            <w:vAlign w:val="center"/>
          </w:tcPr>
          <w:p w14:paraId="15585EC8">
            <w:pPr>
              <w:widowControl/>
              <w:snapToGrid w:val="0"/>
              <w:ind w:firstLine="0" w:firstLineChars="0"/>
              <w:jc w:val="center"/>
              <w:rPr>
                <w:color w:val="000000"/>
                <w:kern w:val="0"/>
                <w:sz w:val="16"/>
                <w:szCs w:val="16"/>
              </w:rPr>
            </w:pPr>
            <w:r>
              <w:rPr>
                <w:color w:val="000000"/>
                <w:kern w:val="0"/>
                <w:sz w:val="16"/>
                <w:szCs w:val="16"/>
              </w:rPr>
              <w:t>2</w:t>
            </w:r>
          </w:p>
        </w:tc>
        <w:tc>
          <w:tcPr>
            <w:tcW w:w="3071" w:type="dxa"/>
            <w:tcBorders>
              <w:top w:val="single" w:color="auto" w:sz="4" w:space="0"/>
              <w:bottom w:val="single" w:color="auto" w:sz="4" w:space="0"/>
            </w:tcBorders>
            <w:noWrap/>
            <w:vAlign w:val="center"/>
          </w:tcPr>
          <w:p w14:paraId="175B5106">
            <w:pPr>
              <w:widowControl/>
              <w:snapToGrid w:val="0"/>
              <w:ind w:firstLine="0" w:firstLineChars="0"/>
              <w:jc w:val="center"/>
              <w:rPr>
                <w:color w:val="000000"/>
                <w:kern w:val="0"/>
                <w:sz w:val="16"/>
                <w:szCs w:val="16"/>
              </w:rPr>
            </w:pPr>
            <w:r>
              <w:rPr>
                <w:color w:val="000000"/>
                <w:kern w:val="0"/>
                <w:sz w:val="16"/>
                <w:szCs w:val="16"/>
              </w:rPr>
              <w:t>Indirect Costs</w:t>
            </w:r>
          </w:p>
        </w:tc>
        <w:tc>
          <w:tcPr>
            <w:tcW w:w="1157" w:type="dxa"/>
            <w:tcBorders>
              <w:top w:val="single" w:color="auto" w:sz="4" w:space="0"/>
              <w:bottom w:val="single" w:color="auto" w:sz="4" w:space="0"/>
            </w:tcBorders>
            <w:noWrap/>
            <w:vAlign w:val="center"/>
          </w:tcPr>
          <w:p w14:paraId="03B4AC2D">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top w:val="single" w:color="auto" w:sz="4" w:space="0"/>
              <w:bottom w:val="single" w:color="auto" w:sz="4" w:space="0"/>
            </w:tcBorders>
            <w:noWrap/>
            <w:vAlign w:val="center"/>
          </w:tcPr>
          <w:p w14:paraId="30B06B3E">
            <w:pPr>
              <w:widowControl/>
              <w:snapToGrid w:val="0"/>
              <w:ind w:firstLine="0" w:firstLineChars="0"/>
              <w:jc w:val="center"/>
              <w:rPr>
                <w:color w:val="000000"/>
                <w:kern w:val="0"/>
                <w:sz w:val="16"/>
                <w:szCs w:val="16"/>
              </w:rPr>
            </w:pPr>
          </w:p>
        </w:tc>
        <w:tc>
          <w:tcPr>
            <w:tcW w:w="1089" w:type="dxa"/>
            <w:tcBorders>
              <w:top w:val="single" w:color="auto" w:sz="4" w:space="0"/>
              <w:bottom w:val="single" w:color="auto" w:sz="4" w:space="0"/>
            </w:tcBorders>
            <w:noWrap/>
            <w:vAlign w:val="center"/>
          </w:tcPr>
          <w:p w14:paraId="0C92D935">
            <w:pPr>
              <w:widowControl/>
              <w:snapToGrid w:val="0"/>
              <w:ind w:firstLine="0" w:firstLineChars="0"/>
              <w:jc w:val="center"/>
              <w:rPr>
                <w:color w:val="000000"/>
                <w:kern w:val="0"/>
                <w:sz w:val="16"/>
                <w:szCs w:val="16"/>
              </w:rPr>
            </w:pPr>
          </w:p>
        </w:tc>
        <w:tc>
          <w:tcPr>
            <w:tcW w:w="916" w:type="dxa"/>
            <w:tcBorders>
              <w:top w:val="single" w:color="auto" w:sz="4" w:space="0"/>
              <w:bottom w:val="single" w:color="auto" w:sz="4" w:space="0"/>
            </w:tcBorders>
            <w:noWrap/>
            <w:vAlign w:val="center"/>
          </w:tcPr>
          <w:p w14:paraId="1E0A5469">
            <w:pPr>
              <w:widowControl/>
              <w:snapToGrid w:val="0"/>
              <w:ind w:firstLine="0" w:firstLineChars="0"/>
              <w:jc w:val="center"/>
              <w:rPr>
                <w:color w:val="000000"/>
                <w:kern w:val="0"/>
                <w:sz w:val="16"/>
                <w:szCs w:val="16"/>
              </w:rPr>
            </w:pPr>
            <w:r>
              <w:rPr>
                <w:color w:val="000000"/>
                <w:kern w:val="0"/>
                <w:sz w:val="16"/>
                <w:szCs w:val="16"/>
              </w:rPr>
              <w:t>902.60</w:t>
            </w:r>
          </w:p>
        </w:tc>
      </w:tr>
      <w:tr w14:paraId="5F9DC6F4">
        <w:tblPrEx>
          <w:tblCellMar>
            <w:top w:w="0" w:type="dxa"/>
            <w:left w:w="108" w:type="dxa"/>
            <w:bottom w:w="0" w:type="dxa"/>
            <w:right w:w="108" w:type="dxa"/>
          </w:tblCellMar>
        </w:tblPrEx>
        <w:trPr>
          <w:trHeight w:val="288" w:hRule="atLeast"/>
          <w:jc w:val="center"/>
        </w:trPr>
        <w:tc>
          <w:tcPr>
            <w:tcW w:w="598" w:type="dxa"/>
            <w:tcBorders>
              <w:top w:val="single" w:color="auto" w:sz="4" w:space="0"/>
            </w:tcBorders>
            <w:noWrap/>
            <w:vAlign w:val="center"/>
          </w:tcPr>
          <w:p w14:paraId="4B07EB48">
            <w:pPr>
              <w:widowControl/>
              <w:snapToGrid w:val="0"/>
              <w:ind w:firstLine="0" w:firstLineChars="0"/>
              <w:jc w:val="center"/>
              <w:rPr>
                <w:color w:val="000000"/>
                <w:kern w:val="0"/>
                <w:sz w:val="16"/>
                <w:szCs w:val="16"/>
              </w:rPr>
            </w:pPr>
            <w:r>
              <w:rPr>
                <w:color w:val="000000"/>
                <w:kern w:val="0"/>
                <w:sz w:val="16"/>
                <w:szCs w:val="16"/>
              </w:rPr>
              <w:t>2.1</w:t>
            </w:r>
          </w:p>
        </w:tc>
        <w:tc>
          <w:tcPr>
            <w:tcW w:w="3071" w:type="dxa"/>
            <w:tcBorders>
              <w:top w:val="single" w:color="auto" w:sz="4" w:space="0"/>
            </w:tcBorders>
            <w:noWrap/>
            <w:vAlign w:val="center"/>
          </w:tcPr>
          <w:p w14:paraId="77793FB5">
            <w:pPr>
              <w:widowControl/>
              <w:snapToGrid w:val="0"/>
              <w:ind w:firstLine="0" w:firstLineChars="0"/>
              <w:jc w:val="center"/>
              <w:rPr>
                <w:color w:val="000000"/>
                <w:kern w:val="0"/>
                <w:sz w:val="16"/>
                <w:szCs w:val="16"/>
              </w:rPr>
            </w:pPr>
            <w:r>
              <w:rPr>
                <w:color w:val="000000"/>
                <w:kern w:val="0"/>
                <w:sz w:val="16"/>
                <w:szCs w:val="16"/>
              </w:rPr>
              <w:t>Statutory Fees</w:t>
            </w:r>
          </w:p>
        </w:tc>
        <w:tc>
          <w:tcPr>
            <w:tcW w:w="1157" w:type="dxa"/>
            <w:tcBorders>
              <w:top w:val="single" w:color="auto" w:sz="4" w:space="0"/>
            </w:tcBorders>
            <w:noWrap/>
            <w:vAlign w:val="center"/>
          </w:tcPr>
          <w:p w14:paraId="35725EBF">
            <w:pPr>
              <w:widowControl/>
              <w:snapToGrid w:val="0"/>
              <w:ind w:firstLine="0" w:firstLineChars="0"/>
              <w:jc w:val="center"/>
              <w:rPr>
                <w:color w:val="000000"/>
                <w:kern w:val="0"/>
                <w:sz w:val="16"/>
                <w:szCs w:val="16"/>
              </w:rPr>
            </w:pPr>
          </w:p>
        </w:tc>
        <w:tc>
          <w:tcPr>
            <w:tcW w:w="892" w:type="dxa"/>
            <w:tcBorders>
              <w:top w:val="single" w:color="auto" w:sz="4" w:space="0"/>
            </w:tcBorders>
            <w:noWrap/>
            <w:vAlign w:val="center"/>
          </w:tcPr>
          <w:p w14:paraId="42A1E82D">
            <w:pPr>
              <w:widowControl/>
              <w:snapToGrid w:val="0"/>
              <w:ind w:firstLine="0" w:firstLineChars="0"/>
              <w:jc w:val="center"/>
              <w:rPr>
                <w:color w:val="000000"/>
                <w:kern w:val="0"/>
                <w:sz w:val="16"/>
                <w:szCs w:val="16"/>
              </w:rPr>
            </w:pPr>
          </w:p>
        </w:tc>
        <w:tc>
          <w:tcPr>
            <w:tcW w:w="1089" w:type="dxa"/>
            <w:tcBorders>
              <w:top w:val="single" w:color="auto" w:sz="4" w:space="0"/>
            </w:tcBorders>
            <w:noWrap/>
            <w:vAlign w:val="center"/>
          </w:tcPr>
          <w:p w14:paraId="65247A41">
            <w:pPr>
              <w:widowControl/>
              <w:snapToGrid w:val="0"/>
              <w:ind w:firstLine="0" w:firstLineChars="0"/>
              <w:jc w:val="center"/>
              <w:rPr>
                <w:color w:val="000000"/>
                <w:kern w:val="0"/>
                <w:sz w:val="16"/>
                <w:szCs w:val="16"/>
              </w:rPr>
            </w:pPr>
          </w:p>
        </w:tc>
        <w:tc>
          <w:tcPr>
            <w:tcW w:w="916" w:type="dxa"/>
            <w:tcBorders>
              <w:top w:val="single" w:color="auto" w:sz="4" w:space="0"/>
            </w:tcBorders>
            <w:noWrap/>
            <w:vAlign w:val="center"/>
          </w:tcPr>
          <w:p w14:paraId="169BCEE6">
            <w:pPr>
              <w:widowControl/>
              <w:snapToGrid w:val="0"/>
              <w:ind w:firstLine="0" w:firstLineChars="0"/>
              <w:jc w:val="center"/>
              <w:rPr>
                <w:color w:val="000000"/>
                <w:kern w:val="0"/>
                <w:sz w:val="16"/>
                <w:szCs w:val="16"/>
              </w:rPr>
            </w:pPr>
            <w:r>
              <w:rPr>
                <w:color w:val="000000"/>
                <w:kern w:val="0"/>
                <w:sz w:val="16"/>
                <w:szCs w:val="16"/>
              </w:rPr>
              <w:t>465.86</w:t>
            </w:r>
          </w:p>
        </w:tc>
      </w:tr>
      <w:tr w14:paraId="538AEB32">
        <w:tblPrEx>
          <w:tblCellMar>
            <w:top w:w="0" w:type="dxa"/>
            <w:left w:w="108" w:type="dxa"/>
            <w:bottom w:w="0" w:type="dxa"/>
            <w:right w:w="108" w:type="dxa"/>
          </w:tblCellMar>
        </w:tblPrEx>
        <w:trPr>
          <w:trHeight w:val="288" w:hRule="atLeast"/>
          <w:jc w:val="center"/>
        </w:trPr>
        <w:tc>
          <w:tcPr>
            <w:tcW w:w="598" w:type="dxa"/>
            <w:noWrap/>
            <w:vAlign w:val="center"/>
          </w:tcPr>
          <w:p w14:paraId="75B65EA0">
            <w:pPr>
              <w:widowControl/>
              <w:snapToGrid w:val="0"/>
              <w:ind w:firstLine="0" w:firstLineChars="0"/>
              <w:jc w:val="center"/>
              <w:rPr>
                <w:color w:val="000000"/>
                <w:kern w:val="0"/>
                <w:sz w:val="16"/>
                <w:szCs w:val="16"/>
              </w:rPr>
            </w:pPr>
            <w:r>
              <w:rPr>
                <w:color w:val="000000"/>
                <w:kern w:val="0"/>
                <w:sz w:val="16"/>
                <w:szCs w:val="16"/>
              </w:rPr>
              <w:t>2.1.1</w:t>
            </w:r>
          </w:p>
        </w:tc>
        <w:tc>
          <w:tcPr>
            <w:tcW w:w="3071" w:type="dxa"/>
            <w:noWrap/>
            <w:vAlign w:val="center"/>
          </w:tcPr>
          <w:p w14:paraId="795D4C41">
            <w:pPr>
              <w:widowControl/>
              <w:snapToGrid w:val="0"/>
              <w:ind w:firstLine="0" w:firstLineChars="0"/>
              <w:jc w:val="center"/>
              <w:rPr>
                <w:color w:val="000000"/>
                <w:kern w:val="0"/>
                <w:sz w:val="16"/>
                <w:szCs w:val="16"/>
              </w:rPr>
            </w:pPr>
            <w:r>
              <w:rPr>
                <w:color w:val="000000"/>
                <w:kern w:val="0"/>
                <w:sz w:val="16"/>
                <w:szCs w:val="16"/>
              </w:rPr>
              <w:t>Social Security Fees</w:t>
            </w:r>
          </w:p>
        </w:tc>
        <w:tc>
          <w:tcPr>
            <w:tcW w:w="1157" w:type="dxa"/>
            <w:noWrap/>
            <w:vAlign w:val="center"/>
          </w:tcPr>
          <w:p w14:paraId="34F46080">
            <w:pPr>
              <w:widowControl/>
              <w:snapToGrid w:val="0"/>
              <w:ind w:firstLine="0" w:firstLineChars="0"/>
              <w:jc w:val="center"/>
              <w:rPr>
                <w:color w:val="000000"/>
                <w:kern w:val="0"/>
                <w:sz w:val="16"/>
                <w:szCs w:val="16"/>
              </w:rPr>
            </w:pPr>
            <w:r>
              <w:rPr>
                <w:color w:val="000000"/>
                <w:kern w:val="0"/>
                <w:sz w:val="16"/>
                <w:szCs w:val="16"/>
              </w:rPr>
              <w:t>CNY</w:t>
            </w:r>
          </w:p>
        </w:tc>
        <w:tc>
          <w:tcPr>
            <w:tcW w:w="892" w:type="dxa"/>
            <w:noWrap/>
            <w:vAlign w:val="center"/>
          </w:tcPr>
          <w:p w14:paraId="3E0F2965">
            <w:pPr>
              <w:widowControl/>
              <w:snapToGrid w:val="0"/>
              <w:ind w:firstLine="0" w:firstLineChars="0"/>
              <w:jc w:val="center"/>
              <w:rPr>
                <w:color w:val="000000"/>
                <w:kern w:val="0"/>
                <w:sz w:val="16"/>
                <w:szCs w:val="16"/>
              </w:rPr>
            </w:pPr>
            <w:r>
              <w:rPr>
                <w:color w:val="000000"/>
                <w:kern w:val="0"/>
                <w:sz w:val="16"/>
                <w:szCs w:val="16"/>
              </w:rPr>
              <w:t>26.81%</w:t>
            </w:r>
          </w:p>
        </w:tc>
        <w:tc>
          <w:tcPr>
            <w:tcW w:w="1089" w:type="dxa"/>
            <w:noWrap/>
            <w:vAlign w:val="center"/>
          </w:tcPr>
          <w:p w14:paraId="5A255B2D">
            <w:pPr>
              <w:widowControl/>
              <w:snapToGrid w:val="0"/>
              <w:ind w:firstLine="0" w:firstLineChars="0"/>
              <w:jc w:val="center"/>
              <w:rPr>
                <w:color w:val="000000"/>
                <w:kern w:val="0"/>
                <w:sz w:val="16"/>
                <w:szCs w:val="16"/>
              </w:rPr>
            </w:pPr>
            <w:r>
              <w:rPr>
                <w:color w:val="000000"/>
                <w:kern w:val="0"/>
                <w:sz w:val="16"/>
                <w:szCs w:val="16"/>
              </w:rPr>
              <w:t>1455.80</w:t>
            </w:r>
          </w:p>
        </w:tc>
        <w:tc>
          <w:tcPr>
            <w:tcW w:w="916" w:type="dxa"/>
            <w:noWrap/>
            <w:vAlign w:val="center"/>
          </w:tcPr>
          <w:p w14:paraId="150E4CA9">
            <w:pPr>
              <w:widowControl/>
              <w:snapToGrid w:val="0"/>
              <w:ind w:firstLine="0" w:firstLineChars="0"/>
              <w:jc w:val="center"/>
              <w:rPr>
                <w:color w:val="000000"/>
                <w:kern w:val="0"/>
                <w:sz w:val="16"/>
                <w:szCs w:val="16"/>
              </w:rPr>
            </w:pPr>
            <w:r>
              <w:rPr>
                <w:color w:val="000000"/>
                <w:kern w:val="0"/>
                <w:sz w:val="16"/>
                <w:szCs w:val="16"/>
              </w:rPr>
              <w:t>390.30</w:t>
            </w:r>
          </w:p>
        </w:tc>
      </w:tr>
      <w:tr w14:paraId="6B07FECE">
        <w:tblPrEx>
          <w:tblCellMar>
            <w:top w:w="0" w:type="dxa"/>
            <w:left w:w="108" w:type="dxa"/>
            <w:bottom w:w="0" w:type="dxa"/>
            <w:right w:w="108" w:type="dxa"/>
          </w:tblCellMar>
        </w:tblPrEx>
        <w:trPr>
          <w:trHeight w:val="288" w:hRule="atLeast"/>
          <w:jc w:val="center"/>
        </w:trPr>
        <w:tc>
          <w:tcPr>
            <w:tcW w:w="598" w:type="dxa"/>
            <w:noWrap/>
            <w:vAlign w:val="center"/>
          </w:tcPr>
          <w:p w14:paraId="13B06659">
            <w:pPr>
              <w:widowControl/>
              <w:snapToGrid w:val="0"/>
              <w:ind w:firstLine="0" w:firstLineChars="0"/>
              <w:jc w:val="center"/>
              <w:rPr>
                <w:color w:val="000000"/>
                <w:kern w:val="0"/>
                <w:sz w:val="16"/>
                <w:szCs w:val="16"/>
              </w:rPr>
            </w:pPr>
            <w:r>
              <w:rPr>
                <w:color w:val="000000"/>
                <w:kern w:val="0"/>
                <w:sz w:val="16"/>
                <w:szCs w:val="16"/>
              </w:rPr>
              <w:t>2.1.2</w:t>
            </w:r>
          </w:p>
        </w:tc>
        <w:tc>
          <w:tcPr>
            <w:tcW w:w="3071" w:type="dxa"/>
            <w:noWrap/>
            <w:vAlign w:val="center"/>
          </w:tcPr>
          <w:p w14:paraId="364ECF41">
            <w:pPr>
              <w:widowControl/>
              <w:snapToGrid w:val="0"/>
              <w:ind w:firstLine="0" w:firstLineChars="0"/>
              <w:jc w:val="center"/>
              <w:rPr>
                <w:color w:val="000000"/>
                <w:kern w:val="0"/>
                <w:sz w:val="16"/>
                <w:szCs w:val="16"/>
              </w:rPr>
            </w:pPr>
            <w:r>
              <w:rPr>
                <w:color w:val="000000"/>
                <w:kern w:val="0"/>
                <w:sz w:val="16"/>
                <w:szCs w:val="16"/>
              </w:rPr>
              <w:t>Housing Provident Fund</w:t>
            </w:r>
          </w:p>
        </w:tc>
        <w:tc>
          <w:tcPr>
            <w:tcW w:w="1157" w:type="dxa"/>
            <w:noWrap/>
            <w:vAlign w:val="center"/>
          </w:tcPr>
          <w:p w14:paraId="6A35A4BB">
            <w:pPr>
              <w:widowControl/>
              <w:snapToGrid w:val="0"/>
              <w:ind w:firstLine="0" w:firstLineChars="0"/>
              <w:jc w:val="center"/>
              <w:rPr>
                <w:color w:val="000000"/>
                <w:kern w:val="0"/>
                <w:sz w:val="16"/>
                <w:szCs w:val="16"/>
              </w:rPr>
            </w:pPr>
            <w:r>
              <w:rPr>
                <w:color w:val="000000"/>
                <w:kern w:val="0"/>
                <w:sz w:val="16"/>
                <w:szCs w:val="16"/>
              </w:rPr>
              <w:t>CNY</w:t>
            </w:r>
          </w:p>
        </w:tc>
        <w:tc>
          <w:tcPr>
            <w:tcW w:w="892" w:type="dxa"/>
            <w:noWrap/>
            <w:vAlign w:val="center"/>
          </w:tcPr>
          <w:p w14:paraId="5551A576">
            <w:pPr>
              <w:widowControl/>
              <w:snapToGrid w:val="0"/>
              <w:ind w:firstLine="0" w:firstLineChars="0"/>
              <w:jc w:val="center"/>
              <w:rPr>
                <w:color w:val="000000"/>
                <w:kern w:val="0"/>
                <w:sz w:val="16"/>
                <w:szCs w:val="16"/>
              </w:rPr>
            </w:pPr>
            <w:r>
              <w:rPr>
                <w:color w:val="000000"/>
                <w:kern w:val="0"/>
                <w:sz w:val="16"/>
                <w:szCs w:val="16"/>
              </w:rPr>
              <w:t>4.19%</w:t>
            </w:r>
          </w:p>
        </w:tc>
        <w:tc>
          <w:tcPr>
            <w:tcW w:w="1089" w:type="dxa"/>
            <w:noWrap/>
            <w:vAlign w:val="center"/>
          </w:tcPr>
          <w:p w14:paraId="1A216610">
            <w:pPr>
              <w:widowControl/>
              <w:snapToGrid w:val="0"/>
              <w:ind w:firstLine="0" w:firstLineChars="0"/>
              <w:jc w:val="center"/>
              <w:rPr>
                <w:color w:val="000000"/>
                <w:kern w:val="0"/>
                <w:sz w:val="16"/>
                <w:szCs w:val="16"/>
              </w:rPr>
            </w:pPr>
            <w:r>
              <w:rPr>
                <w:color w:val="000000"/>
                <w:kern w:val="0"/>
                <w:sz w:val="16"/>
                <w:szCs w:val="16"/>
              </w:rPr>
              <w:t>1455.80</w:t>
            </w:r>
          </w:p>
        </w:tc>
        <w:tc>
          <w:tcPr>
            <w:tcW w:w="916" w:type="dxa"/>
            <w:noWrap/>
            <w:vAlign w:val="center"/>
          </w:tcPr>
          <w:p w14:paraId="53E7ED47">
            <w:pPr>
              <w:widowControl/>
              <w:snapToGrid w:val="0"/>
              <w:ind w:firstLine="0" w:firstLineChars="0"/>
              <w:jc w:val="center"/>
              <w:rPr>
                <w:color w:val="000000"/>
                <w:kern w:val="0"/>
                <w:sz w:val="16"/>
                <w:szCs w:val="16"/>
              </w:rPr>
            </w:pPr>
            <w:r>
              <w:rPr>
                <w:color w:val="000000"/>
                <w:kern w:val="0"/>
                <w:sz w:val="16"/>
                <w:szCs w:val="16"/>
              </w:rPr>
              <w:t>61.00</w:t>
            </w:r>
          </w:p>
        </w:tc>
      </w:tr>
      <w:tr w14:paraId="007E33B6">
        <w:tblPrEx>
          <w:tblCellMar>
            <w:top w:w="0" w:type="dxa"/>
            <w:left w:w="108" w:type="dxa"/>
            <w:bottom w:w="0" w:type="dxa"/>
            <w:right w:w="108" w:type="dxa"/>
          </w:tblCellMar>
        </w:tblPrEx>
        <w:trPr>
          <w:trHeight w:val="288" w:hRule="atLeast"/>
          <w:jc w:val="center"/>
        </w:trPr>
        <w:tc>
          <w:tcPr>
            <w:tcW w:w="598" w:type="dxa"/>
            <w:tcBorders>
              <w:bottom w:val="single" w:color="auto" w:sz="4" w:space="0"/>
            </w:tcBorders>
            <w:noWrap/>
            <w:vAlign w:val="center"/>
          </w:tcPr>
          <w:p w14:paraId="67E5D14C">
            <w:pPr>
              <w:widowControl/>
              <w:snapToGrid w:val="0"/>
              <w:ind w:firstLine="0" w:firstLineChars="0"/>
              <w:jc w:val="center"/>
              <w:rPr>
                <w:color w:val="000000"/>
                <w:kern w:val="0"/>
                <w:sz w:val="16"/>
                <w:szCs w:val="16"/>
              </w:rPr>
            </w:pPr>
            <w:r>
              <w:rPr>
                <w:color w:val="000000"/>
                <w:kern w:val="0"/>
                <w:sz w:val="16"/>
                <w:szCs w:val="16"/>
              </w:rPr>
              <w:t>2.1.3</w:t>
            </w:r>
          </w:p>
        </w:tc>
        <w:tc>
          <w:tcPr>
            <w:tcW w:w="3071" w:type="dxa"/>
            <w:tcBorders>
              <w:bottom w:val="single" w:color="auto" w:sz="4" w:space="0"/>
            </w:tcBorders>
            <w:noWrap/>
            <w:vAlign w:val="center"/>
          </w:tcPr>
          <w:p w14:paraId="77809373">
            <w:pPr>
              <w:widowControl/>
              <w:snapToGrid w:val="0"/>
              <w:ind w:firstLine="0" w:firstLineChars="0"/>
              <w:jc w:val="center"/>
              <w:rPr>
                <w:color w:val="000000"/>
                <w:kern w:val="0"/>
                <w:sz w:val="16"/>
                <w:szCs w:val="16"/>
              </w:rPr>
            </w:pPr>
            <w:r>
              <w:rPr>
                <w:color w:val="000000"/>
                <w:kern w:val="0"/>
                <w:sz w:val="16"/>
                <w:szCs w:val="16"/>
              </w:rPr>
              <w:t>Hazardous Work Accident Insurance</w:t>
            </w:r>
          </w:p>
        </w:tc>
        <w:tc>
          <w:tcPr>
            <w:tcW w:w="1157" w:type="dxa"/>
            <w:tcBorders>
              <w:bottom w:val="single" w:color="auto" w:sz="4" w:space="0"/>
            </w:tcBorders>
            <w:noWrap/>
            <w:vAlign w:val="center"/>
          </w:tcPr>
          <w:p w14:paraId="24E2534D">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bottom w:val="single" w:color="auto" w:sz="4" w:space="0"/>
            </w:tcBorders>
            <w:noWrap/>
            <w:vAlign w:val="center"/>
          </w:tcPr>
          <w:p w14:paraId="5E9824CA">
            <w:pPr>
              <w:widowControl/>
              <w:snapToGrid w:val="0"/>
              <w:ind w:firstLine="0" w:firstLineChars="0"/>
              <w:jc w:val="center"/>
              <w:rPr>
                <w:color w:val="000000"/>
                <w:kern w:val="0"/>
                <w:sz w:val="16"/>
                <w:szCs w:val="16"/>
              </w:rPr>
            </w:pPr>
            <w:r>
              <w:rPr>
                <w:color w:val="000000"/>
                <w:kern w:val="0"/>
                <w:sz w:val="16"/>
                <w:szCs w:val="16"/>
              </w:rPr>
              <w:t>1.00%</w:t>
            </w:r>
          </w:p>
        </w:tc>
        <w:tc>
          <w:tcPr>
            <w:tcW w:w="1089" w:type="dxa"/>
            <w:tcBorders>
              <w:bottom w:val="single" w:color="auto" w:sz="4" w:space="0"/>
            </w:tcBorders>
            <w:noWrap/>
            <w:vAlign w:val="center"/>
          </w:tcPr>
          <w:p w14:paraId="0C40D656">
            <w:pPr>
              <w:widowControl/>
              <w:snapToGrid w:val="0"/>
              <w:ind w:firstLine="0" w:firstLineChars="0"/>
              <w:jc w:val="center"/>
              <w:rPr>
                <w:color w:val="000000"/>
                <w:kern w:val="0"/>
                <w:sz w:val="16"/>
                <w:szCs w:val="16"/>
              </w:rPr>
            </w:pPr>
            <w:r>
              <w:rPr>
                <w:color w:val="000000"/>
                <w:kern w:val="0"/>
                <w:sz w:val="16"/>
                <w:szCs w:val="16"/>
              </w:rPr>
              <w:t>1455.80</w:t>
            </w:r>
          </w:p>
        </w:tc>
        <w:tc>
          <w:tcPr>
            <w:tcW w:w="916" w:type="dxa"/>
            <w:tcBorders>
              <w:bottom w:val="single" w:color="auto" w:sz="4" w:space="0"/>
            </w:tcBorders>
            <w:noWrap/>
            <w:vAlign w:val="center"/>
          </w:tcPr>
          <w:p w14:paraId="6351A0B5">
            <w:pPr>
              <w:widowControl/>
              <w:snapToGrid w:val="0"/>
              <w:ind w:firstLine="0" w:firstLineChars="0"/>
              <w:jc w:val="center"/>
              <w:rPr>
                <w:color w:val="000000"/>
                <w:kern w:val="0"/>
                <w:sz w:val="16"/>
                <w:szCs w:val="16"/>
              </w:rPr>
            </w:pPr>
            <w:r>
              <w:rPr>
                <w:color w:val="000000"/>
                <w:kern w:val="0"/>
                <w:sz w:val="16"/>
                <w:szCs w:val="16"/>
              </w:rPr>
              <w:t>14.56</w:t>
            </w:r>
          </w:p>
        </w:tc>
      </w:tr>
      <w:tr w14:paraId="78561EE1">
        <w:tblPrEx>
          <w:tblCellMar>
            <w:top w:w="0" w:type="dxa"/>
            <w:left w:w="108" w:type="dxa"/>
            <w:bottom w:w="0" w:type="dxa"/>
            <w:right w:w="108" w:type="dxa"/>
          </w:tblCellMar>
        </w:tblPrEx>
        <w:trPr>
          <w:trHeight w:val="288" w:hRule="atLeast"/>
          <w:jc w:val="center"/>
        </w:trPr>
        <w:tc>
          <w:tcPr>
            <w:tcW w:w="598" w:type="dxa"/>
            <w:tcBorders>
              <w:top w:val="single" w:color="auto" w:sz="4" w:space="0"/>
              <w:bottom w:val="single" w:color="auto" w:sz="4" w:space="0"/>
            </w:tcBorders>
            <w:noWrap/>
            <w:vAlign w:val="center"/>
          </w:tcPr>
          <w:p w14:paraId="1DCF3853">
            <w:pPr>
              <w:widowControl/>
              <w:snapToGrid w:val="0"/>
              <w:ind w:firstLine="0" w:firstLineChars="0"/>
              <w:jc w:val="center"/>
              <w:rPr>
                <w:color w:val="000000"/>
                <w:kern w:val="0"/>
                <w:sz w:val="16"/>
                <w:szCs w:val="16"/>
              </w:rPr>
            </w:pPr>
            <w:r>
              <w:rPr>
                <w:color w:val="000000"/>
                <w:kern w:val="0"/>
                <w:sz w:val="16"/>
                <w:szCs w:val="16"/>
              </w:rPr>
              <w:t>2.2</w:t>
            </w:r>
          </w:p>
        </w:tc>
        <w:tc>
          <w:tcPr>
            <w:tcW w:w="3071" w:type="dxa"/>
            <w:tcBorders>
              <w:top w:val="single" w:color="auto" w:sz="4" w:space="0"/>
              <w:bottom w:val="single" w:color="auto" w:sz="4" w:space="0"/>
            </w:tcBorders>
            <w:noWrap/>
            <w:vAlign w:val="center"/>
          </w:tcPr>
          <w:p w14:paraId="2EBE1CF7">
            <w:pPr>
              <w:widowControl/>
              <w:snapToGrid w:val="0"/>
              <w:ind w:firstLine="0" w:firstLineChars="0"/>
              <w:jc w:val="center"/>
              <w:rPr>
                <w:color w:val="000000"/>
                <w:kern w:val="0"/>
                <w:sz w:val="16"/>
                <w:szCs w:val="16"/>
              </w:rPr>
            </w:pPr>
            <w:r>
              <w:rPr>
                <w:color w:val="000000"/>
                <w:kern w:val="0"/>
                <w:sz w:val="16"/>
                <w:szCs w:val="16"/>
              </w:rPr>
              <w:t>Enterprise Management Fees</w:t>
            </w:r>
          </w:p>
        </w:tc>
        <w:tc>
          <w:tcPr>
            <w:tcW w:w="1157" w:type="dxa"/>
            <w:tcBorders>
              <w:top w:val="single" w:color="auto" w:sz="4" w:space="0"/>
              <w:bottom w:val="single" w:color="auto" w:sz="4" w:space="0"/>
            </w:tcBorders>
            <w:noWrap/>
            <w:vAlign w:val="center"/>
          </w:tcPr>
          <w:p w14:paraId="10613EE8">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top w:val="single" w:color="auto" w:sz="4" w:space="0"/>
              <w:bottom w:val="single" w:color="auto" w:sz="4" w:space="0"/>
            </w:tcBorders>
            <w:noWrap/>
            <w:vAlign w:val="center"/>
          </w:tcPr>
          <w:p w14:paraId="4DDD8C8F">
            <w:pPr>
              <w:widowControl/>
              <w:snapToGrid w:val="0"/>
              <w:ind w:firstLine="0" w:firstLineChars="0"/>
              <w:jc w:val="center"/>
              <w:rPr>
                <w:color w:val="000000"/>
                <w:kern w:val="0"/>
                <w:sz w:val="16"/>
                <w:szCs w:val="16"/>
              </w:rPr>
            </w:pPr>
            <w:r>
              <w:rPr>
                <w:color w:val="000000"/>
                <w:kern w:val="0"/>
                <w:sz w:val="16"/>
                <w:szCs w:val="16"/>
              </w:rPr>
              <w:t>30.00%</w:t>
            </w:r>
          </w:p>
        </w:tc>
        <w:tc>
          <w:tcPr>
            <w:tcW w:w="1089" w:type="dxa"/>
            <w:tcBorders>
              <w:top w:val="single" w:color="auto" w:sz="4" w:space="0"/>
              <w:bottom w:val="single" w:color="auto" w:sz="4" w:space="0"/>
            </w:tcBorders>
            <w:noWrap/>
            <w:vAlign w:val="center"/>
          </w:tcPr>
          <w:p w14:paraId="302CB014">
            <w:pPr>
              <w:widowControl/>
              <w:snapToGrid w:val="0"/>
              <w:ind w:firstLine="0" w:firstLineChars="0"/>
              <w:jc w:val="center"/>
              <w:rPr>
                <w:color w:val="000000"/>
                <w:kern w:val="0"/>
                <w:sz w:val="16"/>
                <w:szCs w:val="16"/>
              </w:rPr>
            </w:pPr>
            <w:r>
              <w:rPr>
                <w:color w:val="000000"/>
                <w:kern w:val="0"/>
                <w:sz w:val="16"/>
                <w:szCs w:val="16"/>
              </w:rPr>
              <w:t>1455.80</w:t>
            </w:r>
          </w:p>
        </w:tc>
        <w:tc>
          <w:tcPr>
            <w:tcW w:w="916" w:type="dxa"/>
            <w:tcBorders>
              <w:top w:val="single" w:color="auto" w:sz="4" w:space="0"/>
              <w:bottom w:val="single" w:color="auto" w:sz="4" w:space="0"/>
            </w:tcBorders>
            <w:noWrap/>
            <w:vAlign w:val="center"/>
          </w:tcPr>
          <w:p w14:paraId="6FAA89FB">
            <w:pPr>
              <w:widowControl/>
              <w:snapToGrid w:val="0"/>
              <w:ind w:firstLine="0" w:firstLineChars="0"/>
              <w:jc w:val="center"/>
              <w:rPr>
                <w:color w:val="000000"/>
                <w:kern w:val="0"/>
                <w:sz w:val="16"/>
                <w:szCs w:val="16"/>
              </w:rPr>
            </w:pPr>
            <w:r>
              <w:rPr>
                <w:color w:val="000000"/>
                <w:kern w:val="0"/>
                <w:sz w:val="16"/>
                <w:szCs w:val="16"/>
              </w:rPr>
              <w:t>436.74</w:t>
            </w:r>
          </w:p>
        </w:tc>
      </w:tr>
      <w:tr w14:paraId="706B6767">
        <w:tblPrEx>
          <w:tblCellMar>
            <w:top w:w="0" w:type="dxa"/>
            <w:left w:w="108" w:type="dxa"/>
            <w:bottom w:w="0" w:type="dxa"/>
            <w:right w:w="108" w:type="dxa"/>
          </w:tblCellMar>
        </w:tblPrEx>
        <w:trPr>
          <w:trHeight w:val="288" w:hRule="atLeast"/>
          <w:jc w:val="center"/>
        </w:trPr>
        <w:tc>
          <w:tcPr>
            <w:tcW w:w="598" w:type="dxa"/>
            <w:tcBorders>
              <w:top w:val="single" w:color="auto" w:sz="4" w:space="0"/>
              <w:bottom w:val="single" w:color="auto" w:sz="4" w:space="0"/>
            </w:tcBorders>
            <w:noWrap/>
            <w:vAlign w:val="center"/>
          </w:tcPr>
          <w:p w14:paraId="3BDCD330">
            <w:pPr>
              <w:widowControl/>
              <w:snapToGrid w:val="0"/>
              <w:ind w:firstLine="0" w:firstLineChars="0"/>
              <w:jc w:val="center"/>
              <w:rPr>
                <w:color w:val="000000"/>
                <w:kern w:val="0"/>
                <w:sz w:val="16"/>
                <w:szCs w:val="16"/>
              </w:rPr>
            </w:pPr>
            <w:r>
              <w:rPr>
                <w:color w:val="000000"/>
                <w:kern w:val="0"/>
                <w:sz w:val="16"/>
                <w:szCs w:val="16"/>
              </w:rPr>
              <w:t>3</w:t>
            </w:r>
          </w:p>
        </w:tc>
        <w:tc>
          <w:tcPr>
            <w:tcW w:w="3071" w:type="dxa"/>
            <w:tcBorders>
              <w:top w:val="single" w:color="auto" w:sz="4" w:space="0"/>
              <w:bottom w:val="single" w:color="auto" w:sz="4" w:space="0"/>
            </w:tcBorders>
            <w:noWrap/>
            <w:vAlign w:val="center"/>
          </w:tcPr>
          <w:p w14:paraId="7B039C44">
            <w:pPr>
              <w:widowControl/>
              <w:snapToGrid w:val="0"/>
              <w:ind w:firstLine="0" w:firstLineChars="0"/>
              <w:jc w:val="center"/>
              <w:rPr>
                <w:color w:val="000000"/>
                <w:kern w:val="0"/>
                <w:sz w:val="16"/>
                <w:szCs w:val="16"/>
              </w:rPr>
            </w:pPr>
            <w:r>
              <w:rPr>
                <w:color w:val="000000"/>
                <w:kern w:val="0"/>
                <w:sz w:val="16"/>
                <w:szCs w:val="16"/>
              </w:rPr>
              <w:t>Profit</w:t>
            </w:r>
          </w:p>
        </w:tc>
        <w:tc>
          <w:tcPr>
            <w:tcW w:w="1157" w:type="dxa"/>
            <w:tcBorders>
              <w:top w:val="single" w:color="auto" w:sz="4" w:space="0"/>
              <w:bottom w:val="single" w:color="auto" w:sz="4" w:space="0"/>
            </w:tcBorders>
            <w:noWrap/>
            <w:vAlign w:val="center"/>
          </w:tcPr>
          <w:p w14:paraId="7FD58278">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top w:val="single" w:color="auto" w:sz="4" w:space="0"/>
              <w:bottom w:val="single" w:color="auto" w:sz="4" w:space="0"/>
            </w:tcBorders>
            <w:noWrap/>
            <w:vAlign w:val="center"/>
          </w:tcPr>
          <w:p w14:paraId="14A95E7C">
            <w:pPr>
              <w:widowControl/>
              <w:snapToGrid w:val="0"/>
              <w:ind w:firstLine="0" w:firstLineChars="0"/>
              <w:jc w:val="center"/>
              <w:rPr>
                <w:color w:val="000000"/>
                <w:kern w:val="0"/>
                <w:sz w:val="16"/>
                <w:szCs w:val="16"/>
              </w:rPr>
            </w:pPr>
            <w:r>
              <w:rPr>
                <w:color w:val="000000"/>
                <w:kern w:val="0"/>
                <w:sz w:val="16"/>
                <w:szCs w:val="16"/>
              </w:rPr>
              <w:t>30.00%</w:t>
            </w:r>
          </w:p>
        </w:tc>
        <w:tc>
          <w:tcPr>
            <w:tcW w:w="1089" w:type="dxa"/>
            <w:tcBorders>
              <w:top w:val="single" w:color="auto" w:sz="4" w:space="0"/>
              <w:bottom w:val="single" w:color="auto" w:sz="4" w:space="0"/>
            </w:tcBorders>
            <w:noWrap/>
            <w:vAlign w:val="center"/>
          </w:tcPr>
          <w:p w14:paraId="3A4E289A">
            <w:pPr>
              <w:widowControl/>
              <w:snapToGrid w:val="0"/>
              <w:ind w:firstLine="0" w:firstLineChars="0"/>
              <w:jc w:val="center"/>
              <w:rPr>
                <w:color w:val="000000"/>
                <w:kern w:val="0"/>
                <w:sz w:val="16"/>
                <w:szCs w:val="16"/>
              </w:rPr>
            </w:pPr>
            <w:r>
              <w:rPr>
                <w:color w:val="000000"/>
                <w:kern w:val="0"/>
                <w:sz w:val="16"/>
                <w:szCs w:val="16"/>
              </w:rPr>
              <w:t>1455.80</w:t>
            </w:r>
          </w:p>
        </w:tc>
        <w:tc>
          <w:tcPr>
            <w:tcW w:w="916" w:type="dxa"/>
            <w:tcBorders>
              <w:top w:val="single" w:color="auto" w:sz="4" w:space="0"/>
              <w:bottom w:val="single" w:color="auto" w:sz="4" w:space="0"/>
            </w:tcBorders>
            <w:noWrap/>
            <w:vAlign w:val="center"/>
          </w:tcPr>
          <w:p w14:paraId="7C7949B1">
            <w:pPr>
              <w:widowControl/>
              <w:snapToGrid w:val="0"/>
              <w:ind w:firstLine="0" w:firstLineChars="0"/>
              <w:jc w:val="center"/>
              <w:rPr>
                <w:color w:val="000000"/>
                <w:kern w:val="0"/>
                <w:sz w:val="16"/>
                <w:szCs w:val="16"/>
              </w:rPr>
            </w:pPr>
            <w:r>
              <w:rPr>
                <w:color w:val="000000"/>
                <w:kern w:val="0"/>
                <w:sz w:val="16"/>
                <w:szCs w:val="16"/>
              </w:rPr>
              <w:t>436.74</w:t>
            </w:r>
          </w:p>
        </w:tc>
      </w:tr>
      <w:tr w14:paraId="25DF0843">
        <w:tblPrEx>
          <w:tblCellMar>
            <w:top w:w="0" w:type="dxa"/>
            <w:left w:w="108" w:type="dxa"/>
            <w:bottom w:w="0" w:type="dxa"/>
            <w:right w:w="108" w:type="dxa"/>
          </w:tblCellMar>
        </w:tblPrEx>
        <w:trPr>
          <w:trHeight w:val="288" w:hRule="atLeast"/>
          <w:jc w:val="center"/>
        </w:trPr>
        <w:tc>
          <w:tcPr>
            <w:tcW w:w="598" w:type="dxa"/>
            <w:tcBorders>
              <w:top w:val="single" w:color="auto" w:sz="4" w:space="0"/>
              <w:bottom w:val="single" w:color="auto" w:sz="4" w:space="0"/>
            </w:tcBorders>
            <w:noWrap/>
            <w:vAlign w:val="center"/>
          </w:tcPr>
          <w:p w14:paraId="5F31E2EE">
            <w:pPr>
              <w:widowControl/>
              <w:snapToGrid w:val="0"/>
              <w:ind w:firstLine="0" w:firstLineChars="0"/>
              <w:jc w:val="center"/>
              <w:rPr>
                <w:color w:val="000000"/>
                <w:kern w:val="0"/>
                <w:sz w:val="16"/>
                <w:szCs w:val="16"/>
              </w:rPr>
            </w:pPr>
            <w:r>
              <w:rPr>
                <w:color w:val="000000"/>
                <w:kern w:val="0"/>
                <w:sz w:val="16"/>
                <w:szCs w:val="16"/>
              </w:rPr>
              <w:t>4</w:t>
            </w:r>
          </w:p>
        </w:tc>
        <w:tc>
          <w:tcPr>
            <w:tcW w:w="3071" w:type="dxa"/>
            <w:tcBorders>
              <w:top w:val="single" w:color="auto" w:sz="4" w:space="0"/>
              <w:bottom w:val="single" w:color="auto" w:sz="4" w:space="0"/>
            </w:tcBorders>
            <w:noWrap/>
            <w:vAlign w:val="center"/>
          </w:tcPr>
          <w:p w14:paraId="07991929">
            <w:pPr>
              <w:widowControl/>
              <w:snapToGrid w:val="0"/>
              <w:ind w:firstLine="0" w:firstLineChars="0"/>
              <w:jc w:val="center"/>
              <w:rPr>
                <w:color w:val="000000"/>
                <w:kern w:val="0"/>
                <w:sz w:val="16"/>
                <w:szCs w:val="16"/>
              </w:rPr>
            </w:pPr>
            <w:r>
              <w:rPr>
                <w:color w:val="000000"/>
                <w:kern w:val="0"/>
                <w:sz w:val="16"/>
                <w:szCs w:val="16"/>
              </w:rPr>
              <w:t>Tax</w:t>
            </w:r>
          </w:p>
        </w:tc>
        <w:tc>
          <w:tcPr>
            <w:tcW w:w="1157" w:type="dxa"/>
            <w:tcBorders>
              <w:top w:val="single" w:color="auto" w:sz="4" w:space="0"/>
              <w:bottom w:val="single" w:color="auto" w:sz="4" w:space="0"/>
            </w:tcBorders>
            <w:noWrap/>
            <w:vAlign w:val="center"/>
          </w:tcPr>
          <w:p w14:paraId="73882C74">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top w:val="single" w:color="auto" w:sz="4" w:space="0"/>
              <w:bottom w:val="single" w:color="auto" w:sz="4" w:space="0"/>
            </w:tcBorders>
            <w:noWrap/>
            <w:vAlign w:val="center"/>
          </w:tcPr>
          <w:p w14:paraId="69BACCD9">
            <w:pPr>
              <w:widowControl/>
              <w:snapToGrid w:val="0"/>
              <w:ind w:firstLine="0" w:firstLineChars="0"/>
              <w:jc w:val="center"/>
              <w:rPr>
                <w:color w:val="000000"/>
                <w:kern w:val="0"/>
                <w:sz w:val="16"/>
                <w:szCs w:val="16"/>
              </w:rPr>
            </w:pPr>
            <w:r>
              <w:rPr>
                <w:color w:val="000000"/>
                <w:kern w:val="0"/>
                <w:sz w:val="16"/>
                <w:szCs w:val="16"/>
              </w:rPr>
              <w:t>9.00%</w:t>
            </w:r>
          </w:p>
        </w:tc>
        <w:tc>
          <w:tcPr>
            <w:tcW w:w="1089" w:type="dxa"/>
            <w:tcBorders>
              <w:top w:val="single" w:color="auto" w:sz="4" w:space="0"/>
              <w:bottom w:val="single" w:color="auto" w:sz="4" w:space="0"/>
            </w:tcBorders>
            <w:noWrap/>
            <w:vAlign w:val="center"/>
          </w:tcPr>
          <w:p w14:paraId="79EF8F2D">
            <w:pPr>
              <w:widowControl/>
              <w:snapToGrid w:val="0"/>
              <w:ind w:firstLine="0" w:firstLineChars="0"/>
              <w:jc w:val="center"/>
              <w:rPr>
                <w:color w:val="000000"/>
                <w:kern w:val="0"/>
                <w:sz w:val="16"/>
                <w:szCs w:val="16"/>
              </w:rPr>
            </w:pPr>
            <w:r>
              <w:rPr>
                <w:color w:val="000000"/>
                <w:kern w:val="0"/>
                <w:sz w:val="16"/>
                <w:szCs w:val="16"/>
              </w:rPr>
              <w:t>4591.82</w:t>
            </w:r>
          </w:p>
        </w:tc>
        <w:tc>
          <w:tcPr>
            <w:tcW w:w="916" w:type="dxa"/>
            <w:tcBorders>
              <w:top w:val="single" w:color="auto" w:sz="4" w:space="0"/>
              <w:bottom w:val="single" w:color="auto" w:sz="4" w:space="0"/>
            </w:tcBorders>
            <w:noWrap/>
            <w:vAlign w:val="center"/>
          </w:tcPr>
          <w:p w14:paraId="078EAC37">
            <w:pPr>
              <w:widowControl/>
              <w:snapToGrid w:val="0"/>
              <w:ind w:firstLine="0" w:firstLineChars="0"/>
              <w:jc w:val="center"/>
              <w:rPr>
                <w:color w:val="000000"/>
                <w:kern w:val="0"/>
                <w:sz w:val="16"/>
                <w:szCs w:val="16"/>
              </w:rPr>
            </w:pPr>
            <w:r>
              <w:rPr>
                <w:color w:val="000000"/>
                <w:kern w:val="0"/>
                <w:sz w:val="16"/>
                <w:szCs w:val="16"/>
              </w:rPr>
              <w:t>413.26</w:t>
            </w:r>
          </w:p>
        </w:tc>
      </w:tr>
      <w:tr w14:paraId="74901060">
        <w:tblPrEx>
          <w:tblCellMar>
            <w:top w:w="0" w:type="dxa"/>
            <w:left w:w="108" w:type="dxa"/>
            <w:bottom w:w="0" w:type="dxa"/>
            <w:right w:w="108" w:type="dxa"/>
          </w:tblCellMar>
        </w:tblPrEx>
        <w:trPr>
          <w:trHeight w:val="288" w:hRule="atLeast"/>
          <w:jc w:val="center"/>
        </w:trPr>
        <w:tc>
          <w:tcPr>
            <w:tcW w:w="598" w:type="dxa"/>
            <w:tcBorders>
              <w:top w:val="single" w:color="auto" w:sz="4" w:space="0"/>
              <w:bottom w:val="single" w:color="000000" w:sz="12" w:space="0"/>
            </w:tcBorders>
            <w:noWrap/>
            <w:vAlign w:val="center"/>
          </w:tcPr>
          <w:p w14:paraId="6E6E6390">
            <w:pPr>
              <w:widowControl/>
              <w:snapToGrid w:val="0"/>
              <w:ind w:firstLine="0" w:firstLineChars="0"/>
              <w:jc w:val="center"/>
              <w:rPr>
                <w:color w:val="000000"/>
                <w:kern w:val="0"/>
                <w:sz w:val="16"/>
                <w:szCs w:val="16"/>
              </w:rPr>
            </w:pPr>
          </w:p>
        </w:tc>
        <w:tc>
          <w:tcPr>
            <w:tcW w:w="3071" w:type="dxa"/>
            <w:tcBorders>
              <w:top w:val="single" w:color="auto" w:sz="4" w:space="0"/>
              <w:bottom w:val="single" w:color="000000" w:sz="12" w:space="0"/>
            </w:tcBorders>
            <w:noWrap/>
            <w:vAlign w:val="center"/>
          </w:tcPr>
          <w:p w14:paraId="6A87478C">
            <w:pPr>
              <w:widowControl/>
              <w:snapToGrid w:val="0"/>
              <w:ind w:firstLine="0" w:firstLineChars="0"/>
              <w:jc w:val="center"/>
              <w:rPr>
                <w:color w:val="000000"/>
                <w:kern w:val="0"/>
                <w:sz w:val="16"/>
                <w:szCs w:val="16"/>
              </w:rPr>
            </w:pPr>
            <w:r>
              <w:rPr>
                <w:color w:val="000000"/>
                <w:kern w:val="0"/>
                <w:sz w:val="16"/>
                <w:szCs w:val="16"/>
              </w:rPr>
              <w:t>Total</w:t>
            </w:r>
          </w:p>
        </w:tc>
        <w:tc>
          <w:tcPr>
            <w:tcW w:w="1157" w:type="dxa"/>
            <w:tcBorders>
              <w:top w:val="single" w:color="auto" w:sz="4" w:space="0"/>
              <w:bottom w:val="single" w:color="000000" w:sz="12" w:space="0"/>
            </w:tcBorders>
            <w:noWrap/>
            <w:vAlign w:val="center"/>
          </w:tcPr>
          <w:p w14:paraId="44106249">
            <w:pPr>
              <w:widowControl/>
              <w:snapToGrid w:val="0"/>
              <w:ind w:firstLine="0" w:firstLineChars="0"/>
              <w:jc w:val="center"/>
              <w:rPr>
                <w:color w:val="000000"/>
                <w:kern w:val="0"/>
                <w:sz w:val="16"/>
                <w:szCs w:val="16"/>
              </w:rPr>
            </w:pPr>
            <w:r>
              <w:rPr>
                <w:color w:val="000000"/>
                <w:kern w:val="0"/>
                <w:sz w:val="16"/>
                <w:szCs w:val="16"/>
              </w:rPr>
              <w:t>CNY</w:t>
            </w:r>
          </w:p>
        </w:tc>
        <w:tc>
          <w:tcPr>
            <w:tcW w:w="892" w:type="dxa"/>
            <w:tcBorders>
              <w:top w:val="single" w:color="auto" w:sz="4" w:space="0"/>
              <w:bottom w:val="single" w:color="000000" w:sz="12" w:space="0"/>
            </w:tcBorders>
            <w:noWrap/>
            <w:vAlign w:val="center"/>
          </w:tcPr>
          <w:p w14:paraId="502DB041">
            <w:pPr>
              <w:widowControl/>
              <w:snapToGrid w:val="0"/>
              <w:ind w:firstLine="0" w:firstLineChars="0"/>
              <w:jc w:val="center"/>
              <w:rPr>
                <w:color w:val="000000"/>
                <w:kern w:val="0"/>
                <w:sz w:val="16"/>
                <w:szCs w:val="16"/>
              </w:rPr>
            </w:pPr>
          </w:p>
        </w:tc>
        <w:tc>
          <w:tcPr>
            <w:tcW w:w="1089" w:type="dxa"/>
            <w:tcBorders>
              <w:top w:val="single" w:color="auto" w:sz="4" w:space="0"/>
              <w:bottom w:val="single" w:color="000000" w:sz="12" w:space="0"/>
            </w:tcBorders>
            <w:noWrap/>
            <w:vAlign w:val="center"/>
          </w:tcPr>
          <w:p w14:paraId="0D5C6551">
            <w:pPr>
              <w:widowControl/>
              <w:snapToGrid w:val="0"/>
              <w:ind w:firstLine="0" w:firstLineChars="0"/>
              <w:jc w:val="center"/>
              <w:rPr>
                <w:color w:val="000000"/>
                <w:kern w:val="0"/>
                <w:sz w:val="16"/>
                <w:szCs w:val="16"/>
              </w:rPr>
            </w:pPr>
          </w:p>
        </w:tc>
        <w:tc>
          <w:tcPr>
            <w:tcW w:w="916" w:type="dxa"/>
            <w:tcBorders>
              <w:top w:val="single" w:color="auto" w:sz="4" w:space="0"/>
              <w:bottom w:val="single" w:color="000000" w:sz="12" w:space="0"/>
            </w:tcBorders>
            <w:noWrap/>
            <w:vAlign w:val="center"/>
          </w:tcPr>
          <w:p w14:paraId="57BBFA59">
            <w:pPr>
              <w:widowControl/>
              <w:snapToGrid w:val="0"/>
              <w:ind w:firstLine="0" w:firstLineChars="0"/>
              <w:jc w:val="center"/>
              <w:rPr>
                <w:color w:val="000000"/>
                <w:kern w:val="0"/>
                <w:sz w:val="16"/>
                <w:szCs w:val="16"/>
              </w:rPr>
            </w:pPr>
            <w:r>
              <w:rPr>
                <w:color w:val="000000"/>
                <w:kern w:val="0"/>
                <w:sz w:val="16"/>
                <w:szCs w:val="16"/>
              </w:rPr>
              <w:t>4568.35</w:t>
            </w:r>
          </w:p>
        </w:tc>
      </w:tr>
    </w:tbl>
    <w:p w14:paraId="48575122">
      <w:pPr>
        <w:widowControl/>
        <w:ind w:firstLine="0" w:firstLineChars="0"/>
        <w:jc w:val="center"/>
        <w:rPr>
          <w:kern w:val="2"/>
          <w:sz w:val="18"/>
        </w:rPr>
      </w:pPr>
    </w:p>
    <w:p w14:paraId="35A4DFEE">
      <w:pPr>
        <w:pStyle w:val="52"/>
      </w:pPr>
      <w:r>
        <w:rPr>
          <w:rFonts w:hint="eastAsia"/>
        </w:rPr>
        <w:t>Table S9.2. Variable Maintenance Cost for Grouting Repair (Unit: 10m³)</w:t>
      </w:r>
    </w:p>
    <w:tbl>
      <w:tblPr>
        <w:tblStyle w:val="15"/>
        <w:tblW w:w="0" w:type="auto"/>
        <w:jc w:val="center"/>
        <w:tblLayout w:type="fixed"/>
        <w:tblCellMar>
          <w:top w:w="0" w:type="dxa"/>
          <w:left w:w="108" w:type="dxa"/>
          <w:bottom w:w="0" w:type="dxa"/>
          <w:right w:w="108" w:type="dxa"/>
        </w:tblCellMar>
      </w:tblPr>
      <w:tblGrid>
        <w:gridCol w:w="756"/>
        <w:gridCol w:w="2796"/>
        <w:gridCol w:w="1236"/>
        <w:gridCol w:w="880"/>
        <w:gridCol w:w="904"/>
        <w:gridCol w:w="1076"/>
      </w:tblGrid>
      <w:tr w14:paraId="088B564C">
        <w:tblPrEx>
          <w:tblCellMar>
            <w:top w:w="0" w:type="dxa"/>
            <w:left w:w="108" w:type="dxa"/>
            <w:bottom w:w="0" w:type="dxa"/>
            <w:right w:w="108" w:type="dxa"/>
          </w:tblCellMar>
        </w:tblPrEx>
        <w:trPr>
          <w:trHeight w:val="288" w:hRule="atLeast"/>
          <w:jc w:val="center"/>
        </w:trPr>
        <w:tc>
          <w:tcPr>
            <w:tcW w:w="756" w:type="dxa"/>
            <w:tcBorders>
              <w:top w:val="single" w:color="000000" w:sz="12" w:space="0"/>
              <w:bottom w:val="single" w:color="000000" w:sz="12" w:space="0"/>
            </w:tcBorders>
            <w:vAlign w:val="center"/>
          </w:tcPr>
          <w:p w14:paraId="7B1F2533">
            <w:pPr>
              <w:widowControl/>
              <w:snapToGrid w:val="0"/>
              <w:ind w:firstLine="0" w:firstLineChars="0"/>
              <w:jc w:val="center"/>
              <w:rPr>
                <w:b/>
                <w:bCs/>
                <w:color w:val="000000"/>
                <w:kern w:val="0"/>
                <w:sz w:val="16"/>
                <w:szCs w:val="16"/>
              </w:rPr>
            </w:pPr>
            <w:r>
              <w:rPr>
                <w:b/>
                <w:bCs/>
                <w:color w:val="000000"/>
                <w:kern w:val="0"/>
                <w:sz w:val="16"/>
                <w:szCs w:val="16"/>
              </w:rPr>
              <w:t>No.</w:t>
            </w:r>
          </w:p>
        </w:tc>
        <w:tc>
          <w:tcPr>
            <w:tcW w:w="2796" w:type="dxa"/>
            <w:tcBorders>
              <w:top w:val="single" w:color="000000" w:sz="12" w:space="0"/>
              <w:bottom w:val="single" w:color="000000" w:sz="12" w:space="0"/>
            </w:tcBorders>
            <w:vAlign w:val="center"/>
          </w:tcPr>
          <w:p w14:paraId="260754B5">
            <w:pPr>
              <w:widowControl/>
              <w:snapToGrid w:val="0"/>
              <w:ind w:firstLine="0" w:firstLineChars="0"/>
              <w:jc w:val="center"/>
              <w:rPr>
                <w:b/>
                <w:bCs/>
                <w:color w:val="000000"/>
                <w:kern w:val="0"/>
                <w:sz w:val="16"/>
                <w:szCs w:val="16"/>
              </w:rPr>
            </w:pPr>
            <w:r>
              <w:rPr>
                <w:b/>
                <w:bCs/>
                <w:color w:val="000000"/>
                <w:kern w:val="0"/>
                <w:sz w:val="16"/>
                <w:szCs w:val="16"/>
              </w:rPr>
              <w:t>Item</w:t>
            </w:r>
          </w:p>
        </w:tc>
        <w:tc>
          <w:tcPr>
            <w:tcW w:w="1236" w:type="dxa"/>
            <w:tcBorders>
              <w:top w:val="single" w:color="000000" w:sz="12" w:space="0"/>
              <w:bottom w:val="single" w:color="000000" w:sz="12" w:space="0"/>
            </w:tcBorders>
            <w:vAlign w:val="center"/>
          </w:tcPr>
          <w:p w14:paraId="4FFA0ABA">
            <w:pPr>
              <w:widowControl/>
              <w:snapToGrid w:val="0"/>
              <w:ind w:firstLine="0" w:firstLineChars="0"/>
              <w:jc w:val="center"/>
              <w:rPr>
                <w:b/>
                <w:bCs/>
                <w:color w:val="000000"/>
                <w:kern w:val="0"/>
                <w:sz w:val="16"/>
                <w:szCs w:val="16"/>
              </w:rPr>
            </w:pPr>
            <w:r>
              <w:rPr>
                <w:b/>
                <w:bCs/>
                <w:color w:val="000000"/>
                <w:kern w:val="0"/>
                <w:sz w:val="16"/>
                <w:szCs w:val="16"/>
              </w:rPr>
              <w:t>Unit</w:t>
            </w:r>
          </w:p>
        </w:tc>
        <w:tc>
          <w:tcPr>
            <w:tcW w:w="880" w:type="dxa"/>
            <w:tcBorders>
              <w:top w:val="single" w:color="000000" w:sz="12" w:space="0"/>
              <w:bottom w:val="single" w:color="000000" w:sz="12" w:space="0"/>
            </w:tcBorders>
            <w:vAlign w:val="center"/>
          </w:tcPr>
          <w:p w14:paraId="459BC71C">
            <w:pPr>
              <w:widowControl/>
              <w:snapToGrid w:val="0"/>
              <w:ind w:firstLine="0" w:firstLineChars="0"/>
              <w:jc w:val="center"/>
              <w:rPr>
                <w:b/>
                <w:bCs/>
                <w:color w:val="000000"/>
                <w:kern w:val="0"/>
                <w:sz w:val="16"/>
                <w:szCs w:val="16"/>
              </w:rPr>
            </w:pPr>
            <w:r>
              <w:rPr>
                <w:b/>
                <w:bCs/>
                <w:color w:val="000000"/>
                <w:kern w:val="0"/>
                <w:sz w:val="16"/>
                <w:szCs w:val="16"/>
              </w:rPr>
              <w:t>Quantity</w:t>
            </w:r>
          </w:p>
        </w:tc>
        <w:tc>
          <w:tcPr>
            <w:tcW w:w="904" w:type="dxa"/>
            <w:tcBorders>
              <w:top w:val="single" w:color="000000" w:sz="12" w:space="0"/>
              <w:bottom w:val="single" w:color="000000" w:sz="12" w:space="0"/>
            </w:tcBorders>
            <w:vAlign w:val="center"/>
          </w:tcPr>
          <w:p w14:paraId="7677FBFE">
            <w:pPr>
              <w:widowControl/>
              <w:snapToGrid w:val="0"/>
              <w:ind w:firstLine="0" w:firstLineChars="0"/>
              <w:jc w:val="center"/>
              <w:rPr>
                <w:b/>
                <w:bCs/>
                <w:color w:val="000000"/>
                <w:kern w:val="0"/>
                <w:sz w:val="16"/>
                <w:szCs w:val="16"/>
              </w:rPr>
            </w:pPr>
            <w:r>
              <w:rPr>
                <w:b/>
                <w:bCs/>
                <w:color w:val="000000"/>
                <w:kern w:val="0"/>
                <w:sz w:val="16"/>
                <w:szCs w:val="16"/>
              </w:rPr>
              <w:t>Unit Price (CNY)</w:t>
            </w:r>
          </w:p>
        </w:tc>
        <w:tc>
          <w:tcPr>
            <w:tcW w:w="1076" w:type="dxa"/>
            <w:tcBorders>
              <w:top w:val="single" w:color="000000" w:sz="12" w:space="0"/>
              <w:bottom w:val="single" w:color="000000" w:sz="12" w:space="0"/>
            </w:tcBorders>
            <w:vAlign w:val="center"/>
          </w:tcPr>
          <w:p w14:paraId="6528F9B8">
            <w:pPr>
              <w:widowControl/>
              <w:snapToGrid w:val="0"/>
              <w:ind w:firstLine="0" w:firstLineChars="0"/>
              <w:jc w:val="center"/>
              <w:rPr>
                <w:b/>
                <w:bCs/>
                <w:color w:val="000000"/>
                <w:kern w:val="0"/>
                <w:sz w:val="16"/>
                <w:szCs w:val="16"/>
              </w:rPr>
            </w:pPr>
            <w:r>
              <w:rPr>
                <w:b/>
                <w:bCs/>
                <w:color w:val="000000"/>
                <w:kern w:val="0"/>
                <w:sz w:val="16"/>
                <w:szCs w:val="16"/>
              </w:rPr>
              <w:t>Total (CNY)</w:t>
            </w:r>
          </w:p>
        </w:tc>
      </w:tr>
      <w:tr w14:paraId="42A22F4B">
        <w:tblPrEx>
          <w:tblCellMar>
            <w:top w:w="0" w:type="dxa"/>
            <w:left w:w="108" w:type="dxa"/>
            <w:bottom w:w="0" w:type="dxa"/>
            <w:right w:w="108" w:type="dxa"/>
          </w:tblCellMar>
        </w:tblPrEx>
        <w:trPr>
          <w:trHeight w:val="288" w:hRule="atLeast"/>
          <w:jc w:val="center"/>
        </w:trPr>
        <w:tc>
          <w:tcPr>
            <w:tcW w:w="756" w:type="dxa"/>
            <w:tcBorders>
              <w:top w:val="single" w:color="000000" w:sz="12" w:space="0"/>
              <w:bottom w:val="single" w:color="auto" w:sz="4" w:space="0"/>
            </w:tcBorders>
            <w:noWrap/>
            <w:vAlign w:val="center"/>
          </w:tcPr>
          <w:p w14:paraId="14573A45">
            <w:pPr>
              <w:widowControl/>
              <w:ind w:firstLine="0" w:firstLineChars="0"/>
              <w:jc w:val="center"/>
              <w:rPr>
                <w:color w:val="000000"/>
                <w:kern w:val="0"/>
                <w:sz w:val="16"/>
                <w:szCs w:val="16"/>
              </w:rPr>
            </w:pPr>
            <w:r>
              <w:rPr>
                <w:color w:val="000000"/>
                <w:kern w:val="0"/>
                <w:sz w:val="16"/>
                <w:szCs w:val="16"/>
              </w:rPr>
              <w:t>1</w:t>
            </w:r>
          </w:p>
        </w:tc>
        <w:tc>
          <w:tcPr>
            <w:tcW w:w="2796" w:type="dxa"/>
            <w:tcBorders>
              <w:top w:val="single" w:color="000000" w:sz="12" w:space="0"/>
              <w:bottom w:val="single" w:color="auto" w:sz="4" w:space="0"/>
            </w:tcBorders>
            <w:noWrap/>
            <w:vAlign w:val="center"/>
          </w:tcPr>
          <w:p w14:paraId="2FD9BE6F">
            <w:pPr>
              <w:widowControl/>
              <w:ind w:firstLine="0" w:firstLineChars="0"/>
              <w:jc w:val="center"/>
              <w:rPr>
                <w:color w:val="000000"/>
                <w:kern w:val="0"/>
                <w:sz w:val="16"/>
                <w:szCs w:val="16"/>
              </w:rPr>
            </w:pPr>
            <w:r>
              <w:rPr>
                <w:color w:val="000000"/>
                <w:kern w:val="0"/>
                <w:sz w:val="16"/>
                <w:szCs w:val="16"/>
              </w:rPr>
              <w:t>Direct Cost</w:t>
            </w:r>
          </w:p>
        </w:tc>
        <w:tc>
          <w:tcPr>
            <w:tcW w:w="1236" w:type="dxa"/>
            <w:tcBorders>
              <w:top w:val="single" w:color="000000" w:sz="12" w:space="0"/>
              <w:bottom w:val="single" w:color="auto" w:sz="4" w:space="0"/>
            </w:tcBorders>
            <w:noWrap/>
            <w:vAlign w:val="center"/>
          </w:tcPr>
          <w:p w14:paraId="291D1DB4">
            <w:pPr>
              <w:widowControl/>
              <w:ind w:firstLine="0" w:firstLineChars="0"/>
              <w:jc w:val="center"/>
              <w:rPr>
                <w:color w:val="000000"/>
                <w:kern w:val="0"/>
                <w:sz w:val="16"/>
                <w:szCs w:val="16"/>
              </w:rPr>
            </w:pPr>
          </w:p>
        </w:tc>
        <w:tc>
          <w:tcPr>
            <w:tcW w:w="880" w:type="dxa"/>
            <w:tcBorders>
              <w:top w:val="single" w:color="000000" w:sz="12" w:space="0"/>
              <w:bottom w:val="single" w:color="auto" w:sz="4" w:space="0"/>
            </w:tcBorders>
            <w:noWrap/>
            <w:vAlign w:val="center"/>
          </w:tcPr>
          <w:p w14:paraId="197F5C1C">
            <w:pPr>
              <w:widowControl/>
              <w:ind w:firstLine="0" w:firstLineChars="0"/>
              <w:jc w:val="center"/>
              <w:rPr>
                <w:color w:val="000000"/>
                <w:kern w:val="0"/>
                <w:sz w:val="16"/>
                <w:szCs w:val="16"/>
              </w:rPr>
            </w:pPr>
          </w:p>
        </w:tc>
        <w:tc>
          <w:tcPr>
            <w:tcW w:w="904" w:type="dxa"/>
            <w:tcBorders>
              <w:top w:val="single" w:color="000000" w:sz="12" w:space="0"/>
              <w:bottom w:val="single" w:color="auto" w:sz="4" w:space="0"/>
            </w:tcBorders>
            <w:noWrap/>
            <w:vAlign w:val="center"/>
          </w:tcPr>
          <w:p w14:paraId="53A0F2EB">
            <w:pPr>
              <w:widowControl/>
              <w:ind w:firstLine="0" w:firstLineChars="0"/>
              <w:jc w:val="center"/>
              <w:rPr>
                <w:color w:val="000000"/>
                <w:kern w:val="0"/>
                <w:sz w:val="16"/>
                <w:szCs w:val="16"/>
              </w:rPr>
            </w:pPr>
          </w:p>
        </w:tc>
        <w:tc>
          <w:tcPr>
            <w:tcW w:w="1076" w:type="dxa"/>
            <w:tcBorders>
              <w:top w:val="single" w:color="000000" w:sz="12" w:space="0"/>
              <w:bottom w:val="single" w:color="auto" w:sz="4" w:space="0"/>
            </w:tcBorders>
            <w:noWrap/>
            <w:vAlign w:val="center"/>
          </w:tcPr>
          <w:p w14:paraId="2532F357">
            <w:pPr>
              <w:widowControl/>
              <w:ind w:firstLine="0" w:firstLineChars="0"/>
              <w:jc w:val="center"/>
              <w:rPr>
                <w:color w:val="000000"/>
                <w:kern w:val="0"/>
                <w:sz w:val="16"/>
                <w:szCs w:val="16"/>
              </w:rPr>
            </w:pPr>
            <w:r>
              <w:rPr>
                <w:color w:val="000000"/>
                <w:kern w:val="0"/>
                <w:sz w:val="16"/>
                <w:szCs w:val="16"/>
              </w:rPr>
              <w:t>2770.02</w:t>
            </w:r>
          </w:p>
        </w:tc>
      </w:tr>
      <w:tr w14:paraId="220CF162">
        <w:tblPrEx>
          <w:tblCellMar>
            <w:top w:w="0" w:type="dxa"/>
            <w:left w:w="108" w:type="dxa"/>
            <w:bottom w:w="0" w:type="dxa"/>
            <w:right w:w="108" w:type="dxa"/>
          </w:tblCellMar>
        </w:tblPrEx>
        <w:trPr>
          <w:trHeight w:val="288" w:hRule="atLeast"/>
          <w:jc w:val="center"/>
        </w:trPr>
        <w:tc>
          <w:tcPr>
            <w:tcW w:w="756" w:type="dxa"/>
            <w:tcBorders>
              <w:top w:val="single" w:color="auto" w:sz="4" w:space="0"/>
            </w:tcBorders>
            <w:noWrap/>
            <w:vAlign w:val="center"/>
          </w:tcPr>
          <w:p w14:paraId="236015DC">
            <w:pPr>
              <w:widowControl/>
              <w:ind w:firstLine="0" w:firstLineChars="0"/>
              <w:jc w:val="center"/>
              <w:rPr>
                <w:color w:val="000000"/>
                <w:kern w:val="0"/>
                <w:sz w:val="16"/>
                <w:szCs w:val="16"/>
              </w:rPr>
            </w:pPr>
            <w:r>
              <w:rPr>
                <w:color w:val="000000"/>
                <w:kern w:val="0"/>
                <w:sz w:val="16"/>
                <w:szCs w:val="16"/>
              </w:rPr>
              <w:t>1.1</w:t>
            </w:r>
          </w:p>
        </w:tc>
        <w:tc>
          <w:tcPr>
            <w:tcW w:w="2796" w:type="dxa"/>
            <w:tcBorders>
              <w:top w:val="single" w:color="auto" w:sz="4" w:space="0"/>
            </w:tcBorders>
            <w:noWrap/>
            <w:vAlign w:val="center"/>
          </w:tcPr>
          <w:p w14:paraId="28ADB28A">
            <w:pPr>
              <w:widowControl/>
              <w:ind w:firstLine="0" w:firstLineChars="0"/>
              <w:jc w:val="center"/>
              <w:rPr>
                <w:color w:val="000000"/>
                <w:kern w:val="0"/>
                <w:sz w:val="16"/>
                <w:szCs w:val="16"/>
              </w:rPr>
            </w:pPr>
            <w:r>
              <w:rPr>
                <w:color w:val="000000"/>
                <w:kern w:val="0"/>
                <w:sz w:val="16"/>
                <w:szCs w:val="16"/>
              </w:rPr>
              <w:t>Basic Direct Costs</w:t>
            </w:r>
          </w:p>
        </w:tc>
        <w:tc>
          <w:tcPr>
            <w:tcW w:w="1236" w:type="dxa"/>
            <w:tcBorders>
              <w:top w:val="single" w:color="auto" w:sz="4" w:space="0"/>
            </w:tcBorders>
            <w:noWrap/>
            <w:vAlign w:val="center"/>
          </w:tcPr>
          <w:p w14:paraId="4049E263">
            <w:pPr>
              <w:widowControl/>
              <w:ind w:firstLine="0" w:firstLineChars="0"/>
              <w:jc w:val="center"/>
              <w:rPr>
                <w:color w:val="000000"/>
                <w:kern w:val="0"/>
                <w:sz w:val="16"/>
                <w:szCs w:val="16"/>
              </w:rPr>
            </w:pPr>
          </w:p>
        </w:tc>
        <w:tc>
          <w:tcPr>
            <w:tcW w:w="880" w:type="dxa"/>
            <w:tcBorders>
              <w:top w:val="single" w:color="auto" w:sz="4" w:space="0"/>
            </w:tcBorders>
            <w:noWrap/>
            <w:vAlign w:val="center"/>
          </w:tcPr>
          <w:p w14:paraId="204AFC27">
            <w:pPr>
              <w:widowControl/>
              <w:ind w:firstLine="0" w:firstLineChars="0"/>
              <w:jc w:val="center"/>
              <w:rPr>
                <w:color w:val="000000"/>
                <w:kern w:val="0"/>
                <w:sz w:val="16"/>
                <w:szCs w:val="16"/>
              </w:rPr>
            </w:pPr>
          </w:p>
        </w:tc>
        <w:tc>
          <w:tcPr>
            <w:tcW w:w="904" w:type="dxa"/>
            <w:tcBorders>
              <w:top w:val="single" w:color="auto" w:sz="4" w:space="0"/>
            </w:tcBorders>
            <w:noWrap/>
            <w:vAlign w:val="center"/>
          </w:tcPr>
          <w:p w14:paraId="66356A79">
            <w:pPr>
              <w:widowControl/>
              <w:ind w:firstLine="0" w:firstLineChars="0"/>
              <w:jc w:val="center"/>
              <w:rPr>
                <w:color w:val="000000"/>
                <w:kern w:val="0"/>
                <w:sz w:val="16"/>
                <w:szCs w:val="16"/>
              </w:rPr>
            </w:pPr>
          </w:p>
        </w:tc>
        <w:tc>
          <w:tcPr>
            <w:tcW w:w="1076" w:type="dxa"/>
            <w:tcBorders>
              <w:top w:val="single" w:color="auto" w:sz="4" w:space="0"/>
            </w:tcBorders>
            <w:noWrap/>
            <w:vAlign w:val="center"/>
          </w:tcPr>
          <w:p w14:paraId="0589CB9F">
            <w:pPr>
              <w:widowControl/>
              <w:ind w:firstLine="0" w:firstLineChars="0"/>
              <w:jc w:val="center"/>
              <w:rPr>
                <w:color w:val="000000"/>
                <w:kern w:val="0"/>
                <w:sz w:val="16"/>
                <w:szCs w:val="16"/>
              </w:rPr>
            </w:pPr>
            <w:r>
              <w:rPr>
                <w:color w:val="000000"/>
                <w:kern w:val="0"/>
                <w:sz w:val="16"/>
                <w:szCs w:val="16"/>
              </w:rPr>
              <w:t>2328.65</w:t>
            </w:r>
          </w:p>
        </w:tc>
      </w:tr>
      <w:tr w14:paraId="4CCAEC57">
        <w:tblPrEx>
          <w:tblCellMar>
            <w:top w:w="0" w:type="dxa"/>
            <w:left w:w="108" w:type="dxa"/>
            <w:bottom w:w="0" w:type="dxa"/>
            <w:right w:w="108" w:type="dxa"/>
          </w:tblCellMar>
        </w:tblPrEx>
        <w:trPr>
          <w:trHeight w:val="288" w:hRule="atLeast"/>
          <w:jc w:val="center"/>
        </w:trPr>
        <w:tc>
          <w:tcPr>
            <w:tcW w:w="756" w:type="dxa"/>
            <w:noWrap/>
            <w:vAlign w:val="center"/>
          </w:tcPr>
          <w:p w14:paraId="12636638">
            <w:pPr>
              <w:widowControl/>
              <w:ind w:firstLine="0" w:firstLineChars="0"/>
              <w:jc w:val="center"/>
              <w:rPr>
                <w:color w:val="000000"/>
                <w:kern w:val="0"/>
                <w:sz w:val="16"/>
                <w:szCs w:val="16"/>
              </w:rPr>
            </w:pPr>
            <w:r>
              <w:rPr>
                <w:color w:val="000000"/>
                <w:kern w:val="0"/>
                <w:sz w:val="16"/>
                <w:szCs w:val="16"/>
              </w:rPr>
              <w:t>1.1.1</w:t>
            </w:r>
          </w:p>
        </w:tc>
        <w:tc>
          <w:tcPr>
            <w:tcW w:w="2796" w:type="dxa"/>
            <w:noWrap/>
            <w:vAlign w:val="center"/>
          </w:tcPr>
          <w:p w14:paraId="50C809A2">
            <w:pPr>
              <w:widowControl/>
              <w:ind w:firstLine="0" w:firstLineChars="0"/>
              <w:jc w:val="center"/>
              <w:rPr>
                <w:color w:val="000000"/>
                <w:kern w:val="0"/>
                <w:sz w:val="16"/>
                <w:szCs w:val="16"/>
              </w:rPr>
            </w:pPr>
            <w:r>
              <w:rPr>
                <w:color w:val="000000"/>
                <w:kern w:val="0"/>
                <w:sz w:val="16"/>
                <w:szCs w:val="16"/>
              </w:rPr>
              <w:t>Labor Cost</w:t>
            </w:r>
          </w:p>
        </w:tc>
        <w:tc>
          <w:tcPr>
            <w:tcW w:w="1236" w:type="dxa"/>
            <w:noWrap/>
            <w:vAlign w:val="center"/>
          </w:tcPr>
          <w:p w14:paraId="1AC3153A">
            <w:pPr>
              <w:widowControl/>
              <w:ind w:firstLine="0" w:firstLineChars="0"/>
              <w:jc w:val="center"/>
              <w:rPr>
                <w:color w:val="000000"/>
                <w:kern w:val="0"/>
                <w:sz w:val="16"/>
                <w:szCs w:val="16"/>
              </w:rPr>
            </w:pPr>
          </w:p>
        </w:tc>
        <w:tc>
          <w:tcPr>
            <w:tcW w:w="880" w:type="dxa"/>
            <w:noWrap/>
            <w:vAlign w:val="center"/>
          </w:tcPr>
          <w:p w14:paraId="4BF98B04">
            <w:pPr>
              <w:widowControl/>
              <w:ind w:firstLine="0" w:firstLineChars="0"/>
              <w:jc w:val="center"/>
              <w:rPr>
                <w:color w:val="000000"/>
                <w:kern w:val="0"/>
                <w:sz w:val="16"/>
                <w:szCs w:val="16"/>
              </w:rPr>
            </w:pPr>
          </w:p>
        </w:tc>
        <w:tc>
          <w:tcPr>
            <w:tcW w:w="904" w:type="dxa"/>
            <w:noWrap/>
            <w:vAlign w:val="center"/>
          </w:tcPr>
          <w:p w14:paraId="5D05C4F7">
            <w:pPr>
              <w:widowControl/>
              <w:ind w:firstLine="0" w:firstLineChars="0"/>
              <w:jc w:val="center"/>
              <w:rPr>
                <w:color w:val="000000"/>
                <w:kern w:val="0"/>
                <w:sz w:val="16"/>
                <w:szCs w:val="16"/>
              </w:rPr>
            </w:pPr>
          </w:p>
        </w:tc>
        <w:tc>
          <w:tcPr>
            <w:tcW w:w="1076" w:type="dxa"/>
            <w:noWrap/>
            <w:vAlign w:val="center"/>
          </w:tcPr>
          <w:p w14:paraId="7E50B24E">
            <w:pPr>
              <w:widowControl/>
              <w:ind w:firstLine="0" w:firstLineChars="0"/>
              <w:jc w:val="center"/>
              <w:rPr>
                <w:color w:val="000000"/>
                <w:kern w:val="0"/>
                <w:sz w:val="16"/>
                <w:szCs w:val="16"/>
              </w:rPr>
            </w:pPr>
            <w:r>
              <w:rPr>
                <w:color w:val="000000"/>
                <w:kern w:val="0"/>
                <w:sz w:val="16"/>
                <w:szCs w:val="16"/>
              </w:rPr>
              <w:t>1511.52</w:t>
            </w:r>
          </w:p>
        </w:tc>
      </w:tr>
      <w:tr w14:paraId="357E22C2">
        <w:tblPrEx>
          <w:tblCellMar>
            <w:top w:w="0" w:type="dxa"/>
            <w:left w:w="108" w:type="dxa"/>
            <w:bottom w:w="0" w:type="dxa"/>
            <w:right w:w="108" w:type="dxa"/>
          </w:tblCellMar>
        </w:tblPrEx>
        <w:trPr>
          <w:trHeight w:val="288" w:hRule="atLeast"/>
          <w:jc w:val="center"/>
        </w:trPr>
        <w:tc>
          <w:tcPr>
            <w:tcW w:w="756" w:type="dxa"/>
            <w:noWrap/>
            <w:vAlign w:val="center"/>
          </w:tcPr>
          <w:p w14:paraId="7BD1472F">
            <w:pPr>
              <w:widowControl/>
              <w:ind w:firstLine="0" w:firstLineChars="0"/>
              <w:jc w:val="center"/>
              <w:rPr>
                <w:color w:val="000000"/>
                <w:kern w:val="0"/>
                <w:sz w:val="16"/>
                <w:szCs w:val="16"/>
              </w:rPr>
            </w:pPr>
          </w:p>
        </w:tc>
        <w:tc>
          <w:tcPr>
            <w:tcW w:w="2796" w:type="dxa"/>
            <w:noWrap/>
            <w:vAlign w:val="center"/>
          </w:tcPr>
          <w:p w14:paraId="48EB1E67">
            <w:pPr>
              <w:widowControl/>
              <w:ind w:firstLine="0" w:firstLineChars="0"/>
              <w:jc w:val="center"/>
              <w:rPr>
                <w:color w:val="000000"/>
                <w:kern w:val="0"/>
                <w:sz w:val="16"/>
                <w:szCs w:val="16"/>
              </w:rPr>
            </w:pPr>
            <w:r>
              <w:rPr>
                <w:color w:val="000000"/>
                <w:kern w:val="0"/>
                <w:sz w:val="16"/>
                <w:szCs w:val="16"/>
              </w:rPr>
              <w:t>Composite Labor</w:t>
            </w:r>
          </w:p>
        </w:tc>
        <w:tc>
          <w:tcPr>
            <w:tcW w:w="1236" w:type="dxa"/>
            <w:noWrap/>
            <w:vAlign w:val="center"/>
          </w:tcPr>
          <w:p w14:paraId="53CFE4C4">
            <w:pPr>
              <w:widowControl/>
              <w:ind w:firstLine="0" w:firstLineChars="0"/>
              <w:jc w:val="center"/>
              <w:rPr>
                <w:color w:val="000000"/>
                <w:kern w:val="0"/>
                <w:sz w:val="16"/>
                <w:szCs w:val="16"/>
              </w:rPr>
            </w:pPr>
            <w:r>
              <w:rPr>
                <w:color w:val="000000"/>
                <w:kern w:val="0"/>
                <w:sz w:val="16"/>
                <w:szCs w:val="16"/>
              </w:rPr>
              <w:t>Man-day</w:t>
            </w:r>
          </w:p>
        </w:tc>
        <w:tc>
          <w:tcPr>
            <w:tcW w:w="880" w:type="dxa"/>
            <w:shd w:val="clear" w:color="000000" w:fill="FFFFFF"/>
            <w:noWrap/>
            <w:vAlign w:val="center"/>
          </w:tcPr>
          <w:p w14:paraId="6082A958">
            <w:pPr>
              <w:widowControl/>
              <w:ind w:firstLine="0" w:firstLineChars="0"/>
              <w:jc w:val="center"/>
              <w:rPr>
                <w:kern w:val="0"/>
                <w:sz w:val="16"/>
                <w:szCs w:val="16"/>
              </w:rPr>
            </w:pPr>
            <w:r>
              <w:rPr>
                <w:kern w:val="0"/>
                <w:sz w:val="16"/>
                <w:szCs w:val="16"/>
              </w:rPr>
              <w:t>6.022</w:t>
            </w:r>
          </w:p>
        </w:tc>
        <w:tc>
          <w:tcPr>
            <w:tcW w:w="904" w:type="dxa"/>
            <w:shd w:val="clear" w:color="000000" w:fill="FFFFFF"/>
            <w:noWrap/>
            <w:vAlign w:val="center"/>
          </w:tcPr>
          <w:p w14:paraId="2F5E1C28">
            <w:pPr>
              <w:widowControl/>
              <w:ind w:firstLine="0" w:firstLineChars="0"/>
              <w:jc w:val="center"/>
              <w:rPr>
                <w:kern w:val="0"/>
                <w:sz w:val="16"/>
                <w:szCs w:val="16"/>
              </w:rPr>
            </w:pPr>
            <w:r>
              <w:rPr>
                <w:kern w:val="0"/>
                <w:sz w:val="16"/>
                <w:szCs w:val="16"/>
              </w:rPr>
              <w:t>251.00</w:t>
            </w:r>
          </w:p>
        </w:tc>
        <w:tc>
          <w:tcPr>
            <w:tcW w:w="1076" w:type="dxa"/>
            <w:noWrap/>
            <w:vAlign w:val="center"/>
          </w:tcPr>
          <w:p w14:paraId="32F0D126">
            <w:pPr>
              <w:widowControl/>
              <w:ind w:firstLine="0" w:firstLineChars="0"/>
              <w:jc w:val="center"/>
              <w:rPr>
                <w:color w:val="000000"/>
                <w:kern w:val="0"/>
                <w:sz w:val="16"/>
                <w:szCs w:val="16"/>
              </w:rPr>
            </w:pPr>
            <w:r>
              <w:rPr>
                <w:color w:val="000000"/>
                <w:kern w:val="0"/>
                <w:sz w:val="16"/>
                <w:szCs w:val="16"/>
              </w:rPr>
              <w:t>1511.52</w:t>
            </w:r>
          </w:p>
        </w:tc>
      </w:tr>
      <w:tr w14:paraId="4AB1A89D">
        <w:tblPrEx>
          <w:tblCellMar>
            <w:top w:w="0" w:type="dxa"/>
            <w:left w:w="108" w:type="dxa"/>
            <w:bottom w:w="0" w:type="dxa"/>
            <w:right w:w="108" w:type="dxa"/>
          </w:tblCellMar>
        </w:tblPrEx>
        <w:trPr>
          <w:trHeight w:val="288" w:hRule="atLeast"/>
          <w:jc w:val="center"/>
        </w:trPr>
        <w:tc>
          <w:tcPr>
            <w:tcW w:w="756" w:type="dxa"/>
            <w:noWrap/>
            <w:vAlign w:val="center"/>
          </w:tcPr>
          <w:p w14:paraId="52D600CB">
            <w:pPr>
              <w:widowControl/>
              <w:ind w:firstLine="0" w:firstLineChars="0"/>
              <w:jc w:val="center"/>
              <w:rPr>
                <w:color w:val="000000"/>
                <w:kern w:val="0"/>
                <w:sz w:val="16"/>
                <w:szCs w:val="16"/>
              </w:rPr>
            </w:pPr>
            <w:r>
              <w:rPr>
                <w:color w:val="000000"/>
                <w:kern w:val="0"/>
                <w:sz w:val="16"/>
                <w:szCs w:val="16"/>
              </w:rPr>
              <w:t>1.1.2</w:t>
            </w:r>
          </w:p>
        </w:tc>
        <w:tc>
          <w:tcPr>
            <w:tcW w:w="2796" w:type="dxa"/>
            <w:noWrap/>
            <w:vAlign w:val="center"/>
          </w:tcPr>
          <w:p w14:paraId="5A6D405D">
            <w:pPr>
              <w:widowControl/>
              <w:ind w:firstLine="0" w:firstLineChars="0"/>
              <w:jc w:val="center"/>
              <w:rPr>
                <w:color w:val="000000"/>
                <w:kern w:val="0"/>
                <w:sz w:val="16"/>
                <w:szCs w:val="16"/>
              </w:rPr>
            </w:pPr>
            <w:r>
              <w:rPr>
                <w:color w:val="000000"/>
                <w:kern w:val="0"/>
                <w:sz w:val="16"/>
                <w:szCs w:val="16"/>
              </w:rPr>
              <w:t>Material Cost</w:t>
            </w:r>
          </w:p>
        </w:tc>
        <w:tc>
          <w:tcPr>
            <w:tcW w:w="1236" w:type="dxa"/>
            <w:noWrap/>
            <w:vAlign w:val="center"/>
          </w:tcPr>
          <w:p w14:paraId="5A1148C0">
            <w:pPr>
              <w:widowControl/>
              <w:ind w:firstLine="0" w:firstLineChars="0"/>
              <w:jc w:val="center"/>
              <w:rPr>
                <w:color w:val="000000"/>
                <w:kern w:val="0"/>
                <w:sz w:val="16"/>
                <w:szCs w:val="16"/>
              </w:rPr>
            </w:pPr>
          </w:p>
        </w:tc>
        <w:tc>
          <w:tcPr>
            <w:tcW w:w="880" w:type="dxa"/>
            <w:noWrap/>
            <w:vAlign w:val="center"/>
          </w:tcPr>
          <w:p w14:paraId="1B40193D">
            <w:pPr>
              <w:widowControl/>
              <w:ind w:firstLine="0" w:firstLineChars="0"/>
              <w:jc w:val="center"/>
              <w:rPr>
                <w:color w:val="000000"/>
                <w:kern w:val="0"/>
                <w:sz w:val="16"/>
                <w:szCs w:val="16"/>
              </w:rPr>
            </w:pPr>
          </w:p>
        </w:tc>
        <w:tc>
          <w:tcPr>
            <w:tcW w:w="904" w:type="dxa"/>
            <w:noWrap/>
            <w:vAlign w:val="center"/>
          </w:tcPr>
          <w:p w14:paraId="0C7E19A6">
            <w:pPr>
              <w:widowControl/>
              <w:ind w:firstLine="0" w:firstLineChars="0"/>
              <w:jc w:val="center"/>
              <w:rPr>
                <w:color w:val="000000"/>
                <w:kern w:val="0"/>
                <w:sz w:val="16"/>
                <w:szCs w:val="16"/>
              </w:rPr>
            </w:pPr>
          </w:p>
        </w:tc>
        <w:tc>
          <w:tcPr>
            <w:tcW w:w="1076" w:type="dxa"/>
            <w:noWrap/>
            <w:vAlign w:val="center"/>
          </w:tcPr>
          <w:p w14:paraId="6F3E9ADF">
            <w:pPr>
              <w:widowControl/>
              <w:ind w:firstLine="0" w:firstLineChars="0"/>
              <w:jc w:val="center"/>
              <w:rPr>
                <w:color w:val="000000"/>
                <w:kern w:val="0"/>
                <w:sz w:val="16"/>
                <w:szCs w:val="16"/>
              </w:rPr>
            </w:pPr>
            <w:r>
              <w:rPr>
                <w:color w:val="000000"/>
                <w:kern w:val="0"/>
                <w:sz w:val="16"/>
                <w:szCs w:val="16"/>
              </w:rPr>
              <w:t>547.07</w:t>
            </w:r>
          </w:p>
        </w:tc>
      </w:tr>
      <w:tr w14:paraId="39C5710F">
        <w:tblPrEx>
          <w:tblCellMar>
            <w:top w:w="0" w:type="dxa"/>
            <w:left w:w="108" w:type="dxa"/>
            <w:bottom w:w="0" w:type="dxa"/>
            <w:right w:w="108" w:type="dxa"/>
          </w:tblCellMar>
        </w:tblPrEx>
        <w:trPr>
          <w:trHeight w:val="288" w:hRule="atLeast"/>
          <w:jc w:val="center"/>
        </w:trPr>
        <w:tc>
          <w:tcPr>
            <w:tcW w:w="756" w:type="dxa"/>
            <w:noWrap/>
            <w:vAlign w:val="center"/>
          </w:tcPr>
          <w:p w14:paraId="1C1AB91C">
            <w:pPr>
              <w:widowControl/>
              <w:ind w:firstLine="0" w:firstLineChars="0"/>
              <w:jc w:val="center"/>
              <w:rPr>
                <w:color w:val="000000"/>
                <w:kern w:val="0"/>
                <w:sz w:val="16"/>
                <w:szCs w:val="16"/>
              </w:rPr>
            </w:pPr>
          </w:p>
        </w:tc>
        <w:tc>
          <w:tcPr>
            <w:tcW w:w="2796" w:type="dxa"/>
            <w:noWrap/>
            <w:vAlign w:val="center"/>
          </w:tcPr>
          <w:p w14:paraId="2F6CA0F3">
            <w:pPr>
              <w:widowControl/>
              <w:ind w:firstLine="0" w:firstLineChars="0"/>
              <w:jc w:val="center"/>
              <w:rPr>
                <w:color w:val="000000"/>
                <w:kern w:val="0"/>
                <w:sz w:val="16"/>
                <w:szCs w:val="16"/>
              </w:rPr>
            </w:pPr>
            <w:r>
              <w:rPr>
                <w:color w:val="000000"/>
                <w:kern w:val="0"/>
                <w:sz w:val="16"/>
                <w:szCs w:val="16"/>
              </w:rPr>
              <w:t>Cement P.O42.5</w:t>
            </w:r>
          </w:p>
        </w:tc>
        <w:tc>
          <w:tcPr>
            <w:tcW w:w="1236" w:type="dxa"/>
            <w:noWrap/>
            <w:vAlign w:val="center"/>
          </w:tcPr>
          <w:p w14:paraId="15EEE1EC">
            <w:pPr>
              <w:widowControl/>
              <w:ind w:firstLine="0" w:firstLineChars="0"/>
              <w:jc w:val="center"/>
              <w:rPr>
                <w:color w:val="000000"/>
                <w:kern w:val="0"/>
                <w:sz w:val="16"/>
                <w:szCs w:val="16"/>
              </w:rPr>
            </w:pPr>
            <w:r>
              <w:rPr>
                <w:color w:val="000000"/>
                <w:kern w:val="0"/>
                <w:sz w:val="16"/>
                <w:szCs w:val="16"/>
              </w:rPr>
              <w:t>t</w:t>
            </w:r>
          </w:p>
        </w:tc>
        <w:tc>
          <w:tcPr>
            <w:tcW w:w="880" w:type="dxa"/>
            <w:noWrap/>
            <w:vAlign w:val="center"/>
          </w:tcPr>
          <w:p w14:paraId="37D3C0B7">
            <w:pPr>
              <w:widowControl/>
              <w:ind w:firstLine="0" w:firstLineChars="0"/>
              <w:jc w:val="center"/>
              <w:rPr>
                <w:color w:val="000000"/>
                <w:kern w:val="0"/>
                <w:sz w:val="16"/>
                <w:szCs w:val="16"/>
              </w:rPr>
            </w:pPr>
            <w:r>
              <w:rPr>
                <w:color w:val="000000"/>
                <w:kern w:val="0"/>
                <w:sz w:val="16"/>
                <w:szCs w:val="16"/>
              </w:rPr>
              <w:t>1.000</w:t>
            </w:r>
          </w:p>
        </w:tc>
        <w:tc>
          <w:tcPr>
            <w:tcW w:w="904" w:type="dxa"/>
            <w:noWrap/>
            <w:vAlign w:val="center"/>
          </w:tcPr>
          <w:p w14:paraId="16E55EFB">
            <w:pPr>
              <w:widowControl/>
              <w:ind w:firstLine="0" w:firstLineChars="0"/>
              <w:jc w:val="center"/>
              <w:rPr>
                <w:color w:val="000000"/>
                <w:kern w:val="0"/>
                <w:sz w:val="16"/>
                <w:szCs w:val="16"/>
              </w:rPr>
            </w:pPr>
            <w:r>
              <w:rPr>
                <w:color w:val="000000"/>
                <w:kern w:val="0"/>
                <w:sz w:val="16"/>
                <w:szCs w:val="16"/>
              </w:rPr>
              <w:t>372.67</w:t>
            </w:r>
          </w:p>
        </w:tc>
        <w:tc>
          <w:tcPr>
            <w:tcW w:w="1076" w:type="dxa"/>
            <w:noWrap/>
            <w:vAlign w:val="center"/>
          </w:tcPr>
          <w:p w14:paraId="61673256">
            <w:pPr>
              <w:widowControl/>
              <w:ind w:firstLine="0" w:firstLineChars="0"/>
              <w:jc w:val="center"/>
              <w:rPr>
                <w:color w:val="000000"/>
                <w:kern w:val="0"/>
                <w:sz w:val="16"/>
                <w:szCs w:val="16"/>
              </w:rPr>
            </w:pPr>
            <w:r>
              <w:rPr>
                <w:color w:val="000000"/>
                <w:kern w:val="0"/>
                <w:sz w:val="16"/>
                <w:szCs w:val="16"/>
              </w:rPr>
              <w:t>372.67</w:t>
            </w:r>
          </w:p>
        </w:tc>
      </w:tr>
      <w:tr w14:paraId="2A6B8D22">
        <w:tblPrEx>
          <w:tblCellMar>
            <w:top w:w="0" w:type="dxa"/>
            <w:left w:w="108" w:type="dxa"/>
            <w:bottom w:w="0" w:type="dxa"/>
            <w:right w:w="108" w:type="dxa"/>
          </w:tblCellMar>
        </w:tblPrEx>
        <w:trPr>
          <w:trHeight w:val="288" w:hRule="atLeast"/>
          <w:jc w:val="center"/>
        </w:trPr>
        <w:tc>
          <w:tcPr>
            <w:tcW w:w="756" w:type="dxa"/>
            <w:noWrap/>
            <w:vAlign w:val="center"/>
          </w:tcPr>
          <w:p w14:paraId="0E592BF1">
            <w:pPr>
              <w:widowControl/>
              <w:ind w:firstLine="0" w:firstLineChars="0"/>
              <w:jc w:val="center"/>
              <w:rPr>
                <w:color w:val="000000"/>
                <w:kern w:val="0"/>
                <w:sz w:val="16"/>
                <w:szCs w:val="16"/>
              </w:rPr>
            </w:pPr>
          </w:p>
        </w:tc>
        <w:tc>
          <w:tcPr>
            <w:tcW w:w="2796" w:type="dxa"/>
            <w:noWrap/>
            <w:vAlign w:val="center"/>
          </w:tcPr>
          <w:p w14:paraId="233C6EC0">
            <w:pPr>
              <w:widowControl/>
              <w:ind w:firstLine="0" w:firstLineChars="0"/>
              <w:jc w:val="center"/>
              <w:rPr>
                <w:color w:val="000000"/>
                <w:kern w:val="0"/>
                <w:sz w:val="16"/>
                <w:szCs w:val="16"/>
              </w:rPr>
            </w:pPr>
            <w:r>
              <w:rPr>
                <w:color w:val="000000"/>
                <w:kern w:val="0"/>
                <w:sz w:val="16"/>
                <w:szCs w:val="16"/>
              </w:rPr>
              <w:t>Fly Ash</w:t>
            </w:r>
          </w:p>
        </w:tc>
        <w:tc>
          <w:tcPr>
            <w:tcW w:w="1236" w:type="dxa"/>
            <w:noWrap/>
            <w:vAlign w:val="center"/>
          </w:tcPr>
          <w:p w14:paraId="05AAC59C">
            <w:pPr>
              <w:widowControl/>
              <w:ind w:firstLine="0" w:firstLineChars="0"/>
              <w:jc w:val="center"/>
              <w:rPr>
                <w:color w:val="000000"/>
                <w:kern w:val="0"/>
                <w:sz w:val="16"/>
                <w:szCs w:val="16"/>
              </w:rPr>
            </w:pPr>
            <w:r>
              <w:rPr>
                <w:color w:val="000000"/>
                <w:kern w:val="0"/>
                <w:sz w:val="16"/>
                <w:szCs w:val="16"/>
              </w:rPr>
              <w:t>t</w:t>
            </w:r>
          </w:p>
        </w:tc>
        <w:tc>
          <w:tcPr>
            <w:tcW w:w="880" w:type="dxa"/>
            <w:noWrap/>
            <w:vAlign w:val="center"/>
          </w:tcPr>
          <w:p w14:paraId="1E1EFB27">
            <w:pPr>
              <w:widowControl/>
              <w:ind w:firstLine="0" w:firstLineChars="0"/>
              <w:jc w:val="center"/>
              <w:rPr>
                <w:color w:val="000000"/>
                <w:kern w:val="0"/>
                <w:sz w:val="16"/>
                <w:szCs w:val="16"/>
              </w:rPr>
            </w:pPr>
            <w:r>
              <w:rPr>
                <w:color w:val="000000"/>
                <w:kern w:val="0"/>
                <w:sz w:val="16"/>
                <w:szCs w:val="16"/>
              </w:rPr>
              <w:t>1.200</w:t>
            </w:r>
          </w:p>
        </w:tc>
        <w:tc>
          <w:tcPr>
            <w:tcW w:w="904" w:type="dxa"/>
            <w:noWrap/>
            <w:vAlign w:val="center"/>
          </w:tcPr>
          <w:p w14:paraId="252389B9">
            <w:pPr>
              <w:widowControl/>
              <w:ind w:firstLine="0" w:firstLineChars="0"/>
              <w:jc w:val="center"/>
              <w:rPr>
                <w:color w:val="000000"/>
                <w:kern w:val="0"/>
                <w:sz w:val="16"/>
                <w:szCs w:val="16"/>
              </w:rPr>
            </w:pPr>
            <w:r>
              <w:rPr>
                <w:color w:val="000000"/>
                <w:kern w:val="0"/>
                <w:sz w:val="16"/>
                <w:szCs w:val="16"/>
              </w:rPr>
              <w:t>80.38</w:t>
            </w:r>
          </w:p>
        </w:tc>
        <w:tc>
          <w:tcPr>
            <w:tcW w:w="1076" w:type="dxa"/>
            <w:noWrap/>
            <w:vAlign w:val="center"/>
          </w:tcPr>
          <w:p w14:paraId="2169C65F">
            <w:pPr>
              <w:widowControl/>
              <w:ind w:firstLine="0" w:firstLineChars="0"/>
              <w:jc w:val="center"/>
              <w:rPr>
                <w:color w:val="000000"/>
                <w:kern w:val="0"/>
                <w:sz w:val="16"/>
                <w:szCs w:val="16"/>
              </w:rPr>
            </w:pPr>
            <w:r>
              <w:rPr>
                <w:color w:val="000000"/>
                <w:kern w:val="0"/>
                <w:sz w:val="16"/>
                <w:szCs w:val="16"/>
              </w:rPr>
              <w:t>96.46</w:t>
            </w:r>
          </w:p>
        </w:tc>
      </w:tr>
      <w:tr w14:paraId="4B1DB85F">
        <w:tblPrEx>
          <w:tblCellMar>
            <w:top w:w="0" w:type="dxa"/>
            <w:left w:w="108" w:type="dxa"/>
            <w:bottom w:w="0" w:type="dxa"/>
            <w:right w:w="108" w:type="dxa"/>
          </w:tblCellMar>
        </w:tblPrEx>
        <w:trPr>
          <w:trHeight w:val="288" w:hRule="atLeast"/>
          <w:jc w:val="center"/>
        </w:trPr>
        <w:tc>
          <w:tcPr>
            <w:tcW w:w="756" w:type="dxa"/>
            <w:noWrap/>
            <w:vAlign w:val="center"/>
          </w:tcPr>
          <w:p w14:paraId="3E94DFC6">
            <w:pPr>
              <w:widowControl/>
              <w:ind w:firstLine="0" w:firstLineChars="0"/>
              <w:jc w:val="center"/>
              <w:rPr>
                <w:color w:val="000000"/>
                <w:kern w:val="0"/>
                <w:sz w:val="16"/>
                <w:szCs w:val="16"/>
              </w:rPr>
            </w:pPr>
          </w:p>
        </w:tc>
        <w:tc>
          <w:tcPr>
            <w:tcW w:w="2796" w:type="dxa"/>
            <w:noWrap/>
            <w:vAlign w:val="center"/>
          </w:tcPr>
          <w:p w14:paraId="6D9FF87D">
            <w:pPr>
              <w:widowControl/>
              <w:ind w:firstLine="0" w:firstLineChars="0"/>
              <w:jc w:val="center"/>
              <w:rPr>
                <w:color w:val="000000"/>
                <w:kern w:val="0"/>
                <w:sz w:val="16"/>
                <w:szCs w:val="16"/>
              </w:rPr>
            </w:pPr>
            <w:r>
              <w:rPr>
                <w:color w:val="000000"/>
                <w:kern w:val="0"/>
                <w:sz w:val="16"/>
                <w:szCs w:val="16"/>
              </w:rPr>
              <w:t>Bentonite</w:t>
            </w:r>
          </w:p>
        </w:tc>
        <w:tc>
          <w:tcPr>
            <w:tcW w:w="1236" w:type="dxa"/>
            <w:noWrap/>
            <w:vAlign w:val="center"/>
          </w:tcPr>
          <w:p w14:paraId="04184BB6">
            <w:pPr>
              <w:widowControl/>
              <w:ind w:firstLine="0" w:firstLineChars="0"/>
              <w:jc w:val="center"/>
              <w:rPr>
                <w:color w:val="000000"/>
                <w:kern w:val="0"/>
                <w:sz w:val="16"/>
                <w:szCs w:val="16"/>
              </w:rPr>
            </w:pPr>
            <w:r>
              <w:rPr>
                <w:color w:val="000000"/>
                <w:kern w:val="0"/>
                <w:sz w:val="16"/>
                <w:szCs w:val="16"/>
              </w:rPr>
              <w:t>kg</w:t>
            </w:r>
          </w:p>
        </w:tc>
        <w:tc>
          <w:tcPr>
            <w:tcW w:w="880" w:type="dxa"/>
            <w:noWrap/>
            <w:vAlign w:val="center"/>
          </w:tcPr>
          <w:p w14:paraId="108F4D59">
            <w:pPr>
              <w:widowControl/>
              <w:ind w:firstLine="0" w:firstLineChars="0"/>
              <w:jc w:val="center"/>
              <w:rPr>
                <w:color w:val="000000"/>
                <w:kern w:val="0"/>
                <w:sz w:val="16"/>
                <w:szCs w:val="16"/>
              </w:rPr>
            </w:pPr>
            <w:r>
              <w:rPr>
                <w:color w:val="000000"/>
                <w:kern w:val="0"/>
                <w:sz w:val="16"/>
                <w:szCs w:val="16"/>
              </w:rPr>
              <w:t>99.797</w:t>
            </w:r>
          </w:p>
        </w:tc>
        <w:tc>
          <w:tcPr>
            <w:tcW w:w="904" w:type="dxa"/>
            <w:noWrap/>
            <w:vAlign w:val="center"/>
          </w:tcPr>
          <w:p w14:paraId="7F35C7FA">
            <w:pPr>
              <w:widowControl/>
              <w:ind w:firstLine="0" w:firstLineChars="0"/>
              <w:jc w:val="center"/>
              <w:rPr>
                <w:color w:val="000000"/>
                <w:kern w:val="0"/>
                <w:sz w:val="16"/>
                <w:szCs w:val="16"/>
              </w:rPr>
            </w:pPr>
            <w:r>
              <w:rPr>
                <w:color w:val="000000"/>
                <w:kern w:val="0"/>
                <w:sz w:val="16"/>
                <w:szCs w:val="16"/>
              </w:rPr>
              <w:t>0.70</w:t>
            </w:r>
          </w:p>
        </w:tc>
        <w:tc>
          <w:tcPr>
            <w:tcW w:w="1076" w:type="dxa"/>
            <w:noWrap/>
            <w:vAlign w:val="center"/>
          </w:tcPr>
          <w:p w14:paraId="2C79141B">
            <w:pPr>
              <w:widowControl/>
              <w:ind w:firstLine="0" w:firstLineChars="0"/>
              <w:jc w:val="center"/>
              <w:rPr>
                <w:color w:val="000000"/>
                <w:kern w:val="0"/>
                <w:sz w:val="16"/>
                <w:szCs w:val="16"/>
              </w:rPr>
            </w:pPr>
            <w:r>
              <w:rPr>
                <w:color w:val="000000"/>
                <w:kern w:val="0"/>
                <w:sz w:val="16"/>
                <w:szCs w:val="16"/>
              </w:rPr>
              <w:t>69.86</w:t>
            </w:r>
          </w:p>
        </w:tc>
      </w:tr>
      <w:tr w14:paraId="4BA64961">
        <w:tblPrEx>
          <w:tblCellMar>
            <w:top w:w="0" w:type="dxa"/>
            <w:left w:w="108" w:type="dxa"/>
            <w:bottom w:w="0" w:type="dxa"/>
            <w:right w:w="108" w:type="dxa"/>
          </w:tblCellMar>
        </w:tblPrEx>
        <w:trPr>
          <w:trHeight w:val="288" w:hRule="atLeast"/>
          <w:jc w:val="center"/>
        </w:trPr>
        <w:tc>
          <w:tcPr>
            <w:tcW w:w="756" w:type="dxa"/>
            <w:noWrap/>
            <w:vAlign w:val="center"/>
          </w:tcPr>
          <w:p w14:paraId="1498C7E5">
            <w:pPr>
              <w:widowControl/>
              <w:ind w:firstLine="0" w:firstLineChars="0"/>
              <w:jc w:val="center"/>
              <w:rPr>
                <w:color w:val="000000"/>
                <w:kern w:val="0"/>
                <w:sz w:val="16"/>
                <w:szCs w:val="16"/>
              </w:rPr>
            </w:pPr>
          </w:p>
        </w:tc>
        <w:tc>
          <w:tcPr>
            <w:tcW w:w="2796" w:type="dxa"/>
            <w:noWrap/>
            <w:vAlign w:val="center"/>
          </w:tcPr>
          <w:p w14:paraId="6CC921CC">
            <w:pPr>
              <w:widowControl/>
              <w:ind w:firstLine="0" w:firstLineChars="0"/>
              <w:jc w:val="center"/>
              <w:rPr>
                <w:color w:val="000000"/>
                <w:kern w:val="0"/>
                <w:sz w:val="16"/>
                <w:szCs w:val="16"/>
              </w:rPr>
            </w:pPr>
            <w:r>
              <w:rPr>
                <w:color w:val="000000"/>
                <w:kern w:val="0"/>
                <w:sz w:val="16"/>
                <w:szCs w:val="16"/>
              </w:rPr>
              <w:t>Other Material Cost</w:t>
            </w:r>
          </w:p>
        </w:tc>
        <w:tc>
          <w:tcPr>
            <w:tcW w:w="1236" w:type="dxa"/>
            <w:noWrap/>
            <w:vAlign w:val="center"/>
          </w:tcPr>
          <w:p w14:paraId="7B557D81">
            <w:pPr>
              <w:widowControl/>
              <w:ind w:firstLine="0" w:firstLineChars="0"/>
              <w:jc w:val="center"/>
              <w:rPr>
                <w:color w:val="000000"/>
                <w:kern w:val="0"/>
                <w:sz w:val="16"/>
                <w:szCs w:val="16"/>
              </w:rPr>
            </w:pPr>
            <w:r>
              <w:rPr>
                <w:color w:val="000000"/>
                <w:kern w:val="0"/>
                <w:sz w:val="16"/>
                <w:szCs w:val="16"/>
              </w:rPr>
              <w:t>%</w:t>
            </w:r>
          </w:p>
        </w:tc>
        <w:tc>
          <w:tcPr>
            <w:tcW w:w="880" w:type="dxa"/>
            <w:noWrap/>
            <w:vAlign w:val="center"/>
          </w:tcPr>
          <w:p w14:paraId="76701D3F">
            <w:pPr>
              <w:widowControl/>
              <w:ind w:firstLine="0" w:firstLineChars="0"/>
              <w:jc w:val="center"/>
              <w:rPr>
                <w:color w:val="000000"/>
                <w:kern w:val="0"/>
                <w:sz w:val="16"/>
                <w:szCs w:val="16"/>
              </w:rPr>
            </w:pPr>
            <w:r>
              <w:rPr>
                <w:color w:val="000000"/>
                <w:kern w:val="0"/>
                <w:sz w:val="16"/>
                <w:szCs w:val="16"/>
              </w:rPr>
              <w:t>0.015</w:t>
            </w:r>
          </w:p>
        </w:tc>
        <w:tc>
          <w:tcPr>
            <w:tcW w:w="904" w:type="dxa"/>
            <w:noWrap/>
            <w:vAlign w:val="center"/>
          </w:tcPr>
          <w:p w14:paraId="0557C9FC">
            <w:pPr>
              <w:widowControl/>
              <w:ind w:firstLine="0" w:firstLineChars="0"/>
              <w:jc w:val="center"/>
              <w:rPr>
                <w:color w:val="000000"/>
                <w:kern w:val="0"/>
                <w:sz w:val="16"/>
                <w:szCs w:val="16"/>
              </w:rPr>
            </w:pPr>
            <w:r>
              <w:rPr>
                <w:color w:val="000000"/>
                <w:kern w:val="0"/>
                <w:sz w:val="16"/>
                <w:szCs w:val="16"/>
              </w:rPr>
              <w:t>538.98</w:t>
            </w:r>
          </w:p>
        </w:tc>
        <w:tc>
          <w:tcPr>
            <w:tcW w:w="1076" w:type="dxa"/>
            <w:noWrap/>
            <w:vAlign w:val="center"/>
          </w:tcPr>
          <w:p w14:paraId="493DDCD5">
            <w:pPr>
              <w:widowControl/>
              <w:ind w:firstLine="0" w:firstLineChars="0"/>
              <w:jc w:val="center"/>
              <w:rPr>
                <w:color w:val="000000"/>
                <w:kern w:val="0"/>
                <w:sz w:val="16"/>
                <w:szCs w:val="16"/>
              </w:rPr>
            </w:pPr>
            <w:r>
              <w:rPr>
                <w:color w:val="000000"/>
                <w:kern w:val="0"/>
                <w:sz w:val="16"/>
                <w:szCs w:val="16"/>
              </w:rPr>
              <w:t>8.08</w:t>
            </w:r>
          </w:p>
        </w:tc>
      </w:tr>
      <w:tr w14:paraId="319BDFBE">
        <w:tblPrEx>
          <w:tblCellMar>
            <w:top w:w="0" w:type="dxa"/>
            <w:left w:w="108" w:type="dxa"/>
            <w:bottom w:w="0" w:type="dxa"/>
            <w:right w:w="108" w:type="dxa"/>
          </w:tblCellMar>
        </w:tblPrEx>
        <w:trPr>
          <w:trHeight w:val="288" w:hRule="atLeast"/>
          <w:jc w:val="center"/>
        </w:trPr>
        <w:tc>
          <w:tcPr>
            <w:tcW w:w="756" w:type="dxa"/>
            <w:noWrap/>
            <w:vAlign w:val="center"/>
          </w:tcPr>
          <w:p w14:paraId="1DA984A3">
            <w:pPr>
              <w:widowControl/>
              <w:ind w:firstLine="0" w:firstLineChars="0"/>
              <w:jc w:val="center"/>
              <w:rPr>
                <w:color w:val="000000"/>
                <w:kern w:val="0"/>
                <w:sz w:val="16"/>
                <w:szCs w:val="16"/>
              </w:rPr>
            </w:pPr>
            <w:r>
              <w:rPr>
                <w:color w:val="000000"/>
                <w:kern w:val="0"/>
                <w:sz w:val="16"/>
                <w:szCs w:val="16"/>
              </w:rPr>
              <w:t>1.1.3</w:t>
            </w:r>
          </w:p>
        </w:tc>
        <w:tc>
          <w:tcPr>
            <w:tcW w:w="2796" w:type="dxa"/>
            <w:noWrap/>
            <w:vAlign w:val="center"/>
          </w:tcPr>
          <w:p w14:paraId="3C45E002">
            <w:pPr>
              <w:widowControl/>
              <w:ind w:firstLine="0" w:firstLineChars="0"/>
              <w:jc w:val="center"/>
              <w:rPr>
                <w:color w:val="000000"/>
                <w:kern w:val="0"/>
                <w:sz w:val="16"/>
                <w:szCs w:val="16"/>
              </w:rPr>
            </w:pPr>
            <w:r>
              <w:rPr>
                <w:color w:val="000000"/>
                <w:kern w:val="0"/>
                <w:sz w:val="16"/>
                <w:szCs w:val="16"/>
              </w:rPr>
              <w:t>Machinery Operation Cost</w:t>
            </w:r>
          </w:p>
        </w:tc>
        <w:tc>
          <w:tcPr>
            <w:tcW w:w="1236" w:type="dxa"/>
            <w:noWrap/>
            <w:vAlign w:val="center"/>
          </w:tcPr>
          <w:p w14:paraId="213A0897">
            <w:pPr>
              <w:widowControl/>
              <w:ind w:firstLine="0" w:firstLineChars="0"/>
              <w:jc w:val="center"/>
              <w:rPr>
                <w:color w:val="000000"/>
                <w:kern w:val="0"/>
                <w:sz w:val="16"/>
                <w:szCs w:val="16"/>
              </w:rPr>
            </w:pPr>
          </w:p>
        </w:tc>
        <w:tc>
          <w:tcPr>
            <w:tcW w:w="880" w:type="dxa"/>
            <w:noWrap/>
            <w:vAlign w:val="center"/>
          </w:tcPr>
          <w:p w14:paraId="526DBA8E">
            <w:pPr>
              <w:widowControl/>
              <w:ind w:firstLine="0" w:firstLineChars="0"/>
              <w:jc w:val="center"/>
              <w:rPr>
                <w:color w:val="000000"/>
                <w:kern w:val="0"/>
                <w:sz w:val="16"/>
                <w:szCs w:val="16"/>
              </w:rPr>
            </w:pPr>
          </w:p>
        </w:tc>
        <w:tc>
          <w:tcPr>
            <w:tcW w:w="904" w:type="dxa"/>
            <w:noWrap/>
            <w:vAlign w:val="center"/>
          </w:tcPr>
          <w:p w14:paraId="53C16093">
            <w:pPr>
              <w:widowControl/>
              <w:ind w:firstLine="0" w:firstLineChars="0"/>
              <w:jc w:val="center"/>
              <w:rPr>
                <w:color w:val="000000"/>
                <w:kern w:val="0"/>
                <w:sz w:val="16"/>
                <w:szCs w:val="16"/>
              </w:rPr>
            </w:pPr>
          </w:p>
        </w:tc>
        <w:tc>
          <w:tcPr>
            <w:tcW w:w="1076" w:type="dxa"/>
            <w:noWrap/>
            <w:vAlign w:val="center"/>
          </w:tcPr>
          <w:p w14:paraId="4A52AAA2">
            <w:pPr>
              <w:widowControl/>
              <w:ind w:firstLine="0" w:firstLineChars="0"/>
              <w:jc w:val="center"/>
              <w:rPr>
                <w:color w:val="000000"/>
                <w:kern w:val="0"/>
                <w:sz w:val="16"/>
                <w:szCs w:val="16"/>
              </w:rPr>
            </w:pPr>
            <w:r>
              <w:rPr>
                <w:color w:val="000000"/>
                <w:kern w:val="0"/>
                <w:sz w:val="16"/>
                <w:szCs w:val="16"/>
              </w:rPr>
              <w:t>270.06</w:t>
            </w:r>
          </w:p>
        </w:tc>
      </w:tr>
      <w:tr w14:paraId="563BE233">
        <w:tblPrEx>
          <w:tblCellMar>
            <w:top w:w="0" w:type="dxa"/>
            <w:left w:w="108" w:type="dxa"/>
            <w:bottom w:w="0" w:type="dxa"/>
            <w:right w:w="108" w:type="dxa"/>
          </w:tblCellMar>
        </w:tblPrEx>
        <w:trPr>
          <w:trHeight w:val="288" w:hRule="atLeast"/>
          <w:jc w:val="center"/>
        </w:trPr>
        <w:tc>
          <w:tcPr>
            <w:tcW w:w="756" w:type="dxa"/>
            <w:noWrap/>
            <w:vAlign w:val="center"/>
          </w:tcPr>
          <w:p w14:paraId="0C2F3D97">
            <w:pPr>
              <w:widowControl/>
              <w:ind w:firstLine="0" w:firstLineChars="0"/>
              <w:jc w:val="center"/>
              <w:rPr>
                <w:color w:val="000000"/>
                <w:kern w:val="0"/>
                <w:sz w:val="16"/>
                <w:szCs w:val="16"/>
              </w:rPr>
            </w:pPr>
          </w:p>
        </w:tc>
        <w:tc>
          <w:tcPr>
            <w:tcW w:w="2796" w:type="dxa"/>
            <w:noWrap/>
            <w:vAlign w:val="center"/>
          </w:tcPr>
          <w:p w14:paraId="2630DB21">
            <w:pPr>
              <w:widowControl/>
              <w:ind w:firstLine="0" w:firstLineChars="0"/>
              <w:jc w:val="center"/>
              <w:rPr>
                <w:color w:val="000000"/>
                <w:kern w:val="0"/>
                <w:sz w:val="16"/>
                <w:szCs w:val="16"/>
              </w:rPr>
            </w:pPr>
            <w:r>
              <w:rPr>
                <w:color w:val="000000"/>
                <w:kern w:val="0"/>
                <w:sz w:val="16"/>
                <w:szCs w:val="16"/>
              </w:rPr>
              <w:t>Hydraulic Engineering Geological Drill</w:t>
            </w:r>
          </w:p>
        </w:tc>
        <w:tc>
          <w:tcPr>
            <w:tcW w:w="1236" w:type="dxa"/>
            <w:noWrap/>
            <w:vAlign w:val="center"/>
          </w:tcPr>
          <w:p w14:paraId="556BE639">
            <w:pPr>
              <w:widowControl/>
              <w:ind w:firstLine="0" w:firstLineChars="0"/>
              <w:jc w:val="center"/>
              <w:rPr>
                <w:color w:val="000000"/>
                <w:kern w:val="0"/>
                <w:sz w:val="16"/>
                <w:szCs w:val="16"/>
              </w:rPr>
            </w:pPr>
            <w:r>
              <w:rPr>
                <w:color w:val="000000"/>
                <w:kern w:val="0"/>
                <w:sz w:val="16"/>
                <w:szCs w:val="16"/>
              </w:rPr>
              <w:t>Machine-shift</w:t>
            </w:r>
          </w:p>
        </w:tc>
        <w:tc>
          <w:tcPr>
            <w:tcW w:w="880" w:type="dxa"/>
            <w:noWrap/>
            <w:vAlign w:val="center"/>
          </w:tcPr>
          <w:p w14:paraId="208B5562">
            <w:pPr>
              <w:widowControl/>
              <w:ind w:firstLine="0" w:firstLineChars="0"/>
              <w:jc w:val="center"/>
              <w:rPr>
                <w:color w:val="000000"/>
                <w:kern w:val="0"/>
                <w:sz w:val="16"/>
                <w:szCs w:val="16"/>
              </w:rPr>
            </w:pPr>
            <w:r>
              <w:rPr>
                <w:color w:val="000000"/>
                <w:kern w:val="0"/>
                <w:sz w:val="16"/>
                <w:szCs w:val="16"/>
              </w:rPr>
              <w:t>0.142</w:t>
            </w:r>
          </w:p>
        </w:tc>
        <w:tc>
          <w:tcPr>
            <w:tcW w:w="904" w:type="dxa"/>
            <w:noWrap/>
            <w:vAlign w:val="center"/>
          </w:tcPr>
          <w:p w14:paraId="757B47BB">
            <w:pPr>
              <w:widowControl/>
              <w:ind w:firstLine="0" w:firstLineChars="0"/>
              <w:jc w:val="center"/>
              <w:rPr>
                <w:color w:val="000000"/>
                <w:kern w:val="0"/>
                <w:sz w:val="16"/>
                <w:szCs w:val="16"/>
              </w:rPr>
            </w:pPr>
            <w:r>
              <w:rPr>
                <w:color w:val="000000"/>
                <w:kern w:val="0"/>
                <w:sz w:val="16"/>
                <w:szCs w:val="16"/>
              </w:rPr>
              <w:t>770.78</w:t>
            </w:r>
          </w:p>
        </w:tc>
        <w:tc>
          <w:tcPr>
            <w:tcW w:w="1076" w:type="dxa"/>
            <w:noWrap/>
            <w:vAlign w:val="center"/>
          </w:tcPr>
          <w:p w14:paraId="623AA112">
            <w:pPr>
              <w:widowControl/>
              <w:ind w:firstLine="0" w:firstLineChars="0"/>
              <w:jc w:val="center"/>
              <w:rPr>
                <w:color w:val="000000"/>
                <w:kern w:val="0"/>
                <w:sz w:val="16"/>
                <w:szCs w:val="16"/>
              </w:rPr>
            </w:pPr>
            <w:r>
              <w:rPr>
                <w:color w:val="000000"/>
                <w:kern w:val="0"/>
                <w:sz w:val="16"/>
                <w:szCs w:val="16"/>
              </w:rPr>
              <w:t>109.45</w:t>
            </w:r>
          </w:p>
        </w:tc>
      </w:tr>
      <w:tr w14:paraId="37E6D66A">
        <w:tblPrEx>
          <w:tblCellMar>
            <w:top w:w="0" w:type="dxa"/>
            <w:left w:w="108" w:type="dxa"/>
            <w:bottom w:w="0" w:type="dxa"/>
            <w:right w:w="108" w:type="dxa"/>
          </w:tblCellMar>
        </w:tblPrEx>
        <w:trPr>
          <w:trHeight w:val="288" w:hRule="atLeast"/>
          <w:jc w:val="center"/>
        </w:trPr>
        <w:tc>
          <w:tcPr>
            <w:tcW w:w="756" w:type="dxa"/>
            <w:noWrap/>
            <w:vAlign w:val="center"/>
          </w:tcPr>
          <w:p w14:paraId="43B8F604">
            <w:pPr>
              <w:widowControl/>
              <w:ind w:firstLine="0" w:firstLineChars="0"/>
              <w:jc w:val="center"/>
              <w:rPr>
                <w:color w:val="000000"/>
                <w:kern w:val="0"/>
                <w:sz w:val="16"/>
                <w:szCs w:val="16"/>
              </w:rPr>
            </w:pPr>
          </w:p>
        </w:tc>
        <w:tc>
          <w:tcPr>
            <w:tcW w:w="2796" w:type="dxa"/>
            <w:noWrap/>
            <w:vAlign w:val="center"/>
          </w:tcPr>
          <w:p w14:paraId="40698F1D">
            <w:pPr>
              <w:widowControl/>
              <w:ind w:firstLine="0" w:firstLineChars="0"/>
              <w:jc w:val="center"/>
              <w:rPr>
                <w:color w:val="000000"/>
                <w:kern w:val="0"/>
                <w:sz w:val="16"/>
                <w:szCs w:val="16"/>
              </w:rPr>
            </w:pPr>
            <w:r>
              <w:rPr>
                <w:color w:val="000000"/>
                <w:kern w:val="0"/>
                <w:sz w:val="16"/>
                <w:szCs w:val="16"/>
              </w:rPr>
              <w:t>Mud Pump 50mm</w:t>
            </w:r>
          </w:p>
        </w:tc>
        <w:tc>
          <w:tcPr>
            <w:tcW w:w="1236" w:type="dxa"/>
            <w:noWrap/>
            <w:vAlign w:val="center"/>
          </w:tcPr>
          <w:p w14:paraId="4C7273F9">
            <w:pPr>
              <w:widowControl/>
              <w:ind w:firstLine="0" w:firstLineChars="0"/>
              <w:jc w:val="center"/>
              <w:rPr>
                <w:color w:val="000000"/>
                <w:kern w:val="0"/>
                <w:sz w:val="16"/>
                <w:szCs w:val="16"/>
              </w:rPr>
            </w:pPr>
            <w:r>
              <w:rPr>
                <w:color w:val="000000"/>
                <w:kern w:val="0"/>
                <w:sz w:val="16"/>
                <w:szCs w:val="16"/>
              </w:rPr>
              <w:t>Machine-shift</w:t>
            </w:r>
          </w:p>
        </w:tc>
        <w:tc>
          <w:tcPr>
            <w:tcW w:w="880" w:type="dxa"/>
            <w:noWrap/>
            <w:vAlign w:val="center"/>
          </w:tcPr>
          <w:p w14:paraId="44E1BDD4">
            <w:pPr>
              <w:widowControl/>
              <w:ind w:firstLine="0" w:firstLineChars="0"/>
              <w:jc w:val="center"/>
              <w:rPr>
                <w:color w:val="000000"/>
                <w:kern w:val="0"/>
                <w:sz w:val="16"/>
                <w:szCs w:val="16"/>
              </w:rPr>
            </w:pPr>
            <w:r>
              <w:rPr>
                <w:color w:val="000000"/>
                <w:kern w:val="0"/>
                <w:sz w:val="16"/>
                <w:szCs w:val="16"/>
              </w:rPr>
              <w:t>0.124</w:t>
            </w:r>
          </w:p>
        </w:tc>
        <w:tc>
          <w:tcPr>
            <w:tcW w:w="904" w:type="dxa"/>
            <w:noWrap/>
            <w:vAlign w:val="center"/>
          </w:tcPr>
          <w:p w14:paraId="5715604C">
            <w:pPr>
              <w:widowControl/>
              <w:ind w:firstLine="0" w:firstLineChars="0"/>
              <w:jc w:val="center"/>
              <w:rPr>
                <w:color w:val="000000"/>
                <w:kern w:val="0"/>
                <w:sz w:val="16"/>
                <w:szCs w:val="16"/>
              </w:rPr>
            </w:pPr>
            <w:r>
              <w:rPr>
                <w:color w:val="000000"/>
                <w:kern w:val="0"/>
                <w:sz w:val="16"/>
                <w:szCs w:val="16"/>
              </w:rPr>
              <w:t>50.79</w:t>
            </w:r>
          </w:p>
        </w:tc>
        <w:tc>
          <w:tcPr>
            <w:tcW w:w="1076" w:type="dxa"/>
            <w:noWrap/>
            <w:vAlign w:val="center"/>
          </w:tcPr>
          <w:p w14:paraId="6EBD4B38">
            <w:pPr>
              <w:widowControl/>
              <w:ind w:firstLine="0" w:firstLineChars="0"/>
              <w:jc w:val="center"/>
              <w:rPr>
                <w:color w:val="000000"/>
                <w:kern w:val="0"/>
                <w:sz w:val="16"/>
                <w:szCs w:val="16"/>
              </w:rPr>
            </w:pPr>
            <w:r>
              <w:rPr>
                <w:color w:val="000000"/>
                <w:kern w:val="0"/>
                <w:sz w:val="16"/>
                <w:szCs w:val="16"/>
              </w:rPr>
              <w:t>6.30</w:t>
            </w:r>
          </w:p>
        </w:tc>
      </w:tr>
      <w:tr w14:paraId="003AFFD1">
        <w:tblPrEx>
          <w:tblCellMar>
            <w:top w:w="0" w:type="dxa"/>
            <w:left w:w="108" w:type="dxa"/>
            <w:bottom w:w="0" w:type="dxa"/>
            <w:right w:w="108" w:type="dxa"/>
          </w:tblCellMar>
        </w:tblPrEx>
        <w:trPr>
          <w:trHeight w:val="288" w:hRule="atLeast"/>
          <w:jc w:val="center"/>
        </w:trPr>
        <w:tc>
          <w:tcPr>
            <w:tcW w:w="756" w:type="dxa"/>
            <w:noWrap/>
            <w:vAlign w:val="center"/>
          </w:tcPr>
          <w:p w14:paraId="30F4CB88">
            <w:pPr>
              <w:widowControl/>
              <w:ind w:firstLine="0" w:firstLineChars="0"/>
              <w:jc w:val="center"/>
              <w:rPr>
                <w:color w:val="000000"/>
                <w:kern w:val="0"/>
                <w:sz w:val="16"/>
                <w:szCs w:val="16"/>
              </w:rPr>
            </w:pPr>
          </w:p>
        </w:tc>
        <w:tc>
          <w:tcPr>
            <w:tcW w:w="2796" w:type="dxa"/>
            <w:noWrap/>
            <w:vAlign w:val="center"/>
          </w:tcPr>
          <w:p w14:paraId="71F93B8F">
            <w:pPr>
              <w:widowControl/>
              <w:ind w:firstLine="0" w:firstLineChars="0"/>
              <w:jc w:val="center"/>
              <w:rPr>
                <w:color w:val="000000"/>
                <w:kern w:val="0"/>
                <w:sz w:val="16"/>
                <w:szCs w:val="16"/>
              </w:rPr>
            </w:pPr>
            <w:r>
              <w:rPr>
                <w:color w:val="000000"/>
                <w:kern w:val="0"/>
                <w:sz w:val="16"/>
                <w:szCs w:val="16"/>
              </w:rPr>
              <w:tab/>
            </w:r>
            <w:r>
              <w:rPr>
                <w:color w:val="000000"/>
                <w:kern w:val="0"/>
                <w:sz w:val="16"/>
                <w:szCs w:val="16"/>
              </w:rPr>
              <w:t>Electric Grouting Machine</w:t>
            </w:r>
          </w:p>
        </w:tc>
        <w:tc>
          <w:tcPr>
            <w:tcW w:w="1236" w:type="dxa"/>
            <w:noWrap/>
            <w:vAlign w:val="center"/>
          </w:tcPr>
          <w:p w14:paraId="7E93F2DC">
            <w:pPr>
              <w:widowControl/>
              <w:ind w:firstLine="0" w:firstLineChars="0"/>
              <w:jc w:val="center"/>
              <w:rPr>
                <w:color w:val="000000"/>
                <w:kern w:val="0"/>
                <w:sz w:val="16"/>
                <w:szCs w:val="16"/>
              </w:rPr>
            </w:pPr>
            <w:r>
              <w:rPr>
                <w:color w:val="000000"/>
                <w:kern w:val="0"/>
                <w:sz w:val="16"/>
                <w:szCs w:val="16"/>
              </w:rPr>
              <w:t>Machine-shift</w:t>
            </w:r>
          </w:p>
        </w:tc>
        <w:tc>
          <w:tcPr>
            <w:tcW w:w="880" w:type="dxa"/>
            <w:noWrap/>
            <w:vAlign w:val="center"/>
          </w:tcPr>
          <w:p w14:paraId="1F34E21B">
            <w:pPr>
              <w:widowControl/>
              <w:ind w:firstLine="0" w:firstLineChars="0"/>
              <w:jc w:val="center"/>
              <w:rPr>
                <w:color w:val="000000"/>
                <w:kern w:val="0"/>
                <w:sz w:val="16"/>
                <w:szCs w:val="16"/>
              </w:rPr>
            </w:pPr>
            <w:r>
              <w:rPr>
                <w:color w:val="000000"/>
                <w:kern w:val="0"/>
                <w:sz w:val="16"/>
                <w:szCs w:val="16"/>
              </w:rPr>
              <w:t>0.354</w:t>
            </w:r>
          </w:p>
        </w:tc>
        <w:tc>
          <w:tcPr>
            <w:tcW w:w="904" w:type="dxa"/>
            <w:noWrap/>
            <w:vAlign w:val="center"/>
          </w:tcPr>
          <w:p w14:paraId="31401D6D">
            <w:pPr>
              <w:widowControl/>
              <w:ind w:firstLine="0" w:firstLineChars="0"/>
              <w:jc w:val="center"/>
              <w:rPr>
                <w:color w:val="000000"/>
                <w:kern w:val="0"/>
                <w:sz w:val="16"/>
                <w:szCs w:val="16"/>
              </w:rPr>
            </w:pPr>
            <w:r>
              <w:rPr>
                <w:color w:val="000000"/>
                <w:kern w:val="0"/>
                <w:sz w:val="16"/>
                <w:szCs w:val="16"/>
              </w:rPr>
              <w:t>28.18</w:t>
            </w:r>
          </w:p>
        </w:tc>
        <w:tc>
          <w:tcPr>
            <w:tcW w:w="1076" w:type="dxa"/>
            <w:noWrap/>
            <w:vAlign w:val="center"/>
          </w:tcPr>
          <w:p w14:paraId="43EB056F">
            <w:pPr>
              <w:widowControl/>
              <w:ind w:firstLine="0" w:firstLineChars="0"/>
              <w:jc w:val="center"/>
              <w:rPr>
                <w:color w:val="000000"/>
                <w:kern w:val="0"/>
                <w:sz w:val="16"/>
                <w:szCs w:val="16"/>
              </w:rPr>
            </w:pPr>
            <w:r>
              <w:rPr>
                <w:color w:val="000000"/>
                <w:kern w:val="0"/>
                <w:sz w:val="16"/>
                <w:szCs w:val="16"/>
              </w:rPr>
              <w:t>9.98</w:t>
            </w:r>
          </w:p>
        </w:tc>
      </w:tr>
      <w:tr w14:paraId="189289BA">
        <w:tblPrEx>
          <w:tblCellMar>
            <w:top w:w="0" w:type="dxa"/>
            <w:left w:w="108" w:type="dxa"/>
            <w:bottom w:w="0" w:type="dxa"/>
            <w:right w:w="108" w:type="dxa"/>
          </w:tblCellMar>
        </w:tblPrEx>
        <w:trPr>
          <w:trHeight w:val="288" w:hRule="atLeast"/>
          <w:jc w:val="center"/>
        </w:trPr>
        <w:tc>
          <w:tcPr>
            <w:tcW w:w="756" w:type="dxa"/>
            <w:tcBorders>
              <w:bottom w:val="single" w:color="auto" w:sz="4" w:space="0"/>
            </w:tcBorders>
            <w:noWrap/>
            <w:vAlign w:val="center"/>
          </w:tcPr>
          <w:p w14:paraId="334CE60F">
            <w:pPr>
              <w:widowControl/>
              <w:ind w:firstLine="0" w:firstLineChars="0"/>
              <w:jc w:val="center"/>
              <w:rPr>
                <w:color w:val="000000"/>
                <w:kern w:val="0"/>
                <w:sz w:val="16"/>
                <w:szCs w:val="16"/>
              </w:rPr>
            </w:pPr>
          </w:p>
        </w:tc>
        <w:tc>
          <w:tcPr>
            <w:tcW w:w="2796" w:type="dxa"/>
            <w:tcBorders>
              <w:bottom w:val="single" w:color="auto" w:sz="4" w:space="0"/>
            </w:tcBorders>
            <w:noWrap/>
            <w:vAlign w:val="center"/>
          </w:tcPr>
          <w:p w14:paraId="3CD8F040">
            <w:pPr>
              <w:widowControl/>
              <w:ind w:firstLine="0" w:firstLineChars="0"/>
              <w:jc w:val="center"/>
              <w:rPr>
                <w:color w:val="000000"/>
                <w:kern w:val="0"/>
                <w:sz w:val="16"/>
                <w:szCs w:val="16"/>
              </w:rPr>
            </w:pPr>
            <w:r>
              <w:rPr>
                <w:color w:val="000000"/>
                <w:kern w:val="0"/>
                <w:sz w:val="16"/>
                <w:szCs w:val="16"/>
              </w:rPr>
              <w:t>Mortar Mixer</w:t>
            </w:r>
          </w:p>
        </w:tc>
        <w:tc>
          <w:tcPr>
            <w:tcW w:w="1236" w:type="dxa"/>
            <w:tcBorders>
              <w:bottom w:val="single" w:color="auto" w:sz="4" w:space="0"/>
            </w:tcBorders>
            <w:noWrap/>
            <w:vAlign w:val="center"/>
          </w:tcPr>
          <w:p w14:paraId="5A2D5676">
            <w:pPr>
              <w:widowControl/>
              <w:ind w:firstLine="0" w:firstLineChars="0"/>
              <w:jc w:val="center"/>
              <w:rPr>
                <w:color w:val="000000"/>
                <w:kern w:val="0"/>
                <w:sz w:val="16"/>
                <w:szCs w:val="16"/>
              </w:rPr>
            </w:pPr>
            <w:r>
              <w:rPr>
                <w:color w:val="000000"/>
                <w:kern w:val="0"/>
                <w:sz w:val="16"/>
                <w:szCs w:val="16"/>
              </w:rPr>
              <w:t>Machine-shift</w:t>
            </w:r>
          </w:p>
        </w:tc>
        <w:tc>
          <w:tcPr>
            <w:tcW w:w="880" w:type="dxa"/>
            <w:tcBorders>
              <w:bottom w:val="single" w:color="auto" w:sz="4" w:space="0"/>
            </w:tcBorders>
            <w:noWrap/>
            <w:vAlign w:val="center"/>
          </w:tcPr>
          <w:p w14:paraId="39CB33DB">
            <w:pPr>
              <w:widowControl/>
              <w:ind w:firstLine="0" w:firstLineChars="0"/>
              <w:jc w:val="center"/>
              <w:rPr>
                <w:color w:val="000000"/>
                <w:kern w:val="0"/>
                <w:sz w:val="16"/>
                <w:szCs w:val="16"/>
              </w:rPr>
            </w:pPr>
            <w:r>
              <w:rPr>
                <w:color w:val="000000"/>
                <w:kern w:val="0"/>
                <w:sz w:val="16"/>
                <w:szCs w:val="16"/>
              </w:rPr>
              <w:t>0.355</w:t>
            </w:r>
          </w:p>
        </w:tc>
        <w:tc>
          <w:tcPr>
            <w:tcW w:w="904" w:type="dxa"/>
            <w:tcBorders>
              <w:bottom w:val="single" w:color="auto" w:sz="4" w:space="0"/>
            </w:tcBorders>
            <w:noWrap/>
            <w:vAlign w:val="center"/>
          </w:tcPr>
          <w:p w14:paraId="137C0429">
            <w:pPr>
              <w:widowControl/>
              <w:ind w:firstLine="0" w:firstLineChars="0"/>
              <w:jc w:val="center"/>
              <w:rPr>
                <w:color w:val="000000"/>
                <w:kern w:val="0"/>
                <w:sz w:val="16"/>
                <w:szCs w:val="16"/>
              </w:rPr>
            </w:pPr>
            <w:r>
              <w:rPr>
                <w:color w:val="000000"/>
                <w:kern w:val="0"/>
                <w:sz w:val="16"/>
                <w:szCs w:val="16"/>
              </w:rPr>
              <w:t>406.59</w:t>
            </w:r>
          </w:p>
        </w:tc>
        <w:tc>
          <w:tcPr>
            <w:tcW w:w="1076" w:type="dxa"/>
            <w:tcBorders>
              <w:bottom w:val="single" w:color="auto" w:sz="4" w:space="0"/>
            </w:tcBorders>
            <w:noWrap/>
            <w:vAlign w:val="center"/>
          </w:tcPr>
          <w:p w14:paraId="5A4ACBCF">
            <w:pPr>
              <w:widowControl/>
              <w:ind w:firstLine="0" w:firstLineChars="0"/>
              <w:jc w:val="center"/>
              <w:rPr>
                <w:color w:val="000000"/>
                <w:kern w:val="0"/>
                <w:sz w:val="16"/>
                <w:szCs w:val="16"/>
              </w:rPr>
            </w:pPr>
            <w:r>
              <w:rPr>
                <w:color w:val="000000"/>
                <w:kern w:val="0"/>
                <w:sz w:val="16"/>
                <w:szCs w:val="16"/>
              </w:rPr>
              <w:t>144.34</w:t>
            </w:r>
          </w:p>
        </w:tc>
      </w:tr>
      <w:tr w14:paraId="574437AF">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71DA6227">
            <w:pPr>
              <w:widowControl/>
              <w:ind w:firstLine="0" w:firstLineChars="0"/>
              <w:jc w:val="center"/>
              <w:rPr>
                <w:color w:val="000000"/>
                <w:kern w:val="0"/>
                <w:sz w:val="16"/>
                <w:szCs w:val="16"/>
              </w:rPr>
            </w:pPr>
            <w:r>
              <w:rPr>
                <w:color w:val="000000"/>
                <w:kern w:val="0"/>
                <w:sz w:val="16"/>
                <w:szCs w:val="16"/>
              </w:rPr>
              <w:t>1.2</w:t>
            </w:r>
          </w:p>
        </w:tc>
        <w:tc>
          <w:tcPr>
            <w:tcW w:w="2796" w:type="dxa"/>
            <w:tcBorders>
              <w:top w:val="single" w:color="auto" w:sz="4" w:space="0"/>
              <w:bottom w:val="single" w:color="auto" w:sz="4" w:space="0"/>
            </w:tcBorders>
            <w:noWrap/>
            <w:vAlign w:val="center"/>
          </w:tcPr>
          <w:p w14:paraId="0C221A6C">
            <w:pPr>
              <w:widowControl/>
              <w:ind w:firstLine="0" w:firstLineChars="0"/>
              <w:jc w:val="center"/>
              <w:rPr>
                <w:color w:val="000000"/>
                <w:kern w:val="0"/>
                <w:sz w:val="16"/>
                <w:szCs w:val="16"/>
              </w:rPr>
            </w:pPr>
            <w:r>
              <w:rPr>
                <w:color w:val="000000"/>
                <w:kern w:val="0"/>
                <w:sz w:val="16"/>
                <w:szCs w:val="16"/>
              </w:rPr>
              <w:t>Other Direct Costs (Measure Costs)</w:t>
            </w:r>
          </w:p>
        </w:tc>
        <w:tc>
          <w:tcPr>
            <w:tcW w:w="1236" w:type="dxa"/>
            <w:tcBorders>
              <w:top w:val="single" w:color="auto" w:sz="4" w:space="0"/>
              <w:bottom w:val="single" w:color="auto" w:sz="4" w:space="0"/>
            </w:tcBorders>
            <w:noWrap/>
            <w:vAlign w:val="center"/>
          </w:tcPr>
          <w:p w14:paraId="76F46599">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3D7A3DC9">
            <w:pPr>
              <w:widowControl/>
              <w:ind w:firstLine="0" w:firstLineChars="0"/>
              <w:jc w:val="center"/>
              <w:rPr>
                <w:color w:val="000000"/>
                <w:kern w:val="0"/>
                <w:sz w:val="16"/>
                <w:szCs w:val="16"/>
              </w:rPr>
            </w:pPr>
            <w:r>
              <w:rPr>
                <w:color w:val="000000"/>
                <w:kern w:val="0"/>
                <w:sz w:val="16"/>
                <w:szCs w:val="16"/>
              </w:rPr>
              <w:t>29.20%</w:t>
            </w:r>
          </w:p>
        </w:tc>
        <w:tc>
          <w:tcPr>
            <w:tcW w:w="904" w:type="dxa"/>
            <w:tcBorders>
              <w:top w:val="single" w:color="auto" w:sz="4" w:space="0"/>
              <w:bottom w:val="single" w:color="auto" w:sz="4" w:space="0"/>
            </w:tcBorders>
            <w:noWrap/>
            <w:vAlign w:val="center"/>
          </w:tcPr>
          <w:p w14:paraId="242D28E0">
            <w:pPr>
              <w:widowControl/>
              <w:ind w:firstLine="0" w:firstLineChars="0"/>
              <w:jc w:val="center"/>
              <w:rPr>
                <w:color w:val="000000"/>
                <w:kern w:val="0"/>
                <w:sz w:val="16"/>
                <w:szCs w:val="16"/>
              </w:rPr>
            </w:pPr>
            <w:r>
              <w:rPr>
                <w:color w:val="000000"/>
                <w:kern w:val="0"/>
                <w:sz w:val="16"/>
                <w:szCs w:val="16"/>
              </w:rPr>
              <w:t>1511.52</w:t>
            </w:r>
          </w:p>
        </w:tc>
        <w:tc>
          <w:tcPr>
            <w:tcW w:w="1076" w:type="dxa"/>
            <w:tcBorders>
              <w:top w:val="single" w:color="auto" w:sz="4" w:space="0"/>
              <w:bottom w:val="single" w:color="auto" w:sz="4" w:space="0"/>
            </w:tcBorders>
            <w:noWrap/>
            <w:vAlign w:val="center"/>
          </w:tcPr>
          <w:p w14:paraId="2E63EC3B">
            <w:pPr>
              <w:widowControl/>
              <w:ind w:firstLine="0" w:firstLineChars="0"/>
              <w:jc w:val="center"/>
              <w:rPr>
                <w:color w:val="000000"/>
                <w:kern w:val="0"/>
                <w:sz w:val="16"/>
                <w:szCs w:val="16"/>
              </w:rPr>
            </w:pPr>
            <w:r>
              <w:rPr>
                <w:color w:val="000000"/>
                <w:kern w:val="0"/>
                <w:sz w:val="16"/>
                <w:szCs w:val="16"/>
              </w:rPr>
              <w:t>441.36</w:t>
            </w:r>
          </w:p>
        </w:tc>
      </w:tr>
      <w:tr w14:paraId="283CAE61">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7C04EF70">
            <w:pPr>
              <w:widowControl/>
              <w:ind w:firstLine="0" w:firstLineChars="0"/>
              <w:jc w:val="center"/>
              <w:rPr>
                <w:color w:val="000000"/>
                <w:kern w:val="0"/>
                <w:sz w:val="16"/>
                <w:szCs w:val="16"/>
              </w:rPr>
            </w:pPr>
            <w:r>
              <w:rPr>
                <w:color w:val="000000"/>
                <w:kern w:val="0"/>
                <w:sz w:val="16"/>
                <w:szCs w:val="16"/>
              </w:rPr>
              <w:t>2</w:t>
            </w:r>
          </w:p>
        </w:tc>
        <w:tc>
          <w:tcPr>
            <w:tcW w:w="2796" w:type="dxa"/>
            <w:tcBorders>
              <w:top w:val="single" w:color="auto" w:sz="4" w:space="0"/>
              <w:bottom w:val="single" w:color="auto" w:sz="4" w:space="0"/>
            </w:tcBorders>
            <w:noWrap/>
            <w:vAlign w:val="center"/>
          </w:tcPr>
          <w:p w14:paraId="6B91AD1D">
            <w:pPr>
              <w:widowControl/>
              <w:ind w:firstLine="0" w:firstLineChars="0"/>
              <w:jc w:val="center"/>
              <w:rPr>
                <w:color w:val="000000"/>
                <w:kern w:val="0"/>
                <w:sz w:val="16"/>
                <w:szCs w:val="16"/>
              </w:rPr>
            </w:pPr>
            <w:r>
              <w:rPr>
                <w:color w:val="000000"/>
                <w:kern w:val="0"/>
                <w:sz w:val="16"/>
                <w:szCs w:val="16"/>
              </w:rPr>
              <w:t>Indirect Costs</w:t>
            </w:r>
          </w:p>
        </w:tc>
        <w:tc>
          <w:tcPr>
            <w:tcW w:w="1236" w:type="dxa"/>
            <w:tcBorders>
              <w:top w:val="single" w:color="auto" w:sz="4" w:space="0"/>
              <w:bottom w:val="single" w:color="auto" w:sz="4" w:space="0"/>
            </w:tcBorders>
            <w:noWrap/>
            <w:vAlign w:val="center"/>
          </w:tcPr>
          <w:p w14:paraId="78A2B073">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7EE2A215">
            <w:pPr>
              <w:widowControl/>
              <w:ind w:firstLine="0" w:firstLineChars="0"/>
              <w:jc w:val="center"/>
              <w:rPr>
                <w:color w:val="000000"/>
                <w:kern w:val="0"/>
                <w:sz w:val="16"/>
                <w:szCs w:val="16"/>
              </w:rPr>
            </w:pPr>
          </w:p>
        </w:tc>
        <w:tc>
          <w:tcPr>
            <w:tcW w:w="904" w:type="dxa"/>
            <w:tcBorders>
              <w:top w:val="single" w:color="auto" w:sz="4" w:space="0"/>
              <w:bottom w:val="single" w:color="auto" w:sz="4" w:space="0"/>
            </w:tcBorders>
            <w:noWrap/>
            <w:vAlign w:val="center"/>
          </w:tcPr>
          <w:p w14:paraId="1106B149">
            <w:pPr>
              <w:widowControl/>
              <w:ind w:firstLine="0" w:firstLineChars="0"/>
              <w:jc w:val="center"/>
              <w:rPr>
                <w:color w:val="000000"/>
                <w:kern w:val="0"/>
                <w:sz w:val="16"/>
                <w:szCs w:val="16"/>
              </w:rPr>
            </w:pPr>
          </w:p>
        </w:tc>
        <w:tc>
          <w:tcPr>
            <w:tcW w:w="1076" w:type="dxa"/>
            <w:tcBorders>
              <w:top w:val="single" w:color="auto" w:sz="4" w:space="0"/>
              <w:bottom w:val="single" w:color="auto" w:sz="4" w:space="0"/>
            </w:tcBorders>
            <w:noWrap/>
            <w:vAlign w:val="center"/>
          </w:tcPr>
          <w:p w14:paraId="3CD3A32B">
            <w:pPr>
              <w:widowControl/>
              <w:ind w:firstLine="0" w:firstLineChars="0"/>
              <w:jc w:val="center"/>
              <w:rPr>
                <w:color w:val="000000"/>
                <w:kern w:val="0"/>
                <w:sz w:val="16"/>
                <w:szCs w:val="16"/>
              </w:rPr>
            </w:pPr>
            <w:r>
              <w:rPr>
                <w:color w:val="000000"/>
                <w:kern w:val="0"/>
                <w:sz w:val="16"/>
                <w:szCs w:val="16"/>
              </w:rPr>
              <w:t>937.14</w:t>
            </w:r>
          </w:p>
        </w:tc>
      </w:tr>
      <w:tr w14:paraId="1C972981">
        <w:tblPrEx>
          <w:tblCellMar>
            <w:top w:w="0" w:type="dxa"/>
            <w:left w:w="108" w:type="dxa"/>
            <w:bottom w:w="0" w:type="dxa"/>
            <w:right w:w="108" w:type="dxa"/>
          </w:tblCellMar>
        </w:tblPrEx>
        <w:trPr>
          <w:trHeight w:val="288" w:hRule="atLeast"/>
          <w:jc w:val="center"/>
        </w:trPr>
        <w:tc>
          <w:tcPr>
            <w:tcW w:w="756" w:type="dxa"/>
            <w:tcBorders>
              <w:top w:val="single" w:color="auto" w:sz="4" w:space="0"/>
            </w:tcBorders>
            <w:noWrap/>
            <w:vAlign w:val="center"/>
          </w:tcPr>
          <w:p w14:paraId="24042632">
            <w:pPr>
              <w:widowControl/>
              <w:ind w:firstLine="0" w:firstLineChars="0"/>
              <w:jc w:val="center"/>
              <w:rPr>
                <w:color w:val="000000"/>
                <w:kern w:val="0"/>
                <w:sz w:val="16"/>
                <w:szCs w:val="16"/>
              </w:rPr>
            </w:pPr>
            <w:r>
              <w:rPr>
                <w:color w:val="000000"/>
                <w:kern w:val="0"/>
                <w:sz w:val="16"/>
                <w:szCs w:val="16"/>
              </w:rPr>
              <w:t>2.1</w:t>
            </w:r>
          </w:p>
        </w:tc>
        <w:tc>
          <w:tcPr>
            <w:tcW w:w="2796" w:type="dxa"/>
            <w:tcBorders>
              <w:top w:val="single" w:color="auto" w:sz="4" w:space="0"/>
            </w:tcBorders>
            <w:noWrap/>
            <w:vAlign w:val="center"/>
          </w:tcPr>
          <w:p w14:paraId="55415B35">
            <w:pPr>
              <w:widowControl/>
              <w:ind w:firstLine="0" w:firstLineChars="0"/>
              <w:jc w:val="center"/>
              <w:rPr>
                <w:color w:val="000000"/>
                <w:kern w:val="0"/>
                <w:sz w:val="16"/>
                <w:szCs w:val="16"/>
              </w:rPr>
            </w:pPr>
            <w:r>
              <w:rPr>
                <w:color w:val="000000"/>
                <w:kern w:val="0"/>
                <w:sz w:val="16"/>
                <w:szCs w:val="16"/>
              </w:rPr>
              <w:t>Statutory Fees</w:t>
            </w:r>
          </w:p>
        </w:tc>
        <w:tc>
          <w:tcPr>
            <w:tcW w:w="1236" w:type="dxa"/>
            <w:tcBorders>
              <w:top w:val="single" w:color="auto" w:sz="4" w:space="0"/>
            </w:tcBorders>
            <w:noWrap/>
            <w:vAlign w:val="center"/>
          </w:tcPr>
          <w:p w14:paraId="31DA0A40">
            <w:pPr>
              <w:widowControl/>
              <w:ind w:firstLine="0" w:firstLineChars="0"/>
              <w:jc w:val="center"/>
              <w:rPr>
                <w:color w:val="000000"/>
                <w:kern w:val="0"/>
                <w:sz w:val="16"/>
                <w:szCs w:val="16"/>
              </w:rPr>
            </w:pPr>
          </w:p>
        </w:tc>
        <w:tc>
          <w:tcPr>
            <w:tcW w:w="880" w:type="dxa"/>
            <w:tcBorders>
              <w:top w:val="single" w:color="auto" w:sz="4" w:space="0"/>
            </w:tcBorders>
            <w:noWrap/>
            <w:vAlign w:val="center"/>
          </w:tcPr>
          <w:p w14:paraId="01C4C861">
            <w:pPr>
              <w:widowControl/>
              <w:ind w:firstLine="0" w:firstLineChars="0"/>
              <w:jc w:val="center"/>
              <w:rPr>
                <w:color w:val="000000"/>
                <w:kern w:val="0"/>
                <w:sz w:val="16"/>
                <w:szCs w:val="16"/>
              </w:rPr>
            </w:pPr>
          </w:p>
        </w:tc>
        <w:tc>
          <w:tcPr>
            <w:tcW w:w="904" w:type="dxa"/>
            <w:tcBorders>
              <w:top w:val="single" w:color="auto" w:sz="4" w:space="0"/>
            </w:tcBorders>
            <w:noWrap/>
            <w:vAlign w:val="center"/>
          </w:tcPr>
          <w:p w14:paraId="67D9E15E">
            <w:pPr>
              <w:widowControl/>
              <w:ind w:firstLine="0" w:firstLineChars="0"/>
              <w:jc w:val="center"/>
              <w:rPr>
                <w:color w:val="000000"/>
                <w:kern w:val="0"/>
                <w:sz w:val="16"/>
                <w:szCs w:val="16"/>
              </w:rPr>
            </w:pPr>
          </w:p>
        </w:tc>
        <w:tc>
          <w:tcPr>
            <w:tcW w:w="1076" w:type="dxa"/>
            <w:tcBorders>
              <w:top w:val="single" w:color="auto" w:sz="4" w:space="0"/>
            </w:tcBorders>
            <w:noWrap/>
            <w:vAlign w:val="center"/>
          </w:tcPr>
          <w:p w14:paraId="1A359931">
            <w:pPr>
              <w:widowControl/>
              <w:ind w:firstLine="0" w:firstLineChars="0"/>
              <w:jc w:val="center"/>
              <w:rPr>
                <w:color w:val="000000"/>
                <w:kern w:val="0"/>
                <w:sz w:val="16"/>
                <w:szCs w:val="16"/>
              </w:rPr>
            </w:pPr>
            <w:r>
              <w:rPr>
                <w:color w:val="000000"/>
                <w:kern w:val="0"/>
                <w:sz w:val="16"/>
                <w:szCs w:val="16"/>
              </w:rPr>
              <w:t>483.69</w:t>
            </w:r>
          </w:p>
        </w:tc>
      </w:tr>
      <w:tr w14:paraId="5815DF25">
        <w:tblPrEx>
          <w:tblCellMar>
            <w:top w:w="0" w:type="dxa"/>
            <w:left w:w="108" w:type="dxa"/>
            <w:bottom w:w="0" w:type="dxa"/>
            <w:right w:w="108" w:type="dxa"/>
          </w:tblCellMar>
        </w:tblPrEx>
        <w:trPr>
          <w:trHeight w:val="288" w:hRule="atLeast"/>
          <w:jc w:val="center"/>
        </w:trPr>
        <w:tc>
          <w:tcPr>
            <w:tcW w:w="756" w:type="dxa"/>
            <w:noWrap/>
            <w:vAlign w:val="center"/>
          </w:tcPr>
          <w:p w14:paraId="7544DD3B">
            <w:pPr>
              <w:widowControl/>
              <w:ind w:firstLine="0" w:firstLineChars="0"/>
              <w:jc w:val="center"/>
              <w:rPr>
                <w:color w:val="000000"/>
                <w:kern w:val="0"/>
                <w:sz w:val="16"/>
                <w:szCs w:val="16"/>
              </w:rPr>
            </w:pPr>
            <w:r>
              <w:rPr>
                <w:color w:val="000000"/>
                <w:kern w:val="0"/>
                <w:sz w:val="16"/>
                <w:szCs w:val="16"/>
              </w:rPr>
              <w:t>2.1.1</w:t>
            </w:r>
          </w:p>
        </w:tc>
        <w:tc>
          <w:tcPr>
            <w:tcW w:w="2796" w:type="dxa"/>
            <w:noWrap/>
            <w:vAlign w:val="center"/>
          </w:tcPr>
          <w:p w14:paraId="1EAB81CF">
            <w:pPr>
              <w:widowControl/>
              <w:ind w:firstLine="0" w:firstLineChars="0"/>
              <w:jc w:val="center"/>
              <w:rPr>
                <w:color w:val="000000"/>
                <w:kern w:val="0"/>
                <w:sz w:val="16"/>
                <w:szCs w:val="16"/>
              </w:rPr>
            </w:pPr>
            <w:r>
              <w:rPr>
                <w:color w:val="000000"/>
                <w:kern w:val="0"/>
                <w:sz w:val="16"/>
                <w:szCs w:val="16"/>
              </w:rPr>
              <w:t>Social Security Fees</w:t>
            </w:r>
          </w:p>
        </w:tc>
        <w:tc>
          <w:tcPr>
            <w:tcW w:w="1236" w:type="dxa"/>
            <w:noWrap/>
            <w:vAlign w:val="center"/>
          </w:tcPr>
          <w:p w14:paraId="3A2AAC27">
            <w:pPr>
              <w:widowControl/>
              <w:ind w:firstLine="0" w:firstLineChars="0"/>
              <w:jc w:val="center"/>
              <w:rPr>
                <w:color w:val="000000"/>
                <w:kern w:val="0"/>
                <w:sz w:val="16"/>
                <w:szCs w:val="16"/>
              </w:rPr>
            </w:pPr>
            <w:r>
              <w:rPr>
                <w:color w:val="000000"/>
                <w:kern w:val="0"/>
                <w:sz w:val="16"/>
                <w:szCs w:val="16"/>
              </w:rPr>
              <w:t>CNY</w:t>
            </w:r>
          </w:p>
        </w:tc>
        <w:tc>
          <w:tcPr>
            <w:tcW w:w="880" w:type="dxa"/>
            <w:noWrap/>
            <w:vAlign w:val="center"/>
          </w:tcPr>
          <w:p w14:paraId="10726A72">
            <w:pPr>
              <w:widowControl/>
              <w:ind w:firstLine="0" w:firstLineChars="0"/>
              <w:jc w:val="center"/>
              <w:rPr>
                <w:color w:val="000000"/>
                <w:kern w:val="0"/>
                <w:sz w:val="16"/>
                <w:szCs w:val="16"/>
              </w:rPr>
            </w:pPr>
            <w:r>
              <w:rPr>
                <w:color w:val="000000"/>
                <w:kern w:val="0"/>
                <w:sz w:val="16"/>
                <w:szCs w:val="16"/>
              </w:rPr>
              <w:t>26.81%</w:t>
            </w:r>
          </w:p>
        </w:tc>
        <w:tc>
          <w:tcPr>
            <w:tcW w:w="904" w:type="dxa"/>
            <w:noWrap/>
            <w:vAlign w:val="center"/>
          </w:tcPr>
          <w:p w14:paraId="78FC4B7F">
            <w:pPr>
              <w:widowControl/>
              <w:ind w:firstLine="0" w:firstLineChars="0"/>
              <w:jc w:val="center"/>
              <w:rPr>
                <w:color w:val="000000"/>
                <w:kern w:val="0"/>
                <w:sz w:val="16"/>
                <w:szCs w:val="16"/>
              </w:rPr>
            </w:pPr>
            <w:r>
              <w:rPr>
                <w:color w:val="000000"/>
                <w:kern w:val="0"/>
                <w:sz w:val="16"/>
                <w:szCs w:val="16"/>
              </w:rPr>
              <w:t>1511.52</w:t>
            </w:r>
          </w:p>
        </w:tc>
        <w:tc>
          <w:tcPr>
            <w:tcW w:w="1076" w:type="dxa"/>
            <w:noWrap/>
            <w:vAlign w:val="center"/>
          </w:tcPr>
          <w:p w14:paraId="5AC8A252">
            <w:pPr>
              <w:widowControl/>
              <w:ind w:firstLine="0" w:firstLineChars="0"/>
              <w:jc w:val="center"/>
              <w:rPr>
                <w:color w:val="000000"/>
                <w:kern w:val="0"/>
                <w:sz w:val="16"/>
                <w:szCs w:val="16"/>
              </w:rPr>
            </w:pPr>
            <w:r>
              <w:rPr>
                <w:color w:val="000000"/>
                <w:kern w:val="0"/>
                <w:sz w:val="16"/>
                <w:szCs w:val="16"/>
              </w:rPr>
              <w:t>405.24</w:t>
            </w:r>
          </w:p>
        </w:tc>
      </w:tr>
      <w:tr w14:paraId="53C12754">
        <w:tblPrEx>
          <w:tblCellMar>
            <w:top w:w="0" w:type="dxa"/>
            <w:left w:w="108" w:type="dxa"/>
            <w:bottom w:w="0" w:type="dxa"/>
            <w:right w:w="108" w:type="dxa"/>
          </w:tblCellMar>
        </w:tblPrEx>
        <w:trPr>
          <w:trHeight w:val="288" w:hRule="atLeast"/>
          <w:jc w:val="center"/>
        </w:trPr>
        <w:tc>
          <w:tcPr>
            <w:tcW w:w="756" w:type="dxa"/>
            <w:noWrap/>
            <w:vAlign w:val="center"/>
          </w:tcPr>
          <w:p w14:paraId="280D0160">
            <w:pPr>
              <w:widowControl/>
              <w:ind w:firstLine="0" w:firstLineChars="0"/>
              <w:jc w:val="center"/>
              <w:rPr>
                <w:color w:val="000000"/>
                <w:kern w:val="0"/>
                <w:sz w:val="16"/>
                <w:szCs w:val="16"/>
              </w:rPr>
            </w:pPr>
            <w:r>
              <w:rPr>
                <w:color w:val="000000"/>
                <w:kern w:val="0"/>
                <w:sz w:val="16"/>
                <w:szCs w:val="16"/>
              </w:rPr>
              <w:t>2.1.2</w:t>
            </w:r>
          </w:p>
        </w:tc>
        <w:tc>
          <w:tcPr>
            <w:tcW w:w="2796" w:type="dxa"/>
            <w:noWrap/>
            <w:vAlign w:val="center"/>
          </w:tcPr>
          <w:p w14:paraId="539281D5">
            <w:pPr>
              <w:widowControl/>
              <w:ind w:firstLine="0" w:firstLineChars="0"/>
              <w:jc w:val="center"/>
              <w:rPr>
                <w:color w:val="000000"/>
                <w:kern w:val="0"/>
                <w:sz w:val="16"/>
                <w:szCs w:val="16"/>
              </w:rPr>
            </w:pPr>
            <w:r>
              <w:rPr>
                <w:color w:val="000000"/>
                <w:kern w:val="0"/>
                <w:sz w:val="16"/>
                <w:szCs w:val="16"/>
              </w:rPr>
              <w:t>Housing Provident Fund</w:t>
            </w:r>
          </w:p>
        </w:tc>
        <w:tc>
          <w:tcPr>
            <w:tcW w:w="1236" w:type="dxa"/>
            <w:noWrap/>
            <w:vAlign w:val="center"/>
          </w:tcPr>
          <w:p w14:paraId="6D8B6655">
            <w:pPr>
              <w:widowControl/>
              <w:ind w:firstLine="0" w:firstLineChars="0"/>
              <w:jc w:val="center"/>
              <w:rPr>
                <w:color w:val="000000"/>
                <w:kern w:val="0"/>
                <w:sz w:val="16"/>
                <w:szCs w:val="16"/>
              </w:rPr>
            </w:pPr>
            <w:r>
              <w:rPr>
                <w:color w:val="000000"/>
                <w:kern w:val="0"/>
                <w:sz w:val="16"/>
                <w:szCs w:val="16"/>
              </w:rPr>
              <w:t>CNY</w:t>
            </w:r>
          </w:p>
        </w:tc>
        <w:tc>
          <w:tcPr>
            <w:tcW w:w="880" w:type="dxa"/>
            <w:noWrap/>
            <w:vAlign w:val="center"/>
          </w:tcPr>
          <w:p w14:paraId="25B0B7AE">
            <w:pPr>
              <w:widowControl/>
              <w:ind w:firstLine="0" w:firstLineChars="0"/>
              <w:jc w:val="center"/>
              <w:rPr>
                <w:color w:val="000000"/>
                <w:kern w:val="0"/>
                <w:sz w:val="16"/>
                <w:szCs w:val="16"/>
              </w:rPr>
            </w:pPr>
            <w:r>
              <w:rPr>
                <w:color w:val="000000"/>
                <w:kern w:val="0"/>
                <w:sz w:val="16"/>
                <w:szCs w:val="16"/>
              </w:rPr>
              <w:t>4.19%</w:t>
            </w:r>
          </w:p>
        </w:tc>
        <w:tc>
          <w:tcPr>
            <w:tcW w:w="904" w:type="dxa"/>
            <w:noWrap/>
            <w:vAlign w:val="center"/>
          </w:tcPr>
          <w:p w14:paraId="097F5065">
            <w:pPr>
              <w:widowControl/>
              <w:ind w:firstLine="0" w:firstLineChars="0"/>
              <w:jc w:val="center"/>
              <w:rPr>
                <w:color w:val="000000"/>
                <w:kern w:val="0"/>
                <w:sz w:val="16"/>
                <w:szCs w:val="16"/>
              </w:rPr>
            </w:pPr>
            <w:r>
              <w:rPr>
                <w:color w:val="000000"/>
                <w:kern w:val="0"/>
                <w:sz w:val="16"/>
                <w:szCs w:val="16"/>
              </w:rPr>
              <w:t>1511.52</w:t>
            </w:r>
          </w:p>
        </w:tc>
        <w:tc>
          <w:tcPr>
            <w:tcW w:w="1076" w:type="dxa"/>
            <w:noWrap/>
            <w:vAlign w:val="center"/>
          </w:tcPr>
          <w:p w14:paraId="114DFFF3">
            <w:pPr>
              <w:widowControl/>
              <w:ind w:firstLine="0" w:firstLineChars="0"/>
              <w:jc w:val="center"/>
              <w:rPr>
                <w:color w:val="000000"/>
                <w:kern w:val="0"/>
                <w:sz w:val="16"/>
                <w:szCs w:val="16"/>
              </w:rPr>
            </w:pPr>
            <w:r>
              <w:rPr>
                <w:color w:val="000000"/>
                <w:kern w:val="0"/>
                <w:sz w:val="16"/>
                <w:szCs w:val="16"/>
              </w:rPr>
              <w:t>63.33</w:t>
            </w:r>
          </w:p>
        </w:tc>
      </w:tr>
      <w:tr w14:paraId="1127C495">
        <w:tblPrEx>
          <w:tblCellMar>
            <w:top w:w="0" w:type="dxa"/>
            <w:left w:w="108" w:type="dxa"/>
            <w:bottom w:w="0" w:type="dxa"/>
            <w:right w:w="108" w:type="dxa"/>
          </w:tblCellMar>
        </w:tblPrEx>
        <w:trPr>
          <w:trHeight w:val="288" w:hRule="atLeast"/>
          <w:jc w:val="center"/>
        </w:trPr>
        <w:tc>
          <w:tcPr>
            <w:tcW w:w="756" w:type="dxa"/>
            <w:tcBorders>
              <w:bottom w:val="single" w:color="auto" w:sz="4" w:space="0"/>
            </w:tcBorders>
            <w:noWrap/>
            <w:vAlign w:val="center"/>
          </w:tcPr>
          <w:p w14:paraId="45D23DAB">
            <w:pPr>
              <w:widowControl/>
              <w:ind w:firstLine="0" w:firstLineChars="0"/>
              <w:jc w:val="center"/>
              <w:rPr>
                <w:color w:val="000000"/>
                <w:kern w:val="0"/>
                <w:sz w:val="16"/>
                <w:szCs w:val="16"/>
              </w:rPr>
            </w:pPr>
            <w:r>
              <w:rPr>
                <w:color w:val="000000"/>
                <w:kern w:val="0"/>
                <w:sz w:val="16"/>
                <w:szCs w:val="16"/>
              </w:rPr>
              <w:t>2.1.3</w:t>
            </w:r>
          </w:p>
        </w:tc>
        <w:tc>
          <w:tcPr>
            <w:tcW w:w="2796" w:type="dxa"/>
            <w:tcBorders>
              <w:bottom w:val="single" w:color="auto" w:sz="4" w:space="0"/>
            </w:tcBorders>
            <w:noWrap/>
            <w:vAlign w:val="center"/>
          </w:tcPr>
          <w:p w14:paraId="1633E151">
            <w:pPr>
              <w:widowControl/>
              <w:ind w:firstLine="0" w:firstLineChars="0"/>
              <w:jc w:val="center"/>
              <w:rPr>
                <w:color w:val="000000"/>
                <w:kern w:val="0"/>
                <w:sz w:val="16"/>
                <w:szCs w:val="16"/>
              </w:rPr>
            </w:pPr>
            <w:r>
              <w:rPr>
                <w:color w:val="000000"/>
                <w:kern w:val="0"/>
                <w:sz w:val="16"/>
                <w:szCs w:val="16"/>
              </w:rPr>
              <w:t>Hazardous Work Accident Insurance</w:t>
            </w:r>
          </w:p>
        </w:tc>
        <w:tc>
          <w:tcPr>
            <w:tcW w:w="1236" w:type="dxa"/>
            <w:tcBorders>
              <w:bottom w:val="single" w:color="auto" w:sz="4" w:space="0"/>
            </w:tcBorders>
            <w:noWrap/>
            <w:vAlign w:val="center"/>
          </w:tcPr>
          <w:p w14:paraId="675B4A76">
            <w:pPr>
              <w:widowControl/>
              <w:ind w:firstLine="0" w:firstLineChars="0"/>
              <w:jc w:val="center"/>
              <w:rPr>
                <w:color w:val="000000"/>
                <w:kern w:val="0"/>
                <w:sz w:val="16"/>
                <w:szCs w:val="16"/>
              </w:rPr>
            </w:pPr>
            <w:r>
              <w:rPr>
                <w:color w:val="000000"/>
                <w:kern w:val="0"/>
                <w:sz w:val="16"/>
                <w:szCs w:val="16"/>
              </w:rPr>
              <w:t>CNY</w:t>
            </w:r>
          </w:p>
        </w:tc>
        <w:tc>
          <w:tcPr>
            <w:tcW w:w="880" w:type="dxa"/>
            <w:tcBorders>
              <w:bottom w:val="single" w:color="auto" w:sz="4" w:space="0"/>
            </w:tcBorders>
            <w:noWrap/>
            <w:vAlign w:val="center"/>
          </w:tcPr>
          <w:p w14:paraId="7EE1830B">
            <w:pPr>
              <w:widowControl/>
              <w:ind w:firstLine="0" w:firstLineChars="0"/>
              <w:jc w:val="center"/>
              <w:rPr>
                <w:color w:val="000000"/>
                <w:kern w:val="0"/>
                <w:sz w:val="16"/>
                <w:szCs w:val="16"/>
              </w:rPr>
            </w:pPr>
            <w:r>
              <w:rPr>
                <w:color w:val="000000"/>
                <w:kern w:val="0"/>
                <w:sz w:val="16"/>
                <w:szCs w:val="16"/>
              </w:rPr>
              <w:t>1.00%</w:t>
            </w:r>
          </w:p>
        </w:tc>
        <w:tc>
          <w:tcPr>
            <w:tcW w:w="904" w:type="dxa"/>
            <w:tcBorders>
              <w:bottom w:val="single" w:color="auto" w:sz="4" w:space="0"/>
            </w:tcBorders>
            <w:noWrap/>
            <w:vAlign w:val="center"/>
          </w:tcPr>
          <w:p w14:paraId="5BE3DF01">
            <w:pPr>
              <w:widowControl/>
              <w:ind w:firstLine="0" w:firstLineChars="0"/>
              <w:jc w:val="center"/>
              <w:rPr>
                <w:color w:val="000000"/>
                <w:kern w:val="0"/>
                <w:sz w:val="16"/>
                <w:szCs w:val="16"/>
              </w:rPr>
            </w:pPr>
            <w:r>
              <w:rPr>
                <w:color w:val="000000"/>
                <w:kern w:val="0"/>
                <w:sz w:val="16"/>
                <w:szCs w:val="16"/>
              </w:rPr>
              <w:t>1511.52</w:t>
            </w:r>
          </w:p>
        </w:tc>
        <w:tc>
          <w:tcPr>
            <w:tcW w:w="1076" w:type="dxa"/>
            <w:tcBorders>
              <w:bottom w:val="single" w:color="auto" w:sz="4" w:space="0"/>
            </w:tcBorders>
            <w:noWrap/>
            <w:vAlign w:val="center"/>
          </w:tcPr>
          <w:p w14:paraId="3A1E3643">
            <w:pPr>
              <w:widowControl/>
              <w:ind w:firstLine="0" w:firstLineChars="0"/>
              <w:jc w:val="center"/>
              <w:rPr>
                <w:color w:val="000000"/>
                <w:kern w:val="0"/>
                <w:sz w:val="16"/>
                <w:szCs w:val="16"/>
              </w:rPr>
            </w:pPr>
            <w:r>
              <w:rPr>
                <w:color w:val="000000"/>
                <w:kern w:val="0"/>
                <w:sz w:val="16"/>
                <w:szCs w:val="16"/>
              </w:rPr>
              <w:t>15.12</w:t>
            </w:r>
          </w:p>
        </w:tc>
      </w:tr>
      <w:tr w14:paraId="0072D0AD">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762B839A">
            <w:pPr>
              <w:widowControl/>
              <w:ind w:firstLine="0" w:firstLineChars="0"/>
              <w:jc w:val="center"/>
              <w:rPr>
                <w:color w:val="000000"/>
                <w:kern w:val="0"/>
                <w:sz w:val="16"/>
                <w:szCs w:val="16"/>
              </w:rPr>
            </w:pPr>
            <w:r>
              <w:rPr>
                <w:color w:val="000000"/>
                <w:kern w:val="0"/>
                <w:sz w:val="16"/>
                <w:szCs w:val="16"/>
              </w:rPr>
              <w:t>2.2</w:t>
            </w:r>
          </w:p>
        </w:tc>
        <w:tc>
          <w:tcPr>
            <w:tcW w:w="2796" w:type="dxa"/>
            <w:tcBorders>
              <w:top w:val="single" w:color="auto" w:sz="4" w:space="0"/>
              <w:bottom w:val="single" w:color="auto" w:sz="4" w:space="0"/>
            </w:tcBorders>
            <w:noWrap/>
            <w:vAlign w:val="center"/>
          </w:tcPr>
          <w:p w14:paraId="57DEDD77">
            <w:pPr>
              <w:widowControl/>
              <w:ind w:firstLine="0" w:firstLineChars="0"/>
              <w:jc w:val="center"/>
              <w:rPr>
                <w:color w:val="000000"/>
                <w:kern w:val="0"/>
                <w:sz w:val="16"/>
                <w:szCs w:val="16"/>
              </w:rPr>
            </w:pPr>
            <w:r>
              <w:rPr>
                <w:color w:val="000000"/>
                <w:kern w:val="0"/>
                <w:sz w:val="16"/>
                <w:szCs w:val="16"/>
              </w:rPr>
              <w:t>Enterprise Management Fees</w:t>
            </w:r>
          </w:p>
        </w:tc>
        <w:tc>
          <w:tcPr>
            <w:tcW w:w="1236" w:type="dxa"/>
            <w:tcBorders>
              <w:top w:val="single" w:color="auto" w:sz="4" w:space="0"/>
              <w:bottom w:val="single" w:color="auto" w:sz="4" w:space="0"/>
            </w:tcBorders>
            <w:noWrap/>
            <w:vAlign w:val="center"/>
          </w:tcPr>
          <w:p w14:paraId="00A1BB51">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4FEA5ADD">
            <w:pPr>
              <w:widowControl/>
              <w:ind w:firstLine="0" w:firstLineChars="0"/>
              <w:jc w:val="center"/>
              <w:rPr>
                <w:color w:val="000000"/>
                <w:kern w:val="0"/>
                <w:sz w:val="16"/>
                <w:szCs w:val="16"/>
              </w:rPr>
            </w:pPr>
            <w:r>
              <w:rPr>
                <w:color w:val="000000"/>
                <w:kern w:val="0"/>
                <w:sz w:val="16"/>
                <w:szCs w:val="16"/>
              </w:rPr>
              <w:t>30.00%</w:t>
            </w:r>
          </w:p>
        </w:tc>
        <w:tc>
          <w:tcPr>
            <w:tcW w:w="904" w:type="dxa"/>
            <w:tcBorders>
              <w:top w:val="single" w:color="auto" w:sz="4" w:space="0"/>
              <w:bottom w:val="single" w:color="auto" w:sz="4" w:space="0"/>
            </w:tcBorders>
            <w:noWrap/>
            <w:vAlign w:val="center"/>
          </w:tcPr>
          <w:p w14:paraId="01337187">
            <w:pPr>
              <w:widowControl/>
              <w:ind w:firstLine="0" w:firstLineChars="0"/>
              <w:jc w:val="center"/>
              <w:rPr>
                <w:color w:val="000000"/>
                <w:kern w:val="0"/>
                <w:sz w:val="16"/>
                <w:szCs w:val="16"/>
              </w:rPr>
            </w:pPr>
            <w:r>
              <w:rPr>
                <w:color w:val="000000"/>
                <w:kern w:val="0"/>
                <w:sz w:val="16"/>
                <w:szCs w:val="16"/>
              </w:rPr>
              <w:t>1511.52</w:t>
            </w:r>
          </w:p>
        </w:tc>
        <w:tc>
          <w:tcPr>
            <w:tcW w:w="1076" w:type="dxa"/>
            <w:tcBorders>
              <w:top w:val="single" w:color="auto" w:sz="4" w:space="0"/>
              <w:bottom w:val="single" w:color="auto" w:sz="4" w:space="0"/>
            </w:tcBorders>
            <w:noWrap/>
            <w:vAlign w:val="center"/>
          </w:tcPr>
          <w:p w14:paraId="31ED6404">
            <w:pPr>
              <w:widowControl/>
              <w:ind w:firstLine="0" w:firstLineChars="0"/>
              <w:jc w:val="center"/>
              <w:rPr>
                <w:color w:val="000000"/>
                <w:kern w:val="0"/>
                <w:sz w:val="16"/>
                <w:szCs w:val="16"/>
              </w:rPr>
            </w:pPr>
            <w:r>
              <w:rPr>
                <w:color w:val="000000"/>
                <w:kern w:val="0"/>
                <w:sz w:val="16"/>
                <w:szCs w:val="16"/>
              </w:rPr>
              <w:t>453.46</w:t>
            </w:r>
          </w:p>
        </w:tc>
      </w:tr>
      <w:tr w14:paraId="0E2C0489">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5ECDFB01">
            <w:pPr>
              <w:widowControl/>
              <w:ind w:firstLine="0" w:firstLineChars="0"/>
              <w:jc w:val="center"/>
              <w:rPr>
                <w:color w:val="000000"/>
                <w:kern w:val="0"/>
                <w:sz w:val="16"/>
                <w:szCs w:val="16"/>
              </w:rPr>
            </w:pPr>
            <w:r>
              <w:rPr>
                <w:color w:val="000000"/>
                <w:kern w:val="0"/>
                <w:sz w:val="16"/>
                <w:szCs w:val="16"/>
              </w:rPr>
              <w:t>3</w:t>
            </w:r>
          </w:p>
        </w:tc>
        <w:tc>
          <w:tcPr>
            <w:tcW w:w="2796" w:type="dxa"/>
            <w:tcBorders>
              <w:top w:val="single" w:color="auto" w:sz="4" w:space="0"/>
              <w:bottom w:val="single" w:color="auto" w:sz="4" w:space="0"/>
            </w:tcBorders>
            <w:noWrap/>
            <w:vAlign w:val="center"/>
          </w:tcPr>
          <w:p w14:paraId="27523C2E">
            <w:pPr>
              <w:widowControl/>
              <w:ind w:firstLine="0" w:firstLineChars="0"/>
              <w:jc w:val="center"/>
              <w:rPr>
                <w:color w:val="000000"/>
                <w:kern w:val="0"/>
                <w:sz w:val="16"/>
                <w:szCs w:val="16"/>
              </w:rPr>
            </w:pPr>
            <w:r>
              <w:rPr>
                <w:color w:val="000000"/>
                <w:kern w:val="0"/>
                <w:sz w:val="16"/>
                <w:szCs w:val="16"/>
              </w:rPr>
              <w:t>Profit</w:t>
            </w:r>
          </w:p>
        </w:tc>
        <w:tc>
          <w:tcPr>
            <w:tcW w:w="1236" w:type="dxa"/>
            <w:tcBorders>
              <w:top w:val="single" w:color="auto" w:sz="4" w:space="0"/>
              <w:bottom w:val="single" w:color="auto" w:sz="4" w:space="0"/>
            </w:tcBorders>
            <w:noWrap/>
            <w:vAlign w:val="center"/>
          </w:tcPr>
          <w:p w14:paraId="6FDD9ACC">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0AB481F4">
            <w:pPr>
              <w:widowControl/>
              <w:ind w:firstLine="0" w:firstLineChars="0"/>
              <w:jc w:val="center"/>
              <w:rPr>
                <w:color w:val="000000"/>
                <w:kern w:val="0"/>
                <w:sz w:val="16"/>
                <w:szCs w:val="16"/>
              </w:rPr>
            </w:pPr>
            <w:r>
              <w:rPr>
                <w:color w:val="000000"/>
                <w:kern w:val="0"/>
                <w:sz w:val="16"/>
                <w:szCs w:val="16"/>
              </w:rPr>
              <w:t>30.00%</w:t>
            </w:r>
          </w:p>
        </w:tc>
        <w:tc>
          <w:tcPr>
            <w:tcW w:w="904" w:type="dxa"/>
            <w:tcBorders>
              <w:top w:val="single" w:color="auto" w:sz="4" w:space="0"/>
              <w:bottom w:val="single" w:color="auto" w:sz="4" w:space="0"/>
            </w:tcBorders>
            <w:noWrap/>
            <w:vAlign w:val="center"/>
          </w:tcPr>
          <w:p w14:paraId="1621AF8C">
            <w:pPr>
              <w:widowControl/>
              <w:ind w:firstLine="0" w:firstLineChars="0"/>
              <w:jc w:val="center"/>
              <w:rPr>
                <w:color w:val="000000"/>
                <w:kern w:val="0"/>
                <w:sz w:val="16"/>
                <w:szCs w:val="16"/>
              </w:rPr>
            </w:pPr>
            <w:r>
              <w:rPr>
                <w:color w:val="000000"/>
                <w:kern w:val="0"/>
                <w:sz w:val="16"/>
                <w:szCs w:val="16"/>
              </w:rPr>
              <w:t>1511.52</w:t>
            </w:r>
          </w:p>
        </w:tc>
        <w:tc>
          <w:tcPr>
            <w:tcW w:w="1076" w:type="dxa"/>
            <w:tcBorders>
              <w:top w:val="single" w:color="auto" w:sz="4" w:space="0"/>
              <w:bottom w:val="single" w:color="auto" w:sz="4" w:space="0"/>
            </w:tcBorders>
            <w:noWrap/>
            <w:vAlign w:val="center"/>
          </w:tcPr>
          <w:p w14:paraId="36F254E1">
            <w:pPr>
              <w:widowControl/>
              <w:ind w:firstLine="0" w:firstLineChars="0"/>
              <w:jc w:val="center"/>
              <w:rPr>
                <w:color w:val="000000"/>
                <w:kern w:val="0"/>
                <w:sz w:val="16"/>
                <w:szCs w:val="16"/>
              </w:rPr>
            </w:pPr>
            <w:r>
              <w:rPr>
                <w:color w:val="000000"/>
                <w:kern w:val="0"/>
                <w:sz w:val="16"/>
                <w:szCs w:val="16"/>
              </w:rPr>
              <w:t>453.46</w:t>
            </w:r>
          </w:p>
        </w:tc>
      </w:tr>
      <w:tr w14:paraId="5D83AA5B">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63D7593F">
            <w:pPr>
              <w:widowControl/>
              <w:ind w:firstLine="0" w:firstLineChars="0"/>
              <w:jc w:val="center"/>
              <w:rPr>
                <w:color w:val="000000"/>
                <w:kern w:val="0"/>
                <w:sz w:val="16"/>
                <w:szCs w:val="16"/>
              </w:rPr>
            </w:pPr>
            <w:r>
              <w:rPr>
                <w:color w:val="000000"/>
                <w:kern w:val="0"/>
                <w:sz w:val="16"/>
                <w:szCs w:val="16"/>
              </w:rPr>
              <w:t>4</w:t>
            </w:r>
          </w:p>
        </w:tc>
        <w:tc>
          <w:tcPr>
            <w:tcW w:w="2796" w:type="dxa"/>
            <w:tcBorders>
              <w:top w:val="single" w:color="auto" w:sz="4" w:space="0"/>
              <w:bottom w:val="single" w:color="auto" w:sz="4" w:space="0"/>
            </w:tcBorders>
            <w:noWrap/>
            <w:vAlign w:val="center"/>
          </w:tcPr>
          <w:p w14:paraId="47180969">
            <w:pPr>
              <w:widowControl/>
              <w:ind w:firstLine="0" w:firstLineChars="0"/>
              <w:jc w:val="center"/>
              <w:rPr>
                <w:color w:val="000000"/>
                <w:kern w:val="0"/>
                <w:sz w:val="16"/>
                <w:szCs w:val="16"/>
              </w:rPr>
            </w:pPr>
            <w:r>
              <w:rPr>
                <w:color w:val="000000"/>
                <w:kern w:val="0"/>
                <w:sz w:val="16"/>
                <w:szCs w:val="16"/>
              </w:rPr>
              <w:t>Tax</w:t>
            </w:r>
          </w:p>
        </w:tc>
        <w:tc>
          <w:tcPr>
            <w:tcW w:w="1236" w:type="dxa"/>
            <w:tcBorders>
              <w:top w:val="single" w:color="auto" w:sz="4" w:space="0"/>
              <w:bottom w:val="single" w:color="auto" w:sz="4" w:space="0"/>
            </w:tcBorders>
            <w:noWrap/>
            <w:vAlign w:val="center"/>
          </w:tcPr>
          <w:p w14:paraId="0CD8EE28">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4CDA22DF">
            <w:pPr>
              <w:widowControl/>
              <w:ind w:firstLine="0" w:firstLineChars="0"/>
              <w:jc w:val="center"/>
              <w:rPr>
                <w:color w:val="000000"/>
                <w:kern w:val="0"/>
                <w:sz w:val="16"/>
                <w:szCs w:val="16"/>
              </w:rPr>
            </w:pPr>
            <w:r>
              <w:rPr>
                <w:color w:val="000000"/>
                <w:kern w:val="0"/>
                <w:sz w:val="16"/>
                <w:szCs w:val="16"/>
              </w:rPr>
              <w:t>9.00%</w:t>
            </w:r>
          </w:p>
        </w:tc>
        <w:tc>
          <w:tcPr>
            <w:tcW w:w="904" w:type="dxa"/>
            <w:tcBorders>
              <w:top w:val="single" w:color="auto" w:sz="4" w:space="0"/>
              <w:bottom w:val="single" w:color="auto" w:sz="4" w:space="0"/>
            </w:tcBorders>
            <w:noWrap/>
            <w:vAlign w:val="center"/>
          </w:tcPr>
          <w:p w14:paraId="07407753">
            <w:pPr>
              <w:widowControl/>
              <w:ind w:firstLine="0" w:firstLineChars="0"/>
              <w:jc w:val="center"/>
              <w:rPr>
                <w:color w:val="000000"/>
                <w:kern w:val="0"/>
                <w:sz w:val="16"/>
                <w:szCs w:val="16"/>
              </w:rPr>
            </w:pPr>
            <w:r>
              <w:rPr>
                <w:color w:val="000000"/>
                <w:kern w:val="0"/>
                <w:sz w:val="16"/>
                <w:szCs w:val="16"/>
              </w:rPr>
              <w:t>4614.08</w:t>
            </w:r>
          </w:p>
        </w:tc>
        <w:tc>
          <w:tcPr>
            <w:tcW w:w="1076" w:type="dxa"/>
            <w:tcBorders>
              <w:top w:val="single" w:color="auto" w:sz="4" w:space="0"/>
              <w:bottom w:val="single" w:color="auto" w:sz="4" w:space="0"/>
            </w:tcBorders>
            <w:noWrap/>
            <w:vAlign w:val="center"/>
          </w:tcPr>
          <w:p w14:paraId="27B8DE6E">
            <w:pPr>
              <w:widowControl/>
              <w:ind w:firstLine="0" w:firstLineChars="0"/>
              <w:jc w:val="center"/>
              <w:rPr>
                <w:color w:val="000000"/>
                <w:kern w:val="0"/>
                <w:sz w:val="16"/>
                <w:szCs w:val="16"/>
              </w:rPr>
            </w:pPr>
            <w:r>
              <w:rPr>
                <w:color w:val="000000"/>
                <w:kern w:val="0"/>
                <w:sz w:val="16"/>
                <w:szCs w:val="16"/>
              </w:rPr>
              <w:t>415.27</w:t>
            </w:r>
          </w:p>
        </w:tc>
      </w:tr>
      <w:tr w14:paraId="3DC29744">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000000" w:sz="12" w:space="0"/>
            </w:tcBorders>
            <w:noWrap/>
            <w:vAlign w:val="center"/>
          </w:tcPr>
          <w:p w14:paraId="0771A9AA">
            <w:pPr>
              <w:widowControl/>
              <w:ind w:firstLine="0" w:firstLineChars="0"/>
              <w:jc w:val="center"/>
              <w:rPr>
                <w:color w:val="000000"/>
                <w:kern w:val="0"/>
                <w:sz w:val="16"/>
                <w:szCs w:val="16"/>
              </w:rPr>
            </w:pPr>
          </w:p>
        </w:tc>
        <w:tc>
          <w:tcPr>
            <w:tcW w:w="2796" w:type="dxa"/>
            <w:tcBorders>
              <w:top w:val="single" w:color="auto" w:sz="4" w:space="0"/>
              <w:bottom w:val="single" w:color="000000" w:sz="12" w:space="0"/>
            </w:tcBorders>
            <w:noWrap/>
            <w:vAlign w:val="center"/>
          </w:tcPr>
          <w:p w14:paraId="56F16CC8">
            <w:pPr>
              <w:widowControl/>
              <w:ind w:firstLine="0" w:firstLineChars="0"/>
              <w:jc w:val="center"/>
              <w:rPr>
                <w:color w:val="000000"/>
                <w:kern w:val="0"/>
                <w:sz w:val="16"/>
                <w:szCs w:val="16"/>
              </w:rPr>
            </w:pPr>
            <w:r>
              <w:rPr>
                <w:color w:val="000000"/>
                <w:kern w:val="0"/>
                <w:sz w:val="16"/>
                <w:szCs w:val="16"/>
              </w:rPr>
              <w:t>Total</w:t>
            </w:r>
          </w:p>
        </w:tc>
        <w:tc>
          <w:tcPr>
            <w:tcW w:w="1236" w:type="dxa"/>
            <w:tcBorders>
              <w:top w:val="single" w:color="auto" w:sz="4" w:space="0"/>
              <w:bottom w:val="single" w:color="000000" w:sz="12" w:space="0"/>
            </w:tcBorders>
            <w:noWrap/>
            <w:vAlign w:val="center"/>
          </w:tcPr>
          <w:p w14:paraId="5E620D51">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000000" w:sz="12" w:space="0"/>
            </w:tcBorders>
            <w:noWrap/>
            <w:vAlign w:val="center"/>
          </w:tcPr>
          <w:p w14:paraId="2F2ECEC9">
            <w:pPr>
              <w:widowControl/>
              <w:ind w:firstLine="0" w:firstLineChars="0"/>
              <w:jc w:val="center"/>
              <w:rPr>
                <w:color w:val="000000"/>
                <w:kern w:val="0"/>
                <w:sz w:val="16"/>
                <w:szCs w:val="16"/>
              </w:rPr>
            </w:pPr>
          </w:p>
        </w:tc>
        <w:tc>
          <w:tcPr>
            <w:tcW w:w="904" w:type="dxa"/>
            <w:tcBorders>
              <w:top w:val="single" w:color="auto" w:sz="4" w:space="0"/>
              <w:bottom w:val="single" w:color="000000" w:sz="12" w:space="0"/>
            </w:tcBorders>
            <w:noWrap/>
            <w:vAlign w:val="center"/>
          </w:tcPr>
          <w:p w14:paraId="17AC73C3">
            <w:pPr>
              <w:widowControl/>
              <w:ind w:firstLine="0" w:firstLineChars="0"/>
              <w:jc w:val="center"/>
              <w:rPr>
                <w:color w:val="000000"/>
                <w:kern w:val="0"/>
                <w:sz w:val="16"/>
                <w:szCs w:val="16"/>
              </w:rPr>
            </w:pPr>
          </w:p>
        </w:tc>
        <w:tc>
          <w:tcPr>
            <w:tcW w:w="1076" w:type="dxa"/>
            <w:tcBorders>
              <w:top w:val="single" w:color="auto" w:sz="4" w:space="0"/>
              <w:bottom w:val="single" w:color="000000" w:sz="12" w:space="0"/>
            </w:tcBorders>
            <w:noWrap/>
            <w:vAlign w:val="center"/>
          </w:tcPr>
          <w:p w14:paraId="4F24B09C">
            <w:pPr>
              <w:widowControl/>
              <w:ind w:firstLine="0" w:firstLineChars="0"/>
              <w:jc w:val="center"/>
              <w:rPr>
                <w:color w:val="000000"/>
                <w:kern w:val="0"/>
                <w:sz w:val="16"/>
                <w:szCs w:val="16"/>
              </w:rPr>
            </w:pPr>
            <w:r>
              <w:rPr>
                <w:color w:val="000000"/>
                <w:kern w:val="0"/>
                <w:sz w:val="16"/>
                <w:szCs w:val="16"/>
              </w:rPr>
              <w:t>4575.89</w:t>
            </w:r>
          </w:p>
        </w:tc>
      </w:tr>
    </w:tbl>
    <w:p w14:paraId="2E0F1614">
      <w:pPr>
        <w:widowControl/>
        <w:ind w:firstLine="0" w:firstLineChars="0"/>
        <w:jc w:val="center"/>
        <w:rPr>
          <w:kern w:val="2"/>
          <w:sz w:val="18"/>
        </w:rPr>
      </w:pPr>
    </w:p>
    <w:p w14:paraId="462A6FAC">
      <w:pPr>
        <w:pStyle w:val="52"/>
      </w:pPr>
      <w:r>
        <w:rPr>
          <w:rFonts w:hint="eastAsia"/>
        </w:rPr>
        <w:t>Table S9.3(a) Overlay Repair Cost-Milling Old Pavement (Unit:100m²)</w:t>
      </w:r>
    </w:p>
    <w:tbl>
      <w:tblPr>
        <w:tblStyle w:val="15"/>
        <w:tblW w:w="0" w:type="auto"/>
        <w:jc w:val="center"/>
        <w:tblLayout w:type="fixed"/>
        <w:tblCellMar>
          <w:top w:w="0" w:type="dxa"/>
          <w:left w:w="108" w:type="dxa"/>
          <w:bottom w:w="0" w:type="dxa"/>
          <w:right w:w="108" w:type="dxa"/>
        </w:tblCellMar>
      </w:tblPr>
      <w:tblGrid>
        <w:gridCol w:w="737"/>
        <w:gridCol w:w="3120"/>
        <w:gridCol w:w="1204"/>
        <w:gridCol w:w="840"/>
        <w:gridCol w:w="1082"/>
        <w:gridCol w:w="1027"/>
      </w:tblGrid>
      <w:tr w14:paraId="106AED2B">
        <w:tblPrEx>
          <w:tblCellMar>
            <w:top w:w="0" w:type="dxa"/>
            <w:left w:w="108" w:type="dxa"/>
            <w:bottom w:w="0" w:type="dxa"/>
            <w:right w:w="108" w:type="dxa"/>
          </w:tblCellMar>
        </w:tblPrEx>
        <w:trPr>
          <w:trHeight w:val="288" w:hRule="atLeast"/>
          <w:jc w:val="center"/>
        </w:trPr>
        <w:tc>
          <w:tcPr>
            <w:tcW w:w="737" w:type="dxa"/>
            <w:tcBorders>
              <w:top w:val="single" w:color="000000" w:sz="12" w:space="0"/>
              <w:bottom w:val="single" w:color="000000" w:sz="12" w:space="0"/>
            </w:tcBorders>
            <w:vAlign w:val="center"/>
          </w:tcPr>
          <w:p w14:paraId="50ECFB7C">
            <w:pPr>
              <w:widowControl/>
              <w:snapToGrid w:val="0"/>
              <w:ind w:firstLine="0" w:firstLineChars="0"/>
              <w:jc w:val="center"/>
              <w:rPr>
                <w:b/>
                <w:bCs/>
                <w:color w:val="000000"/>
                <w:kern w:val="0"/>
                <w:sz w:val="16"/>
                <w:szCs w:val="16"/>
              </w:rPr>
            </w:pPr>
            <w:r>
              <w:rPr>
                <w:b/>
                <w:bCs/>
                <w:color w:val="000000"/>
                <w:kern w:val="0"/>
                <w:sz w:val="16"/>
                <w:szCs w:val="16"/>
              </w:rPr>
              <w:t>No.</w:t>
            </w:r>
          </w:p>
        </w:tc>
        <w:tc>
          <w:tcPr>
            <w:tcW w:w="3120" w:type="dxa"/>
            <w:tcBorders>
              <w:top w:val="single" w:color="000000" w:sz="12" w:space="0"/>
              <w:bottom w:val="single" w:color="000000" w:sz="12" w:space="0"/>
            </w:tcBorders>
            <w:vAlign w:val="center"/>
          </w:tcPr>
          <w:p w14:paraId="377847A5">
            <w:pPr>
              <w:widowControl/>
              <w:snapToGrid w:val="0"/>
              <w:ind w:firstLine="0" w:firstLineChars="0"/>
              <w:jc w:val="center"/>
              <w:rPr>
                <w:b/>
                <w:bCs/>
                <w:color w:val="000000"/>
                <w:kern w:val="0"/>
                <w:sz w:val="16"/>
                <w:szCs w:val="16"/>
              </w:rPr>
            </w:pPr>
            <w:r>
              <w:rPr>
                <w:b/>
                <w:bCs/>
                <w:color w:val="000000"/>
                <w:kern w:val="0"/>
                <w:sz w:val="16"/>
                <w:szCs w:val="16"/>
              </w:rPr>
              <w:t>Item</w:t>
            </w:r>
          </w:p>
        </w:tc>
        <w:tc>
          <w:tcPr>
            <w:tcW w:w="1204" w:type="dxa"/>
            <w:tcBorders>
              <w:top w:val="single" w:color="000000" w:sz="12" w:space="0"/>
              <w:bottom w:val="single" w:color="000000" w:sz="12" w:space="0"/>
            </w:tcBorders>
            <w:vAlign w:val="center"/>
          </w:tcPr>
          <w:p w14:paraId="2D949FE6">
            <w:pPr>
              <w:widowControl/>
              <w:snapToGrid w:val="0"/>
              <w:ind w:firstLine="0" w:firstLineChars="0"/>
              <w:jc w:val="center"/>
              <w:rPr>
                <w:b/>
                <w:bCs/>
                <w:color w:val="000000"/>
                <w:kern w:val="0"/>
                <w:sz w:val="16"/>
                <w:szCs w:val="16"/>
              </w:rPr>
            </w:pPr>
            <w:r>
              <w:rPr>
                <w:b/>
                <w:bCs/>
                <w:color w:val="000000"/>
                <w:kern w:val="0"/>
                <w:sz w:val="16"/>
                <w:szCs w:val="16"/>
              </w:rPr>
              <w:t>Unit</w:t>
            </w:r>
          </w:p>
        </w:tc>
        <w:tc>
          <w:tcPr>
            <w:tcW w:w="840" w:type="dxa"/>
            <w:tcBorders>
              <w:top w:val="single" w:color="000000" w:sz="12" w:space="0"/>
              <w:bottom w:val="single" w:color="000000" w:sz="12" w:space="0"/>
            </w:tcBorders>
            <w:vAlign w:val="center"/>
          </w:tcPr>
          <w:p w14:paraId="4DE8C307">
            <w:pPr>
              <w:widowControl/>
              <w:snapToGrid w:val="0"/>
              <w:ind w:firstLine="0" w:firstLineChars="0"/>
              <w:jc w:val="center"/>
              <w:rPr>
                <w:b/>
                <w:bCs/>
                <w:color w:val="000000"/>
                <w:kern w:val="0"/>
                <w:sz w:val="16"/>
                <w:szCs w:val="16"/>
              </w:rPr>
            </w:pPr>
            <w:r>
              <w:rPr>
                <w:b/>
                <w:bCs/>
                <w:color w:val="000000"/>
                <w:kern w:val="0"/>
                <w:sz w:val="16"/>
                <w:szCs w:val="16"/>
              </w:rPr>
              <w:t>Quantity</w:t>
            </w:r>
          </w:p>
        </w:tc>
        <w:tc>
          <w:tcPr>
            <w:tcW w:w="1082" w:type="dxa"/>
            <w:tcBorders>
              <w:top w:val="single" w:color="000000" w:sz="12" w:space="0"/>
              <w:bottom w:val="single" w:color="000000" w:sz="12" w:space="0"/>
            </w:tcBorders>
            <w:vAlign w:val="center"/>
          </w:tcPr>
          <w:p w14:paraId="517E538B">
            <w:pPr>
              <w:widowControl/>
              <w:snapToGrid w:val="0"/>
              <w:ind w:firstLine="0" w:firstLineChars="0"/>
              <w:jc w:val="center"/>
              <w:rPr>
                <w:b/>
                <w:bCs/>
                <w:color w:val="000000"/>
                <w:kern w:val="0"/>
                <w:sz w:val="16"/>
                <w:szCs w:val="16"/>
              </w:rPr>
            </w:pPr>
            <w:r>
              <w:rPr>
                <w:b/>
                <w:bCs/>
                <w:color w:val="000000"/>
                <w:kern w:val="0"/>
                <w:sz w:val="16"/>
                <w:szCs w:val="16"/>
              </w:rPr>
              <w:t>Unit Price (CNY)</w:t>
            </w:r>
          </w:p>
        </w:tc>
        <w:tc>
          <w:tcPr>
            <w:tcW w:w="1027" w:type="dxa"/>
            <w:tcBorders>
              <w:top w:val="single" w:color="000000" w:sz="12" w:space="0"/>
              <w:bottom w:val="single" w:color="000000" w:sz="12" w:space="0"/>
            </w:tcBorders>
            <w:vAlign w:val="center"/>
          </w:tcPr>
          <w:p w14:paraId="231CD44F">
            <w:pPr>
              <w:widowControl/>
              <w:snapToGrid w:val="0"/>
              <w:ind w:firstLine="0" w:firstLineChars="0"/>
              <w:jc w:val="center"/>
              <w:rPr>
                <w:b/>
                <w:bCs/>
                <w:color w:val="000000"/>
                <w:kern w:val="0"/>
                <w:sz w:val="16"/>
                <w:szCs w:val="16"/>
              </w:rPr>
            </w:pPr>
            <w:r>
              <w:rPr>
                <w:b/>
                <w:bCs/>
                <w:color w:val="000000"/>
                <w:kern w:val="0"/>
                <w:sz w:val="16"/>
                <w:szCs w:val="16"/>
              </w:rPr>
              <w:t>Total (CNY)</w:t>
            </w:r>
          </w:p>
        </w:tc>
      </w:tr>
      <w:tr w14:paraId="558E2E26">
        <w:tblPrEx>
          <w:tblCellMar>
            <w:top w:w="0" w:type="dxa"/>
            <w:left w:w="108" w:type="dxa"/>
            <w:bottom w:w="0" w:type="dxa"/>
            <w:right w:w="108" w:type="dxa"/>
          </w:tblCellMar>
        </w:tblPrEx>
        <w:trPr>
          <w:trHeight w:val="288" w:hRule="atLeast"/>
          <w:jc w:val="center"/>
        </w:trPr>
        <w:tc>
          <w:tcPr>
            <w:tcW w:w="737" w:type="dxa"/>
            <w:tcBorders>
              <w:top w:val="single" w:color="000000" w:sz="12" w:space="0"/>
              <w:bottom w:val="single" w:color="auto" w:sz="4" w:space="0"/>
            </w:tcBorders>
            <w:noWrap/>
            <w:vAlign w:val="center"/>
          </w:tcPr>
          <w:p w14:paraId="1FEDB0AA">
            <w:pPr>
              <w:widowControl/>
              <w:ind w:firstLine="0" w:firstLineChars="0"/>
              <w:jc w:val="center"/>
              <w:rPr>
                <w:color w:val="000000"/>
                <w:kern w:val="0"/>
                <w:sz w:val="16"/>
                <w:szCs w:val="16"/>
              </w:rPr>
            </w:pPr>
            <w:r>
              <w:rPr>
                <w:color w:val="000000"/>
                <w:kern w:val="0"/>
                <w:sz w:val="16"/>
                <w:szCs w:val="16"/>
              </w:rPr>
              <w:t>1</w:t>
            </w:r>
          </w:p>
        </w:tc>
        <w:tc>
          <w:tcPr>
            <w:tcW w:w="3120" w:type="dxa"/>
            <w:tcBorders>
              <w:top w:val="single" w:color="000000" w:sz="12" w:space="0"/>
              <w:bottom w:val="single" w:color="auto" w:sz="4" w:space="0"/>
            </w:tcBorders>
            <w:noWrap/>
            <w:vAlign w:val="center"/>
          </w:tcPr>
          <w:p w14:paraId="2AFBCC33">
            <w:pPr>
              <w:widowControl/>
              <w:ind w:firstLine="0" w:firstLineChars="0"/>
              <w:jc w:val="center"/>
              <w:rPr>
                <w:color w:val="000000"/>
                <w:kern w:val="0"/>
                <w:sz w:val="16"/>
                <w:szCs w:val="16"/>
              </w:rPr>
            </w:pPr>
            <w:r>
              <w:rPr>
                <w:color w:val="000000"/>
                <w:kern w:val="0"/>
                <w:sz w:val="16"/>
                <w:szCs w:val="16"/>
              </w:rPr>
              <w:t>Direct Cost</w:t>
            </w:r>
          </w:p>
        </w:tc>
        <w:tc>
          <w:tcPr>
            <w:tcW w:w="1204" w:type="dxa"/>
            <w:tcBorders>
              <w:top w:val="single" w:color="000000" w:sz="12" w:space="0"/>
              <w:bottom w:val="single" w:color="auto" w:sz="4" w:space="0"/>
            </w:tcBorders>
            <w:noWrap/>
            <w:vAlign w:val="center"/>
          </w:tcPr>
          <w:p w14:paraId="512677F2">
            <w:pPr>
              <w:widowControl/>
              <w:ind w:firstLine="0" w:firstLineChars="0"/>
              <w:jc w:val="center"/>
              <w:rPr>
                <w:color w:val="000000"/>
                <w:kern w:val="0"/>
                <w:sz w:val="16"/>
                <w:szCs w:val="16"/>
              </w:rPr>
            </w:pPr>
          </w:p>
        </w:tc>
        <w:tc>
          <w:tcPr>
            <w:tcW w:w="840" w:type="dxa"/>
            <w:tcBorders>
              <w:top w:val="single" w:color="000000" w:sz="12" w:space="0"/>
              <w:bottom w:val="single" w:color="auto" w:sz="4" w:space="0"/>
            </w:tcBorders>
            <w:noWrap/>
            <w:vAlign w:val="center"/>
          </w:tcPr>
          <w:p w14:paraId="5B6B5831">
            <w:pPr>
              <w:widowControl/>
              <w:ind w:firstLine="0" w:firstLineChars="0"/>
              <w:jc w:val="center"/>
              <w:rPr>
                <w:color w:val="000000"/>
                <w:kern w:val="0"/>
                <w:sz w:val="16"/>
                <w:szCs w:val="16"/>
              </w:rPr>
            </w:pPr>
          </w:p>
        </w:tc>
        <w:tc>
          <w:tcPr>
            <w:tcW w:w="1082" w:type="dxa"/>
            <w:tcBorders>
              <w:top w:val="single" w:color="000000" w:sz="12" w:space="0"/>
              <w:bottom w:val="single" w:color="auto" w:sz="4" w:space="0"/>
            </w:tcBorders>
            <w:noWrap/>
            <w:vAlign w:val="center"/>
          </w:tcPr>
          <w:p w14:paraId="606302A3">
            <w:pPr>
              <w:widowControl/>
              <w:ind w:firstLine="0" w:firstLineChars="0"/>
              <w:jc w:val="center"/>
              <w:rPr>
                <w:color w:val="000000"/>
                <w:kern w:val="0"/>
                <w:sz w:val="16"/>
                <w:szCs w:val="16"/>
              </w:rPr>
            </w:pPr>
          </w:p>
        </w:tc>
        <w:tc>
          <w:tcPr>
            <w:tcW w:w="1027" w:type="dxa"/>
            <w:tcBorders>
              <w:top w:val="single" w:color="000000" w:sz="12" w:space="0"/>
              <w:bottom w:val="single" w:color="auto" w:sz="4" w:space="0"/>
            </w:tcBorders>
            <w:noWrap/>
            <w:vAlign w:val="center"/>
          </w:tcPr>
          <w:p w14:paraId="0BE9EF0F">
            <w:pPr>
              <w:widowControl/>
              <w:ind w:firstLine="0" w:firstLineChars="0"/>
              <w:jc w:val="center"/>
              <w:rPr>
                <w:color w:val="000000"/>
                <w:kern w:val="0"/>
                <w:sz w:val="16"/>
                <w:szCs w:val="16"/>
              </w:rPr>
            </w:pPr>
            <w:r>
              <w:rPr>
                <w:color w:val="000000"/>
                <w:kern w:val="0"/>
                <w:sz w:val="16"/>
                <w:szCs w:val="16"/>
              </w:rPr>
              <w:t>18468.10</w:t>
            </w:r>
          </w:p>
        </w:tc>
      </w:tr>
      <w:tr w14:paraId="57F813CF">
        <w:tblPrEx>
          <w:tblCellMar>
            <w:top w:w="0" w:type="dxa"/>
            <w:left w:w="108" w:type="dxa"/>
            <w:bottom w:w="0" w:type="dxa"/>
            <w:right w:w="108" w:type="dxa"/>
          </w:tblCellMar>
        </w:tblPrEx>
        <w:trPr>
          <w:trHeight w:val="288" w:hRule="atLeast"/>
          <w:jc w:val="center"/>
        </w:trPr>
        <w:tc>
          <w:tcPr>
            <w:tcW w:w="737" w:type="dxa"/>
            <w:tcBorders>
              <w:top w:val="single" w:color="auto" w:sz="4" w:space="0"/>
            </w:tcBorders>
            <w:noWrap/>
            <w:vAlign w:val="center"/>
          </w:tcPr>
          <w:p w14:paraId="3D6F3671">
            <w:pPr>
              <w:widowControl/>
              <w:ind w:firstLine="0" w:firstLineChars="0"/>
              <w:jc w:val="center"/>
              <w:rPr>
                <w:color w:val="000000"/>
                <w:kern w:val="0"/>
                <w:sz w:val="16"/>
                <w:szCs w:val="16"/>
              </w:rPr>
            </w:pPr>
            <w:r>
              <w:rPr>
                <w:color w:val="000000"/>
                <w:kern w:val="0"/>
                <w:sz w:val="16"/>
                <w:szCs w:val="16"/>
              </w:rPr>
              <w:t>1.1</w:t>
            </w:r>
          </w:p>
        </w:tc>
        <w:tc>
          <w:tcPr>
            <w:tcW w:w="3120" w:type="dxa"/>
            <w:tcBorders>
              <w:top w:val="single" w:color="auto" w:sz="4" w:space="0"/>
            </w:tcBorders>
            <w:noWrap/>
            <w:vAlign w:val="center"/>
          </w:tcPr>
          <w:p w14:paraId="0697C9AF">
            <w:pPr>
              <w:widowControl/>
              <w:ind w:firstLine="0" w:firstLineChars="0"/>
              <w:jc w:val="center"/>
              <w:rPr>
                <w:color w:val="000000"/>
                <w:kern w:val="0"/>
                <w:sz w:val="16"/>
                <w:szCs w:val="16"/>
              </w:rPr>
            </w:pPr>
            <w:r>
              <w:rPr>
                <w:color w:val="000000"/>
                <w:kern w:val="0"/>
                <w:sz w:val="16"/>
                <w:szCs w:val="16"/>
              </w:rPr>
              <w:t>Basic Direct Costs</w:t>
            </w:r>
          </w:p>
        </w:tc>
        <w:tc>
          <w:tcPr>
            <w:tcW w:w="1204" w:type="dxa"/>
            <w:tcBorders>
              <w:top w:val="single" w:color="auto" w:sz="4" w:space="0"/>
            </w:tcBorders>
            <w:noWrap/>
            <w:vAlign w:val="center"/>
          </w:tcPr>
          <w:p w14:paraId="2637EECB">
            <w:pPr>
              <w:widowControl/>
              <w:ind w:firstLine="0" w:firstLineChars="0"/>
              <w:jc w:val="center"/>
              <w:rPr>
                <w:color w:val="000000"/>
                <w:kern w:val="0"/>
                <w:sz w:val="16"/>
                <w:szCs w:val="16"/>
              </w:rPr>
            </w:pPr>
          </w:p>
        </w:tc>
        <w:tc>
          <w:tcPr>
            <w:tcW w:w="840" w:type="dxa"/>
            <w:tcBorders>
              <w:top w:val="single" w:color="auto" w:sz="4" w:space="0"/>
            </w:tcBorders>
            <w:noWrap/>
            <w:vAlign w:val="center"/>
          </w:tcPr>
          <w:p w14:paraId="780A3578">
            <w:pPr>
              <w:widowControl/>
              <w:ind w:firstLine="0" w:firstLineChars="0"/>
              <w:jc w:val="center"/>
              <w:rPr>
                <w:color w:val="000000"/>
                <w:kern w:val="0"/>
                <w:sz w:val="16"/>
                <w:szCs w:val="16"/>
              </w:rPr>
            </w:pPr>
          </w:p>
        </w:tc>
        <w:tc>
          <w:tcPr>
            <w:tcW w:w="1082" w:type="dxa"/>
            <w:tcBorders>
              <w:top w:val="single" w:color="auto" w:sz="4" w:space="0"/>
            </w:tcBorders>
            <w:noWrap/>
            <w:vAlign w:val="center"/>
          </w:tcPr>
          <w:p w14:paraId="0258C60D">
            <w:pPr>
              <w:widowControl/>
              <w:ind w:firstLine="0" w:firstLineChars="0"/>
              <w:jc w:val="center"/>
              <w:rPr>
                <w:color w:val="000000"/>
                <w:kern w:val="0"/>
                <w:sz w:val="16"/>
                <w:szCs w:val="16"/>
              </w:rPr>
            </w:pPr>
          </w:p>
        </w:tc>
        <w:tc>
          <w:tcPr>
            <w:tcW w:w="1027" w:type="dxa"/>
            <w:tcBorders>
              <w:top w:val="single" w:color="auto" w:sz="4" w:space="0"/>
            </w:tcBorders>
            <w:noWrap/>
            <w:vAlign w:val="center"/>
          </w:tcPr>
          <w:p w14:paraId="246F96FF">
            <w:pPr>
              <w:widowControl/>
              <w:ind w:firstLine="0" w:firstLineChars="0"/>
              <w:jc w:val="center"/>
              <w:rPr>
                <w:color w:val="000000"/>
                <w:kern w:val="0"/>
                <w:sz w:val="16"/>
                <w:szCs w:val="16"/>
              </w:rPr>
            </w:pPr>
            <w:r>
              <w:rPr>
                <w:color w:val="000000"/>
                <w:kern w:val="0"/>
                <w:sz w:val="16"/>
                <w:szCs w:val="16"/>
              </w:rPr>
              <w:t>17845.12</w:t>
            </w:r>
          </w:p>
        </w:tc>
      </w:tr>
      <w:tr w14:paraId="753C7CF7">
        <w:tblPrEx>
          <w:tblCellMar>
            <w:top w:w="0" w:type="dxa"/>
            <w:left w:w="108" w:type="dxa"/>
            <w:bottom w:w="0" w:type="dxa"/>
            <w:right w:w="108" w:type="dxa"/>
          </w:tblCellMar>
        </w:tblPrEx>
        <w:trPr>
          <w:trHeight w:val="288" w:hRule="atLeast"/>
          <w:jc w:val="center"/>
        </w:trPr>
        <w:tc>
          <w:tcPr>
            <w:tcW w:w="737" w:type="dxa"/>
            <w:noWrap/>
            <w:vAlign w:val="center"/>
          </w:tcPr>
          <w:p w14:paraId="6C33A868">
            <w:pPr>
              <w:widowControl/>
              <w:ind w:firstLine="0" w:firstLineChars="0"/>
              <w:jc w:val="center"/>
              <w:rPr>
                <w:color w:val="000000"/>
                <w:kern w:val="0"/>
                <w:sz w:val="16"/>
                <w:szCs w:val="16"/>
              </w:rPr>
            </w:pPr>
            <w:r>
              <w:rPr>
                <w:color w:val="000000"/>
                <w:kern w:val="0"/>
                <w:sz w:val="16"/>
                <w:szCs w:val="16"/>
              </w:rPr>
              <w:t>1.1.1</w:t>
            </w:r>
          </w:p>
        </w:tc>
        <w:tc>
          <w:tcPr>
            <w:tcW w:w="3120" w:type="dxa"/>
            <w:noWrap/>
            <w:vAlign w:val="center"/>
          </w:tcPr>
          <w:p w14:paraId="415F933F">
            <w:pPr>
              <w:widowControl/>
              <w:ind w:firstLine="0" w:firstLineChars="0"/>
              <w:jc w:val="center"/>
              <w:rPr>
                <w:color w:val="000000"/>
                <w:kern w:val="0"/>
                <w:sz w:val="16"/>
                <w:szCs w:val="16"/>
              </w:rPr>
            </w:pPr>
            <w:r>
              <w:rPr>
                <w:color w:val="000000"/>
                <w:kern w:val="0"/>
                <w:sz w:val="16"/>
                <w:szCs w:val="16"/>
              </w:rPr>
              <w:t>Labor Cost</w:t>
            </w:r>
          </w:p>
        </w:tc>
        <w:tc>
          <w:tcPr>
            <w:tcW w:w="1204" w:type="dxa"/>
            <w:noWrap/>
            <w:vAlign w:val="center"/>
          </w:tcPr>
          <w:p w14:paraId="78674894">
            <w:pPr>
              <w:widowControl/>
              <w:ind w:firstLine="0" w:firstLineChars="0"/>
              <w:jc w:val="center"/>
              <w:rPr>
                <w:color w:val="000000"/>
                <w:kern w:val="0"/>
                <w:sz w:val="16"/>
                <w:szCs w:val="16"/>
              </w:rPr>
            </w:pPr>
          </w:p>
        </w:tc>
        <w:tc>
          <w:tcPr>
            <w:tcW w:w="840" w:type="dxa"/>
            <w:noWrap/>
            <w:vAlign w:val="center"/>
          </w:tcPr>
          <w:p w14:paraId="4EC7FFD5">
            <w:pPr>
              <w:widowControl/>
              <w:ind w:firstLine="0" w:firstLineChars="0"/>
              <w:jc w:val="center"/>
              <w:rPr>
                <w:color w:val="000000"/>
                <w:kern w:val="0"/>
                <w:sz w:val="16"/>
                <w:szCs w:val="16"/>
              </w:rPr>
            </w:pPr>
          </w:p>
        </w:tc>
        <w:tc>
          <w:tcPr>
            <w:tcW w:w="1082" w:type="dxa"/>
            <w:noWrap/>
            <w:vAlign w:val="center"/>
          </w:tcPr>
          <w:p w14:paraId="63D09731">
            <w:pPr>
              <w:widowControl/>
              <w:ind w:firstLine="0" w:firstLineChars="0"/>
              <w:jc w:val="center"/>
              <w:rPr>
                <w:color w:val="000000"/>
                <w:kern w:val="0"/>
                <w:sz w:val="16"/>
                <w:szCs w:val="16"/>
              </w:rPr>
            </w:pPr>
          </w:p>
        </w:tc>
        <w:tc>
          <w:tcPr>
            <w:tcW w:w="1027" w:type="dxa"/>
            <w:noWrap/>
            <w:vAlign w:val="center"/>
          </w:tcPr>
          <w:p w14:paraId="74E2CCCB">
            <w:pPr>
              <w:widowControl/>
              <w:ind w:firstLine="0" w:firstLineChars="0"/>
              <w:jc w:val="center"/>
              <w:rPr>
                <w:color w:val="000000"/>
                <w:kern w:val="0"/>
                <w:sz w:val="16"/>
                <w:szCs w:val="16"/>
              </w:rPr>
            </w:pPr>
            <w:r>
              <w:rPr>
                <w:color w:val="000000"/>
                <w:kern w:val="0"/>
                <w:sz w:val="16"/>
                <w:szCs w:val="16"/>
              </w:rPr>
              <w:t>2133.50</w:t>
            </w:r>
          </w:p>
        </w:tc>
      </w:tr>
      <w:tr w14:paraId="51A146FE">
        <w:tblPrEx>
          <w:tblCellMar>
            <w:top w:w="0" w:type="dxa"/>
            <w:left w:w="108" w:type="dxa"/>
            <w:bottom w:w="0" w:type="dxa"/>
            <w:right w:w="108" w:type="dxa"/>
          </w:tblCellMar>
        </w:tblPrEx>
        <w:trPr>
          <w:trHeight w:val="288" w:hRule="atLeast"/>
          <w:jc w:val="center"/>
        </w:trPr>
        <w:tc>
          <w:tcPr>
            <w:tcW w:w="737" w:type="dxa"/>
            <w:noWrap/>
            <w:vAlign w:val="center"/>
          </w:tcPr>
          <w:p w14:paraId="6EE6428A">
            <w:pPr>
              <w:widowControl/>
              <w:ind w:firstLine="0" w:firstLineChars="0"/>
              <w:jc w:val="center"/>
              <w:rPr>
                <w:color w:val="000000"/>
                <w:kern w:val="0"/>
                <w:sz w:val="16"/>
                <w:szCs w:val="16"/>
              </w:rPr>
            </w:pPr>
          </w:p>
        </w:tc>
        <w:tc>
          <w:tcPr>
            <w:tcW w:w="3120" w:type="dxa"/>
            <w:noWrap/>
            <w:vAlign w:val="center"/>
          </w:tcPr>
          <w:p w14:paraId="64112938">
            <w:pPr>
              <w:widowControl/>
              <w:ind w:firstLine="0" w:firstLineChars="0"/>
              <w:jc w:val="center"/>
              <w:rPr>
                <w:color w:val="000000"/>
                <w:kern w:val="0"/>
                <w:sz w:val="16"/>
                <w:szCs w:val="16"/>
              </w:rPr>
            </w:pPr>
            <w:r>
              <w:rPr>
                <w:color w:val="000000"/>
                <w:kern w:val="0"/>
                <w:sz w:val="16"/>
                <w:szCs w:val="16"/>
              </w:rPr>
              <w:t>Composite Labor</w:t>
            </w:r>
          </w:p>
        </w:tc>
        <w:tc>
          <w:tcPr>
            <w:tcW w:w="1204" w:type="dxa"/>
            <w:noWrap/>
            <w:vAlign w:val="center"/>
          </w:tcPr>
          <w:p w14:paraId="02389A21">
            <w:pPr>
              <w:widowControl/>
              <w:ind w:firstLine="0" w:firstLineChars="0"/>
              <w:jc w:val="center"/>
              <w:rPr>
                <w:color w:val="000000"/>
                <w:kern w:val="0"/>
                <w:sz w:val="16"/>
                <w:szCs w:val="16"/>
              </w:rPr>
            </w:pPr>
            <w:r>
              <w:rPr>
                <w:color w:val="000000"/>
                <w:kern w:val="0"/>
                <w:sz w:val="16"/>
                <w:szCs w:val="16"/>
              </w:rPr>
              <w:t>Man-day</w:t>
            </w:r>
          </w:p>
        </w:tc>
        <w:tc>
          <w:tcPr>
            <w:tcW w:w="840" w:type="dxa"/>
            <w:noWrap/>
            <w:vAlign w:val="center"/>
          </w:tcPr>
          <w:p w14:paraId="793B0E06">
            <w:pPr>
              <w:widowControl/>
              <w:ind w:firstLine="0" w:firstLineChars="0"/>
              <w:jc w:val="center"/>
              <w:rPr>
                <w:kern w:val="0"/>
                <w:sz w:val="16"/>
                <w:szCs w:val="16"/>
              </w:rPr>
            </w:pPr>
            <w:r>
              <w:rPr>
                <w:kern w:val="0"/>
                <w:sz w:val="16"/>
                <w:szCs w:val="16"/>
              </w:rPr>
              <w:t>8.500</w:t>
            </w:r>
          </w:p>
        </w:tc>
        <w:tc>
          <w:tcPr>
            <w:tcW w:w="1082" w:type="dxa"/>
            <w:noWrap/>
            <w:vAlign w:val="center"/>
          </w:tcPr>
          <w:p w14:paraId="3EE2D76D">
            <w:pPr>
              <w:widowControl/>
              <w:ind w:firstLine="0" w:firstLineChars="0"/>
              <w:jc w:val="center"/>
              <w:rPr>
                <w:kern w:val="0"/>
                <w:sz w:val="16"/>
                <w:szCs w:val="16"/>
              </w:rPr>
            </w:pPr>
            <w:r>
              <w:rPr>
                <w:kern w:val="0"/>
                <w:sz w:val="16"/>
                <w:szCs w:val="16"/>
              </w:rPr>
              <w:t>251.00</w:t>
            </w:r>
          </w:p>
        </w:tc>
        <w:tc>
          <w:tcPr>
            <w:tcW w:w="1027" w:type="dxa"/>
            <w:noWrap/>
            <w:vAlign w:val="center"/>
          </w:tcPr>
          <w:p w14:paraId="084DA8E0">
            <w:pPr>
              <w:widowControl/>
              <w:ind w:firstLine="0" w:firstLineChars="0"/>
              <w:jc w:val="center"/>
              <w:rPr>
                <w:color w:val="000000"/>
                <w:kern w:val="0"/>
                <w:sz w:val="16"/>
                <w:szCs w:val="16"/>
              </w:rPr>
            </w:pPr>
            <w:r>
              <w:rPr>
                <w:color w:val="000000"/>
                <w:kern w:val="0"/>
                <w:sz w:val="16"/>
                <w:szCs w:val="16"/>
              </w:rPr>
              <w:t>2133.50</w:t>
            </w:r>
          </w:p>
        </w:tc>
      </w:tr>
      <w:tr w14:paraId="04ED0A5A">
        <w:tblPrEx>
          <w:tblCellMar>
            <w:top w:w="0" w:type="dxa"/>
            <w:left w:w="108" w:type="dxa"/>
            <w:bottom w:w="0" w:type="dxa"/>
            <w:right w:w="108" w:type="dxa"/>
          </w:tblCellMar>
        </w:tblPrEx>
        <w:trPr>
          <w:trHeight w:val="288" w:hRule="atLeast"/>
          <w:jc w:val="center"/>
        </w:trPr>
        <w:tc>
          <w:tcPr>
            <w:tcW w:w="737" w:type="dxa"/>
            <w:noWrap/>
            <w:vAlign w:val="center"/>
          </w:tcPr>
          <w:p w14:paraId="7FDEEC3B">
            <w:pPr>
              <w:widowControl/>
              <w:ind w:firstLine="0" w:firstLineChars="0"/>
              <w:jc w:val="center"/>
              <w:rPr>
                <w:color w:val="000000"/>
                <w:kern w:val="0"/>
                <w:sz w:val="16"/>
                <w:szCs w:val="16"/>
              </w:rPr>
            </w:pPr>
            <w:r>
              <w:rPr>
                <w:color w:val="000000"/>
                <w:kern w:val="0"/>
                <w:sz w:val="16"/>
                <w:szCs w:val="16"/>
              </w:rPr>
              <w:t>1.1.2</w:t>
            </w:r>
          </w:p>
        </w:tc>
        <w:tc>
          <w:tcPr>
            <w:tcW w:w="3120" w:type="dxa"/>
            <w:noWrap/>
            <w:vAlign w:val="center"/>
          </w:tcPr>
          <w:p w14:paraId="34EE3E71">
            <w:pPr>
              <w:widowControl/>
              <w:ind w:firstLine="0" w:firstLineChars="0"/>
              <w:jc w:val="center"/>
              <w:rPr>
                <w:color w:val="000000"/>
                <w:kern w:val="0"/>
                <w:sz w:val="16"/>
                <w:szCs w:val="16"/>
              </w:rPr>
            </w:pPr>
            <w:r>
              <w:rPr>
                <w:color w:val="000000"/>
                <w:kern w:val="0"/>
                <w:sz w:val="16"/>
                <w:szCs w:val="16"/>
              </w:rPr>
              <w:t>Material Cost</w:t>
            </w:r>
          </w:p>
        </w:tc>
        <w:tc>
          <w:tcPr>
            <w:tcW w:w="1204" w:type="dxa"/>
            <w:noWrap/>
            <w:vAlign w:val="center"/>
          </w:tcPr>
          <w:p w14:paraId="0967CB0C">
            <w:pPr>
              <w:widowControl/>
              <w:ind w:firstLine="0" w:firstLineChars="0"/>
              <w:jc w:val="center"/>
              <w:rPr>
                <w:color w:val="000000"/>
                <w:kern w:val="0"/>
                <w:sz w:val="16"/>
                <w:szCs w:val="16"/>
              </w:rPr>
            </w:pPr>
          </w:p>
        </w:tc>
        <w:tc>
          <w:tcPr>
            <w:tcW w:w="840" w:type="dxa"/>
            <w:noWrap/>
            <w:vAlign w:val="center"/>
          </w:tcPr>
          <w:p w14:paraId="557B2993">
            <w:pPr>
              <w:widowControl/>
              <w:ind w:firstLine="0" w:firstLineChars="0"/>
              <w:jc w:val="center"/>
              <w:rPr>
                <w:color w:val="000000"/>
                <w:kern w:val="0"/>
                <w:sz w:val="16"/>
                <w:szCs w:val="16"/>
              </w:rPr>
            </w:pPr>
          </w:p>
        </w:tc>
        <w:tc>
          <w:tcPr>
            <w:tcW w:w="1082" w:type="dxa"/>
            <w:noWrap/>
            <w:vAlign w:val="center"/>
          </w:tcPr>
          <w:p w14:paraId="05BEE37D">
            <w:pPr>
              <w:widowControl/>
              <w:ind w:firstLine="0" w:firstLineChars="0"/>
              <w:jc w:val="center"/>
              <w:rPr>
                <w:color w:val="000000"/>
                <w:kern w:val="0"/>
                <w:sz w:val="16"/>
                <w:szCs w:val="16"/>
              </w:rPr>
            </w:pPr>
          </w:p>
        </w:tc>
        <w:tc>
          <w:tcPr>
            <w:tcW w:w="1027" w:type="dxa"/>
            <w:noWrap/>
            <w:vAlign w:val="center"/>
          </w:tcPr>
          <w:p w14:paraId="73053096">
            <w:pPr>
              <w:widowControl/>
              <w:ind w:firstLine="0" w:firstLineChars="0"/>
              <w:jc w:val="center"/>
              <w:rPr>
                <w:color w:val="000000"/>
                <w:kern w:val="0"/>
                <w:sz w:val="16"/>
                <w:szCs w:val="16"/>
              </w:rPr>
            </w:pPr>
            <w:r>
              <w:rPr>
                <w:color w:val="000000"/>
                <w:kern w:val="0"/>
                <w:sz w:val="16"/>
                <w:szCs w:val="16"/>
              </w:rPr>
              <w:t>9360.00</w:t>
            </w:r>
          </w:p>
        </w:tc>
      </w:tr>
      <w:tr w14:paraId="226FBBED">
        <w:tblPrEx>
          <w:tblCellMar>
            <w:top w:w="0" w:type="dxa"/>
            <w:left w:w="108" w:type="dxa"/>
            <w:bottom w:w="0" w:type="dxa"/>
            <w:right w:w="108" w:type="dxa"/>
          </w:tblCellMar>
        </w:tblPrEx>
        <w:trPr>
          <w:trHeight w:val="288" w:hRule="atLeast"/>
          <w:jc w:val="center"/>
        </w:trPr>
        <w:tc>
          <w:tcPr>
            <w:tcW w:w="737" w:type="dxa"/>
            <w:noWrap/>
            <w:vAlign w:val="center"/>
          </w:tcPr>
          <w:p w14:paraId="7EA9000F">
            <w:pPr>
              <w:widowControl/>
              <w:ind w:firstLine="0" w:firstLineChars="0"/>
              <w:jc w:val="center"/>
              <w:rPr>
                <w:color w:val="000000"/>
                <w:kern w:val="0"/>
                <w:sz w:val="16"/>
                <w:szCs w:val="16"/>
              </w:rPr>
            </w:pPr>
          </w:p>
        </w:tc>
        <w:tc>
          <w:tcPr>
            <w:tcW w:w="3120" w:type="dxa"/>
            <w:vAlign w:val="center"/>
          </w:tcPr>
          <w:p w14:paraId="57A5F49E">
            <w:pPr>
              <w:widowControl/>
              <w:ind w:firstLine="0" w:firstLineChars="0"/>
              <w:jc w:val="center"/>
              <w:rPr>
                <w:color w:val="000000"/>
                <w:kern w:val="0"/>
                <w:sz w:val="16"/>
                <w:szCs w:val="16"/>
              </w:rPr>
            </w:pPr>
            <w:r>
              <w:rPr>
                <w:color w:val="000000"/>
                <w:kern w:val="0"/>
                <w:sz w:val="16"/>
                <w:szCs w:val="16"/>
              </w:rPr>
              <w:t>Milling Drum Edge Bits</w:t>
            </w:r>
          </w:p>
        </w:tc>
        <w:tc>
          <w:tcPr>
            <w:tcW w:w="1204" w:type="dxa"/>
            <w:noWrap/>
            <w:vAlign w:val="center"/>
          </w:tcPr>
          <w:p w14:paraId="4FEC1BB5">
            <w:pPr>
              <w:widowControl/>
              <w:ind w:firstLine="0" w:firstLineChars="0"/>
              <w:jc w:val="center"/>
              <w:rPr>
                <w:color w:val="000000"/>
                <w:kern w:val="0"/>
                <w:sz w:val="16"/>
                <w:szCs w:val="16"/>
              </w:rPr>
            </w:pPr>
            <w:r>
              <w:rPr>
                <w:color w:val="000000"/>
                <w:kern w:val="0"/>
                <w:sz w:val="16"/>
                <w:szCs w:val="16"/>
              </w:rPr>
              <w:t>piece</w:t>
            </w:r>
          </w:p>
        </w:tc>
        <w:tc>
          <w:tcPr>
            <w:tcW w:w="840" w:type="dxa"/>
            <w:noWrap/>
            <w:vAlign w:val="center"/>
          </w:tcPr>
          <w:p w14:paraId="25D8B4D8">
            <w:pPr>
              <w:widowControl/>
              <w:ind w:firstLine="0" w:firstLineChars="0"/>
              <w:jc w:val="center"/>
              <w:rPr>
                <w:color w:val="000000"/>
                <w:kern w:val="0"/>
                <w:sz w:val="16"/>
                <w:szCs w:val="16"/>
              </w:rPr>
            </w:pPr>
            <w:r>
              <w:rPr>
                <w:color w:val="000000"/>
                <w:kern w:val="0"/>
                <w:sz w:val="16"/>
                <w:szCs w:val="16"/>
              </w:rPr>
              <w:t>18.000</w:t>
            </w:r>
          </w:p>
        </w:tc>
        <w:tc>
          <w:tcPr>
            <w:tcW w:w="1082" w:type="dxa"/>
            <w:noWrap/>
            <w:vAlign w:val="center"/>
          </w:tcPr>
          <w:p w14:paraId="25CED3AB">
            <w:pPr>
              <w:widowControl/>
              <w:ind w:firstLine="0" w:firstLineChars="0"/>
              <w:jc w:val="center"/>
              <w:rPr>
                <w:color w:val="000000"/>
                <w:kern w:val="0"/>
                <w:sz w:val="16"/>
                <w:szCs w:val="16"/>
              </w:rPr>
            </w:pPr>
            <w:r>
              <w:rPr>
                <w:color w:val="000000"/>
                <w:kern w:val="0"/>
                <w:sz w:val="16"/>
                <w:szCs w:val="16"/>
              </w:rPr>
              <w:t>520.00</w:t>
            </w:r>
          </w:p>
        </w:tc>
        <w:tc>
          <w:tcPr>
            <w:tcW w:w="1027" w:type="dxa"/>
            <w:noWrap/>
            <w:vAlign w:val="center"/>
          </w:tcPr>
          <w:p w14:paraId="5E6C9FFF">
            <w:pPr>
              <w:widowControl/>
              <w:ind w:firstLine="0" w:firstLineChars="0"/>
              <w:jc w:val="center"/>
              <w:rPr>
                <w:color w:val="000000"/>
                <w:kern w:val="0"/>
                <w:sz w:val="16"/>
                <w:szCs w:val="16"/>
              </w:rPr>
            </w:pPr>
            <w:r>
              <w:rPr>
                <w:color w:val="000000"/>
                <w:kern w:val="0"/>
                <w:sz w:val="16"/>
                <w:szCs w:val="16"/>
              </w:rPr>
              <w:t>9360.00</w:t>
            </w:r>
          </w:p>
        </w:tc>
      </w:tr>
      <w:tr w14:paraId="4C7C4210">
        <w:tblPrEx>
          <w:tblCellMar>
            <w:top w:w="0" w:type="dxa"/>
            <w:left w:w="108" w:type="dxa"/>
            <w:bottom w:w="0" w:type="dxa"/>
            <w:right w:w="108" w:type="dxa"/>
          </w:tblCellMar>
        </w:tblPrEx>
        <w:trPr>
          <w:trHeight w:val="288" w:hRule="atLeast"/>
          <w:jc w:val="center"/>
        </w:trPr>
        <w:tc>
          <w:tcPr>
            <w:tcW w:w="737" w:type="dxa"/>
            <w:noWrap/>
            <w:vAlign w:val="center"/>
          </w:tcPr>
          <w:p w14:paraId="16AA1B2C">
            <w:pPr>
              <w:widowControl/>
              <w:ind w:firstLine="0" w:firstLineChars="0"/>
              <w:jc w:val="center"/>
              <w:rPr>
                <w:color w:val="000000"/>
                <w:kern w:val="0"/>
                <w:sz w:val="16"/>
                <w:szCs w:val="16"/>
              </w:rPr>
            </w:pPr>
            <w:r>
              <w:rPr>
                <w:color w:val="000000"/>
                <w:kern w:val="0"/>
                <w:sz w:val="16"/>
                <w:szCs w:val="16"/>
              </w:rPr>
              <w:t>1.1.3</w:t>
            </w:r>
          </w:p>
        </w:tc>
        <w:tc>
          <w:tcPr>
            <w:tcW w:w="3120" w:type="dxa"/>
            <w:noWrap/>
            <w:vAlign w:val="center"/>
          </w:tcPr>
          <w:p w14:paraId="053E7CAA">
            <w:pPr>
              <w:widowControl/>
              <w:ind w:firstLine="0" w:firstLineChars="0"/>
              <w:jc w:val="center"/>
              <w:rPr>
                <w:color w:val="000000"/>
                <w:kern w:val="0"/>
                <w:sz w:val="16"/>
                <w:szCs w:val="16"/>
              </w:rPr>
            </w:pPr>
            <w:r>
              <w:rPr>
                <w:color w:val="000000"/>
                <w:kern w:val="0"/>
                <w:sz w:val="16"/>
                <w:szCs w:val="16"/>
              </w:rPr>
              <w:t>Machinery Operation Cost</w:t>
            </w:r>
          </w:p>
        </w:tc>
        <w:tc>
          <w:tcPr>
            <w:tcW w:w="1204" w:type="dxa"/>
            <w:noWrap/>
            <w:vAlign w:val="center"/>
          </w:tcPr>
          <w:p w14:paraId="2FBD83D4">
            <w:pPr>
              <w:widowControl/>
              <w:ind w:firstLine="0" w:firstLineChars="0"/>
              <w:jc w:val="center"/>
              <w:rPr>
                <w:color w:val="000000"/>
                <w:kern w:val="0"/>
                <w:sz w:val="16"/>
                <w:szCs w:val="16"/>
              </w:rPr>
            </w:pPr>
          </w:p>
        </w:tc>
        <w:tc>
          <w:tcPr>
            <w:tcW w:w="840" w:type="dxa"/>
            <w:noWrap/>
            <w:vAlign w:val="center"/>
          </w:tcPr>
          <w:p w14:paraId="7C899CE7">
            <w:pPr>
              <w:widowControl/>
              <w:ind w:firstLine="0" w:firstLineChars="0"/>
              <w:jc w:val="center"/>
              <w:rPr>
                <w:color w:val="000000"/>
                <w:kern w:val="0"/>
                <w:sz w:val="16"/>
                <w:szCs w:val="16"/>
              </w:rPr>
            </w:pPr>
          </w:p>
        </w:tc>
        <w:tc>
          <w:tcPr>
            <w:tcW w:w="1082" w:type="dxa"/>
            <w:noWrap/>
            <w:vAlign w:val="center"/>
          </w:tcPr>
          <w:p w14:paraId="52F2A624">
            <w:pPr>
              <w:widowControl/>
              <w:ind w:firstLine="0" w:firstLineChars="0"/>
              <w:jc w:val="center"/>
              <w:rPr>
                <w:color w:val="000000"/>
                <w:kern w:val="0"/>
                <w:sz w:val="16"/>
                <w:szCs w:val="16"/>
              </w:rPr>
            </w:pPr>
          </w:p>
        </w:tc>
        <w:tc>
          <w:tcPr>
            <w:tcW w:w="1027" w:type="dxa"/>
            <w:noWrap/>
            <w:vAlign w:val="center"/>
          </w:tcPr>
          <w:p w14:paraId="756FE84F">
            <w:pPr>
              <w:widowControl/>
              <w:ind w:firstLine="0" w:firstLineChars="0"/>
              <w:jc w:val="center"/>
              <w:rPr>
                <w:color w:val="000000"/>
                <w:kern w:val="0"/>
                <w:sz w:val="16"/>
                <w:szCs w:val="16"/>
              </w:rPr>
            </w:pPr>
            <w:r>
              <w:rPr>
                <w:color w:val="000000"/>
                <w:kern w:val="0"/>
                <w:sz w:val="16"/>
                <w:szCs w:val="16"/>
              </w:rPr>
              <w:t>6351.62</w:t>
            </w:r>
          </w:p>
        </w:tc>
      </w:tr>
      <w:tr w14:paraId="7FA04E3B">
        <w:tblPrEx>
          <w:tblCellMar>
            <w:top w:w="0" w:type="dxa"/>
            <w:left w:w="108" w:type="dxa"/>
            <w:bottom w:w="0" w:type="dxa"/>
            <w:right w:w="108" w:type="dxa"/>
          </w:tblCellMar>
        </w:tblPrEx>
        <w:trPr>
          <w:trHeight w:val="288" w:hRule="atLeast"/>
          <w:jc w:val="center"/>
        </w:trPr>
        <w:tc>
          <w:tcPr>
            <w:tcW w:w="737" w:type="dxa"/>
            <w:tcBorders>
              <w:bottom w:val="single" w:color="auto" w:sz="4" w:space="0"/>
            </w:tcBorders>
            <w:noWrap/>
            <w:vAlign w:val="center"/>
          </w:tcPr>
          <w:p w14:paraId="745E85F1">
            <w:pPr>
              <w:widowControl/>
              <w:ind w:firstLine="0" w:firstLineChars="0"/>
              <w:jc w:val="center"/>
              <w:rPr>
                <w:color w:val="000000"/>
                <w:kern w:val="0"/>
                <w:sz w:val="16"/>
                <w:szCs w:val="16"/>
              </w:rPr>
            </w:pPr>
          </w:p>
        </w:tc>
        <w:tc>
          <w:tcPr>
            <w:tcW w:w="3120" w:type="dxa"/>
            <w:tcBorders>
              <w:bottom w:val="single" w:color="auto" w:sz="4" w:space="0"/>
            </w:tcBorders>
            <w:noWrap/>
            <w:vAlign w:val="center"/>
          </w:tcPr>
          <w:p w14:paraId="395A0FF0">
            <w:pPr>
              <w:widowControl/>
              <w:ind w:firstLine="0" w:firstLineChars="0"/>
              <w:jc w:val="center"/>
              <w:rPr>
                <w:color w:val="000000"/>
                <w:kern w:val="0"/>
                <w:sz w:val="16"/>
                <w:szCs w:val="16"/>
              </w:rPr>
            </w:pPr>
            <w:r>
              <w:rPr>
                <w:sz w:val="16"/>
              </w:rPr>
              <w:t>Pavement Milling Machine</w:t>
            </w:r>
            <w:r>
              <w:rPr>
                <w:rFonts w:hint="eastAsia"/>
                <w:sz w:val="16"/>
              </w:rPr>
              <w:t xml:space="preserve"> </w:t>
            </w:r>
            <w:r>
              <w:rPr>
                <w:color w:val="000000"/>
                <w:kern w:val="0"/>
                <w:sz w:val="16"/>
                <w:szCs w:val="16"/>
              </w:rPr>
              <w:t>2000mm</w:t>
            </w:r>
          </w:p>
        </w:tc>
        <w:tc>
          <w:tcPr>
            <w:tcW w:w="1204" w:type="dxa"/>
            <w:tcBorders>
              <w:bottom w:val="single" w:color="auto" w:sz="4" w:space="0"/>
            </w:tcBorders>
            <w:noWrap/>
            <w:vAlign w:val="center"/>
          </w:tcPr>
          <w:p w14:paraId="066D16EC">
            <w:pPr>
              <w:widowControl/>
              <w:ind w:firstLine="0" w:firstLineChars="0"/>
              <w:jc w:val="center"/>
              <w:rPr>
                <w:color w:val="000000"/>
                <w:kern w:val="0"/>
                <w:sz w:val="16"/>
                <w:szCs w:val="16"/>
              </w:rPr>
            </w:pPr>
            <w:r>
              <w:rPr>
                <w:color w:val="000000"/>
                <w:kern w:val="0"/>
                <w:sz w:val="16"/>
                <w:szCs w:val="16"/>
              </w:rPr>
              <w:t>Machine-shift</w:t>
            </w:r>
          </w:p>
        </w:tc>
        <w:tc>
          <w:tcPr>
            <w:tcW w:w="840" w:type="dxa"/>
            <w:tcBorders>
              <w:bottom w:val="single" w:color="auto" w:sz="4" w:space="0"/>
            </w:tcBorders>
            <w:noWrap/>
            <w:vAlign w:val="center"/>
          </w:tcPr>
          <w:p w14:paraId="263B93DE">
            <w:pPr>
              <w:widowControl/>
              <w:ind w:firstLine="0" w:firstLineChars="0"/>
              <w:jc w:val="center"/>
              <w:rPr>
                <w:color w:val="000000"/>
                <w:kern w:val="0"/>
                <w:sz w:val="16"/>
                <w:szCs w:val="16"/>
              </w:rPr>
            </w:pPr>
            <w:r>
              <w:rPr>
                <w:color w:val="000000"/>
                <w:kern w:val="0"/>
                <w:sz w:val="16"/>
                <w:szCs w:val="16"/>
              </w:rPr>
              <w:t>2.130</w:t>
            </w:r>
          </w:p>
        </w:tc>
        <w:tc>
          <w:tcPr>
            <w:tcW w:w="1082" w:type="dxa"/>
            <w:tcBorders>
              <w:bottom w:val="single" w:color="auto" w:sz="4" w:space="0"/>
            </w:tcBorders>
            <w:noWrap/>
            <w:vAlign w:val="center"/>
          </w:tcPr>
          <w:p w14:paraId="4C96D6D6">
            <w:pPr>
              <w:widowControl/>
              <w:ind w:firstLine="0" w:firstLineChars="0"/>
              <w:jc w:val="center"/>
              <w:rPr>
                <w:color w:val="000000"/>
                <w:kern w:val="0"/>
                <w:sz w:val="16"/>
                <w:szCs w:val="16"/>
              </w:rPr>
            </w:pPr>
            <w:r>
              <w:rPr>
                <w:color w:val="000000"/>
                <w:kern w:val="0"/>
                <w:sz w:val="16"/>
                <w:szCs w:val="16"/>
              </w:rPr>
              <w:t>2981.98</w:t>
            </w:r>
          </w:p>
        </w:tc>
        <w:tc>
          <w:tcPr>
            <w:tcW w:w="1027" w:type="dxa"/>
            <w:tcBorders>
              <w:bottom w:val="single" w:color="auto" w:sz="4" w:space="0"/>
            </w:tcBorders>
            <w:noWrap/>
            <w:vAlign w:val="center"/>
          </w:tcPr>
          <w:p w14:paraId="58540C35">
            <w:pPr>
              <w:widowControl/>
              <w:ind w:firstLine="0" w:firstLineChars="0"/>
              <w:jc w:val="center"/>
              <w:rPr>
                <w:color w:val="000000"/>
                <w:kern w:val="0"/>
                <w:sz w:val="16"/>
                <w:szCs w:val="16"/>
              </w:rPr>
            </w:pPr>
            <w:r>
              <w:rPr>
                <w:color w:val="000000"/>
                <w:kern w:val="0"/>
                <w:sz w:val="16"/>
                <w:szCs w:val="16"/>
              </w:rPr>
              <w:t>6351.62</w:t>
            </w:r>
          </w:p>
        </w:tc>
      </w:tr>
      <w:tr w14:paraId="50393F16">
        <w:tblPrEx>
          <w:tblCellMar>
            <w:top w:w="0" w:type="dxa"/>
            <w:left w:w="108" w:type="dxa"/>
            <w:bottom w:w="0" w:type="dxa"/>
            <w:right w:w="108" w:type="dxa"/>
          </w:tblCellMar>
        </w:tblPrEx>
        <w:trPr>
          <w:trHeight w:val="288" w:hRule="atLeast"/>
          <w:jc w:val="center"/>
        </w:trPr>
        <w:tc>
          <w:tcPr>
            <w:tcW w:w="737" w:type="dxa"/>
            <w:tcBorders>
              <w:top w:val="single" w:color="auto" w:sz="4" w:space="0"/>
              <w:bottom w:val="single" w:color="auto" w:sz="4" w:space="0"/>
            </w:tcBorders>
            <w:noWrap/>
            <w:vAlign w:val="center"/>
          </w:tcPr>
          <w:p w14:paraId="3841B411">
            <w:pPr>
              <w:widowControl/>
              <w:ind w:firstLine="0" w:firstLineChars="0"/>
              <w:jc w:val="center"/>
              <w:rPr>
                <w:color w:val="000000"/>
                <w:kern w:val="0"/>
                <w:sz w:val="16"/>
                <w:szCs w:val="16"/>
              </w:rPr>
            </w:pPr>
            <w:r>
              <w:rPr>
                <w:color w:val="000000"/>
                <w:kern w:val="0"/>
                <w:sz w:val="16"/>
                <w:szCs w:val="16"/>
              </w:rPr>
              <w:t>1.2</w:t>
            </w:r>
          </w:p>
        </w:tc>
        <w:tc>
          <w:tcPr>
            <w:tcW w:w="3120" w:type="dxa"/>
            <w:tcBorders>
              <w:top w:val="single" w:color="auto" w:sz="4" w:space="0"/>
              <w:bottom w:val="single" w:color="auto" w:sz="4" w:space="0"/>
            </w:tcBorders>
            <w:noWrap/>
            <w:vAlign w:val="center"/>
          </w:tcPr>
          <w:p w14:paraId="085705EB">
            <w:pPr>
              <w:widowControl/>
              <w:ind w:firstLine="0" w:firstLineChars="0"/>
              <w:jc w:val="center"/>
              <w:rPr>
                <w:color w:val="000000"/>
                <w:kern w:val="0"/>
                <w:sz w:val="16"/>
                <w:szCs w:val="16"/>
              </w:rPr>
            </w:pPr>
            <w:r>
              <w:rPr>
                <w:color w:val="000000"/>
                <w:kern w:val="0"/>
                <w:sz w:val="16"/>
                <w:szCs w:val="16"/>
              </w:rPr>
              <w:t>Other Direct Costs (Measure Costs)</w:t>
            </w:r>
          </w:p>
        </w:tc>
        <w:tc>
          <w:tcPr>
            <w:tcW w:w="1204" w:type="dxa"/>
            <w:tcBorders>
              <w:top w:val="single" w:color="auto" w:sz="4" w:space="0"/>
              <w:bottom w:val="single" w:color="auto" w:sz="4" w:space="0"/>
            </w:tcBorders>
            <w:noWrap/>
            <w:vAlign w:val="center"/>
          </w:tcPr>
          <w:p w14:paraId="34045F46">
            <w:pPr>
              <w:widowControl/>
              <w:ind w:firstLine="0" w:firstLineChars="0"/>
              <w:jc w:val="center"/>
              <w:rPr>
                <w:color w:val="000000"/>
                <w:kern w:val="0"/>
                <w:sz w:val="16"/>
                <w:szCs w:val="16"/>
              </w:rPr>
            </w:pPr>
            <w:r>
              <w:rPr>
                <w:color w:val="000000"/>
                <w:kern w:val="0"/>
                <w:sz w:val="16"/>
                <w:szCs w:val="16"/>
              </w:rPr>
              <w:t>CNY</w:t>
            </w:r>
          </w:p>
        </w:tc>
        <w:tc>
          <w:tcPr>
            <w:tcW w:w="840" w:type="dxa"/>
            <w:tcBorders>
              <w:top w:val="single" w:color="auto" w:sz="4" w:space="0"/>
              <w:bottom w:val="single" w:color="auto" w:sz="4" w:space="0"/>
            </w:tcBorders>
            <w:noWrap/>
            <w:vAlign w:val="center"/>
          </w:tcPr>
          <w:p w14:paraId="5603CA69">
            <w:pPr>
              <w:widowControl/>
              <w:ind w:firstLine="0" w:firstLineChars="0"/>
              <w:jc w:val="center"/>
              <w:rPr>
                <w:color w:val="000000"/>
                <w:kern w:val="0"/>
                <w:sz w:val="16"/>
                <w:szCs w:val="16"/>
              </w:rPr>
            </w:pPr>
            <w:r>
              <w:rPr>
                <w:color w:val="000000"/>
                <w:kern w:val="0"/>
                <w:sz w:val="16"/>
                <w:szCs w:val="16"/>
              </w:rPr>
              <w:t>29.20%</w:t>
            </w:r>
          </w:p>
        </w:tc>
        <w:tc>
          <w:tcPr>
            <w:tcW w:w="1082" w:type="dxa"/>
            <w:tcBorders>
              <w:top w:val="single" w:color="auto" w:sz="4" w:space="0"/>
              <w:bottom w:val="single" w:color="auto" w:sz="4" w:space="0"/>
            </w:tcBorders>
            <w:noWrap/>
            <w:vAlign w:val="center"/>
          </w:tcPr>
          <w:p w14:paraId="2EA8E6AA">
            <w:pPr>
              <w:widowControl/>
              <w:ind w:firstLine="0" w:firstLineChars="0"/>
              <w:jc w:val="center"/>
              <w:rPr>
                <w:color w:val="000000"/>
                <w:kern w:val="0"/>
                <w:sz w:val="16"/>
                <w:szCs w:val="16"/>
              </w:rPr>
            </w:pPr>
            <w:r>
              <w:rPr>
                <w:color w:val="000000"/>
                <w:kern w:val="0"/>
                <w:sz w:val="16"/>
                <w:szCs w:val="16"/>
              </w:rPr>
              <w:t>2133.50</w:t>
            </w:r>
          </w:p>
        </w:tc>
        <w:tc>
          <w:tcPr>
            <w:tcW w:w="1027" w:type="dxa"/>
            <w:tcBorders>
              <w:top w:val="single" w:color="auto" w:sz="4" w:space="0"/>
              <w:bottom w:val="single" w:color="auto" w:sz="4" w:space="0"/>
            </w:tcBorders>
            <w:noWrap/>
            <w:vAlign w:val="center"/>
          </w:tcPr>
          <w:p w14:paraId="28FD8695">
            <w:pPr>
              <w:widowControl/>
              <w:ind w:firstLine="0" w:firstLineChars="0"/>
              <w:jc w:val="center"/>
              <w:rPr>
                <w:color w:val="000000"/>
                <w:kern w:val="0"/>
                <w:sz w:val="16"/>
                <w:szCs w:val="16"/>
              </w:rPr>
            </w:pPr>
            <w:r>
              <w:rPr>
                <w:color w:val="000000"/>
                <w:kern w:val="0"/>
                <w:sz w:val="16"/>
                <w:szCs w:val="16"/>
              </w:rPr>
              <w:t>622.98</w:t>
            </w:r>
          </w:p>
        </w:tc>
      </w:tr>
      <w:tr w14:paraId="54768764">
        <w:tblPrEx>
          <w:tblCellMar>
            <w:top w:w="0" w:type="dxa"/>
            <w:left w:w="108" w:type="dxa"/>
            <w:bottom w:w="0" w:type="dxa"/>
            <w:right w:w="108" w:type="dxa"/>
          </w:tblCellMar>
        </w:tblPrEx>
        <w:trPr>
          <w:trHeight w:val="288" w:hRule="atLeast"/>
          <w:jc w:val="center"/>
        </w:trPr>
        <w:tc>
          <w:tcPr>
            <w:tcW w:w="737" w:type="dxa"/>
            <w:tcBorders>
              <w:top w:val="single" w:color="auto" w:sz="4" w:space="0"/>
              <w:bottom w:val="single" w:color="auto" w:sz="4" w:space="0"/>
            </w:tcBorders>
            <w:noWrap/>
            <w:vAlign w:val="center"/>
          </w:tcPr>
          <w:p w14:paraId="5637C7BD">
            <w:pPr>
              <w:widowControl/>
              <w:ind w:firstLine="0" w:firstLineChars="0"/>
              <w:jc w:val="center"/>
              <w:rPr>
                <w:color w:val="000000"/>
                <w:kern w:val="0"/>
                <w:sz w:val="16"/>
                <w:szCs w:val="16"/>
              </w:rPr>
            </w:pPr>
            <w:r>
              <w:rPr>
                <w:color w:val="000000"/>
                <w:kern w:val="0"/>
                <w:sz w:val="16"/>
                <w:szCs w:val="16"/>
              </w:rPr>
              <w:t>2</w:t>
            </w:r>
          </w:p>
        </w:tc>
        <w:tc>
          <w:tcPr>
            <w:tcW w:w="3120" w:type="dxa"/>
            <w:tcBorders>
              <w:top w:val="single" w:color="auto" w:sz="4" w:space="0"/>
              <w:bottom w:val="single" w:color="auto" w:sz="4" w:space="0"/>
            </w:tcBorders>
            <w:noWrap/>
            <w:vAlign w:val="center"/>
          </w:tcPr>
          <w:p w14:paraId="7F3EDE70">
            <w:pPr>
              <w:widowControl/>
              <w:ind w:firstLine="0" w:firstLineChars="0"/>
              <w:jc w:val="center"/>
              <w:rPr>
                <w:color w:val="000000"/>
                <w:kern w:val="0"/>
                <w:sz w:val="16"/>
                <w:szCs w:val="16"/>
              </w:rPr>
            </w:pPr>
            <w:r>
              <w:rPr>
                <w:color w:val="000000"/>
                <w:kern w:val="0"/>
                <w:sz w:val="16"/>
                <w:szCs w:val="16"/>
              </w:rPr>
              <w:t>Indirect Costs</w:t>
            </w:r>
          </w:p>
        </w:tc>
        <w:tc>
          <w:tcPr>
            <w:tcW w:w="1204" w:type="dxa"/>
            <w:tcBorders>
              <w:top w:val="single" w:color="auto" w:sz="4" w:space="0"/>
              <w:bottom w:val="single" w:color="auto" w:sz="4" w:space="0"/>
            </w:tcBorders>
            <w:noWrap/>
            <w:vAlign w:val="center"/>
          </w:tcPr>
          <w:p w14:paraId="0420D666">
            <w:pPr>
              <w:widowControl/>
              <w:ind w:firstLine="0" w:firstLineChars="0"/>
              <w:jc w:val="center"/>
              <w:rPr>
                <w:color w:val="000000"/>
                <w:kern w:val="0"/>
                <w:sz w:val="16"/>
                <w:szCs w:val="16"/>
              </w:rPr>
            </w:pPr>
            <w:r>
              <w:rPr>
                <w:color w:val="000000"/>
                <w:kern w:val="0"/>
                <w:sz w:val="16"/>
                <w:szCs w:val="16"/>
              </w:rPr>
              <w:t>CNY</w:t>
            </w:r>
          </w:p>
        </w:tc>
        <w:tc>
          <w:tcPr>
            <w:tcW w:w="840" w:type="dxa"/>
            <w:tcBorders>
              <w:top w:val="single" w:color="auto" w:sz="4" w:space="0"/>
              <w:bottom w:val="single" w:color="auto" w:sz="4" w:space="0"/>
            </w:tcBorders>
            <w:noWrap/>
            <w:vAlign w:val="center"/>
          </w:tcPr>
          <w:p w14:paraId="05F3A5E1">
            <w:pPr>
              <w:widowControl/>
              <w:ind w:firstLine="0" w:firstLineChars="0"/>
              <w:jc w:val="center"/>
              <w:rPr>
                <w:color w:val="000000"/>
                <w:kern w:val="0"/>
                <w:sz w:val="16"/>
                <w:szCs w:val="16"/>
              </w:rPr>
            </w:pPr>
          </w:p>
        </w:tc>
        <w:tc>
          <w:tcPr>
            <w:tcW w:w="1082" w:type="dxa"/>
            <w:tcBorders>
              <w:top w:val="single" w:color="auto" w:sz="4" w:space="0"/>
              <w:bottom w:val="single" w:color="auto" w:sz="4" w:space="0"/>
            </w:tcBorders>
            <w:noWrap/>
            <w:vAlign w:val="center"/>
          </w:tcPr>
          <w:p w14:paraId="5A6707F0">
            <w:pPr>
              <w:widowControl/>
              <w:ind w:firstLine="0" w:firstLineChars="0"/>
              <w:jc w:val="center"/>
              <w:rPr>
                <w:color w:val="000000"/>
                <w:kern w:val="0"/>
                <w:sz w:val="16"/>
                <w:szCs w:val="16"/>
              </w:rPr>
            </w:pPr>
          </w:p>
        </w:tc>
        <w:tc>
          <w:tcPr>
            <w:tcW w:w="1027" w:type="dxa"/>
            <w:tcBorders>
              <w:top w:val="single" w:color="auto" w:sz="4" w:space="0"/>
              <w:bottom w:val="single" w:color="auto" w:sz="4" w:space="0"/>
            </w:tcBorders>
            <w:noWrap/>
            <w:vAlign w:val="center"/>
          </w:tcPr>
          <w:p w14:paraId="41A4244A">
            <w:pPr>
              <w:widowControl/>
              <w:ind w:firstLine="0" w:firstLineChars="0"/>
              <w:jc w:val="center"/>
              <w:rPr>
                <w:color w:val="000000"/>
                <w:kern w:val="0"/>
                <w:sz w:val="16"/>
                <w:szCs w:val="16"/>
              </w:rPr>
            </w:pPr>
            <w:r>
              <w:rPr>
                <w:color w:val="000000"/>
                <w:kern w:val="0"/>
                <w:sz w:val="16"/>
                <w:szCs w:val="16"/>
              </w:rPr>
              <w:t>1322.77</w:t>
            </w:r>
          </w:p>
        </w:tc>
      </w:tr>
      <w:tr w14:paraId="3E9C952D">
        <w:tblPrEx>
          <w:tblCellMar>
            <w:top w:w="0" w:type="dxa"/>
            <w:left w:w="108" w:type="dxa"/>
            <w:bottom w:w="0" w:type="dxa"/>
            <w:right w:w="108" w:type="dxa"/>
          </w:tblCellMar>
        </w:tblPrEx>
        <w:trPr>
          <w:trHeight w:val="288" w:hRule="atLeast"/>
          <w:jc w:val="center"/>
        </w:trPr>
        <w:tc>
          <w:tcPr>
            <w:tcW w:w="737" w:type="dxa"/>
            <w:tcBorders>
              <w:top w:val="single" w:color="auto" w:sz="4" w:space="0"/>
            </w:tcBorders>
            <w:noWrap/>
            <w:vAlign w:val="center"/>
          </w:tcPr>
          <w:p w14:paraId="409CD78C">
            <w:pPr>
              <w:widowControl/>
              <w:ind w:firstLine="0" w:firstLineChars="0"/>
              <w:jc w:val="center"/>
              <w:rPr>
                <w:color w:val="000000"/>
                <w:kern w:val="0"/>
                <w:sz w:val="16"/>
                <w:szCs w:val="16"/>
              </w:rPr>
            </w:pPr>
            <w:r>
              <w:rPr>
                <w:color w:val="000000"/>
                <w:kern w:val="0"/>
                <w:sz w:val="16"/>
                <w:szCs w:val="16"/>
              </w:rPr>
              <w:t>2.1</w:t>
            </w:r>
          </w:p>
        </w:tc>
        <w:tc>
          <w:tcPr>
            <w:tcW w:w="3120" w:type="dxa"/>
            <w:tcBorders>
              <w:top w:val="single" w:color="auto" w:sz="4" w:space="0"/>
            </w:tcBorders>
            <w:noWrap/>
            <w:vAlign w:val="center"/>
          </w:tcPr>
          <w:p w14:paraId="5D6462C5">
            <w:pPr>
              <w:widowControl/>
              <w:ind w:firstLine="0" w:firstLineChars="0"/>
              <w:jc w:val="center"/>
              <w:rPr>
                <w:color w:val="000000"/>
                <w:kern w:val="0"/>
                <w:sz w:val="16"/>
                <w:szCs w:val="16"/>
              </w:rPr>
            </w:pPr>
            <w:r>
              <w:rPr>
                <w:color w:val="000000"/>
                <w:kern w:val="0"/>
                <w:sz w:val="16"/>
                <w:szCs w:val="16"/>
              </w:rPr>
              <w:t>Statutory Fees</w:t>
            </w:r>
          </w:p>
        </w:tc>
        <w:tc>
          <w:tcPr>
            <w:tcW w:w="1204" w:type="dxa"/>
            <w:tcBorders>
              <w:top w:val="single" w:color="auto" w:sz="4" w:space="0"/>
            </w:tcBorders>
            <w:noWrap/>
            <w:vAlign w:val="center"/>
          </w:tcPr>
          <w:p w14:paraId="58BB42CB">
            <w:pPr>
              <w:widowControl/>
              <w:ind w:firstLine="0" w:firstLineChars="0"/>
              <w:jc w:val="center"/>
              <w:rPr>
                <w:color w:val="000000"/>
                <w:kern w:val="0"/>
                <w:sz w:val="16"/>
                <w:szCs w:val="16"/>
              </w:rPr>
            </w:pPr>
          </w:p>
        </w:tc>
        <w:tc>
          <w:tcPr>
            <w:tcW w:w="840" w:type="dxa"/>
            <w:tcBorders>
              <w:top w:val="single" w:color="auto" w:sz="4" w:space="0"/>
            </w:tcBorders>
            <w:noWrap/>
            <w:vAlign w:val="center"/>
          </w:tcPr>
          <w:p w14:paraId="45B97D56">
            <w:pPr>
              <w:widowControl/>
              <w:ind w:firstLine="0" w:firstLineChars="0"/>
              <w:jc w:val="center"/>
              <w:rPr>
                <w:color w:val="000000"/>
                <w:kern w:val="0"/>
                <w:sz w:val="16"/>
                <w:szCs w:val="16"/>
              </w:rPr>
            </w:pPr>
          </w:p>
        </w:tc>
        <w:tc>
          <w:tcPr>
            <w:tcW w:w="1082" w:type="dxa"/>
            <w:tcBorders>
              <w:top w:val="single" w:color="auto" w:sz="4" w:space="0"/>
            </w:tcBorders>
            <w:noWrap/>
            <w:vAlign w:val="center"/>
          </w:tcPr>
          <w:p w14:paraId="0E9CDC71">
            <w:pPr>
              <w:widowControl/>
              <w:ind w:firstLine="0" w:firstLineChars="0"/>
              <w:jc w:val="center"/>
              <w:rPr>
                <w:color w:val="000000"/>
                <w:kern w:val="0"/>
                <w:sz w:val="16"/>
                <w:szCs w:val="16"/>
              </w:rPr>
            </w:pPr>
          </w:p>
        </w:tc>
        <w:tc>
          <w:tcPr>
            <w:tcW w:w="1027" w:type="dxa"/>
            <w:tcBorders>
              <w:top w:val="single" w:color="auto" w:sz="4" w:space="0"/>
            </w:tcBorders>
            <w:noWrap/>
            <w:vAlign w:val="center"/>
          </w:tcPr>
          <w:p w14:paraId="26251CCE">
            <w:pPr>
              <w:widowControl/>
              <w:ind w:firstLine="0" w:firstLineChars="0"/>
              <w:jc w:val="center"/>
              <w:rPr>
                <w:color w:val="000000"/>
                <w:kern w:val="0"/>
                <w:sz w:val="16"/>
                <w:szCs w:val="16"/>
              </w:rPr>
            </w:pPr>
            <w:r>
              <w:rPr>
                <w:color w:val="000000"/>
                <w:kern w:val="0"/>
                <w:sz w:val="16"/>
                <w:szCs w:val="16"/>
              </w:rPr>
              <w:t>682.72</w:t>
            </w:r>
          </w:p>
        </w:tc>
      </w:tr>
      <w:tr w14:paraId="6B771731">
        <w:tblPrEx>
          <w:tblCellMar>
            <w:top w:w="0" w:type="dxa"/>
            <w:left w:w="108" w:type="dxa"/>
            <w:bottom w:w="0" w:type="dxa"/>
            <w:right w:w="108" w:type="dxa"/>
          </w:tblCellMar>
        </w:tblPrEx>
        <w:trPr>
          <w:trHeight w:val="288" w:hRule="atLeast"/>
          <w:jc w:val="center"/>
        </w:trPr>
        <w:tc>
          <w:tcPr>
            <w:tcW w:w="737" w:type="dxa"/>
            <w:noWrap/>
            <w:vAlign w:val="center"/>
          </w:tcPr>
          <w:p w14:paraId="311A6CAA">
            <w:pPr>
              <w:widowControl/>
              <w:ind w:firstLine="0" w:firstLineChars="0"/>
              <w:jc w:val="center"/>
              <w:rPr>
                <w:color w:val="000000"/>
                <w:kern w:val="0"/>
                <w:sz w:val="16"/>
                <w:szCs w:val="16"/>
              </w:rPr>
            </w:pPr>
            <w:r>
              <w:rPr>
                <w:color w:val="000000"/>
                <w:kern w:val="0"/>
                <w:sz w:val="16"/>
                <w:szCs w:val="16"/>
              </w:rPr>
              <w:t>2.1.1</w:t>
            </w:r>
          </w:p>
        </w:tc>
        <w:tc>
          <w:tcPr>
            <w:tcW w:w="3120" w:type="dxa"/>
            <w:noWrap/>
            <w:vAlign w:val="center"/>
          </w:tcPr>
          <w:p w14:paraId="38B25928">
            <w:pPr>
              <w:widowControl/>
              <w:ind w:firstLine="0" w:firstLineChars="0"/>
              <w:jc w:val="center"/>
              <w:rPr>
                <w:color w:val="000000"/>
                <w:kern w:val="0"/>
                <w:sz w:val="16"/>
                <w:szCs w:val="16"/>
              </w:rPr>
            </w:pPr>
            <w:r>
              <w:rPr>
                <w:color w:val="000000"/>
                <w:kern w:val="0"/>
                <w:sz w:val="16"/>
                <w:szCs w:val="16"/>
              </w:rPr>
              <w:t>Social Security Fees</w:t>
            </w:r>
          </w:p>
        </w:tc>
        <w:tc>
          <w:tcPr>
            <w:tcW w:w="1204" w:type="dxa"/>
            <w:noWrap/>
            <w:vAlign w:val="center"/>
          </w:tcPr>
          <w:p w14:paraId="470D152F">
            <w:pPr>
              <w:widowControl/>
              <w:ind w:firstLine="0" w:firstLineChars="0"/>
              <w:jc w:val="center"/>
              <w:rPr>
                <w:color w:val="000000"/>
                <w:kern w:val="0"/>
                <w:sz w:val="16"/>
                <w:szCs w:val="16"/>
              </w:rPr>
            </w:pPr>
            <w:r>
              <w:rPr>
                <w:color w:val="000000"/>
                <w:kern w:val="0"/>
                <w:sz w:val="16"/>
                <w:szCs w:val="16"/>
              </w:rPr>
              <w:t>CNY</w:t>
            </w:r>
          </w:p>
        </w:tc>
        <w:tc>
          <w:tcPr>
            <w:tcW w:w="840" w:type="dxa"/>
            <w:noWrap/>
            <w:vAlign w:val="center"/>
          </w:tcPr>
          <w:p w14:paraId="6F40A593">
            <w:pPr>
              <w:widowControl/>
              <w:ind w:firstLine="0" w:firstLineChars="0"/>
              <w:jc w:val="center"/>
              <w:rPr>
                <w:color w:val="000000"/>
                <w:kern w:val="0"/>
                <w:sz w:val="16"/>
                <w:szCs w:val="16"/>
              </w:rPr>
            </w:pPr>
            <w:r>
              <w:rPr>
                <w:color w:val="000000"/>
                <w:kern w:val="0"/>
                <w:sz w:val="16"/>
                <w:szCs w:val="16"/>
              </w:rPr>
              <w:t>26.81%</w:t>
            </w:r>
          </w:p>
        </w:tc>
        <w:tc>
          <w:tcPr>
            <w:tcW w:w="1082" w:type="dxa"/>
            <w:noWrap/>
            <w:vAlign w:val="center"/>
          </w:tcPr>
          <w:p w14:paraId="2F74AC8E">
            <w:pPr>
              <w:widowControl/>
              <w:ind w:firstLine="0" w:firstLineChars="0"/>
              <w:jc w:val="center"/>
              <w:rPr>
                <w:color w:val="000000"/>
                <w:kern w:val="0"/>
                <w:sz w:val="16"/>
                <w:szCs w:val="16"/>
              </w:rPr>
            </w:pPr>
            <w:r>
              <w:rPr>
                <w:color w:val="000000"/>
                <w:kern w:val="0"/>
                <w:sz w:val="16"/>
                <w:szCs w:val="16"/>
              </w:rPr>
              <w:t>2133.50</w:t>
            </w:r>
          </w:p>
        </w:tc>
        <w:tc>
          <w:tcPr>
            <w:tcW w:w="1027" w:type="dxa"/>
            <w:noWrap/>
            <w:vAlign w:val="center"/>
          </w:tcPr>
          <w:p w14:paraId="676D2017">
            <w:pPr>
              <w:widowControl/>
              <w:ind w:firstLine="0" w:firstLineChars="0"/>
              <w:jc w:val="center"/>
              <w:rPr>
                <w:color w:val="000000"/>
                <w:kern w:val="0"/>
                <w:sz w:val="16"/>
                <w:szCs w:val="16"/>
              </w:rPr>
            </w:pPr>
            <w:r>
              <w:rPr>
                <w:color w:val="000000"/>
                <w:kern w:val="0"/>
                <w:sz w:val="16"/>
                <w:szCs w:val="16"/>
              </w:rPr>
              <w:t>571.99</w:t>
            </w:r>
          </w:p>
        </w:tc>
      </w:tr>
      <w:tr w14:paraId="42FAD24C">
        <w:tblPrEx>
          <w:tblCellMar>
            <w:top w:w="0" w:type="dxa"/>
            <w:left w:w="108" w:type="dxa"/>
            <w:bottom w:w="0" w:type="dxa"/>
            <w:right w:w="108" w:type="dxa"/>
          </w:tblCellMar>
        </w:tblPrEx>
        <w:trPr>
          <w:trHeight w:val="288" w:hRule="atLeast"/>
          <w:jc w:val="center"/>
        </w:trPr>
        <w:tc>
          <w:tcPr>
            <w:tcW w:w="737" w:type="dxa"/>
            <w:noWrap/>
            <w:vAlign w:val="center"/>
          </w:tcPr>
          <w:p w14:paraId="3D7BD502">
            <w:pPr>
              <w:widowControl/>
              <w:ind w:firstLine="0" w:firstLineChars="0"/>
              <w:jc w:val="center"/>
              <w:rPr>
                <w:color w:val="000000"/>
                <w:kern w:val="0"/>
                <w:sz w:val="16"/>
                <w:szCs w:val="16"/>
              </w:rPr>
            </w:pPr>
            <w:r>
              <w:rPr>
                <w:color w:val="000000"/>
                <w:kern w:val="0"/>
                <w:sz w:val="16"/>
                <w:szCs w:val="16"/>
              </w:rPr>
              <w:t>2.1.2</w:t>
            </w:r>
          </w:p>
        </w:tc>
        <w:tc>
          <w:tcPr>
            <w:tcW w:w="3120" w:type="dxa"/>
            <w:noWrap/>
            <w:vAlign w:val="center"/>
          </w:tcPr>
          <w:p w14:paraId="12BC50AC">
            <w:pPr>
              <w:widowControl/>
              <w:ind w:firstLine="0" w:firstLineChars="0"/>
              <w:jc w:val="center"/>
              <w:rPr>
                <w:color w:val="000000"/>
                <w:kern w:val="0"/>
                <w:sz w:val="16"/>
                <w:szCs w:val="16"/>
              </w:rPr>
            </w:pPr>
            <w:r>
              <w:rPr>
                <w:color w:val="000000"/>
                <w:kern w:val="0"/>
                <w:sz w:val="16"/>
                <w:szCs w:val="16"/>
              </w:rPr>
              <w:t>Housing Provident Fund</w:t>
            </w:r>
          </w:p>
        </w:tc>
        <w:tc>
          <w:tcPr>
            <w:tcW w:w="1204" w:type="dxa"/>
            <w:noWrap/>
            <w:vAlign w:val="center"/>
          </w:tcPr>
          <w:p w14:paraId="33A55C0D">
            <w:pPr>
              <w:widowControl/>
              <w:ind w:firstLine="0" w:firstLineChars="0"/>
              <w:jc w:val="center"/>
              <w:rPr>
                <w:color w:val="000000"/>
                <w:kern w:val="0"/>
                <w:sz w:val="16"/>
                <w:szCs w:val="16"/>
              </w:rPr>
            </w:pPr>
            <w:r>
              <w:rPr>
                <w:color w:val="000000"/>
                <w:kern w:val="0"/>
                <w:sz w:val="16"/>
                <w:szCs w:val="16"/>
              </w:rPr>
              <w:t>CNY</w:t>
            </w:r>
          </w:p>
        </w:tc>
        <w:tc>
          <w:tcPr>
            <w:tcW w:w="840" w:type="dxa"/>
            <w:noWrap/>
            <w:vAlign w:val="center"/>
          </w:tcPr>
          <w:p w14:paraId="1876F0FA">
            <w:pPr>
              <w:widowControl/>
              <w:ind w:firstLine="0" w:firstLineChars="0"/>
              <w:jc w:val="center"/>
              <w:rPr>
                <w:color w:val="000000"/>
                <w:kern w:val="0"/>
                <w:sz w:val="16"/>
                <w:szCs w:val="16"/>
              </w:rPr>
            </w:pPr>
            <w:r>
              <w:rPr>
                <w:color w:val="000000"/>
                <w:kern w:val="0"/>
                <w:sz w:val="16"/>
                <w:szCs w:val="16"/>
              </w:rPr>
              <w:t>4.19%</w:t>
            </w:r>
          </w:p>
        </w:tc>
        <w:tc>
          <w:tcPr>
            <w:tcW w:w="1082" w:type="dxa"/>
            <w:noWrap/>
            <w:vAlign w:val="center"/>
          </w:tcPr>
          <w:p w14:paraId="46BB4B4B">
            <w:pPr>
              <w:widowControl/>
              <w:ind w:firstLine="0" w:firstLineChars="0"/>
              <w:jc w:val="center"/>
              <w:rPr>
                <w:color w:val="000000"/>
                <w:kern w:val="0"/>
                <w:sz w:val="16"/>
                <w:szCs w:val="16"/>
              </w:rPr>
            </w:pPr>
            <w:r>
              <w:rPr>
                <w:color w:val="000000"/>
                <w:kern w:val="0"/>
                <w:sz w:val="16"/>
                <w:szCs w:val="16"/>
              </w:rPr>
              <w:t>2133.50</w:t>
            </w:r>
          </w:p>
        </w:tc>
        <w:tc>
          <w:tcPr>
            <w:tcW w:w="1027" w:type="dxa"/>
            <w:noWrap/>
            <w:vAlign w:val="center"/>
          </w:tcPr>
          <w:p w14:paraId="4486481C">
            <w:pPr>
              <w:widowControl/>
              <w:ind w:firstLine="0" w:firstLineChars="0"/>
              <w:jc w:val="center"/>
              <w:rPr>
                <w:color w:val="000000"/>
                <w:kern w:val="0"/>
                <w:sz w:val="16"/>
                <w:szCs w:val="16"/>
              </w:rPr>
            </w:pPr>
            <w:r>
              <w:rPr>
                <w:color w:val="000000"/>
                <w:kern w:val="0"/>
                <w:sz w:val="16"/>
                <w:szCs w:val="16"/>
              </w:rPr>
              <w:t>89.39</w:t>
            </w:r>
          </w:p>
        </w:tc>
      </w:tr>
      <w:tr w14:paraId="1666FA1A">
        <w:tblPrEx>
          <w:tblCellMar>
            <w:top w:w="0" w:type="dxa"/>
            <w:left w:w="108" w:type="dxa"/>
            <w:bottom w:w="0" w:type="dxa"/>
            <w:right w:w="108" w:type="dxa"/>
          </w:tblCellMar>
        </w:tblPrEx>
        <w:trPr>
          <w:trHeight w:val="288" w:hRule="atLeast"/>
          <w:jc w:val="center"/>
        </w:trPr>
        <w:tc>
          <w:tcPr>
            <w:tcW w:w="737" w:type="dxa"/>
            <w:tcBorders>
              <w:bottom w:val="single" w:color="auto" w:sz="4" w:space="0"/>
            </w:tcBorders>
            <w:noWrap/>
            <w:vAlign w:val="center"/>
          </w:tcPr>
          <w:p w14:paraId="41619E5A">
            <w:pPr>
              <w:widowControl/>
              <w:ind w:firstLine="0" w:firstLineChars="0"/>
              <w:jc w:val="center"/>
              <w:rPr>
                <w:color w:val="000000"/>
                <w:kern w:val="0"/>
                <w:sz w:val="16"/>
                <w:szCs w:val="16"/>
              </w:rPr>
            </w:pPr>
            <w:r>
              <w:rPr>
                <w:color w:val="000000"/>
                <w:kern w:val="0"/>
                <w:sz w:val="16"/>
                <w:szCs w:val="16"/>
              </w:rPr>
              <w:t>2.1.3</w:t>
            </w:r>
          </w:p>
        </w:tc>
        <w:tc>
          <w:tcPr>
            <w:tcW w:w="3120" w:type="dxa"/>
            <w:tcBorders>
              <w:bottom w:val="single" w:color="auto" w:sz="4" w:space="0"/>
            </w:tcBorders>
            <w:noWrap/>
            <w:vAlign w:val="center"/>
          </w:tcPr>
          <w:p w14:paraId="33FFDF0B">
            <w:pPr>
              <w:widowControl/>
              <w:ind w:firstLine="0" w:firstLineChars="0"/>
              <w:jc w:val="center"/>
              <w:rPr>
                <w:color w:val="000000"/>
                <w:kern w:val="0"/>
                <w:sz w:val="16"/>
                <w:szCs w:val="16"/>
              </w:rPr>
            </w:pPr>
            <w:r>
              <w:rPr>
                <w:color w:val="000000"/>
                <w:kern w:val="0"/>
                <w:sz w:val="16"/>
                <w:szCs w:val="16"/>
              </w:rPr>
              <w:t>Hazardous Work Accident Insurance</w:t>
            </w:r>
          </w:p>
        </w:tc>
        <w:tc>
          <w:tcPr>
            <w:tcW w:w="1204" w:type="dxa"/>
            <w:tcBorders>
              <w:bottom w:val="single" w:color="auto" w:sz="4" w:space="0"/>
            </w:tcBorders>
            <w:noWrap/>
            <w:vAlign w:val="center"/>
          </w:tcPr>
          <w:p w14:paraId="7E4CB8DB">
            <w:pPr>
              <w:widowControl/>
              <w:ind w:firstLine="0" w:firstLineChars="0"/>
              <w:jc w:val="center"/>
              <w:rPr>
                <w:color w:val="000000"/>
                <w:kern w:val="0"/>
                <w:sz w:val="16"/>
                <w:szCs w:val="16"/>
              </w:rPr>
            </w:pPr>
            <w:r>
              <w:rPr>
                <w:color w:val="000000"/>
                <w:kern w:val="0"/>
                <w:sz w:val="16"/>
                <w:szCs w:val="16"/>
              </w:rPr>
              <w:t>CNY</w:t>
            </w:r>
          </w:p>
        </w:tc>
        <w:tc>
          <w:tcPr>
            <w:tcW w:w="840" w:type="dxa"/>
            <w:tcBorders>
              <w:bottom w:val="single" w:color="auto" w:sz="4" w:space="0"/>
            </w:tcBorders>
            <w:noWrap/>
            <w:vAlign w:val="center"/>
          </w:tcPr>
          <w:p w14:paraId="43B36280">
            <w:pPr>
              <w:widowControl/>
              <w:ind w:firstLine="0" w:firstLineChars="0"/>
              <w:jc w:val="center"/>
              <w:rPr>
                <w:color w:val="000000"/>
                <w:kern w:val="0"/>
                <w:sz w:val="16"/>
                <w:szCs w:val="16"/>
              </w:rPr>
            </w:pPr>
            <w:r>
              <w:rPr>
                <w:color w:val="000000"/>
                <w:kern w:val="0"/>
                <w:sz w:val="16"/>
                <w:szCs w:val="16"/>
              </w:rPr>
              <w:t>1.00%</w:t>
            </w:r>
          </w:p>
        </w:tc>
        <w:tc>
          <w:tcPr>
            <w:tcW w:w="1082" w:type="dxa"/>
            <w:tcBorders>
              <w:bottom w:val="single" w:color="auto" w:sz="4" w:space="0"/>
            </w:tcBorders>
            <w:noWrap/>
            <w:vAlign w:val="center"/>
          </w:tcPr>
          <w:p w14:paraId="4C3B0BD8">
            <w:pPr>
              <w:widowControl/>
              <w:ind w:firstLine="0" w:firstLineChars="0"/>
              <w:jc w:val="center"/>
              <w:rPr>
                <w:color w:val="000000"/>
                <w:kern w:val="0"/>
                <w:sz w:val="16"/>
                <w:szCs w:val="16"/>
              </w:rPr>
            </w:pPr>
            <w:r>
              <w:rPr>
                <w:color w:val="000000"/>
                <w:kern w:val="0"/>
                <w:sz w:val="16"/>
                <w:szCs w:val="16"/>
              </w:rPr>
              <w:t>2133.50</w:t>
            </w:r>
          </w:p>
        </w:tc>
        <w:tc>
          <w:tcPr>
            <w:tcW w:w="1027" w:type="dxa"/>
            <w:tcBorders>
              <w:bottom w:val="single" w:color="auto" w:sz="4" w:space="0"/>
            </w:tcBorders>
            <w:noWrap/>
            <w:vAlign w:val="center"/>
          </w:tcPr>
          <w:p w14:paraId="7B3A63F5">
            <w:pPr>
              <w:widowControl/>
              <w:ind w:firstLine="0" w:firstLineChars="0"/>
              <w:jc w:val="center"/>
              <w:rPr>
                <w:color w:val="000000"/>
                <w:kern w:val="0"/>
                <w:sz w:val="16"/>
                <w:szCs w:val="16"/>
              </w:rPr>
            </w:pPr>
            <w:r>
              <w:rPr>
                <w:color w:val="000000"/>
                <w:kern w:val="0"/>
                <w:sz w:val="16"/>
                <w:szCs w:val="16"/>
              </w:rPr>
              <w:t>21.34</w:t>
            </w:r>
          </w:p>
        </w:tc>
      </w:tr>
      <w:tr w14:paraId="71C7715F">
        <w:tblPrEx>
          <w:tblCellMar>
            <w:top w:w="0" w:type="dxa"/>
            <w:left w:w="108" w:type="dxa"/>
            <w:bottom w:w="0" w:type="dxa"/>
            <w:right w:w="108" w:type="dxa"/>
          </w:tblCellMar>
        </w:tblPrEx>
        <w:trPr>
          <w:trHeight w:val="288" w:hRule="atLeast"/>
          <w:jc w:val="center"/>
        </w:trPr>
        <w:tc>
          <w:tcPr>
            <w:tcW w:w="737" w:type="dxa"/>
            <w:tcBorders>
              <w:top w:val="single" w:color="auto" w:sz="4" w:space="0"/>
              <w:bottom w:val="single" w:color="auto" w:sz="4" w:space="0"/>
            </w:tcBorders>
            <w:noWrap/>
            <w:vAlign w:val="center"/>
          </w:tcPr>
          <w:p w14:paraId="70B7F456">
            <w:pPr>
              <w:widowControl/>
              <w:ind w:firstLine="0" w:firstLineChars="0"/>
              <w:jc w:val="center"/>
              <w:rPr>
                <w:color w:val="000000"/>
                <w:kern w:val="0"/>
                <w:sz w:val="16"/>
                <w:szCs w:val="16"/>
              </w:rPr>
            </w:pPr>
            <w:r>
              <w:rPr>
                <w:color w:val="000000"/>
                <w:kern w:val="0"/>
                <w:sz w:val="16"/>
                <w:szCs w:val="16"/>
              </w:rPr>
              <w:t>2.2</w:t>
            </w:r>
          </w:p>
        </w:tc>
        <w:tc>
          <w:tcPr>
            <w:tcW w:w="3120" w:type="dxa"/>
            <w:tcBorders>
              <w:top w:val="single" w:color="auto" w:sz="4" w:space="0"/>
              <w:bottom w:val="single" w:color="auto" w:sz="4" w:space="0"/>
            </w:tcBorders>
            <w:noWrap/>
            <w:vAlign w:val="center"/>
          </w:tcPr>
          <w:p w14:paraId="75730B1F">
            <w:pPr>
              <w:widowControl/>
              <w:ind w:firstLine="0" w:firstLineChars="0"/>
              <w:jc w:val="center"/>
              <w:rPr>
                <w:color w:val="000000"/>
                <w:kern w:val="0"/>
                <w:sz w:val="16"/>
                <w:szCs w:val="16"/>
              </w:rPr>
            </w:pPr>
            <w:r>
              <w:rPr>
                <w:color w:val="000000"/>
                <w:kern w:val="0"/>
                <w:sz w:val="16"/>
                <w:szCs w:val="16"/>
              </w:rPr>
              <w:t>Enterprise Management Fees</w:t>
            </w:r>
          </w:p>
        </w:tc>
        <w:tc>
          <w:tcPr>
            <w:tcW w:w="1204" w:type="dxa"/>
            <w:tcBorders>
              <w:top w:val="single" w:color="auto" w:sz="4" w:space="0"/>
              <w:bottom w:val="single" w:color="auto" w:sz="4" w:space="0"/>
            </w:tcBorders>
            <w:noWrap/>
            <w:vAlign w:val="center"/>
          </w:tcPr>
          <w:p w14:paraId="2F7BF8DC">
            <w:pPr>
              <w:widowControl/>
              <w:ind w:firstLine="0" w:firstLineChars="0"/>
              <w:jc w:val="center"/>
              <w:rPr>
                <w:color w:val="000000"/>
                <w:kern w:val="0"/>
                <w:sz w:val="16"/>
                <w:szCs w:val="16"/>
              </w:rPr>
            </w:pPr>
            <w:r>
              <w:rPr>
                <w:color w:val="000000"/>
                <w:kern w:val="0"/>
                <w:sz w:val="16"/>
                <w:szCs w:val="16"/>
              </w:rPr>
              <w:t>CNY</w:t>
            </w:r>
          </w:p>
        </w:tc>
        <w:tc>
          <w:tcPr>
            <w:tcW w:w="840" w:type="dxa"/>
            <w:tcBorders>
              <w:top w:val="single" w:color="auto" w:sz="4" w:space="0"/>
              <w:bottom w:val="single" w:color="auto" w:sz="4" w:space="0"/>
            </w:tcBorders>
            <w:noWrap/>
            <w:vAlign w:val="center"/>
          </w:tcPr>
          <w:p w14:paraId="06959DBE">
            <w:pPr>
              <w:widowControl/>
              <w:ind w:firstLine="0" w:firstLineChars="0"/>
              <w:jc w:val="center"/>
              <w:rPr>
                <w:color w:val="000000"/>
                <w:kern w:val="0"/>
                <w:sz w:val="16"/>
                <w:szCs w:val="16"/>
              </w:rPr>
            </w:pPr>
            <w:r>
              <w:rPr>
                <w:color w:val="000000"/>
                <w:kern w:val="0"/>
                <w:sz w:val="16"/>
                <w:szCs w:val="16"/>
              </w:rPr>
              <w:t>30.00%</w:t>
            </w:r>
          </w:p>
        </w:tc>
        <w:tc>
          <w:tcPr>
            <w:tcW w:w="1082" w:type="dxa"/>
            <w:tcBorders>
              <w:top w:val="single" w:color="auto" w:sz="4" w:space="0"/>
              <w:bottom w:val="single" w:color="auto" w:sz="4" w:space="0"/>
            </w:tcBorders>
            <w:noWrap/>
            <w:vAlign w:val="center"/>
          </w:tcPr>
          <w:p w14:paraId="3B9B5B4B">
            <w:pPr>
              <w:widowControl/>
              <w:ind w:firstLine="0" w:firstLineChars="0"/>
              <w:jc w:val="center"/>
              <w:rPr>
                <w:color w:val="000000"/>
                <w:kern w:val="0"/>
                <w:sz w:val="16"/>
                <w:szCs w:val="16"/>
              </w:rPr>
            </w:pPr>
            <w:r>
              <w:rPr>
                <w:color w:val="000000"/>
                <w:kern w:val="0"/>
                <w:sz w:val="16"/>
                <w:szCs w:val="16"/>
              </w:rPr>
              <w:t>2133.50</w:t>
            </w:r>
          </w:p>
        </w:tc>
        <w:tc>
          <w:tcPr>
            <w:tcW w:w="1027" w:type="dxa"/>
            <w:tcBorders>
              <w:top w:val="single" w:color="auto" w:sz="4" w:space="0"/>
              <w:bottom w:val="single" w:color="auto" w:sz="4" w:space="0"/>
            </w:tcBorders>
            <w:noWrap/>
            <w:vAlign w:val="center"/>
          </w:tcPr>
          <w:p w14:paraId="16D1D98C">
            <w:pPr>
              <w:widowControl/>
              <w:ind w:firstLine="0" w:firstLineChars="0"/>
              <w:jc w:val="center"/>
              <w:rPr>
                <w:color w:val="000000"/>
                <w:kern w:val="0"/>
                <w:sz w:val="16"/>
                <w:szCs w:val="16"/>
              </w:rPr>
            </w:pPr>
            <w:r>
              <w:rPr>
                <w:color w:val="000000"/>
                <w:kern w:val="0"/>
                <w:sz w:val="16"/>
                <w:szCs w:val="16"/>
              </w:rPr>
              <w:t>640.05</w:t>
            </w:r>
          </w:p>
        </w:tc>
      </w:tr>
      <w:tr w14:paraId="5FCE1D60">
        <w:tblPrEx>
          <w:tblCellMar>
            <w:top w:w="0" w:type="dxa"/>
            <w:left w:w="108" w:type="dxa"/>
            <w:bottom w:w="0" w:type="dxa"/>
            <w:right w:w="108" w:type="dxa"/>
          </w:tblCellMar>
        </w:tblPrEx>
        <w:trPr>
          <w:trHeight w:val="288" w:hRule="atLeast"/>
          <w:jc w:val="center"/>
        </w:trPr>
        <w:tc>
          <w:tcPr>
            <w:tcW w:w="737" w:type="dxa"/>
            <w:tcBorders>
              <w:top w:val="single" w:color="auto" w:sz="4" w:space="0"/>
              <w:bottom w:val="single" w:color="auto" w:sz="4" w:space="0"/>
            </w:tcBorders>
            <w:noWrap/>
            <w:vAlign w:val="center"/>
          </w:tcPr>
          <w:p w14:paraId="41F275B3">
            <w:pPr>
              <w:widowControl/>
              <w:ind w:firstLine="0" w:firstLineChars="0"/>
              <w:jc w:val="center"/>
              <w:rPr>
                <w:color w:val="000000"/>
                <w:kern w:val="0"/>
                <w:sz w:val="16"/>
                <w:szCs w:val="16"/>
              </w:rPr>
            </w:pPr>
            <w:r>
              <w:rPr>
                <w:color w:val="000000"/>
                <w:kern w:val="0"/>
                <w:sz w:val="16"/>
                <w:szCs w:val="16"/>
              </w:rPr>
              <w:t>3</w:t>
            </w:r>
          </w:p>
        </w:tc>
        <w:tc>
          <w:tcPr>
            <w:tcW w:w="3120" w:type="dxa"/>
            <w:tcBorders>
              <w:top w:val="single" w:color="auto" w:sz="4" w:space="0"/>
              <w:bottom w:val="single" w:color="auto" w:sz="4" w:space="0"/>
            </w:tcBorders>
            <w:noWrap/>
            <w:vAlign w:val="center"/>
          </w:tcPr>
          <w:p w14:paraId="0761B93C">
            <w:pPr>
              <w:widowControl/>
              <w:ind w:firstLine="0" w:firstLineChars="0"/>
              <w:jc w:val="center"/>
              <w:rPr>
                <w:color w:val="000000"/>
                <w:kern w:val="0"/>
                <w:sz w:val="16"/>
                <w:szCs w:val="16"/>
              </w:rPr>
            </w:pPr>
            <w:r>
              <w:rPr>
                <w:color w:val="000000"/>
                <w:kern w:val="0"/>
                <w:sz w:val="16"/>
                <w:szCs w:val="16"/>
              </w:rPr>
              <w:t>Profit</w:t>
            </w:r>
          </w:p>
        </w:tc>
        <w:tc>
          <w:tcPr>
            <w:tcW w:w="1204" w:type="dxa"/>
            <w:tcBorders>
              <w:top w:val="single" w:color="auto" w:sz="4" w:space="0"/>
              <w:bottom w:val="single" w:color="auto" w:sz="4" w:space="0"/>
            </w:tcBorders>
            <w:noWrap/>
            <w:vAlign w:val="center"/>
          </w:tcPr>
          <w:p w14:paraId="57C54424">
            <w:pPr>
              <w:widowControl/>
              <w:ind w:firstLine="0" w:firstLineChars="0"/>
              <w:jc w:val="center"/>
              <w:rPr>
                <w:color w:val="000000"/>
                <w:kern w:val="0"/>
                <w:sz w:val="16"/>
                <w:szCs w:val="16"/>
              </w:rPr>
            </w:pPr>
            <w:r>
              <w:rPr>
                <w:color w:val="000000"/>
                <w:kern w:val="0"/>
                <w:sz w:val="16"/>
                <w:szCs w:val="16"/>
              </w:rPr>
              <w:t>CNY</w:t>
            </w:r>
          </w:p>
        </w:tc>
        <w:tc>
          <w:tcPr>
            <w:tcW w:w="840" w:type="dxa"/>
            <w:tcBorders>
              <w:top w:val="single" w:color="auto" w:sz="4" w:space="0"/>
              <w:bottom w:val="single" w:color="auto" w:sz="4" w:space="0"/>
            </w:tcBorders>
            <w:noWrap/>
            <w:vAlign w:val="center"/>
          </w:tcPr>
          <w:p w14:paraId="3A9B620C">
            <w:pPr>
              <w:widowControl/>
              <w:ind w:firstLine="0" w:firstLineChars="0"/>
              <w:jc w:val="center"/>
              <w:rPr>
                <w:color w:val="000000"/>
                <w:kern w:val="0"/>
                <w:sz w:val="16"/>
                <w:szCs w:val="16"/>
              </w:rPr>
            </w:pPr>
            <w:r>
              <w:rPr>
                <w:color w:val="000000"/>
                <w:kern w:val="0"/>
                <w:sz w:val="16"/>
                <w:szCs w:val="16"/>
              </w:rPr>
              <w:t>30.00%</w:t>
            </w:r>
          </w:p>
        </w:tc>
        <w:tc>
          <w:tcPr>
            <w:tcW w:w="1082" w:type="dxa"/>
            <w:tcBorders>
              <w:top w:val="single" w:color="auto" w:sz="4" w:space="0"/>
              <w:bottom w:val="single" w:color="auto" w:sz="4" w:space="0"/>
            </w:tcBorders>
            <w:noWrap/>
            <w:vAlign w:val="center"/>
          </w:tcPr>
          <w:p w14:paraId="159DDEBA">
            <w:pPr>
              <w:widowControl/>
              <w:ind w:firstLine="0" w:firstLineChars="0"/>
              <w:jc w:val="center"/>
              <w:rPr>
                <w:color w:val="000000"/>
                <w:kern w:val="0"/>
                <w:sz w:val="16"/>
                <w:szCs w:val="16"/>
              </w:rPr>
            </w:pPr>
            <w:r>
              <w:rPr>
                <w:color w:val="000000"/>
                <w:kern w:val="0"/>
                <w:sz w:val="16"/>
                <w:szCs w:val="16"/>
              </w:rPr>
              <w:t>2133.50</w:t>
            </w:r>
          </w:p>
        </w:tc>
        <w:tc>
          <w:tcPr>
            <w:tcW w:w="1027" w:type="dxa"/>
            <w:tcBorders>
              <w:top w:val="single" w:color="auto" w:sz="4" w:space="0"/>
              <w:bottom w:val="single" w:color="auto" w:sz="4" w:space="0"/>
            </w:tcBorders>
            <w:noWrap/>
            <w:vAlign w:val="center"/>
          </w:tcPr>
          <w:p w14:paraId="4E655580">
            <w:pPr>
              <w:widowControl/>
              <w:ind w:firstLine="0" w:firstLineChars="0"/>
              <w:jc w:val="center"/>
              <w:rPr>
                <w:color w:val="000000"/>
                <w:kern w:val="0"/>
                <w:sz w:val="16"/>
                <w:szCs w:val="16"/>
              </w:rPr>
            </w:pPr>
            <w:r>
              <w:rPr>
                <w:color w:val="000000"/>
                <w:kern w:val="0"/>
                <w:sz w:val="16"/>
                <w:szCs w:val="16"/>
              </w:rPr>
              <w:t>640.05</w:t>
            </w:r>
          </w:p>
        </w:tc>
      </w:tr>
      <w:tr w14:paraId="3A4E2866">
        <w:tblPrEx>
          <w:tblCellMar>
            <w:top w:w="0" w:type="dxa"/>
            <w:left w:w="108" w:type="dxa"/>
            <w:bottom w:w="0" w:type="dxa"/>
            <w:right w:w="108" w:type="dxa"/>
          </w:tblCellMar>
        </w:tblPrEx>
        <w:trPr>
          <w:trHeight w:val="288" w:hRule="atLeast"/>
          <w:jc w:val="center"/>
        </w:trPr>
        <w:tc>
          <w:tcPr>
            <w:tcW w:w="737" w:type="dxa"/>
            <w:tcBorders>
              <w:top w:val="single" w:color="auto" w:sz="4" w:space="0"/>
              <w:bottom w:val="single" w:color="auto" w:sz="4" w:space="0"/>
            </w:tcBorders>
            <w:noWrap/>
            <w:vAlign w:val="center"/>
          </w:tcPr>
          <w:p w14:paraId="7E3AD7A6">
            <w:pPr>
              <w:widowControl/>
              <w:ind w:firstLine="0" w:firstLineChars="0"/>
              <w:jc w:val="center"/>
              <w:rPr>
                <w:color w:val="000000"/>
                <w:kern w:val="0"/>
                <w:sz w:val="16"/>
                <w:szCs w:val="16"/>
              </w:rPr>
            </w:pPr>
            <w:r>
              <w:rPr>
                <w:color w:val="000000"/>
                <w:kern w:val="0"/>
                <w:sz w:val="16"/>
                <w:szCs w:val="16"/>
              </w:rPr>
              <w:t>4</w:t>
            </w:r>
          </w:p>
        </w:tc>
        <w:tc>
          <w:tcPr>
            <w:tcW w:w="3120" w:type="dxa"/>
            <w:tcBorders>
              <w:top w:val="single" w:color="auto" w:sz="4" w:space="0"/>
              <w:bottom w:val="single" w:color="auto" w:sz="4" w:space="0"/>
            </w:tcBorders>
            <w:noWrap/>
            <w:vAlign w:val="center"/>
          </w:tcPr>
          <w:p w14:paraId="312FCB88">
            <w:pPr>
              <w:widowControl/>
              <w:ind w:firstLine="0" w:firstLineChars="0"/>
              <w:jc w:val="center"/>
              <w:rPr>
                <w:color w:val="000000"/>
                <w:kern w:val="0"/>
                <w:sz w:val="16"/>
                <w:szCs w:val="16"/>
              </w:rPr>
            </w:pPr>
            <w:r>
              <w:rPr>
                <w:color w:val="000000"/>
                <w:kern w:val="0"/>
                <w:sz w:val="16"/>
                <w:szCs w:val="16"/>
              </w:rPr>
              <w:t>Tax</w:t>
            </w:r>
          </w:p>
        </w:tc>
        <w:tc>
          <w:tcPr>
            <w:tcW w:w="1204" w:type="dxa"/>
            <w:tcBorders>
              <w:top w:val="single" w:color="auto" w:sz="4" w:space="0"/>
              <w:bottom w:val="single" w:color="auto" w:sz="4" w:space="0"/>
            </w:tcBorders>
            <w:noWrap/>
            <w:vAlign w:val="center"/>
          </w:tcPr>
          <w:p w14:paraId="73B9F40A">
            <w:pPr>
              <w:widowControl/>
              <w:ind w:firstLine="0" w:firstLineChars="0"/>
              <w:jc w:val="center"/>
              <w:rPr>
                <w:color w:val="000000"/>
                <w:kern w:val="0"/>
                <w:sz w:val="16"/>
                <w:szCs w:val="16"/>
              </w:rPr>
            </w:pPr>
            <w:r>
              <w:rPr>
                <w:color w:val="000000"/>
                <w:kern w:val="0"/>
                <w:sz w:val="16"/>
                <w:szCs w:val="16"/>
              </w:rPr>
              <w:t>CNY</w:t>
            </w:r>
          </w:p>
        </w:tc>
        <w:tc>
          <w:tcPr>
            <w:tcW w:w="840" w:type="dxa"/>
            <w:tcBorders>
              <w:top w:val="single" w:color="auto" w:sz="4" w:space="0"/>
              <w:bottom w:val="single" w:color="auto" w:sz="4" w:space="0"/>
            </w:tcBorders>
            <w:noWrap/>
            <w:vAlign w:val="center"/>
          </w:tcPr>
          <w:p w14:paraId="637C0D34">
            <w:pPr>
              <w:widowControl/>
              <w:ind w:firstLine="0" w:firstLineChars="0"/>
              <w:jc w:val="center"/>
              <w:rPr>
                <w:color w:val="000000"/>
                <w:kern w:val="0"/>
                <w:sz w:val="16"/>
                <w:szCs w:val="16"/>
              </w:rPr>
            </w:pPr>
            <w:r>
              <w:rPr>
                <w:color w:val="000000"/>
                <w:kern w:val="0"/>
                <w:sz w:val="16"/>
                <w:szCs w:val="16"/>
              </w:rPr>
              <w:t>9.00%</w:t>
            </w:r>
          </w:p>
        </w:tc>
        <w:tc>
          <w:tcPr>
            <w:tcW w:w="1082" w:type="dxa"/>
            <w:tcBorders>
              <w:top w:val="single" w:color="auto" w:sz="4" w:space="0"/>
              <w:bottom w:val="single" w:color="auto" w:sz="4" w:space="0"/>
            </w:tcBorders>
            <w:noWrap/>
            <w:vAlign w:val="center"/>
          </w:tcPr>
          <w:p w14:paraId="026FC397">
            <w:pPr>
              <w:widowControl/>
              <w:ind w:firstLine="0" w:firstLineChars="0"/>
              <w:jc w:val="center"/>
              <w:rPr>
                <w:color w:val="000000"/>
                <w:kern w:val="0"/>
                <w:sz w:val="16"/>
                <w:szCs w:val="16"/>
              </w:rPr>
            </w:pPr>
            <w:r>
              <w:rPr>
                <w:color w:val="000000"/>
                <w:kern w:val="0"/>
                <w:sz w:val="16"/>
                <w:szCs w:val="16"/>
              </w:rPr>
              <w:t>21070.97</w:t>
            </w:r>
          </w:p>
        </w:tc>
        <w:tc>
          <w:tcPr>
            <w:tcW w:w="1027" w:type="dxa"/>
            <w:tcBorders>
              <w:top w:val="single" w:color="auto" w:sz="4" w:space="0"/>
              <w:bottom w:val="single" w:color="auto" w:sz="4" w:space="0"/>
            </w:tcBorders>
            <w:noWrap/>
            <w:vAlign w:val="center"/>
          </w:tcPr>
          <w:p w14:paraId="17EE03F5">
            <w:pPr>
              <w:widowControl/>
              <w:ind w:firstLine="0" w:firstLineChars="0"/>
              <w:jc w:val="center"/>
              <w:rPr>
                <w:color w:val="000000"/>
                <w:kern w:val="0"/>
                <w:sz w:val="16"/>
                <w:szCs w:val="16"/>
              </w:rPr>
            </w:pPr>
            <w:r>
              <w:rPr>
                <w:color w:val="000000"/>
                <w:kern w:val="0"/>
                <w:sz w:val="16"/>
                <w:szCs w:val="16"/>
              </w:rPr>
              <w:t>1896.39</w:t>
            </w:r>
          </w:p>
        </w:tc>
      </w:tr>
      <w:tr w14:paraId="12FEA8EA">
        <w:tblPrEx>
          <w:tblCellMar>
            <w:top w:w="0" w:type="dxa"/>
            <w:left w:w="108" w:type="dxa"/>
            <w:bottom w:w="0" w:type="dxa"/>
            <w:right w:w="108" w:type="dxa"/>
          </w:tblCellMar>
        </w:tblPrEx>
        <w:trPr>
          <w:trHeight w:val="288" w:hRule="atLeast"/>
          <w:jc w:val="center"/>
        </w:trPr>
        <w:tc>
          <w:tcPr>
            <w:tcW w:w="737" w:type="dxa"/>
            <w:tcBorders>
              <w:top w:val="single" w:color="auto" w:sz="4" w:space="0"/>
              <w:bottom w:val="single" w:color="000000" w:sz="12" w:space="0"/>
            </w:tcBorders>
            <w:noWrap/>
            <w:vAlign w:val="center"/>
          </w:tcPr>
          <w:p w14:paraId="2D57808A">
            <w:pPr>
              <w:widowControl/>
              <w:ind w:firstLine="0" w:firstLineChars="0"/>
              <w:jc w:val="center"/>
              <w:rPr>
                <w:color w:val="000000"/>
                <w:kern w:val="0"/>
                <w:sz w:val="16"/>
                <w:szCs w:val="16"/>
              </w:rPr>
            </w:pPr>
          </w:p>
        </w:tc>
        <w:tc>
          <w:tcPr>
            <w:tcW w:w="3120" w:type="dxa"/>
            <w:tcBorders>
              <w:top w:val="single" w:color="auto" w:sz="4" w:space="0"/>
              <w:bottom w:val="single" w:color="000000" w:sz="12" w:space="0"/>
            </w:tcBorders>
            <w:noWrap/>
            <w:vAlign w:val="center"/>
          </w:tcPr>
          <w:p w14:paraId="4112CE9B">
            <w:pPr>
              <w:widowControl/>
              <w:ind w:firstLine="0" w:firstLineChars="0"/>
              <w:jc w:val="center"/>
              <w:rPr>
                <w:color w:val="000000"/>
                <w:kern w:val="0"/>
                <w:sz w:val="16"/>
                <w:szCs w:val="16"/>
              </w:rPr>
            </w:pPr>
            <w:r>
              <w:rPr>
                <w:color w:val="000000"/>
                <w:kern w:val="0"/>
                <w:sz w:val="16"/>
                <w:szCs w:val="16"/>
              </w:rPr>
              <w:t>Total</w:t>
            </w:r>
          </w:p>
        </w:tc>
        <w:tc>
          <w:tcPr>
            <w:tcW w:w="1204" w:type="dxa"/>
            <w:tcBorders>
              <w:top w:val="single" w:color="auto" w:sz="4" w:space="0"/>
              <w:bottom w:val="single" w:color="000000" w:sz="12" w:space="0"/>
            </w:tcBorders>
            <w:noWrap/>
            <w:vAlign w:val="center"/>
          </w:tcPr>
          <w:p w14:paraId="364B81E8">
            <w:pPr>
              <w:widowControl/>
              <w:ind w:firstLine="0" w:firstLineChars="0"/>
              <w:jc w:val="center"/>
              <w:rPr>
                <w:color w:val="000000"/>
                <w:kern w:val="0"/>
                <w:sz w:val="16"/>
                <w:szCs w:val="16"/>
              </w:rPr>
            </w:pPr>
            <w:r>
              <w:rPr>
                <w:color w:val="000000"/>
                <w:kern w:val="0"/>
                <w:sz w:val="16"/>
                <w:szCs w:val="16"/>
              </w:rPr>
              <w:t>CNY</w:t>
            </w:r>
          </w:p>
        </w:tc>
        <w:tc>
          <w:tcPr>
            <w:tcW w:w="840" w:type="dxa"/>
            <w:tcBorders>
              <w:top w:val="single" w:color="auto" w:sz="4" w:space="0"/>
              <w:bottom w:val="single" w:color="000000" w:sz="12" w:space="0"/>
            </w:tcBorders>
            <w:noWrap/>
            <w:vAlign w:val="center"/>
          </w:tcPr>
          <w:p w14:paraId="529F81BF">
            <w:pPr>
              <w:widowControl/>
              <w:ind w:firstLine="0" w:firstLineChars="0"/>
              <w:jc w:val="center"/>
              <w:rPr>
                <w:color w:val="000000"/>
                <w:kern w:val="0"/>
                <w:sz w:val="16"/>
                <w:szCs w:val="16"/>
              </w:rPr>
            </w:pPr>
          </w:p>
        </w:tc>
        <w:tc>
          <w:tcPr>
            <w:tcW w:w="1082" w:type="dxa"/>
            <w:tcBorders>
              <w:top w:val="single" w:color="auto" w:sz="4" w:space="0"/>
              <w:bottom w:val="single" w:color="000000" w:sz="12" w:space="0"/>
            </w:tcBorders>
            <w:noWrap/>
            <w:vAlign w:val="center"/>
          </w:tcPr>
          <w:p w14:paraId="42D454AB">
            <w:pPr>
              <w:widowControl/>
              <w:ind w:firstLine="0" w:firstLineChars="0"/>
              <w:jc w:val="center"/>
              <w:rPr>
                <w:color w:val="000000"/>
                <w:kern w:val="0"/>
                <w:sz w:val="16"/>
                <w:szCs w:val="16"/>
              </w:rPr>
            </w:pPr>
          </w:p>
        </w:tc>
        <w:tc>
          <w:tcPr>
            <w:tcW w:w="1027" w:type="dxa"/>
            <w:tcBorders>
              <w:top w:val="single" w:color="auto" w:sz="4" w:space="0"/>
              <w:bottom w:val="single" w:color="000000" w:sz="12" w:space="0"/>
            </w:tcBorders>
            <w:noWrap/>
            <w:vAlign w:val="center"/>
          </w:tcPr>
          <w:p w14:paraId="230CF0DB">
            <w:pPr>
              <w:widowControl/>
              <w:ind w:firstLine="0" w:firstLineChars="0"/>
              <w:jc w:val="center"/>
              <w:rPr>
                <w:color w:val="000000"/>
                <w:kern w:val="0"/>
                <w:sz w:val="16"/>
                <w:szCs w:val="16"/>
              </w:rPr>
            </w:pPr>
            <w:r>
              <w:rPr>
                <w:color w:val="000000"/>
                <w:kern w:val="0"/>
                <w:sz w:val="16"/>
                <w:szCs w:val="16"/>
              </w:rPr>
              <w:t>22327.31</w:t>
            </w:r>
          </w:p>
        </w:tc>
      </w:tr>
    </w:tbl>
    <w:p w14:paraId="6F148B27">
      <w:pPr>
        <w:widowControl/>
        <w:ind w:firstLine="0" w:firstLineChars="0"/>
        <w:rPr>
          <w:kern w:val="2"/>
          <w:sz w:val="18"/>
        </w:rPr>
      </w:pPr>
    </w:p>
    <w:p w14:paraId="5E1B03A7">
      <w:pPr>
        <w:pStyle w:val="52"/>
      </w:pPr>
      <w:r>
        <w:rPr>
          <w:rFonts w:hint="eastAsia"/>
        </w:rPr>
        <w:t>Table S9.3(b) Overlay Repair Cost-Spraying Tack Coat (Unit: 100m²)</w:t>
      </w:r>
    </w:p>
    <w:tbl>
      <w:tblPr>
        <w:tblStyle w:val="15"/>
        <w:tblW w:w="0" w:type="auto"/>
        <w:jc w:val="center"/>
        <w:tblLayout w:type="fixed"/>
        <w:tblCellMar>
          <w:top w:w="0" w:type="dxa"/>
          <w:left w:w="108" w:type="dxa"/>
          <w:bottom w:w="0" w:type="dxa"/>
          <w:right w:w="108" w:type="dxa"/>
        </w:tblCellMar>
      </w:tblPr>
      <w:tblGrid>
        <w:gridCol w:w="756"/>
        <w:gridCol w:w="3073"/>
        <w:gridCol w:w="1208"/>
        <w:gridCol w:w="880"/>
        <w:gridCol w:w="1018"/>
        <w:gridCol w:w="1007"/>
      </w:tblGrid>
      <w:tr w14:paraId="4922DF0C">
        <w:tblPrEx>
          <w:tblCellMar>
            <w:top w:w="0" w:type="dxa"/>
            <w:left w:w="108" w:type="dxa"/>
            <w:bottom w:w="0" w:type="dxa"/>
            <w:right w:w="108" w:type="dxa"/>
          </w:tblCellMar>
        </w:tblPrEx>
        <w:trPr>
          <w:trHeight w:val="288" w:hRule="atLeast"/>
          <w:jc w:val="center"/>
        </w:trPr>
        <w:tc>
          <w:tcPr>
            <w:tcW w:w="756" w:type="dxa"/>
            <w:tcBorders>
              <w:top w:val="single" w:color="000000" w:sz="12" w:space="0"/>
              <w:bottom w:val="single" w:color="000000" w:sz="12" w:space="0"/>
            </w:tcBorders>
            <w:vAlign w:val="center"/>
          </w:tcPr>
          <w:p w14:paraId="143196CA">
            <w:pPr>
              <w:widowControl/>
              <w:snapToGrid w:val="0"/>
              <w:ind w:firstLine="0" w:firstLineChars="0"/>
              <w:jc w:val="center"/>
              <w:rPr>
                <w:b/>
                <w:bCs/>
                <w:color w:val="000000"/>
                <w:kern w:val="0"/>
                <w:sz w:val="16"/>
                <w:szCs w:val="16"/>
              </w:rPr>
            </w:pPr>
            <w:r>
              <w:rPr>
                <w:b/>
                <w:bCs/>
                <w:color w:val="000000"/>
                <w:kern w:val="0"/>
                <w:sz w:val="16"/>
                <w:szCs w:val="16"/>
              </w:rPr>
              <w:t>No.</w:t>
            </w:r>
          </w:p>
        </w:tc>
        <w:tc>
          <w:tcPr>
            <w:tcW w:w="3073" w:type="dxa"/>
            <w:tcBorders>
              <w:top w:val="single" w:color="000000" w:sz="12" w:space="0"/>
              <w:bottom w:val="single" w:color="000000" w:sz="12" w:space="0"/>
            </w:tcBorders>
            <w:vAlign w:val="center"/>
          </w:tcPr>
          <w:p w14:paraId="5100930E">
            <w:pPr>
              <w:widowControl/>
              <w:snapToGrid w:val="0"/>
              <w:ind w:firstLine="0" w:firstLineChars="0"/>
              <w:jc w:val="center"/>
              <w:rPr>
                <w:b/>
                <w:bCs/>
                <w:color w:val="000000"/>
                <w:kern w:val="0"/>
                <w:sz w:val="16"/>
                <w:szCs w:val="16"/>
              </w:rPr>
            </w:pPr>
            <w:r>
              <w:rPr>
                <w:b/>
                <w:bCs/>
                <w:color w:val="000000"/>
                <w:kern w:val="0"/>
                <w:sz w:val="16"/>
                <w:szCs w:val="16"/>
              </w:rPr>
              <w:t>Item</w:t>
            </w:r>
          </w:p>
        </w:tc>
        <w:tc>
          <w:tcPr>
            <w:tcW w:w="1208" w:type="dxa"/>
            <w:tcBorders>
              <w:top w:val="single" w:color="000000" w:sz="12" w:space="0"/>
              <w:bottom w:val="single" w:color="000000" w:sz="12" w:space="0"/>
            </w:tcBorders>
            <w:vAlign w:val="center"/>
          </w:tcPr>
          <w:p w14:paraId="2641053D">
            <w:pPr>
              <w:widowControl/>
              <w:snapToGrid w:val="0"/>
              <w:ind w:firstLine="0" w:firstLineChars="0"/>
              <w:jc w:val="center"/>
              <w:rPr>
                <w:b/>
                <w:bCs/>
                <w:color w:val="000000"/>
                <w:kern w:val="0"/>
                <w:sz w:val="16"/>
                <w:szCs w:val="16"/>
              </w:rPr>
            </w:pPr>
            <w:r>
              <w:rPr>
                <w:b/>
                <w:bCs/>
                <w:color w:val="000000"/>
                <w:kern w:val="0"/>
                <w:sz w:val="16"/>
                <w:szCs w:val="16"/>
              </w:rPr>
              <w:t>Unit</w:t>
            </w:r>
          </w:p>
        </w:tc>
        <w:tc>
          <w:tcPr>
            <w:tcW w:w="880" w:type="dxa"/>
            <w:tcBorders>
              <w:top w:val="single" w:color="000000" w:sz="12" w:space="0"/>
              <w:bottom w:val="single" w:color="000000" w:sz="12" w:space="0"/>
            </w:tcBorders>
            <w:vAlign w:val="center"/>
          </w:tcPr>
          <w:p w14:paraId="23E13C30">
            <w:pPr>
              <w:widowControl/>
              <w:snapToGrid w:val="0"/>
              <w:ind w:firstLine="0" w:firstLineChars="0"/>
              <w:jc w:val="center"/>
              <w:rPr>
                <w:b/>
                <w:bCs/>
                <w:color w:val="000000"/>
                <w:kern w:val="0"/>
                <w:sz w:val="16"/>
                <w:szCs w:val="16"/>
              </w:rPr>
            </w:pPr>
            <w:r>
              <w:rPr>
                <w:b/>
                <w:bCs/>
                <w:color w:val="000000"/>
                <w:kern w:val="0"/>
                <w:sz w:val="16"/>
                <w:szCs w:val="16"/>
              </w:rPr>
              <w:t>Quantity</w:t>
            </w:r>
          </w:p>
        </w:tc>
        <w:tc>
          <w:tcPr>
            <w:tcW w:w="1018" w:type="dxa"/>
            <w:tcBorders>
              <w:top w:val="single" w:color="000000" w:sz="12" w:space="0"/>
              <w:bottom w:val="single" w:color="000000" w:sz="12" w:space="0"/>
            </w:tcBorders>
            <w:vAlign w:val="center"/>
          </w:tcPr>
          <w:p w14:paraId="446E5D6B">
            <w:pPr>
              <w:widowControl/>
              <w:snapToGrid w:val="0"/>
              <w:ind w:firstLine="0" w:firstLineChars="0"/>
              <w:jc w:val="center"/>
              <w:rPr>
                <w:b/>
                <w:bCs/>
                <w:color w:val="000000"/>
                <w:kern w:val="0"/>
                <w:sz w:val="16"/>
                <w:szCs w:val="16"/>
              </w:rPr>
            </w:pPr>
            <w:r>
              <w:rPr>
                <w:b/>
                <w:bCs/>
                <w:color w:val="000000"/>
                <w:kern w:val="0"/>
                <w:sz w:val="16"/>
                <w:szCs w:val="16"/>
              </w:rPr>
              <w:t>Unit Price (CNY)</w:t>
            </w:r>
          </w:p>
        </w:tc>
        <w:tc>
          <w:tcPr>
            <w:tcW w:w="1007" w:type="dxa"/>
            <w:tcBorders>
              <w:top w:val="single" w:color="000000" w:sz="12" w:space="0"/>
              <w:bottom w:val="single" w:color="000000" w:sz="12" w:space="0"/>
            </w:tcBorders>
            <w:vAlign w:val="center"/>
          </w:tcPr>
          <w:p w14:paraId="54669D92">
            <w:pPr>
              <w:widowControl/>
              <w:snapToGrid w:val="0"/>
              <w:ind w:firstLine="0" w:firstLineChars="0"/>
              <w:jc w:val="center"/>
              <w:rPr>
                <w:b/>
                <w:bCs/>
                <w:color w:val="000000"/>
                <w:kern w:val="0"/>
                <w:sz w:val="16"/>
                <w:szCs w:val="16"/>
              </w:rPr>
            </w:pPr>
            <w:r>
              <w:rPr>
                <w:b/>
                <w:bCs/>
                <w:color w:val="000000"/>
                <w:kern w:val="0"/>
                <w:sz w:val="16"/>
                <w:szCs w:val="16"/>
              </w:rPr>
              <w:t>Total (CNY)</w:t>
            </w:r>
          </w:p>
        </w:tc>
      </w:tr>
      <w:tr w14:paraId="3DF337FE">
        <w:tblPrEx>
          <w:tblCellMar>
            <w:top w:w="0" w:type="dxa"/>
            <w:left w:w="108" w:type="dxa"/>
            <w:bottom w:w="0" w:type="dxa"/>
            <w:right w:w="108" w:type="dxa"/>
          </w:tblCellMar>
        </w:tblPrEx>
        <w:trPr>
          <w:trHeight w:val="288" w:hRule="atLeast"/>
          <w:jc w:val="center"/>
        </w:trPr>
        <w:tc>
          <w:tcPr>
            <w:tcW w:w="756" w:type="dxa"/>
            <w:tcBorders>
              <w:top w:val="single" w:color="000000" w:sz="12" w:space="0"/>
              <w:bottom w:val="single" w:color="auto" w:sz="4" w:space="0"/>
            </w:tcBorders>
            <w:noWrap/>
            <w:vAlign w:val="center"/>
          </w:tcPr>
          <w:p w14:paraId="1E3AC4B9">
            <w:pPr>
              <w:widowControl/>
              <w:ind w:firstLine="0" w:firstLineChars="0"/>
              <w:jc w:val="center"/>
              <w:rPr>
                <w:color w:val="000000"/>
                <w:kern w:val="0"/>
                <w:sz w:val="16"/>
                <w:szCs w:val="16"/>
              </w:rPr>
            </w:pPr>
            <w:r>
              <w:rPr>
                <w:color w:val="000000"/>
                <w:kern w:val="0"/>
                <w:sz w:val="16"/>
                <w:szCs w:val="16"/>
              </w:rPr>
              <w:t>1</w:t>
            </w:r>
          </w:p>
        </w:tc>
        <w:tc>
          <w:tcPr>
            <w:tcW w:w="3073" w:type="dxa"/>
            <w:tcBorders>
              <w:top w:val="single" w:color="000000" w:sz="12" w:space="0"/>
              <w:bottom w:val="single" w:color="auto" w:sz="4" w:space="0"/>
            </w:tcBorders>
            <w:noWrap/>
            <w:vAlign w:val="center"/>
          </w:tcPr>
          <w:p w14:paraId="3DFDA62E">
            <w:pPr>
              <w:widowControl/>
              <w:ind w:firstLine="0" w:firstLineChars="0"/>
              <w:jc w:val="center"/>
              <w:rPr>
                <w:color w:val="000000"/>
                <w:kern w:val="0"/>
                <w:sz w:val="16"/>
                <w:szCs w:val="16"/>
              </w:rPr>
            </w:pPr>
            <w:r>
              <w:rPr>
                <w:color w:val="000000"/>
                <w:kern w:val="0"/>
                <w:sz w:val="16"/>
                <w:szCs w:val="16"/>
              </w:rPr>
              <w:t>Direct Cost</w:t>
            </w:r>
          </w:p>
        </w:tc>
        <w:tc>
          <w:tcPr>
            <w:tcW w:w="1208" w:type="dxa"/>
            <w:tcBorders>
              <w:top w:val="single" w:color="000000" w:sz="12" w:space="0"/>
              <w:bottom w:val="single" w:color="auto" w:sz="4" w:space="0"/>
            </w:tcBorders>
            <w:noWrap/>
            <w:vAlign w:val="center"/>
          </w:tcPr>
          <w:p w14:paraId="2C023689">
            <w:pPr>
              <w:widowControl/>
              <w:ind w:firstLine="0" w:firstLineChars="0"/>
              <w:jc w:val="center"/>
              <w:rPr>
                <w:color w:val="000000"/>
                <w:kern w:val="0"/>
                <w:sz w:val="16"/>
                <w:szCs w:val="16"/>
              </w:rPr>
            </w:pPr>
          </w:p>
        </w:tc>
        <w:tc>
          <w:tcPr>
            <w:tcW w:w="880" w:type="dxa"/>
            <w:tcBorders>
              <w:top w:val="single" w:color="000000" w:sz="12" w:space="0"/>
              <w:bottom w:val="single" w:color="auto" w:sz="4" w:space="0"/>
            </w:tcBorders>
            <w:noWrap/>
            <w:vAlign w:val="center"/>
          </w:tcPr>
          <w:p w14:paraId="177B1274">
            <w:pPr>
              <w:widowControl/>
              <w:ind w:firstLine="0" w:firstLineChars="0"/>
              <w:jc w:val="center"/>
              <w:rPr>
                <w:color w:val="000000"/>
                <w:kern w:val="0"/>
                <w:sz w:val="16"/>
                <w:szCs w:val="16"/>
              </w:rPr>
            </w:pPr>
          </w:p>
        </w:tc>
        <w:tc>
          <w:tcPr>
            <w:tcW w:w="1018" w:type="dxa"/>
            <w:tcBorders>
              <w:top w:val="single" w:color="000000" w:sz="12" w:space="0"/>
              <w:bottom w:val="single" w:color="auto" w:sz="4" w:space="0"/>
            </w:tcBorders>
            <w:noWrap/>
            <w:vAlign w:val="center"/>
          </w:tcPr>
          <w:p w14:paraId="2E7C63EA">
            <w:pPr>
              <w:widowControl/>
              <w:ind w:firstLine="0" w:firstLineChars="0"/>
              <w:jc w:val="center"/>
              <w:rPr>
                <w:color w:val="000000"/>
                <w:kern w:val="0"/>
                <w:sz w:val="16"/>
                <w:szCs w:val="16"/>
              </w:rPr>
            </w:pPr>
          </w:p>
        </w:tc>
        <w:tc>
          <w:tcPr>
            <w:tcW w:w="1007" w:type="dxa"/>
            <w:tcBorders>
              <w:top w:val="single" w:color="000000" w:sz="12" w:space="0"/>
              <w:bottom w:val="single" w:color="auto" w:sz="4" w:space="0"/>
            </w:tcBorders>
            <w:noWrap/>
            <w:vAlign w:val="center"/>
          </w:tcPr>
          <w:p w14:paraId="5CB490E0">
            <w:pPr>
              <w:widowControl/>
              <w:ind w:firstLine="0" w:firstLineChars="0"/>
              <w:jc w:val="center"/>
              <w:rPr>
                <w:color w:val="000000"/>
                <w:kern w:val="0"/>
                <w:sz w:val="16"/>
                <w:szCs w:val="16"/>
              </w:rPr>
            </w:pPr>
            <w:r>
              <w:rPr>
                <w:color w:val="000000"/>
                <w:kern w:val="0"/>
                <w:sz w:val="16"/>
                <w:szCs w:val="16"/>
              </w:rPr>
              <w:t>368.01</w:t>
            </w:r>
          </w:p>
        </w:tc>
      </w:tr>
      <w:tr w14:paraId="3BD0818F">
        <w:tblPrEx>
          <w:tblCellMar>
            <w:top w:w="0" w:type="dxa"/>
            <w:left w:w="108" w:type="dxa"/>
            <w:bottom w:w="0" w:type="dxa"/>
            <w:right w:w="108" w:type="dxa"/>
          </w:tblCellMar>
        </w:tblPrEx>
        <w:trPr>
          <w:trHeight w:val="288" w:hRule="atLeast"/>
          <w:jc w:val="center"/>
        </w:trPr>
        <w:tc>
          <w:tcPr>
            <w:tcW w:w="756" w:type="dxa"/>
            <w:tcBorders>
              <w:top w:val="single" w:color="auto" w:sz="4" w:space="0"/>
            </w:tcBorders>
            <w:noWrap/>
            <w:vAlign w:val="center"/>
          </w:tcPr>
          <w:p w14:paraId="5555A5A5">
            <w:pPr>
              <w:widowControl/>
              <w:ind w:firstLine="0" w:firstLineChars="0"/>
              <w:jc w:val="center"/>
              <w:rPr>
                <w:color w:val="000000"/>
                <w:kern w:val="0"/>
                <w:sz w:val="16"/>
                <w:szCs w:val="16"/>
              </w:rPr>
            </w:pPr>
            <w:r>
              <w:rPr>
                <w:color w:val="000000"/>
                <w:kern w:val="0"/>
                <w:sz w:val="16"/>
                <w:szCs w:val="16"/>
              </w:rPr>
              <w:t>1.1</w:t>
            </w:r>
          </w:p>
        </w:tc>
        <w:tc>
          <w:tcPr>
            <w:tcW w:w="3073" w:type="dxa"/>
            <w:tcBorders>
              <w:top w:val="single" w:color="auto" w:sz="4" w:space="0"/>
            </w:tcBorders>
            <w:noWrap/>
            <w:vAlign w:val="center"/>
          </w:tcPr>
          <w:p w14:paraId="69A74C51">
            <w:pPr>
              <w:widowControl/>
              <w:ind w:firstLine="0" w:firstLineChars="0"/>
              <w:jc w:val="center"/>
              <w:rPr>
                <w:color w:val="000000"/>
                <w:kern w:val="0"/>
                <w:sz w:val="16"/>
                <w:szCs w:val="16"/>
              </w:rPr>
            </w:pPr>
            <w:r>
              <w:rPr>
                <w:color w:val="000000"/>
                <w:kern w:val="0"/>
                <w:sz w:val="16"/>
                <w:szCs w:val="16"/>
              </w:rPr>
              <w:t>Basic Direct Costs</w:t>
            </w:r>
          </w:p>
        </w:tc>
        <w:tc>
          <w:tcPr>
            <w:tcW w:w="1208" w:type="dxa"/>
            <w:tcBorders>
              <w:top w:val="single" w:color="auto" w:sz="4" w:space="0"/>
            </w:tcBorders>
            <w:noWrap/>
            <w:vAlign w:val="center"/>
          </w:tcPr>
          <w:p w14:paraId="471968DD">
            <w:pPr>
              <w:widowControl/>
              <w:ind w:firstLine="0" w:firstLineChars="0"/>
              <w:jc w:val="center"/>
              <w:rPr>
                <w:color w:val="000000"/>
                <w:kern w:val="0"/>
                <w:sz w:val="16"/>
                <w:szCs w:val="16"/>
              </w:rPr>
            </w:pPr>
          </w:p>
        </w:tc>
        <w:tc>
          <w:tcPr>
            <w:tcW w:w="880" w:type="dxa"/>
            <w:tcBorders>
              <w:top w:val="single" w:color="auto" w:sz="4" w:space="0"/>
            </w:tcBorders>
            <w:noWrap/>
            <w:vAlign w:val="center"/>
          </w:tcPr>
          <w:p w14:paraId="0D8A8D2E">
            <w:pPr>
              <w:widowControl/>
              <w:ind w:firstLine="0" w:firstLineChars="0"/>
              <w:jc w:val="center"/>
              <w:rPr>
                <w:color w:val="000000"/>
                <w:kern w:val="0"/>
                <w:sz w:val="16"/>
                <w:szCs w:val="16"/>
              </w:rPr>
            </w:pPr>
          </w:p>
        </w:tc>
        <w:tc>
          <w:tcPr>
            <w:tcW w:w="1018" w:type="dxa"/>
            <w:tcBorders>
              <w:top w:val="single" w:color="auto" w:sz="4" w:space="0"/>
            </w:tcBorders>
            <w:noWrap/>
            <w:vAlign w:val="center"/>
          </w:tcPr>
          <w:p w14:paraId="7C37B1FC">
            <w:pPr>
              <w:widowControl/>
              <w:ind w:firstLine="0" w:firstLineChars="0"/>
              <w:jc w:val="center"/>
              <w:rPr>
                <w:color w:val="000000"/>
                <w:kern w:val="0"/>
                <w:sz w:val="16"/>
                <w:szCs w:val="16"/>
              </w:rPr>
            </w:pPr>
          </w:p>
        </w:tc>
        <w:tc>
          <w:tcPr>
            <w:tcW w:w="1007" w:type="dxa"/>
            <w:tcBorders>
              <w:top w:val="single" w:color="auto" w:sz="4" w:space="0"/>
            </w:tcBorders>
            <w:noWrap/>
            <w:vAlign w:val="center"/>
          </w:tcPr>
          <w:p w14:paraId="68D4C372">
            <w:pPr>
              <w:widowControl/>
              <w:ind w:firstLine="0" w:firstLineChars="0"/>
              <w:jc w:val="center"/>
              <w:rPr>
                <w:color w:val="000000"/>
                <w:kern w:val="0"/>
                <w:sz w:val="16"/>
                <w:szCs w:val="16"/>
              </w:rPr>
            </w:pPr>
            <w:r>
              <w:rPr>
                <w:color w:val="000000"/>
                <w:kern w:val="0"/>
                <w:sz w:val="16"/>
                <w:szCs w:val="16"/>
              </w:rPr>
              <w:t>349.84</w:t>
            </w:r>
          </w:p>
        </w:tc>
      </w:tr>
      <w:tr w14:paraId="7F95E871">
        <w:tblPrEx>
          <w:tblCellMar>
            <w:top w:w="0" w:type="dxa"/>
            <w:left w:w="108" w:type="dxa"/>
            <w:bottom w:w="0" w:type="dxa"/>
            <w:right w:w="108" w:type="dxa"/>
          </w:tblCellMar>
        </w:tblPrEx>
        <w:trPr>
          <w:trHeight w:val="288" w:hRule="atLeast"/>
          <w:jc w:val="center"/>
        </w:trPr>
        <w:tc>
          <w:tcPr>
            <w:tcW w:w="756" w:type="dxa"/>
            <w:noWrap/>
            <w:vAlign w:val="center"/>
          </w:tcPr>
          <w:p w14:paraId="609D537C">
            <w:pPr>
              <w:widowControl/>
              <w:ind w:firstLine="0" w:firstLineChars="0"/>
              <w:jc w:val="center"/>
              <w:rPr>
                <w:color w:val="000000"/>
                <w:kern w:val="0"/>
                <w:sz w:val="16"/>
                <w:szCs w:val="16"/>
              </w:rPr>
            </w:pPr>
            <w:r>
              <w:rPr>
                <w:color w:val="000000"/>
                <w:kern w:val="0"/>
                <w:sz w:val="16"/>
                <w:szCs w:val="16"/>
              </w:rPr>
              <w:t>1.1.1</w:t>
            </w:r>
          </w:p>
        </w:tc>
        <w:tc>
          <w:tcPr>
            <w:tcW w:w="3073" w:type="dxa"/>
            <w:noWrap/>
            <w:vAlign w:val="center"/>
          </w:tcPr>
          <w:p w14:paraId="15862BF7">
            <w:pPr>
              <w:widowControl/>
              <w:ind w:firstLine="0" w:firstLineChars="0"/>
              <w:jc w:val="center"/>
              <w:rPr>
                <w:color w:val="000000"/>
                <w:kern w:val="0"/>
                <w:sz w:val="16"/>
                <w:szCs w:val="16"/>
              </w:rPr>
            </w:pPr>
            <w:r>
              <w:rPr>
                <w:color w:val="000000"/>
                <w:kern w:val="0"/>
                <w:sz w:val="16"/>
                <w:szCs w:val="16"/>
              </w:rPr>
              <w:t>Labor Cost</w:t>
            </w:r>
          </w:p>
        </w:tc>
        <w:tc>
          <w:tcPr>
            <w:tcW w:w="1208" w:type="dxa"/>
            <w:noWrap/>
            <w:vAlign w:val="center"/>
          </w:tcPr>
          <w:p w14:paraId="7D40FA17">
            <w:pPr>
              <w:widowControl/>
              <w:ind w:firstLine="0" w:firstLineChars="0"/>
              <w:jc w:val="center"/>
              <w:rPr>
                <w:color w:val="000000"/>
                <w:kern w:val="0"/>
                <w:sz w:val="16"/>
                <w:szCs w:val="16"/>
              </w:rPr>
            </w:pPr>
          </w:p>
        </w:tc>
        <w:tc>
          <w:tcPr>
            <w:tcW w:w="880" w:type="dxa"/>
            <w:noWrap/>
            <w:vAlign w:val="center"/>
          </w:tcPr>
          <w:p w14:paraId="3C14AB0B">
            <w:pPr>
              <w:widowControl/>
              <w:ind w:firstLine="0" w:firstLineChars="0"/>
              <w:jc w:val="center"/>
              <w:rPr>
                <w:color w:val="000000"/>
                <w:kern w:val="0"/>
                <w:sz w:val="16"/>
                <w:szCs w:val="16"/>
              </w:rPr>
            </w:pPr>
          </w:p>
        </w:tc>
        <w:tc>
          <w:tcPr>
            <w:tcW w:w="1018" w:type="dxa"/>
            <w:noWrap/>
            <w:vAlign w:val="center"/>
          </w:tcPr>
          <w:p w14:paraId="19267B8C">
            <w:pPr>
              <w:widowControl/>
              <w:ind w:firstLine="0" w:firstLineChars="0"/>
              <w:jc w:val="center"/>
              <w:rPr>
                <w:color w:val="000000"/>
                <w:kern w:val="0"/>
                <w:sz w:val="16"/>
                <w:szCs w:val="16"/>
              </w:rPr>
            </w:pPr>
          </w:p>
        </w:tc>
        <w:tc>
          <w:tcPr>
            <w:tcW w:w="1007" w:type="dxa"/>
            <w:noWrap/>
            <w:vAlign w:val="center"/>
          </w:tcPr>
          <w:p w14:paraId="317589D6">
            <w:pPr>
              <w:widowControl/>
              <w:ind w:firstLine="0" w:firstLineChars="0"/>
              <w:jc w:val="center"/>
              <w:rPr>
                <w:color w:val="000000"/>
                <w:kern w:val="0"/>
                <w:sz w:val="16"/>
                <w:szCs w:val="16"/>
              </w:rPr>
            </w:pPr>
            <w:r>
              <w:rPr>
                <w:color w:val="000000"/>
                <w:kern w:val="0"/>
                <w:sz w:val="16"/>
                <w:szCs w:val="16"/>
              </w:rPr>
              <w:t>62.25</w:t>
            </w:r>
          </w:p>
        </w:tc>
      </w:tr>
      <w:tr w14:paraId="5CF75101">
        <w:tblPrEx>
          <w:tblCellMar>
            <w:top w:w="0" w:type="dxa"/>
            <w:left w:w="108" w:type="dxa"/>
            <w:bottom w:w="0" w:type="dxa"/>
            <w:right w:w="108" w:type="dxa"/>
          </w:tblCellMar>
        </w:tblPrEx>
        <w:trPr>
          <w:trHeight w:val="288" w:hRule="atLeast"/>
          <w:jc w:val="center"/>
        </w:trPr>
        <w:tc>
          <w:tcPr>
            <w:tcW w:w="756" w:type="dxa"/>
            <w:noWrap/>
            <w:vAlign w:val="center"/>
          </w:tcPr>
          <w:p w14:paraId="0AEE959B">
            <w:pPr>
              <w:widowControl/>
              <w:ind w:firstLine="0" w:firstLineChars="0"/>
              <w:jc w:val="center"/>
              <w:rPr>
                <w:color w:val="000000"/>
                <w:kern w:val="0"/>
                <w:sz w:val="16"/>
                <w:szCs w:val="16"/>
              </w:rPr>
            </w:pPr>
          </w:p>
        </w:tc>
        <w:tc>
          <w:tcPr>
            <w:tcW w:w="3073" w:type="dxa"/>
            <w:noWrap/>
            <w:vAlign w:val="center"/>
          </w:tcPr>
          <w:p w14:paraId="054CC3AD">
            <w:pPr>
              <w:widowControl/>
              <w:ind w:firstLine="0" w:firstLineChars="0"/>
              <w:jc w:val="center"/>
              <w:rPr>
                <w:color w:val="000000"/>
                <w:kern w:val="0"/>
                <w:sz w:val="16"/>
                <w:szCs w:val="16"/>
              </w:rPr>
            </w:pPr>
            <w:r>
              <w:rPr>
                <w:color w:val="000000"/>
                <w:kern w:val="0"/>
                <w:sz w:val="16"/>
                <w:szCs w:val="16"/>
              </w:rPr>
              <w:t>Composite Labor</w:t>
            </w:r>
          </w:p>
        </w:tc>
        <w:tc>
          <w:tcPr>
            <w:tcW w:w="1208" w:type="dxa"/>
            <w:noWrap/>
            <w:vAlign w:val="center"/>
          </w:tcPr>
          <w:p w14:paraId="21582830">
            <w:pPr>
              <w:widowControl/>
              <w:ind w:firstLine="0" w:firstLineChars="0"/>
              <w:jc w:val="center"/>
              <w:rPr>
                <w:color w:val="000000"/>
                <w:kern w:val="0"/>
                <w:sz w:val="16"/>
                <w:szCs w:val="16"/>
              </w:rPr>
            </w:pPr>
            <w:r>
              <w:rPr>
                <w:color w:val="000000"/>
                <w:kern w:val="0"/>
                <w:sz w:val="16"/>
                <w:szCs w:val="16"/>
              </w:rPr>
              <w:t>Man-day</w:t>
            </w:r>
          </w:p>
        </w:tc>
        <w:tc>
          <w:tcPr>
            <w:tcW w:w="880" w:type="dxa"/>
            <w:noWrap/>
            <w:vAlign w:val="center"/>
          </w:tcPr>
          <w:p w14:paraId="60CA063F">
            <w:pPr>
              <w:widowControl/>
              <w:ind w:firstLine="0" w:firstLineChars="0"/>
              <w:jc w:val="center"/>
              <w:rPr>
                <w:kern w:val="0"/>
                <w:sz w:val="16"/>
                <w:szCs w:val="16"/>
              </w:rPr>
            </w:pPr>
            <w:r>
              <w:rPr>
                <w:kern w:val="0"/>
                <w:sz w:val="16"/>
                <w:szCs w:val="16"/>
              </w:rPr>
              <w:t>0.248</w:t>
            </w:r>
          </w:p>
        </w:tc>
        <w:tc>
          <w:tcPr>
            <w:tcW w:w="1018" w:type="dxa"/>
            <w:noWrap/>
            <w:vAlign w:val="center"/>
          </w:tcPr>
          <w:p w14:paraId="6C03BDD7">
            <w:pPr>
              <w:widowControl/>
              <w:ind w:firstLine="0" w:firstLineChars="0"/>
              <w:jc w:val="center"/>
              <w:rPr>
                <w:kern w:val="0"/>
                <w:sz w:val="16"/>
                <w:szCs w:val="16"/>
              </w:rPr>
            </w:pPr>
            <w:r>
              <w:rPr>
                <w:kern w:val="0"/>
                <w:sz w:val="16"/>
                <w:szCs w:val="16"/>
              </w:rPr>
              <w:t>251.00</w:t>
            </w:r>
          </w:p>
        </w:tc>
        <w:tc>
          <w:tcPr>
            <w:tcW w:w="1007" w:type="dxa"/>
            <w:noWrap/>
            <w:vAlign w:val="center"/>
          </w:tcPr>
          <w:p w14:paraId="56323798">
            <w:pPr>
              <w:widowControl/>
              <w:ind w:firstLine="0" w:firstLineChars="0"/>
              <w:jc w:val="center"/>
              <w:rPr>
                <w:color w:val="000000"/>
                <w:kern w:val="0"/>
                <w:sz w:val="16"/>
                <w:szCs w:val="16"/>
              </w:rPr>
            </w:pPr>
            <w:r>
              <w:rPr>
                <w:color w:val="000000"/>
                <w:kern w:val="0"/>
                <w:sz w:val="16"/>
                <w:szCs w:val="16"/>
              </w:rPr>
              <w:t>62.25</w:t>
            </w:r>
          </w:p>
        </w:tc>
      </w:tr>
      <w:tr w14:paraId="53E71360">
        <w:tblPrEx>
          <w:tblCellMar>
            <w:top w:w="0" w:type="dxa"/>
            <w:left w:w="108" w:type="dxa"/>
            <w:bottom w:w="0" w:type="dxa"/>
            <w:right w:w="108" w:type="dxa"/>
          </w:tblCellMar>
        </w:tblPrEx>
        <w:trPr>
          <w:trHeight w:val="288" w:hRule="atLeast"/>
          <w:jc w:val="center"/>
        </w:trPr>
        <w:tc>
          <w:tcPr>
            <w:tcW w:w="756" w:type="dxa"/>
            <w:noWrap/>
            <w:vAlign w:val="center"/>
          </w:tcPr>
          <w:p w14:paraId="35F010BE">
            <w:pPr>
              <w:widowControl/>
              <w:ind w:firstLine="0" w:firstLineChars="0"/>
              <w:jc w:val="center"/>
              <w:rPr>
                <w:color w:val="000000"/>
                <w:kern w:val="0"/>
                <w:sz w:val="16"/>
                <w:szCs w:val="16"/>
              </w:rPr>
            </w:pPr>
            <w:r>
              <w:rPr>
                <w:color w:val="000000"/>
                <w:kern w:val="0"/>
                <w:sz w:val="16"/>
                <w:szCs w:val="16"/>
              </w:rPr>
              <w:t>1.1.2</w:t>
            </w:r>
          </w:p>
        </w:tc>
        <w:tc>
          <w:tcPr>
            <w:tcW w:w="3073" w:type="dxa"/>
            <w:noWrap/>
            <w:vAlign w:val="center"/>
          </w:tcPr>
          <w:p w14:paraId="4AFAD39D">
            <w:pPr>
              <w:widowControl/>
              <w:ind w:firstLine="0" w:firstLineChars="0"/>
              <w:jc w:val="center"/>
              <w:rPr>
                <w:color w:val="000000"/>
                <w:kern w:val="0"/>
                <w:sz w:val="16"/>
                <w:szCs w:val="16"/>
              </w:rPr>
            </w:pPr>
            <w:r>
              <w:rPr>
                <w:color w:val="000000"/>
                <w:kern w:val="0"/>
                <w:sz w:val="16"/>
                <w:szCs w:val="16"/>
              </w:rPr>
              <w:t>Material Cost</w:t>
            </w:r>
          </w:p>
        </w:tc>
        <w:tc>
          <w:tcPr>
            <w:tcW w:w="1208" w:type="dxa"/>
            <w:noWrap/>
            <w:vAlign w:val="center"/>
          </w:tcPr>
          <w:p w14:paraId="074688AA">
            <w:pPr>
              <w:widowControl/>
              <w:ind w:firstLine="0" w:firstLineChars="0"/>
              <w:jc w:val="center"/>
              <w:rPr>
                <w:color w:val="000000"/>
                <w:kern w:val="0"/>
                <w:sz w:val="16"/>
                <w:szCs w:val="16"/>
              </w:rPr>
            </w:pPr>
          </w:p>
        </w:tc>
        <w:tc>
          <w:tcPr>
            <w:tcW w:w="880" w:type="dxa"/>
            <w:noWrap/>
            <w:vAlign w:val="center"/>
          </w:tcPr>
          <w:p w14:paraId="270238C3">
            <w:pPr>
              <w:widowControl/>
              <w:ind w:firstLine="0" w:firstLineChars="0"/>
              <w:jc w:val="center"/>
              <w:rPr>
                <w:color w:val="000000"/>
                <w:kern w:val="0"/>
                <w:sz w:val="16"/>
                <w:szCs w:val="16"/>
              </w:rPr>
            </w:pPr>
          </w:p>
        </w:tc>
        <w:tc>
          <w:tcPr>
            <w:tcW w:w="1018" w:type="dxa"/>
            <w:noWrap/>
            <w:vAlign w:val="center"/>
          </w:tcPr>
          <w:p w14:paraId="542E7C3A">
            <w:pPr>
              <w:widowControl/>
              <w:ind w:firstLine="0" w:firstLineChars="0"/>
              <w:jc w:val="center"/>
              <w:rPr>
                <w:color w:val="000000"/>
                <w:kern w:val="0"/>
                <w:sz w:val="16"/>
                <w:szCs w:val="16"/>
              </w:rPr>
            </w:pPr>
          </w:p>
        </w:tc>
        <w:tc>
          <w:tcPr>
            <w:tcW w:w="1007" w:type="dxa"/>
            <w:noWrap/>
            <w:vAlign w:val="center"/>
          </w:tcPr>
          <w:p w14:paraId="5DA4FC52">
            <w:pPr>
              <w:widowControl/>
              <w:ind w:firstLine="0" w:firstLineChars="0"/>
              <w:jc w:val="center"/>
              <w:rPr>
                <w:color w:val="000000"/>
                <w:kern w:val="0"/>
                <w:sz w:val="16"/>
                <w:szCs w:val="16"/>
              </w:rPr>
            </w:pPr>
            <w:r>
              <w:rPr>
                <w:color w:val="000000"/>
                <w:kern w:val="0"/>
                <w:sz w:val="16"/>
                <w:szCs w:val="16"/>
              </w:rPr>
              <w:t>269.84</w:t>
            </w:r>
          </w:p>
        </w:tc>
      </w:tr>
      <w:tr w14:paraId="02125AB2">
        <w:tblPrEx>
          <w:tblCellMar>
            <w:top w:w="0" w:type="dxa"/>
            <w:left w:w="108" w:type="dxa"/>
            <w:bottom w:w="0" w:type="dxa"/>
            <w:right w:w="108" w:type="dxa"/>
          </w:tblCellMar>
        </w:tblPrEx>
        <w:trPr>
          <w:trHeight w:val="288" w:hRule="atLeast"/>
          <w:jc w:val="center"/>
        </w:trPr>
        <w:tc>
          <w:tcPr>
            <w:tcW w:w="756" w:type="dxa"/>
            <w:noWrap/>
            <w:vAlign w:val="center"/>
          </w:tcPr>
          <w:p w14:paraId="7951C0D3">
            <w:pPr>
              <w:widowControl/>
              <w:ind w:firstLine="0" w:firstLineChars="0"/>
              <w:jc w:val="center"/>
              <w:rPr>
                <w:color w:val="000000"/>
                <w:kern w:val="0"/>
                <w:sz w:val="16"/>
                <w:szCs w:val="16"/>
              </w:rPr>
            </w:pPr>
          </w:p>
        </w:tc>
        <w:tc>
          <w:tcPr>
            <w:tcW w:w="3073" w:type="dxa"/>
            <w:vAlign w:val="center"/>
          </w:tcPr>
          <w:p w14:paraId="0AE8EAB2">
            <w:pPr>
              <w:widowControl/>
              <w:ind w:firstLine="0" w:firstLineChars="0"/>
              <w:jc w:val="center"/>
              <w:rPr>
                <w:color w:val="000000"/>
                <w:kern w:val="0"/>
                <w:sz w:val="16"/>
                <w:szCs w:val="16"/>
              </w:rPr>
            </w:pPr>
            <w:r>
              <w:rPr>
                <w:color w:val="000000"/>
                <w:kern w:val="0"/>
                <w:sz w:val="16"/>
                <w:szCs w:val="16"/>
              </w:rPr>
              <w:t>Petroleum Asphalt 60~100</w:t>
            </w:r>
          </w:p>
        </w:tc>
        <w:tc>
          <w:tcPr>
            <w:tcW w:w="1208" w:type="dxa"/>
            <w:noWrap/>
            <w:vAlign w:val="center"/>
          </w:tcPr>
          <w:p w14:paraId="2A9F24DE">
            <w:pPr>
              <w:widowControl/>
              <w:ind w:firstLine="0" w:firstLineChars="0"/>
              <w:jc w:val="center"/>
              <w:rPr>
                <w:color w:val="000000"/>
                <w:kern w:val="0"/>
                <w:sz w:val="16"/>
                <w:szCs w:val="16"/>
              </w:rPr>
            </w:pPr>
            <w:r>
              <w:rPr>
                <w:color w:val="000000"/>
                <w:kern w:val="0"/>
                <w:sz w:val="16"/>
                <w:szCs w:val="16"/>
              </w:rPr>
              <w:t>t</w:t>
            </w:r>
          </w:p>
        </w:tc>
        <w:tc>
          <w:tcPr>
            <w:tcW w:w="880" w:type="dxa"/>
            <w:noWrap/>
            <w:vAlign w:val="center"/>
          </w:tcPr>
          <w:p w14:paraId="2023F7BE">
            <w:pPr>
              <w:widowControl/>
              <w:ind w:firstLine="0" w:firstLineChars="0"/>
              <w:jc w:val="center"/>
              <w:rPr>
                <w:color w:val="000000"/>
                <w:kern w:val="0"/>
                <w:sz w:val="16"/>
                <w:szCs w:val="16"/>
              </w:rPr>
            </w:pPr>
            <w:r>
              <w:rPr>
                <w:color w:val="000000"/>
                <w:kern w:val="0"/>
                <w:sz w:val="16"/>
                <w:szCs w:val="16"/>
              </w:rPr>
              <w:t>0.041</w:t>
            </w:r>
          </w:p>
        </w:tc>
        <w:tc>
          <w:tcPr>
            <w:tcW w:w="1018" w:type="dxa"/>
            <w:noWrap/>
            <w:vAlign w:val="center"/>
          </w:tcPr>
          <w:p w14:paraId="1DEA2BED">
            <w:pPr>
              <w:widowControl/>
              <w:ind w:firstLine="0" w:firstLineChars="0"/>
              <w:jc w:val="center"/>
              <w:rPr>
                <w:color w:val="000000"/>
                <w:kern w:val="0"/>
                <w:sz w:val="16"/>
                <w:szCs w:val="16"/>
              </w:rPr>
            </w:pPr>
            <w:r>
              <w:rPr>
                <w:color w:val="000000"/>
                <w:kern w:val="0"/>
                <w:sz w:val="16"/>
                <w:szCs w:val="16"/>
              </w:rPr>
              <w:t>5839.05</w:t>
            </w:r>
          </w:p>
        </w:tc>
        <w:tc>
          <w:tcPr>
            <w:tcW w:w="1007" w:type="dxa"/>
            <w:noWrap/>
            <w:vAlign w:val="center"/>
          </w:tcPr>
          <w:p w14:paraId="0E895BAC">
            <w:pPr>
              <w:widowControl/>
              <w:ind w:firstLine="0" w:firstLineChars="0"/>
              <w:jc w:val="center"/>
              <w:rPr>
                <w:color w:val="000000"/>
                <w:kern w:val="0"/>
                <w:sz w:val="16"/>
                <w:szCs w:val="16"/>
              </w:rPr>
            </w:pPr>
            <w:r>
              <w:rPr>
                <w:color w:val="000000"/>
                <w:kern w:val="0"/>
                <w:sz w:val="16"/>
                <w:szCs w:val="16"/>
              </w:rPr>
              <w:t>239.40</w:t>
            </w:r>
          </w:p>
        </w:tc>
      </w:tr>
      <w:tr w14:paraId="6536D55B">
        <w:tblPrEx>
          <w:tblCellMar>
            <w:top w:w="0" w:type="dxa"/>
            <w:left w:w="108" w:type="dxa"/>
            <w:bottom w:w="0" w:type="dxa"/>
            <w:right w:w="108" w:type="dxa"/>
          </w:tblCellMar>
        </w:tblPrEx>
        <w:trPr>
          <w:trHeight w:val="288" w:hRule="atLeast"/>
          <w:jc w:val="center"/>
        </w:trPr>
        <w:tc>
          <w:tcPr>
            <w:tcW w:w="756" w:type="dxa"/>
            <w:noWrap/>
            <w:vAlign w:val="center"/>
          </w:tcPr>
          <w:p w14:paraId="0CED9B02">
            <w:pPr>
              <w:widowControl/>
              <w:ind w:firstLine="0" w:firstLineChars="0"/>
              <w:jc w:val="center"/>
              <w:rPr>
                <w:color w:val="000000"/>
                <w:kern w:val="0"/>
                <w:sz w:val="16"/>
                <w:szCs w:val="16"/>
              </w:rPr>
            </w:pPr>
          </w:p>
        </w:tc>
        <w:tc>
          <w:tcPr>
            <w:tcW w:w="3073" w:type="dxa"/>
            <w:noWrap/>
            <w:vAlign w:val="center"/>
          </w:tcPr>
          <w:p w14:paraId="05266A12">
            <w:pPr>
              <w:widowControl/>
              <w:ind w:firstLine="0" w:firstLineChars="0"/>
              <w:jc w:val="center"/>
              <w:rPr>
                <w:color w:val="000000"/>
                <w:kern w:val="0"/>
                <w:sz w:val="16"/>
                <w:szCs w:val="16"/>
              </w:rPr>
            </w:pPr>
            <w:r>
              <w:rPr>
                <w:color w:val="000000"/>
                <w:kern w:val="0"/>
                <w:sz w:val="16"/>
                <w:szCs w:val="16"/>
              </w:rPr>
              <w:t>Coal</w:t>
            </w:r>
          </w:p>
        </w:tc>
        <w:tc>
          <w:tcPr>
            <w:tcW w:w="1208" w:type="dxa"/>
            <w:noWrap/>
            <w:vAlign w:val="center"/>
          </w:tcPr>
          <w:p w14:paraId="13539748">
            <w:pPr>
              <w:widowControl/>
              <w:ind w:firstLine="0" w:firstLineChars="0"/>
              <w:jc w:val="center"/>
              <w:rPr>
                <w:color w:val="000000"/>
                <w:kern w:val="0"/>
                <w:sz w:val="16"/>
                <w:szCs w:val="16"/>
              </w:rPr>
            </w:pPr>
            <w:r>
              <w:rPr>
                <w:color w:val="000000"/>
                <w:kern w:val="0"/>
                <w:sz w:val="16"/>
                <w:szCs w:val="16"/>
              </w:rPr>
              <w:t>kg</w:t>
            </w:r>
          </w:p>
        </w:tc>
        <w:tc>
          <w:tcPr>
            <w:tcW w:w="880" w:type="dxa"/>
            <w:noWrap/>
            <w:vAlign w:val="center"/>
          </w:tcPr>
          <w:p w14:paraId="1DD9628D">
            <w:pPr>
              <w:widowControl/>
              <w:ind w:firstLine="0" w:firstLineChars="0"/>
              <w:jc w:val="center"/>
              <w:rPr>
                <w:color w:val="000000"/>
                <w:kern w:val="0"/>
                <w:sz w:val="16"/>
                <w:szCs w:val="16"/>
              </w:rPr>
            </w:pPr>
            <w:r>
              <w:rPr>
                <w:color w:val="000000"/>
                <w:kern w:val="0"/>
                <w:sz w:val="16"/>
                <w:szCs w:val="16"/>
              </w:rPr>
              <w:t>12.000</w:t>
            </w:r>
          </w:p>
        </w:tc>
        <w:tc>
          <w:tcPr>
            <w:tcW w:w="1018" w:type="dxa"/>
            <w:noWrap/>
            <w:vAlign w:val="center"/>
          </w:tcPr>
          <w:p w14:paraId="4AC94461">
            <w:pPr>
              <w:widowControl/>
              <w:ind w:firstLine="0" w:firstLineChars="0"/>
              <w:jc w:val="center"/>
              <w:rPr>
                <w:color w:val="000000"/>
                <w:kern w:val="0"/>
                <w:sz w:val="16"/>
                <w:szCs w:val="16"/>
              </w:rPr>
            </w:pPr>
            <w:r>
              <w:rPr>
                <w:color w:val="000000"/>
                <w:kern w:val="0"/>
                <w:sz w:val="16"/>
                <w:szCs w:val="16"/>
              </w:rPr>
              <w:t>1.00</w:t>
            </w:r>
          </w:p>
        </w:tc>
        <w:tc>
          <w:tcPr>
            <w:tcW w:w="1007" w:type="dxa"/>
            <w:noWrap/>
            <w:vAlign w:val="center"/>
          </w:tcPr>
          <w:p w14:paraId="12BDC749">
            <w:pPr>
              <w:widowControl/>
              <w:ind w:firstLine="0" w:firstLineChars="0"/>
              <w:jc w:val="center"/>
              <w:rPr>
                <w:color w:val="000000"/>
                <w:kern w:val="0"/>
                <w:sz w:val="16"/>
                <w:szCs w:val="16"/>
              </w:rPr>
            </w:pPr>
            <w:r>
              <w:rPr>
                <w:color w:val="000000"/>
                <w:kern w:val="0"/>
                <w:sz w:val="16"/>
                <w:szCs w:val="16"/>
              </w:rPr>
              <w:t>12.00</w:t>
            </w:r>
          </w:p>
        </w:tc>
      </w:tr>
      <w:tr w14:paraId="54A2B1ED">
        <w:tblPrEx>
          <w:tblCellMar>
            <w:top w:w="0" w:type="dxa"/>
            <w:left w:w="108" w:type="dxa"/>
            <w:bottom w:w="0" w:type="dxa"/>
            <w:right w:w="108" w:type="dxa"/>
          </w:tblCellMar>
        </w:tblPrEx>
        <w:trPr>
          <w:trHeight w:val="288" w:hRule="atLeast"/>
          <w:jc w:val="center"/>
        </w:trPr>
        <w:tc>
          <w:tcPr>
            <w:tcW w:w="756" w:type="dxa"/>
            <w:noWrap/>
            <w:vAlign w:val="center"/>
          </w:tcPr>
          <w:p w14:paraId="4ECAFC3C">
            <w:pPr>
              <w:widowControl/>
              <w:ind w:firstLine="0" w:firstLineChars="0"/>
              <w:jc w:val="center"/>
              <w:rPr>
                <w:color w:val="000000"/>
                <w:kern w:val="0"/>
                <w:sz w:val="16"/>
                <w:szCs w:val="16"/>
              </w:rPr>
            </w:pPr>
          </w:p>
        </w:tc>
        <w:tc>
          <w:tcPr>
            <w:tcW w:w="3073" w:type="dxa"/>
            <w:noWrap/>
            <w:vAlign w:val="center"/>
          </w:tcPr>
          <w:p w14:paraId="4D145147">
            <w:pPr>
              <w:widowControl/>
              <w:ind w:firstLine="0" w:firstLineChars="0"/>
              <w:jc w:val="center"/>
              <w:rPr>
                <w:color w:val="000000"/>
                <w:kern w:val="0"/>
                <w:sz w:val="16"/>
                <w:szCs w:val="16"/>
              </w:rPr>
            </w:pPr>
            <w:r>
              <w:rPr>
                <w:color w:val="000000"/>
                <w:kern w:val="0"/>
                <w:sz w:val="16"/>
                <w:szCs w:val="16"/>
              </w:rPr>
              <w:t>Other Material Cost</w:t>
            </w:r>
          </w:p>
        </w:tc>
        <w:tc>
          <w:tcPr>
            <w:tcW w:w="1208" w:type="dxa"/>
            <w:noWrap/>
            <w:vAlign w:val="center"/>
          </w:tcPr>
          <w:p w14:paraId="5CF5A369">
            <w:pPr>
              <w:widowControl/>
              <w:ind w:firstLine="0" w:firstLineChars="0"/>
              <w:jc w:val="center"/>
              <w:rPr>
                <w:color w:val="000000"/>
                <w:kern w:val="0"/>
                <w:sz w:val="16"/>
                <w:szCs w:val="16"/>
              </w:rPr>
            </w:pPr>
            <w:r>
              <w:rPr>
                <w:color w:val="000000"/>
                <w:kern w:val="0"/>
                <w:sz w:val="16"/>
                <w:szCs w:val="16"/>
              </w:rPr>
              <w:t>%</w:t>
            </w:r>
          </w:p>
        </w:tc>
        <w:tc>
          <w:tcPr>
            <w:tcW w:w="880" w:type="dxa"/>
            <w:noWrap/>
            <w:vAlign w:val="center"/>
          </w:tcPr>
          <w:p w14:paraId="3D1D09CE">
            <w:pPr>
              <w:widowControl/>
              <w:ind w:firstLine="0" w:firstLineChars="0"/>
              <w:jc w:val="center"/>
              <w:rPr>
                <w:color w:val="000000"/>
                <w:kern w:val="0"/>
                <w:sz w:val="16"/>
                <w:szCs w:val="16"/>
              </w:rPr>
            </w:pPr>
            <w:r>
              <w:rPr>
                <w:color w:val="000000"/>
                <w:kern w:val="0"/>
                <w:sz w:val="16"/>
                <w:szCs w:val="16"/>
              </w:rPr>
              <w:t>0.010</w:t>
            </w:r>
          </w:p>
        </w:tc>
        <w:tc>
          <w:tcPr>
            <w:tcW w:w="1018" w:type="dxa"/>
            <w:noWrap/>
            <w:vAlign w:val="center"/>
          </w:tcPr>
          <w:p w14:paraId="64437F2A">
            <w:pPr>
              <w:widowControl/>
              <w:ind w:firstLine="0" w:firstLineChars="0"/>
              <w:jc w:val="center"/>
              <w:rPr>
                <w:color w:val="000000"/>
                <w:kern w:val="0"/>
                <w:sz w:val="16"/>
                <w:szCs w:val="16"/>
              </w:rPr>
            </w:pPr>
            <w:r>
              <w:rPr>
                <w:color w:val="000000"/>
                <w:kern w:val="0"/>
                <w:sz w:val="16"/>
                <w:szCs w:val="16"/>
              </w:rPr>
              <w:t>1843.86</w:t>
            </w:r>
          </w:p>
        </w:tc>
        <w:tc>
          <w:tcPr>
            <w:tcW w:w="1007" w:type="dxa"/>
            <w:noWrap/>
            <w:vAlign w:val="center"/>
          </w:tcPr>
          <w:p w14:paraId="28B58E1A">
            <w:pPr>
              <w:widowControl/>
              <w:ind w:firstLine="0" w:firstLineChars="0"/>
              <w:jc w:val="center"/>
              <w:rPr>
                <w:color w:val="000000"/>
                <w:kern w:val="0"/>
                <w:sz w:val="16"/>
                <w:szCs w:val="16"/>
              </w:rPr>
            </w:pPr>
            <w:r>
              <w:rPr>
                <w:color w:val="000000"/>
                <w:kern w:val="0"/>
                <w:sz w:val="16"/>
                <w:szCs w:val="16"/>
              </w:rPr>
              <w:t>18.44</w:t>
            </w:r>
          </w:p>
        </w:tc>
      </w:tr>
      <w:tr w14:paraId="2351DDDD">
        <w:tblPrEx>
          <w:tblCellMar>
            <w:top w:w="0" w:type="dxa"/>
            <w:left w:w="108" w:type="dxa"/>
            <w:bottom w:w="0" w:type="dxa"/>
            <w:right w:w="108" w:type="dxa"/>
          </w:tblCellMar>
        </w:tblPrEx>
        <w:trPr>
          <w:trHeight w:val="288" w:hRule="atLeast"/>
          <w:jc w:val="center"/>
        </w:trPr>
        <w:tc>
          <w:tcPr>
            <w:tcW w:w="756" w:type="dxa"/>
            <w:noWrap/>
            <w:vAlign w:val="center"/>
          </w:tcPr>
          <w:p w14:paraId="205DBBF4">
            <w:pPr>
              <w:widowControl/>
              <w:ind w:firstLine="0" w:firstLineChars="0"/>
              <w:jc w:val="center"/>
              <w:rPr>
                <w:color w:val="000000"/>
                <w:kern w:val="0"/>
                <w:sz w:val="16"/>
                <w:szCs w:val="16"/>
              </w:rPr>
            </w:pPr>
            <w:r>
              <w:rPr>
                <w:color w:val="000000"/>
                <w:kern w:val="0"/>
                <w:sz w:val="16"/>
                <w:szCs w:val="16"/>
              </w:rPr>
              <w:t>1.1.3</w:t>
            </w:r>
          </w:p>
        </w:tc>
        <w:tc>
          <w:tcPr>
            <w:tcW w:w="3073" w:type="dxa"/>
            <w:noWrap/>
            <w:vAlign w:val="center"/>
          </w:tcPr>
          <w:p w14:paraId="69EAB41E">
            <w:pPr>
              <w:widowControl/>
              <w:ind w:firstLine="0" w:firstLineChars="0"/>
              <w:jc w:val="center"/>
              <w:rPr>
                <w:color w:val="000000"/>
                <w:kern w:val="0"/>
                <w:sz w:val="16"/>
                <w:szCs w:val="16"/>
              </w:rPr>
            </w:pPr>
            <w:r>
              <w:rPr>
                <w:color w:val="000000"/>
                <w:kern w:val="0"/>
                <w:sz w:val="16"/>
                <w:szCs w:val="16"/>
              </w:rPr>
              <w:t>Machinery Operation Cost</w:t>
            </w:r>
          </w:p>
        </w:tc>
        <w:tc>
          <w:tcPr>
            <w:tcW w:w="1208" w:type="dxa"/>
            <w:noWrap/>
            <w:vAlign w:val="center"/>
          </w:tcPr>
          <w:p w14:paraId="2122D70B">
            <w:pPr>
              <w:widowControl/>
              <w:ind w:firstLine="0" w:firstLineChars="0"/>
              <w:jc w:val="center"/>
              <w:rPr>
                <w:color w:val="000000"/>
                <w:kern w:val="0"/>
                <w:sz w:val="16"/>
                <w:szCs w:val="16"/>
              </w:rPr>
            </w:pPr>
          </w:p>
        </w:tc>
        <w:tc>
          <w:tcPr>
            <w:tcW w:w="880" w:type="dxa"/>
            <w:noWrap/>
            <w:vAlign w:val="center"/>
          </w:tcPr>
          <w:p w14:paraId="6050604C">
            <w:pPr>
              <w:widowControl/>
              <w:ind w:firstLine="0" w:firstLineChars="0"/>
              <w:jc w:val="center"/>
              <w:rPr>
                <w:color w:val="000000"/>
                <w:kern w:val="0"/>
                <w:sz w:val="16"/>
                <w:szCs w:val="16"/>
              </w:rPr>
            </w:pPr>
          </w:p>
        </w:tc>
        <w:tc>
          <w:tcPr>
            <w:tcW w:w="1018" w:type="dxa"/>
            <w:noWrap/>
            <w:vAlign w:val="center"/>
          </w:tcPr>
          <w:p w14:paraId="7F97089B">
            <w:pPr>
              <w:widowControl/>
              <w:ind w:firstLine="0" w:firstLineChars="0"/>
              <w:jc w:val="center"/>
              <w:rPr>
                <w:color w:val="000000"/>
                <w:kern w:val="0"/>
                <w:sz w:val="16"/>
                <w:szCs w:val="16"/>
              </w:rPr>
            </w:pPr>
          </w:p>
        </w:tc>
        <w:tc>
          <w:tcPr>
            <w:tcW w:w="1007" w:type="dxa"/>
            <w:noWrap/>
            <w:vAlign w:val="center"/>
          </w:tcPr>
          <w:p w14:paraId="79EA3F5A">
            <w:pPr>
              <w:widowControl/>
              <w:ind w:firstLine="0" w:firstLineChars="0"/>
              <w:jc w:val="center"/>
              <w:rPr>
                <w:color w:val="000000"/>
                <w:kern w:val="0"/>
                <w:sz w:val="16"/>
                <w:szCs w:val="16"/>
              </w:rPr>
            </w:pPr>
            <w:r>
              <w:rPr>
                <w:color w:val="000000"/>
                <w:kern w:val="0"/>
                <w:sz w:val="16"/>
                <w:szCs w:val="16"/>
              </w:rPr>
              <w:t>17.75</w:t>
            </w:r>
          </w:p>
        </w:tc>
      </w:tr>
      <w:tr w14:paraId="0BBB3A55">
        <w:tblPrEx>
          <w:tblCellMar>
            <w:top w:w="0" w:type="dxa"/>
            <w:left w:w="108" w:type="dxa"/>
            <w:bottom w:w="0" w:type="dxa"/>
            <w:right w:w="108" w:type="dxa"/>
          </w:tblCellMar>
        </w:tblPrEx>
        <w:trPr>
          <w:trHeight w:val="288" w:hRule="atLeast"/>
          <w:jc w:val="center"/>
        </w:trPr>
        <w:tc>
          <w:tcPr>
            <w:tcW w:w="756" w:type="dxa"/>
            <w:tcBorders>
              <w:bottom w:val="single" w:color="auto" w:sz="4" w:space="0"/>
            </w:tcBorders>
            <w:noWrap/>
            <w:vAlign w:val="center"/>
          </w:tcPr>
          <w:p w14:paraId="5C910EF5">
            <w:pPr>
              <w:widowControl/>
              <w:ind w:firstLine="0" w:firstLineChars="0"/>
              <w:jc w:val="center"/>
              <w:rPr>
                <w:color w:val="000000"/>
                <w:kern w:val="0"/>
                <w:sz w:val="16"/>
                <w:szCs w:val="16"/>
              </w:rPr>
            </w:pPr>
          </w:p>
        </w:tc>
        <w:tc>
          <w:tcPr>
            <w:tcW w:w="3073" w:type="dxa"/>
            <w:tcBorders>
              <w:bottom w:val="single" w:color="auto" w:sz="4" w:space="0"/>
            </w:tcBorders>
            <w:noWrap/>
            <w:vAlign w:val="center"/>
          </w:tcPr>
          <w:p w14:paraId="7F8C3725">
            <w:pPr>
              <w:widowControl/>
              <w:ind w:firstLine="0" w:firstLineChars="0"/>
              <w:jc w:val="center"/>
              <w:rPr>
                <w:color w:val="000000"/>
                <w:kern w:val="0"/>
                <w:sz w:val="16"/>
                <w:szCs w:val="16"/>
              </w:rPr>
            </w:pPr>
            <w:r>
              <w:rPr>
                <w:color w:val="000000"/>
                <w:kern w:val="0"/>
                <w:sz w:val="16"/>
                <w:szCs w:val="16"/>
              </w:rPr>
              <w:t>Truck-mounted Asphalt Distributor 4000L</w:t>
            </w:r>
          </w:p>
        </w:tc>
        <w:tc>
          <w:tcPr>
            <w:tcW w:w="1208" w:type="dxa"/>
            <w:tcBorders>
              <w:bottom w:val="single" w:color="auto" w:sz="4" w:space="0"/>
            </w:tcBorders>
            <w:noWrap/>
            <w:vAlign w:val="center"/>
          </w:tcPr>
          <w:p w14:paraId="670F573A">
            <w:pPr>
              <w:widowControl/>
              <w:ind w:firstLine="0" w:firstLineChars="0"/>
              <w:jc w:val="center"/>
              <w:rPr>
                <w:color w:val="000000"/>
                <w:kern w:val="0"/>
                <w:sz w:val="16"/>
                <w:szCs w:val="16"/>
              </w:rPr>
            </w:pPr>
            <w:r>
              <w:rPr>
                <w:color w:val="000000"/>
                <w:kern w:val="0"/>
                <w:sz w:val="16"/>
                <w:szCs w:val="16"/>
              </w:rPr>
              <w:t>Machine-shift</w:t>
            </w:r>
          </w:p>
        </w:tc>
        <w:tc>
          <w:tcPr>
            <w:tcW w:w="880" w:type="dxa"/>
            <w:tcBorders>
              <w:bottom w:val="single" w:color="auto" w:sz="4" w:space="0"/>
            </w:tcBorders>
            <w:noWrap/>
            <w:vAlign w:val="center"/>
          </w:tcPr>
          <w:p w14:paraId="655781AB">
            <w:pPr>
              <w:widowControl/>
              <w:ind w:firstLine="0" w:firstLineChars="0"/>
              <w:jc w:val="center"/>
              <w:rPr>
                <w:color w:val="000000"/>
                <w:kern w:val="0"/>
                <w:sz w:val="16"/>
                <w:szCs w:val="16"/>
              </w:rPr>
            </w:pPr>
            <w:r>
              <w:rPr>
                <w:color w:val="000000"/>
                <w:kern w:val="0"/>
                <w:sz w:val="16"/>
                <w:szCs w:val="16"/>
              </w:rPr>
              <w:t>0.029</w:t>
            </w:r>
          </w:p>
        </w:tc>
        <w:tc>
          <w:tcPr>
            <w:tcW w:w="1018" w:type="dxa"/>
            <w:tcBorders>
              <w:bottom w:val="single" w:color="auto" w:sz="4" w:space="0"/>
            </w:tcBorders>
            <w:noWrap/>
            <w:vAlign w:val="center"/>
          </w:tcPr>
          <w:p w14:paraId="678474F7">
            <w:pPr>
              <w:widowControl/>
              <w:ind w:firstLine="0" w:firstLineChars="0"/>
              <w:jc w:val="center"/>
              <w:rPr>
                <w:color w:val="000000"/>
                <w:kern w:val="0"/>
                <w:sz w:val="16"/>
                <w:szCs w:val="16"/>
              </w:rPr>
            </w:pPr>
            <w:r>
              <w:rPr>
                <w:color w:val="000000"/>
                <w:kern w:val="0"/>
                <w:sz w:val="16"/>
                <w:szCs w:val="16"/>
              </w:rPr>
              <w:t>612.07</w:t>
            </w:r>
          </w:p>
        </w:tc>
        <w:tc>
          <w:tcPr>
            <w:tcW w:w="1007" w:type="dxa"/>
            <w:tcBorders>
              <w:bottom w:val="single" w:color="auto" w:sz="4" w:space="0"/>
            </w:tcBorders>
            <w:noWrap/>
            <w:vAlign w:val="center"/>
          </w:tcPr>
          <w:p w14:paraId="6203B8CE">
            <w:pPr>
              <w:widowControl/>
              <w:ind w:firstLine="0" w:firstLineChars="0"/>
              <w:jc w:val="center"/>
              <w:rPr>
                <w:color w:val="000000"/>
                <w:kern w:val="0"/>
                <w:sz w:val="16"/>
                <w:szCs w:val="16"/>
              </w:rPr>
            </w:pPr>
            <w:r>
              <w:rPr>
                <w:color w:val="000000"/>
                <w:kern w:val="0"/>
                <w:sz w:val="16"/>
                <w:szCs w:val="16"/>
              </w:rPr>
              <w:t>17.75</w:t>
            </w:r>
          </w:p>
        </w:tc>
      </w:tr>
      <w:tr w14:paraId="7F53BD9A">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004246E8">
            <w:pPr>
              <w:widowControl/>
              <w:ind w:firstLine="0" w:firstLineChars="0"/>
              <w:jc w:val="center"/>
              <w:rPr>
                <w:color w:val="000000"/>
                <w:kern w:val="0"/>
                <w:sz w:val="16"/>
                <w:szCs w:val="16"/>
              </w:rPr>
            </w:pPr>
            <w:r>
              <w:rPr>
                <w:color w:val="000000"/>
                <w:kern w:val="0"/>
                <w:sz w:val="16"/>
                <w:szCs w:val="16"/>
              </w:rPr>
              <w:t>1.2</w:t>
            </w:r>
          </w:p>
        </w:tc>
        <w:tc>
          <w:tcPr>
            <w:tcW w:w="3073" w:type="dxa"/>
            <w:tcBorders>
              <w:top w:val="single" w:color="auto" w:sz="4" w:space="0"/>
              <w:bottom w:val="single" w:color="auto" w:sz="4" w:space="0"/>
            </w:tcBorders>
            <w:noWrap/>
            <w:vAlign w:val="center"/>
          </w:tcPr>
          <w:p w14:paraId="2C1A5AAD">
            <w:pPr>
              <w:widowControl/>
              <w:ind w:firstLine="0" w:firstLineChars="0"/>
              <w:jc w:val="center"/>
              <w:rPr>
                <w:color w:val="000000"/>
                <w:kern w:val="0"/>
                <w:sz w:val="16"/>
                <w:szCs w:val="16"/>
              </w:rPr>
            </w:pPr>
            <w:r>
              <w:rPr>
                <w:color w:val="000000"/>
                <w:kern w:val="0"/>
                <w:sz w:val="16"/>
                <w:szCs w:val="16"/>
              </w:rPr>
              <w:t>Other Direct Costs (Measure Costs)</w:t>
            </w:r>
          </w:p>
        </w:tc>
        <w:tc>
          <w:tcPr>
            <w:tcW w:w="1208" w:type="dxa"/>
            <w:tcBorders>
              <w:top w:val="single" w:color="auto" w:sz="4" w:space="0"/>
              <w:bottom w:val="single" w:color="auto" w:sz="4" w:space="0"/>
            </w:tcBorders>
            <w:noWrap/>
            <w:vAlign w:val="center"/>
          </w:tcPr>
          <w:p w14:paraId="73917552">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03F55685">
            <w:pPr>
              <w:widowControl/>
              <w:ind w:firstLine="0" w:firstLineChars="0"/>
              <w:jc w:val="center"/>
              <w:rPr>
                <w:color w:val="000000"/>
                <w:kern w:val="0"/>
                <w:sz w:val="16"/>
                <w:szCs w:val="16"/>
              </w:rPr>
            </w:pPr>
            <w:r>
              <w:rPr>
                <w:color w:val="000000"/>
                <w:kern w:val="0"/>
                <w:sz w:val="16"/>
                <w:szCs w:val="16"/>
              </w:rPr>
              <w:t>29.20%</w:t>
            </w:r>
          </w:p>
        </w:tc>
        <w:tc>
          <w:tcPr>
            <w:tcW w:w="1018" w:type="dxa"/>
            <w:tcBorders>
              <w:top w:val="single" w:color="auto" w:sz="4" w:space="0"/>
              <w:bottom w:val="single" w:color="auto" w:sz="4" w:space="0"/>
            </w:tcBorders>
            <w:noWrap/>
            <w:vAlign w:val="center"/>
          </w:tcPr>
          <w:p w14:paraId="5C2E1FF8">
            <w:pPr>
              <w:widowControl/>
              <w:ind w:firstLine="0" w:firstLineChars="0"/>
              <w:jc w:val="center"/>
              <w:rPr>
                <w:color w:val="000000"/>
                <w:kern w:val="0"/>
                <w:sz w:val="16"/>
                <w:szCs w:val="16"/>
              </w:rPr>
            </w:pPr>
            <w:r>
              <w:rPr>
                <w:color w:val="000000"/>
                <w:kern w:val="0"/>
                <w:sz w:val="16"/>
                <w:szCs w:val="16"/>
              </w:rPr>
              <w:t>62.25</w:t>
            </w:r>
          </w:p>
        </w:tc>
        <w:tc>
          <w:tcPr>
            <w:tcW w:w="1007" w:type="dxa"/>
            <w:tcBorders>
              <w:top w:val="single" w:color="auto" w:sz="4" w:space="0"/>
              <w:bottom w:val="single" w:color="auto" w:sz="4" w:space="0"/>
            </w:tcBorders>
            <w:noWrap/>
            <w:vAlign w:val="center"/>
          </w:tcPr>
          <w:p w14:paraId="6D05670C">
            <w:pPr>
              <w:widowControl/>
              <w:ind w:firstLine="0" w:firstLineChars="0"/>
              <w:jc w:val="center"/>
              <w:rPr>
                <w:color w:val="000000"/>
                <w:kern w:val="0"/>
                <w:sz w:val="16"/>
                <w:szCs w:val="16"/>
              </w:rPr>
            </w:pPr>
            <w:r>
              <w:rPr>
                <w:color w:val="000000"/>
                <w:kern w:val="0"/>
                <w:sz w:val="16"/>
                <w:szCs w:val="16"/>
              </w:rPr>
              <w:t>18.18</w:t>
            </w:r>
          </w:p>
        </w:tc>
      </w:tr>
      <w:tr w14:paraId="1636062C">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2A1EFC13">
            <w:pPr>
              <w:widowControl/>
              <w:ind w:firstLine="0" w:firstLineChars="0"/>
              <w:jc w:val="center"/>
              <w:rPr>
                <w:color w:val="000000"/>
                <w:kern w:val="0"/>
                <w:sz w:val="16"/>
                <w:szCs w:val="16"/>
              </w:rPr>
            </w:pPr>
            <w:r>
              <w:rPr>
                <w:color w:val="000000"/>
                <w:kern w:val="0"/>
                <w:sz w:val="16"/>
                <w:szCs w:val="16"/>
              </w:rPr>
              <w:t>2</w:t>
            </w:r>
          </w:p>
        </w:tc>
        <w:tc>
          <w:tcPr>
            <w:tcW w:w="3073" w:type="dxa"/>
            <w:tcBorders>
              <w:top w:val="single" w:color="auto" w:sz="4" w:space="0"/>
              <w:bottom w:val="single" w:color="auto" w:sz="4" w:space="0"/>
            </w:tcBorders>
            <w:noWrap/>
            <w:vAlign w:val="center"/>
          </w:tcPr>
          <w:p w14:paraId="1C70243D">
            <w:pPr>
              <w:widowControl/>
              <w:ind w:firstLine="0" w:firstLineChars="0"/>
              <w:jc w:val="center"/>
              <w:rPr>
                <w:color w:val="000000"/>
                <w:kern w:val="0"/>
                <w:sz w:val="16"/>
                <w:szCs w:val="16"/>
              </w:rPr>
            </w:pPr>
            <w:r>
              <w:rPr>
                <w:color w:val="000000"/>
                <w:kern w:val="0"/>
                <w:sz w:val="16"/>
                <w:szCs w:val="16"/>
              </w:rPr>
              <w:t>Indirect Costs</w:t>
            </w:r>
          </w:p>
        </w:tc>
        <w:tc>
          <w:tcPr>
            <w:tcW w:w="1208" w:type="dxa"/>
            <w:tcBorders>
              <w:top w:val="single" w:color="auto" w:sz="4" w:space="0"/>
              <w:bottom w:val="single" w:color="auto" w:sz="4" w:space="0"/>
            </w:tcBorders>
            <w:noWrap/>
            <w:vAlign w:val="center"/>
          </w:tcPr>
          <w:p w14:paraId="3DC51030">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2E4AE0F5">
            <w:pPr>
              <w:widowControl/>
              <w:ind w:firstLine="0" w:firstLineChars="0"/>
              <w:jc w:val="center"/>
              <w:rPr>
                <w:color w:val="000000"/>
                <w:kern w:val="0"/>
                <w:sz w:val="16"/>
                <w:szCs w:val="16"/>
              </w:rPr>
            </w:pPr>
          </w:p>
        </w:tc>
        <w:tc>
          <w:tcPr>
            <w:tcW w:w="1018" w:type="dxa"/>
            <w:tcBorders>
              <w:top w:val="single" w:color="auto" w:sz="4" w:space="0"/>
              <w:bottom w:val="single" w:color="auto" w:sz="4" w:space="0"/>
            </w:tcBorders>
            <w:noWrap/>
            <w:vAlign w:val="center"/>
          </w:tcPr>
          <w:p w14:paraId="78015FB6">
            <w:pPr>
              <w:widowControl/>
              <w:ind w:firstLine="0" w:firstLineChars="0"/>
              <w:jc w:val="center"/>
              <w:rPr>
                <w:color w:val="000000"/>
                <w:kern w:val="0"/>
                <w:sz w:val="16"/>
                <w:szCs w:val="16"/>
              </w:rPr>
            </w:pPr>
          </w:p>
        </w:tc>
        <w:tc>
          <w:tcPr>
            <w:tcW w:w="1007" w:type="dxa"/>
            <w:tcBorders>
              <w:top w:val="single" w:color="auto" w:sz="4" w:space="0"/>
              <w:bottom w:val="single" w:color="auto" w:sz="4" w:space="0"/>
            </w:tcBorders>
            <w:noWrap/>
            <w:vAlign w:val="center"/>
          </w:tcPr>
          <w:p w14:paraId="4A6E81F7">
            <w:pPr>
              <w:widowControl/>
              <w:ind w:firstLine="0" w:firstLineChars="0"/>
              <w:jc w:val="center"/>
              <w:rPr>
                <w:color w:val="000000"/>
                <w:kern w:val="0"/>
                <w:sz w:val="16"/>
                <w:szCs w:val="16"/>
              </w:rPr>
            </w:pPr>
            <w:r>
              <w:rPr>
                <w:color w:val="000000"/>
                <w:kern w:val="0"/>
                <w:sz w:val="16"/>
                <w:szCs w:val="16"/>
              </w:rPr>
              <w:t>38.59</w:t>
            </w:r>
          </w:p>
        </w:tc>
      </w:tr>
      <w:tr w14:paraId="0EEBCB62">
        <w:tblPrEx>
          <w:tblCellMar>
            <w:top w:w="0" w:type="dxa"/>
            <w:left w:w="108" w:type="dxa"/>
            <w:bottom w:w="0" w:type="dxa"/>
            <w:right w:w="108" w:type="dxa"/>
          </w:tblCellMar>
        </w:tblPrEx>
        <w:trPr>
          <w:trHeight w:val="288" w:hRule="atLeast"/>
          <w:jc w:val="center"/>
        </w:trPr>
        <w:tc>
          <w:tcPr>
            <w:tcW w:w="756" w:type="dxa"/>
            <w:tcBorders>
              <w:top w:val="single" w:color="auto" w:sz="4" w:space="0"/>
            </w:tcBorders>
            <w:noWrap/>
            <w:vAlign w:val="center"/>
          </w:tcPr>
          <w:p w14:paraId="1E7498A8">
            <w:pPr>
              <w:widowControl/>
              <w:ind w:firstLine="0" w:firstLineChars="0"/>
              <w:jc w:val="center"/>
              <w:rPr>
                <w:color w:val="000000"/>
                <w:kern w:val="0"/>
                <w:sz w:val="16"/>
                <w:szCs w:val="16"/>
              </w:rPr>
            </w:pPr>
            <w:r>
              <w:rPr>
                <w:color w:val="000000"/>
                <w:kern w:val="0"/>
                <w:sz w:val="16"/>
                <w:szCs w:val="16"/>
              </w:rPr>
              <w:t>2.1</w:t>
            </w:r>
          </w:p>
        </w:tc>
        <w:tc>
          <w:tcPr>
            <w:tcW w:w="3073" w:type="dxa"/>
            <w:tcBorders>
              <w:top w:val="single" w:color="auto" w:sz="4" w:space="0"/>
            </w:tcBorders>
            <w:noWrap/>
            <w:vAlign w:val="center"/>
          </w:tcPr>
          <w:p w14:paraId="551EB516">
            <w:pPr>
              <w:widowControl/>
              <w:ind w:firstLine="0" w:firstLineChars="0"/>
              <w:jc w:val="center"/>
              <w:rPr>
                <w:color w:val="000000"/>
                <w:kern w:val="0"/>
                <w:sz w:val="16"/>
                <w:szCs w:val="16"/>
              </w:rPr>
            </w:pPr>
            <w:r>
              <w:rPr>
                <w:color w:val="000000"/>
                <w:kern w:val="0"/>
                <w:sz w:val="16"/>
                <w:szCs w:val="16"/>
              </w:rPr>
              <w:t>Statutory Fees</w:t>
            </w:r>
          </w:p>
        </w:tc>
        <w:tc>
          <w:tcPr>
            <w:tcW w:w="1208" w:type="dxa"/>
            <w:tcBorders>
              <w:top w:val="single" w:color="auto" w:sz="4" w:space="0"/>
            </w:tcBorders>
            <w:noWrap/>
            <w:vAlign w:val="center"/>
          </w:tcPr>
          <w:p w14:paraId="50AA6BE9">
            <w:pPr>
              <w:widowControl/>
              <w:ind w:firstLine="0" w:firstLineChars="0"/>
              <w:jc w:val="center"/>
              <w:rPr>
                <w:color w:val="000000"/>
                <w:kern w:val="0"/>
                <w:sz w:val="16"/>
                <w:szCs w:val="16"/>
              </w:rPr>
            </w:pPr>
          </w:p>
        </w:tc>
        <w:tc>
          <w:tcPr>
            <w:tcW w:w="880" w:type="dxa"/>
            <w:tcBorders>
              <w:top w:val="single" w:color="auto" w:sz="4" w:space="0"/>
            </w:tcBorders>
            <w:noWrap/>
            <w:vAlign w:val="center"/>
          </w:tcPr>
          <w:p w14:paraId="6A13059F">
            <w:pPr>
              <w:widowControl/>
              <w:ind w:firstLine="0" w:firstLineChars="0"/>
              <w:jc w:val="center"/>
              <w:rPr>
                <w:color w:val="000000"/>
                <w:kern w:val="0"/>
                <w:sz w:val="16"/>
                <w:szCs w:val="16"/>
              </w:rPr>
            </w:pPr>
          </w:p>
        </w:tc>
        <w:tc>
          <w:tcPr>
            <w:tcW w:w="1018" w:type="dxa"/>
            <w:tcBorders>
              <w:top w:val="single" w:color="auto" w:sz="4" w:space="0"/>
            </w:tcBorders>
            <w:noWrap/>
            <w:vAlign w:val="center"/>
          </w:tcPr>
          <w:p w14:paraId="56EACAD4">
            <w:pPr>
              <w:widowControl/>
              <w:ind w:firstLine="0" w:firstLineChars="0"/>
              <w:jc w:val="center"/>
              <w:rPr>
                <w:color w:val="000000"/>
                <w:kern w:val="0"/>
                <w:sz w:val="16"/>
                <w:szCs w:val="16"/>
              </w:rPr>
            </w:pPr>
          </w:p>
        </w:tc>
        <w:tc>
          <w:tcPr>
            <w:tcW w:w="1007" w:type="dxa"/>
            <w:tcBorders>
              <w:top w:val="single" w:color="auto" w:sz="4" w:space="0"/>
            </w:tcBorders>
            <w:noWrap/>
            <w:vAlign w:val="center"/>
          </w:tcPr>
          <w:p w14:paraId="4230FEE6">
            <w:pPr>
              <w:widowControl/>
              <w:ind w:firstLine="0" w:firstLineChars="0"/>
              <w:jc w:val="center"/>
              <w:rPr>
                <w:color w:val="000000"/>
                <w:kern w:val="0"/>
                <w:sz w:val="16"/>
                <w:szCs w:val="16"/>
              </w:rPr>
            </w:pPr>
            <w:r>
              <w:rPr>
                <w:color w:val="000000"/>
                <w:kern w:val="0"/>
                <w:sz w:val="16"/>
                <w:szCs w:val="16"/>
              </w:rPr>
              <w:t>19.92</w:t>
            </w:r>
          </w:p>
        </w:tc>
      </w:tr>
      <w:tr w14:paraId="44CCD3BC">
        <w:tblPrEx>
          <w:tblCellMar>
            <w:top w:w="0" w:type="dxa"/>
            <w:left w:w="108" w:type="dxa"/>
            <w:bottom w:w="0" w:type="dxa"/>
            <w:right w:w="108" w:type="dxa"/>
          </w:tblCellMar>
        </w:tblPrEx>
        <w:trPr>
          <w:trHeight w:val="288" w:hRule="atLeast"/>
          <w:jc w:val="center"/>
        </w:trPr>
        <w:tc>
          <w:tcPr>
            <w:tcW w:w="756" w:type="dxa"/>
            <w:noWrap/>
            <w:vAlign w:val="center"/>
          </w:tcPr>
          <w:p w14:paraId="4C1CCB92">
            <w:pPr>
              <w:widowControl/>
              <w:ind w:firstLine="0" w:firstLineChars="0"/>
              <w:jc w:val="center"/>
              <w:rPr>
                <w:color w:val="000000"/>
                <w:kern w:val="0"/>
                <w:sz w:val="16"/>
                <w:szCs w:val="16"/>
              </w:rPr>
            </w:pPr>
            <w:r>
              <w:rPr>
                <w:color w:val="000000"/>
                <w:kern w:val="0"/>
                <w:sz w:val="16"/>
                <w:szCs w:val="16"/>
              </w:rPr>
              <w:t>2.1.1</w:t>
            </w:r>
          </w:p>
        </w:tc>
        <w:tc>
          <w:tcPr>
            <w:tcW w:w="3073" w:type="dxa"/>
            <w:noWrap/>
            <w:vAlign w:val="center"/>
          </w:tcPr>
          <w:p w14:paraId="6F2DD9E3">
            <w:pPr>
              <w:widowControl/>
              <w:ind w:firstLine="0" w:firstLineChars="0"/>
              <w:jc w:val="center"/>
              <w:rPr>
                <w:color w:val="000000"/>
                <w:kern w:val="0"/>
                <w:sz w:val="16"/>
                <w:szCs w:val="16"/>
              </w:rPr>
            </w:pPr>
            <w:r>
              <w:rPr>
                <w:color w:val="000000"/>
                <w:kern w:val="0"/>
                <w:sz w:val="16"/>
                <w:szCs w:val="16"/>
              </w:rPr>
              <w:t>Social Security Fees</w:t>
            </w:r>
          </w:p>
        </w:tc>
        <w:tc>
          <w:tcPr>
            <w:tcW w:w="1208" w:type="dxa"/>
            <w:noWrap/>
            <w:vAlign w:val="center"/>
          </w:tcPr>
          <w:p w14:paraId="15FC0758">
            <w:pPr>
              <w:widowControl/>
              <w:ind w:firstLine="0" w:firstLineChars="0"/>
              <w:jc w:val="center"/>
              <w:rPr>
                <w:color w:val="000000"/>
                <w:kern w:val="0"/>
                <w:sz w:val="16"/>
                <w:szCs w:val="16"/>
              </w:rPr>
            </w:pPr>
            <w:r>
              <w:rPr>
                <w:color w:val="000000"/>
                <w:kern w:val="0"/>
                <w:sz w:val="16"/>
                <w:szCs w:val="16"/>
              </w:rPr>
              <w:t>CNY</w:t>
            </w:r>
          </w:p>
        </w:tc>
        <w:tc>
          <w:tcPr>
            <w:tcW w:w="880" w:type="dxa"/>
            <w:noWrap/>
            <w:vAlign w:val="center"/>
          </w:tcPr>
          <w:p w14:paraId="24D213FD">
            <w:pPr>
              <w:widowControl/>
              <w:ind w:firstLine="0" w:firstLineChars="0"/>
              <w:jc w:val="center"/>
              <w:rPr>
                <w:color w:val="000000"/>
                <w:kern w:val="0"/>
                <w:sz w:val="16"/>
                <w:szCs w:val="16"/>
              </w:rPr>
            </w:pPr>
            <w:r>
              <w:rPr>
                <w:color w:val="000000"/>
                <w:kern w:val="0"/>
                <w:sz w:val="16"/>
                <w:szCs w:val="16"/>
              </w:rPr>
              <w:t>26.81%</w:t>
            </w:r>
          </w:p>
        </w:tc>
        <w:tc>
          <w:tcPr>
            <w:tcW w:w="1018" w:type="dxa"/>
            <w:noWrap/>
            <w:vAlign w:val="center"/>
          </w:tcPr>
          <w:p w14:paraId="499ACB72">
            <w:pPr>
              <w:widowControl/>
              <w:ind w:firstLine="0" w:firstLineChars="0"/>
              <w:jc w:val="center"/>
              <w:rPr>
                <w:color w:val="000000"/>
                <w:kern w:val="0"/>
                <w:sz w:val="16"/>
                <w:szCs w:val="16"/>
              </w:rPr>
            </w:pPr>
            <w:r>
              <w:rPr>
                <w:color w:val="000000"/>
                <w:kern w:val="0"/>
                <w:sz w:val="16"/>
                <w:szCs w:val="16"/>
              </w:rPr>
              <w:t>62.25</w:t>
            </w:r>
          </w:p>
        </w:tc>
        <w:tc>
          <w:tcPr>
            <w:tcW w:w="1007" w:type="dxa"/>
            <w:noWrap/>
            <w:vAlign w:val="center"/>
          </w:tcPr>
          <w:p w14:paraId="2D06B108">
            <w:pPr>
              <w:widowControl/>
              <w:ind w:firstLine="0" w:firstLineChars="0"/>
              <w:jc w:val="center"/>
              <w:rPr>
                <w:color w:val="000000"/>
                <w:kern w:val="0"/>
                <w:sz w:val="16"/>
                <w:szCs w:val="16"/>
              </w:rPr>
            </w:pPr>
            <w:r>
              <w:rPr>
                <w:color w:val="000000"/>
                <w:kern w:val="0"/>
                <w:sz w:val="16"/>
                <w:szCs w:val="16"/>
              </w:rPr>
              <w:t>16.69</w:t>
            </w:r>
          </w:p>
        </w:tc>
      </w:tr>
      <w:tr w14:paraId="74012200">
        <w:tblPrEx>
          <w:tblCellMar>
            <w:top w:w="0" w:type="dxa"/>
            <w:left w:w="108" w:type="dxa"/>
            <w:bottom w:w="0" w:type="dxa"/>
            <w:right w:w="108" w:type="dxa"/>
          </w:tblCellMar>
        </w:tblPrEx>
        <w:trPr>
          <w:trHeight w:val="288" w:hRule="atLeast"/>
          <w:jc w:val="center"/>
        </w:trPr>
        <w:tc>
          <w:tcPr>
            <w:tcW w:w="756" w:type="dxa"/>
            <w:noWrap/>
            <w:vAlign w:val="center"/>
          </w:tcPr>
          <w:p w14:paraId="35DCEE49">
            <w:pPr>
              <w:widowControl/>
              <w:ind w:firstLine="0" w:firstLineChars="0"/>
              <w:jc w:val="center"/>
              <w:rPr>
                <w:color w:val="000000"/>
                <w:kern w:val="0"/>
                <w:sz w:val="16"/>
                <w:szCs w:val="16"/>
              </w:rPr>
            </w:pPr>
            <w:r>
              <w:rPr>
                <w:color w:val="000000"/>
                <w:kern w:val="0"/>
                <w:sz w:val="16"/>
                <w:szCs w:val="16"/>
              </w:rPr>
              <w:t>2.1.2</w:t>
            </w:r>
          </w:p>
        </w:tc>
        <w:tc>
          <w:tcPr>
            <w:tcW w:w="3073" w:type="dxa"/>
            <w:noWrap/>
            <w:vAlign w:val="center"/>
          </w:tcPr>
          <w:p w14:paraId="037F6666">
            <w:pPr>
              <w:widowControl/>
              <w:ind w:firstLine="0" w:firstLineChars="0"/>
              <w:jc w:val="center"/>
              <w:rPr>
                <w:color w:val="000000"/>
                <w:kern w:val="0"/>
                <w:sz w:val="16"/>
                <w:szCs w:val="16"/>
              </w:rPr>
            </w:pPr>
            <w:r>
              <w:rPr>
                <w:color w:val="000000"/>
                <w:kern w:val="0"/>
                <w:sz w:val="16"/>
                <w:szCs w:val="16"/>
              </w:rPr>
              <w:t>Housing Provident Fund</w:t>
            </w:r>
          </w:p>
        </w:tc>
        <w:tc>
          <w:tcPr>
            <w:tcW w:w="1208" w:type="dxa"/>
            <w:noWrap/>
            <w:vAlign w:val="center"/>
          </w:tcPr>
          <w:p w14:paraId="6D2A5BCF">
            <w:pPr>
              <w:widowControl/>
              <w:ind w:firstLine="0" w:firstLineChars="0"/>
              <w:jc w:val="center"/>
              <w:rPr>
                <w:color w:val="000000"/>
                <w:kern w:val="0"/>
                <w:sz w:val="16"/>
                <w:szCs w:val="16"/>
              </w:rPr>
            </w:pPr>
            <w:r>
              <w:rPr>
                <w:color w:val="000000"/>
                <w:kern w:val="0"/>
                <w:sz w:val="16"/>
                <w:szCs w:val="16"/>
              </w:rPr>
              <w:t>CNY</w:t>
            </w:r>
          </w:p>
        </w:tc>
        <w:tc>
          <w:tcPr>
            <w:tcW w:w="880" w:type="dxa"/>
            <w:noWrap/>
            <w:vAlign w:val="center"/>
          </w:tcPr>
          <w:p w14:paraId="24DD3275">
            <w:pPr>
              <w:widowControl/>
              <w:ind w:firstLine="0" w:firstLineChars="0"/>
              <w:jc w:val="center"/>
              <w:rPr>
                <w:color w:val="000000"/>
                <w:kern w:val="0"/>
                <w:sz w:val="16"/>
                <w:szCs w:val="16"/>
              </w:rPr>
            </w:pPr>
            <w:r>
              <w:rPr>
                <w:color w:val="000000"/>
                <w:kern w:val="0"/>
                <w:sz w:val="16"/>
                <w:szCs w:val="16"/>
              </w:rPr>
              <w:t>4.19%</w:t>
            </w:r>
          </w:p>
        </w:tc>
        <w:tc>
          <w:tcPr>
            <w:tcW w:w="1018" w:type="dxa"/>
            <w:noWrap/>
            <w:vAlign w:val="center"/>
          </w:tcPr>
          <w:p w14:paraId="49AFD1F3">
            <w:pPr>
              <w:widowControl/>
              <w:ind w:firstLine="0" w:firstLineChars="0"/>
              <w:jc w:val="center"/>
              <w:rPr>
                <w:color w:val="000000"/>
                <w:kern w:val="0"/>
                <w:sz w:val="16"/>
                <w:szCs w:val="16"/>
              </w:rPr>
            </w:pPr>
            <w:r>
              <w:rPr>
                <w:color w:val="000000"/>
                <w:kern w:val="0"/>
                <w:sz w:val="16"/>
                <w:szCs w:val="16"/>
              </w:rPr>
              <w:t>62.25</w:t>
            </w:r>
          </w:p>
        </w:tc>
        <w:tc>
          <w:tcPr>
            <w:tcW w:w="1007" w:type="dxa"/>
            <w:noWrap/>
            <w:vAlign w:val="center"/>
          </w:tcPr>
          <w:p w14:paraId="4EC16FF6">
            <w:pPr>
              <w:widowControl/>
              <w:ind w:firstLine="0" w:firstLineChars="0"/>
              <w:jc w:val="center"/>
              <w:rPr>
                <w:color w:val="000000"/>
                <w:kern w:val="0"/>
                <w:sz w:val="16"/>
                <w:szCs w:val="16"/>
              </w:rPr>
            </w:pPr>
            <w:r>
              <w:rPr>
                <w:color w:val="000000"/>
                <w:kern w:val="0"/>
                <w:sz w:val="16"/>
                <w:szCs w:val="16"/>
              </w:rPr>
              <w:t>2.61</w:t>
            </w:r>
          </w:p>
        </w:tc>
      </w:tr>
      <w:tr w14:paraId="57B13615">
        <w:tblPrEx>
          <w:tblCellMar>
            <w:top w:w="0" w:type="dxa"/>
            <w:left w:w="108" w:type="dxa"/>
            <w:bottom w:w="0" w:type="dxa"/>
            <w:right w:w="108" w:type="dxa"/>
          </w:tblCellMar>
        </w:tblPrEx>
        <w:trPr>
          <w:trHeight w:val="288" w:hRule="atLeast"/>
          <w:jc w:val="center"/>
        </w:trPr>
        <w:tc>
          <w:tcPr>
            <w:tcW w:w="756" w:type="dxa"/>
            <w:tcBorders>
              <w:bottom w:val="single" w:color="auto" w:sz="4" w:space="0"/>
            </w:tcBorders>
            <w:noWrap/>
            <w:vAlign w:val="center"/>
          </w:tcPr>
          <w:p w14:paraId="33ECF8B7">
            <w:pPr>
              <w:widowControl/>
              <w:ind w:firstLine="0" w:firstLineChars="0"/>
              <w:jc w:val="center"/>
              <w:rPr>
                <w:color w:val="000000"/>
                <w:kern w:val="0"/>
                <w:sz w:val="16"/>
                <w:szCs w:val="16"/>
              </w:rPr>
            </w:pPr>
            <w:r>
              <w:rPr>
                <w:color w:val="000000"/>
                <w:kern w:val="0"/>
                <w:sz w:val="16"/>
                <w:szCs w:val="16"/>
              </w:rPr>
              <w:t>2.1.3</w:t>
            </w:r>
          </w:p>
        </w:tc>
        <w:tc>
          <w:tcPr>
            <w:tcW w:w="3073" w:type="dxa"/>
            <w:tcBorders>
              <w:bottom w:val="single" w:color="auto" w:sz="4" w:space="0"/>
            </w:tcBorders>
            <w:noWrap/>
            <w:vAlign w:val="center"/>
          </w:tcPr>
          <w:p w14:paraId="0DFD6E3A">
            <w:pPr>
              <w:widowControl/>
              <w:ind w:firstLine="0" w:firstLineChars="0"/>
              <w:jc w:val="center"/>
              <w:rPr>
                <w:color w:val="000000"/>
                <w:kern w:val="0"/>
                <w:sz w:val="16"/>
                <w:szCs w:val="16"/>
              </w:rPr>
            </w:pPr>
            <w:r>
              <w:rPr>
                <w:color w:val="000000"/>
                <w:kern w:val="0"/>
                <w:sz w:val="16"/>
                <w:szCs w:val="16"/>
              </w:rPr>
              <w:t>Hazardous Work Accident Insurance</w:t>
            </w:r>
          </w:p>
        </w:tc>
        <w:tc>
          <w:tcPr>
            <w:tcW w:w="1208" w:type="dxa"/>
            <w:tcBorders>
              <w:bottom w:val="single" w:color="auto" w:sz="4" w:space="0"/>
            </w:tcBorders>
            <w:noWrap/>
            <w:vAlign w:val="center"/>
          </w:tcPr>
          <w:p w14:paraId="37E3A631">
            <w:pPr>
              <w:widowControl/>
              <w:ind w:firstLine="0" w:firstLineChars="0"/>
              <w:jc w:val="center"/>
              <w:rPr>
                <w:color w:val="000000"/>
                <w:kern w:val="0"/>
                <w:sz w:val="16"/>
                <w:szCs w:val="16"/>
              </w:rPr>
            </w:pPr>
            <w:r>
              <w:rPr>
                <w:color w:val="000000"/>
                <w:kern w:val="0"/>
                <w:sz w:val="16"/>
                <w:szCs w:val="16"/>
              </w:rPr>
              <w:t>CNY</w:t>
            </w:r>
          </w:p>
        </w:tc>
        <w:tc>
          <w:tcPr>
            <w:tcW w:w="880" w:type="dxa"/>
            <w:tcBorders>
              <w:bottom w:val="single" w:color="auto" w:sz="4" w:space="0"/>
            </w:tcBorders>
            <w:noWrap/>
            <w:vAlign w:val="center"/>
          </w:tcPr>
          <w:p w14:paraId="65D258A5">
            <w:pPr>
              <w:widowControl/>
              <w:ind w:firstLine="0" w:firstLineChars="0"/>
              <w:jc w:val="center"/>
              <w:rPr>
                <w:color w:val="000000"/>
                <w:kern w:val="0"/>
                <w:sz w:val="16"/>
                <w:szCs w:val="16"/>
              </w:rPr>
            </w:pPr>
            <w:r>
              <w:rPr>
                <w:color w:val="000000"/>
                <w:kern w:val="0"/>
                <w:sz w:val="16"/>
                <w:szCs w:val="16"/>
              </w:rPr>
              <w:t>1.00%</w:t>
            </w:r>
          </w:p>
        </w:tc>
        <w:tc>
          <w:tcPr>
            <w:tcW w:w="1018" w:type="dxa"/>
            <w:tcBorders>
              <w:bottom w:val="single" w:color="auto" w:sz="4" w:space="0"/>
            </w:tcBorders>
            <w:noWrap/>
            <w:vAlign w:val="center"/>
          </w:tcPr>
          <w:p w14:paraId="3D3E66CA">
            <w:pPr>
              <w:widowControl/>
              <w:ind w:firstLine="0" w:firstLineChars="0"/>
              <w:jc w:val="center"/>
              <w:rPr>
                <w:color w:val="000000"/>
                <w:kern w:val="0"/>
                <w:sz w:val="16"/>
                <w:szCs w:val="16"/>
              </w:rPr>
            </w:pPr>
            <w:r>
              <w:rPr>
                <w:color w:val="000000"/>
                <w:kern w:val="0"/>
                <w:sz w:val="16"/>
                <w:szCs w:val="16"/>
              </w:rPr>
              <w:t>62.25</w:t>
            </w:r>
          </w:p>
        </w:tc>
        <w:tc>
          <w:tcPr>
            <w:tcW w:w="1007" w:type="dxa"/>
            <w:tcBorders>
              <w:bottom w:val="single" w:color="auto" w:sz="4" w:space="0"/>
            </w:tcBorders>
            <w:noWrap/>
            <w:vAlign w:val="center"/>
          </w:tcPr>
          <w:p w14:paraId="2D9479C0">
            <w:pPr>
              <w:widowControl/>
              <w:ind w:firstLine="0" w:firstLineChars="0"/>
              <w:jc w:val="center"/>
              <w:rPr>
                <w:color w:val="000000"/>
                <w:kern w:val="0"/>
                <w:sz w:val="16"/>
                <w:szCs w:val="16"/>
              </w:rPr>
            </w:pPr>
            <w:r>
              <w:rPr>
                <w:color w:val="000000"/>
                <w:kern w:val="0"/>
                <w:sz w:val="16"/>
                <w:szCs w:val="16"/>
              </w:rPr>
              <w:t>0.62</w:t>
            </w:r>
          </w:p>
        </w:tc>
      </w:tr>
      <w:tr w14:paraId="2358A25E">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7B09FAEB">
            <w:pPr>
              <w:widowControl/>
              <w:ind w:firstLine="0" w:firstLineChars="0"/>
              <w:jc w:val="center"/>
              <w:rPr>
                <w:color w:val="000000"/>
                <w:kern w:val="0"/>
                <w:sz w:val="16"/>
                <w:szCs w:val="16"/>
              </w:rPr>
            </w:pPr>
            <w:r>
              <w:rPr>
                <w:color w:val="000000"/>
                <w:kern w:val="0"/>
                <w:sz w:val="16"/>
                <w:szCs w:val="16"/>
              </w:rPr>
              <w:t>2.2</w:t>
            </w:r>
          </w:p>
        </w:tc>
        <w:tc>
          <w:tcPr>
            <w:tcW w:w="3073" w:type="dxa"/>
            <w:tcBorders>
              <w:top w:val="single" w:color="auto" w:sz="4" w:space="0"/>
              <w:bottom w:val="single" w:color="auto" w:sz="4" w:space="0"/>
            </w:tcBorders>
            <w:noWrap/>
            <w:vAlign w:val="center"/>
          </w:tcPr>
          <w:p w14:paraId="166F095D">
            <w:pPr>
              <w:widowControl/>
              <w:ind w:firstLine="0" w:firstLineChars="0"/>
              <w:jc w:val="center"/>
              <w:rPr>
                <w:color w:val="000000"/>
                <w:kern w:val="0"/>
                <w:sz w:val="16"/>
                <w:szCs w:val="16"/>
              </w:rPr>
            </w:pPr>
            <w:r>
              <w:rPr>
                <w:color w:val="000000"/>
                <w:kern w:val="0"/>
                <w:sz w:val="16"/>
                <w:szCs w:val="16"/>
              </w:rPr>
              <w:t>Enterprise Management Fees</w:t>
            </w:r>
          </w:p>
        </w:tc>
        <w:tc>
          <w:tcPr>
            <w:tcW w:w="1208" w:type="dxa"/>
            <w:tcBorders>
              <w:top w:val="single" w:color="auto" w:sz="4" w:space="0"/>
              <w:bottom w:val="single" w:color="auto" w:sz="4" w:space="0"/>
            </w:tcBorders>
            <w:noWrap/>
            <w:vAlign w:val="center"/>
          </w:tcPr>
          <w:p w14:paraId="248CECEC">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434505D1">
            <w:pPr>
              <w:widowControl/>
              <w:ind w:firstLine="0" w:firstLineChars="0"/>
              <w:jc w:val="center"/>
              <w:rPr>
                <w:color w:val="000000"/>
                <w:kern w:val="0"/>
                <w:sz w:val="16"/>
                <w:szCs w:val="16"/>
              </w:rPr>
            </w:pPr>
            <w:r>
              <w:rPr>
                <w:color w:val="000000"/>
                <w:kern w:val="0"/>
                <w:sz w:val="16"/>
                <w:szCs w:val="16"/>
              </w:rPr>
              <w:t>30.00%</w:t>
            </w:r>
          </w:p>
        </w:tc>
        <w:tc>
          <w:tcPr>
            <w:tcW w:w="1018" w:type="dxa"/>
            <w:tcBorders>
              <w:top w:val="single" w:color="auto" w:sz="4" w:space="0"/>
              <w:bottom w:val="single" w:color="auto" w:sz="4" w:space="0"/>
            </w:tcBorders>
            <w:noWrap/>
            <w:vAlign w:val="center"/>
          </w:tcPr>
          <w:p w14:paraId="13BC2530">
            <w:pPr>
              <w:widowControl/>
              <w:ind w:firstLine="0" w:firstLineChars="0"/>
              <w:jc w:val="center"/>
              <w:rPr>
                <w:color w:val="000000"/>
                <w:kern w:val="0"/>
                <w:sz w:val="16"/>
                <w:szCs w:val="16"/>
              </w:rPr>
            </w:pPr>
            <w:r>
              <w:rPr>
                <w:color w:val="000000"/>
                <w:kern w:val="0"/>
                <w:sz w:val="16"/>
                <w:szCs w:val="16"/>
              </w:rPr>
              <w:t>62.25</w:t>
            </w:r>
          </w:p>
        </w:tc>
        <w:tc>
          <w:tcPr>
            <w:tcW w:w="1007" w:type="dxa"/>
            <w:tcBorders>
              <w:top w:val="single" w:color="auto" w:sz="4" w:space="0"/>
              <w:bottom w:val="single" w:color="auto" w:sz="4" w:space="0"/>
            </w:tcBorders>
            <w:noWrap/>
            <w:vAlign w:val="center"/>
          </w:tcPr>
          <w:p w14:paraId="3F2FC2E9">
            <w:pPr>
              <w:widowControl/>
              <w:ind w:firstLine="0" w:firstLineChars="0"/>
              <w:jc w:val="center"/>
              <w:rPr>
                <w:color w:val="000000"/>
                <w:kern w:val="0"/>
                <w:sz w:val="16"/>
                <w:szCs w:val="16"/>
              </w:rPr>
            </w:pPr>
            <w:r>
              <w:rPr>
                <w:color w:val="000000"/>
                <w:kern w:val="0"/>
                <w:sz w:val="16"/>
                <w:szCs w:val="16"/>
              </w:rPr>
              <w:t>18.67</w:t>
            </w:r>
          </w:p>
        </w:tc>
      </w:tr>
      <w:tr w14:paraId="07DF9AA0">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2698015C">
            <w:pPr>
              <w:widowControl/>
              <w:ind w:firstLine="0" w:firstLineChars="0"/>
              <w:jc w:val="center"/>
              <w:rPr>
                <w:color w:val="000000"/>
                <w:kern w:val="0"/>
                <w:sz w:val="16"/>
                <w:szCs w:val="16"/>
              </w:rPr>
            </w:pPr>
            <w:r>
              <w:rPr>
                <w:color w:val="000000"/>
                <w:kern w:val="0"/>
                <w:sz w:val="16"/>
                <w:szCs w:val="16"/>
              </w:rPr>
              <w:t>3</w:t>
            </w:r>
          </w:p>
        </w:tc>
        <w:tc>
          <w:tcPr>
            <w:tcW w:w="3073" w:type="dxa"/>
            <w:tcBorders>
              <w:top w:val="single" w:color="auto" w:sz="4" w:space="0"/>
              <w:bottom w:val="single" w:color="auto" w:sz="4" w:space="0"/>
            </w:tcBorders>
            <w:noWrap/>
            <w:vAlign w:val="center"/>
          </w:tcPr>
          <w:p w14:paraId="08251BD6">
            <w:pPr>
              <w:widowControl/>
              <w:ind w:firstLine="0" w:firstLineChars="0"/>
              <w:jc w:val="center"/>
              <w:rPr>
                <w:color w:val="000000"/>
                <w:kern w:val="0"/>
                <w:sz w:val="16"/>
                <w:szCs w:val="16"/>
              </w:rPr>
            </w:pPr>
            <w:r>
              <w:rPr>
                <w:color w:val="000000"/>
                <w:kern w:val="0"/>
                <w:sz w:val="16"/>
                <w:szCs w:val="16"/>
              </w:rPr>
              <w:t>Profit</w:t>
            </w:r>
          </w:p>
        </w:tc>
        <w:tc>
          <w:tcPr>
            <w:tcW w:w="1208" w:type="dxa"/>
            <w:tcBorders>
              <w:top w:val="single" w:color="auto" w:sz="4" w:space="0"/>
              <w:bottom w:val="single" w:color="auto" w:sz="4" w:space="0"/>
            </w:tcBorders>
            <w:noWrap/>
            <w:vAlign w:val="center"/>
          </w:tcPr>
          <w:p w14:paraId="13DA5839">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13829CE6">
            <w:pPr>
              <w:widowControl/>
              <w:ind w:firstLine="0" w:firstLineChars="0"/>
              <w:jc w:val="center"/>
              <w:rPr>
                <w:color w:val="000000"/>
                <w:kern w:val="0"/>
                <w:sz w:val="16"/>
                <w:szCs w:val="16"/>
              </w:rPr>
            </w:pPr>
            <w:r>
              <w:rPr>
                <w:color w:val="000000"/>
                <w:kern w:val="0"/>
                <w:sz w:val="16"/>
                <w:szCs w:val="16"/>
              </w:rPr>
              <w:t>30.00%</w:t>
            </w:r>
          </w:p>
        </w:tc>
        <w:tc>
          <w:tcPr>
            <w:tcW w:w="1018" w:type="dxa"/>
            <w:tcBorders>
              <w:top w:val="single" w:color="auto" w:sz="4" w:space="0"/>
              <w:bottom w:val="single" w:color="auto" w:sz="4" w:space="0"/>
            </w:tcBorders>
            <w:noWrap/>
            <w:vAlign w:val="center"/>
          </w:tcPr>
          <w:p w14:paraId="2AB0214E">
            <w:pPr>
              <w:widowControl/>
              <w:ind w:firstLine="0" w:firstLineChars="0"/>
              <w:jc w:val="center"/>
              <w:rPr>
                <w:color w:val="000000"/>
                <w:kern w:val="0"/>
                <w:sz w:val="16"/>
                <w:szCs w:val="16"/>
              </w:rPr>
            </w:pPr>
            <w:r>
              <w:rPr>
                <w:color w:val="000000"/>
                <w:kern w:val="0"/>
                <w:sz w:val="16"/>
                <w:szCs w:val="16"/>
              </w:rPr>
              <w:t>62.25</w:t>
            </w:r>
          </w:p>
        </w:tc>
        <w:tc>
          <w:tcPr>
            <w:tcW w:w="1007" w:type="dxa"/>
            <w:tcBorders>
              <w:top w:val="single" w:color="auto" w:sz="4" w:space="0"/>
              <w:bottom w:val="single" w:color="auto" w:sz="4" w:space="0"/>
            </w:tcBorders>
            <w:noWrap/>
            <w:vAlign w:val="center"/>
          </w:tcPr>
          <w:p w14:paraId="1E5995F5">
            <w:pPr>
              <w:widowControl/>
              <w:ind w:firstLine="0" w:firstLineChars="0"/>
              <w:jc w:val="center"/>
              <w:rPr>
                <w:color w:val="000000"/>
                <w:kern w:val="0"/>
                <w:sz w:val="16"/>
                <w:szCs w:val="16"/>
              </w:rPr>
            </w:pPr>
            <w:r>
              <w:rPr>
                <w:color w:val="000000"/>
                <w:kern w:val="0"/>
                <w:sz w:val="16"/>
                <w:szCs w:val="16"/>
              </w:rPr>
              <w:t>18.67</w:t>
            </w:r>
          </w:p>
        </w:tc>
      </w:tr>
      <w:tr w14:paraId="278B2CAE">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68299622">
            <w:pPr>
              <w:widowControl/>
              <w:ind w:firstLine="0" w:firstLineChars="0"/>
              <w:jc w:val="center"/>
              <w:rPr>
                <w:color w:val="000000"/>
                <w:kern w:val="0"/>
                <w:sz w:val="16"/>
                <w:szCs w:val="16"/>
              </w:rPr>
            </w:pPr>
            <w:r>
              <w:rPr>
                <w:color w:val="000000"/>
                <w:kern w:val="0"/>
                <w:sz w:val="16"/>
                <w:szCs w:val="16"/>
              </w:rPr>
              <w:t>4</w:t>
            </w:r>
          </w:p>
        </w:tc>
        <w:tc>
          <w:tcPr>
            <w:tcW w:w="3073" w:type="dxa"/>
            <w:tcBorders>
              <w:top w:val="single" w:color="auto" w:sz="4" w:space="0"/>
              <w:bottom w:val="single" w:color="auto" w:sz="4" w:space="0"/>
            </w:tcBorders>
            <w:noWrap/>
            <w:vAlign w:val="center"/>
          </w:tcPr>
          <w:p w14:paraId="61A624F4">
            <w:pPr>
              <w:widowControl/>
              <w:ind w:firstLine="0" w:firstLineChars="0"/>
              <w:jc w:val="center"/>
              <w:rPr>
                <w:color w:val="000000"/>
                <w:kern w:val="0"/>
                <w:sz w:val="16"/>
                <w:szCs w:val="16"/>
              </w:rPr>
            </w:pPr>
            <w:r>
              <w:rPr>
                <w:color w:val="000000"/>
                <w:kern w:val="0"/>
                <w:sz w:val="16"/>
                <w:szCs w:val="16"/>
              </w:rPr>
              <w:t>Tax</w:t>
            </w:r>
          </w:p>
        </w:tc>
        <w:tc>
          <w:tcPr>
            <w:tcW w:w="1208" w:type="dxa"/>
            <w:tcBorders>
              <w:top w:val="single" w:color="auto" w:sz="4" w:space="0"/>
              <w:bottom w:val="single" w:color="auto" w:sz="4" w:space="0"/>
            </w:tcBorders>
            <w:noWrap/>
            <w:vAlign w:val="center"/>
          </w:tcPr>
          <w:p w14:paraId="661BFC0B">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auto" w:sz="4" w:space="0"/>
            </w:tcBorders>
            <w:noWrap/>
            <w:vAlign w:val="center"/>
          </w:tcPr>
          <w:p w14:paraId="3918D992">
            <w:pPr>
              <w:widowControl/>
              <w:ind w:firstLine="0" w:firstLineChars="0"/>
              <w:jc w:val="center"/>
              <w:rPr>
                <w:color w:val="000000"/>
                <w:kern w:val="0"/>
                <w:sz w:val="16"/>
                <w:szCs w:val="16"/>
              </w:rPr>
            </w:pPr>
            <w:r>
              <w:rPr>
                <w:color w:val="000000"/>
                <w:kern w:val="0"/>
                <w:sz w:val="16"/>
                <w:szCs w:val="16"/>
              </w:rPr>
              <w:t>9.00%</w:t>
            </w:r>
          </w:p>
        </w:tc>
        <w:tc>
          <w:tcPr>
            <w:tcW w:w="1018" w:type="dxa"/>
            <w:tcBorders>
              <w:top w:val="single" w:color="auto" w:sz="4" w:space="0"/>
              <w:bottom w:val="single" w:color="auto" w:sz="4" w:space="0"/>
            </w:tcBorders>
            <w:noWrap/>
            <w:vAlign w:val="center"/>
          </w:tcPr>
          <w:p w14:paraId="2721FAA0">
            <w:pPr>
              <w:widowControl/>
              <w:ind w:firstLine="0" w:firstLineChars="0"/>
              <w:jc w:val="center"/>
              <w:rPr>
                <w:color w:val="000000"/>
                <w:kern w:val="0"/>
                <w:sz w:val="16"/>
                <w:szCs w:val="16"/>
              </w:rPr>
            </w:pPr>
            <w:r>
              <w:rPr>
                <w:color w:val="000000"/>
                <w:kern w:val="0"/>
                <w:sz w:val="16"/>
                <w:szCs w:val="16"/>
              </w:rPr>
              <w:t>443.96</w:t>
            </w:r>
          </w:p>
        </w:tc>
        <w:tc>
          <w:tcPr>
            <w:tcW w:w="1007" w:type="dxa"/>
            <w:tcBorders>
              <w:top w:val="single" w:color="auto" w:sz="4" w:space="0"/>
              <w:bottom w:val="single" w:color="auto" w:sz="4" w:space="0"/>
            </w:tcBorders>
            <w:noWrap/>
            <w:vAlign w:val="center"/>
          </w:tcPr>
          <w:p w14:paraId="016432C4">
            <w:pPr>
              <w:widowControl/>
              <w:ind w:firstLine="0" w:firstLineChars="0"/>
              <w:jc w:val="center"/>
              <w:rPr>
                <w:color w:val="000000"/>
                <w:kern w:val="0"/>
                <w:sz w:val="16"/>
                <w:szCs w:val="16"/>
              </w:rPr>
            </w:pPr>
            <w:r>
              <w:rPr>
                <w:color w:val="000000"/>
                <w:kern w:val="0"/>
                <w:sz w:val="16"/>
                <w:szCs w:val="16"/>
              </w:rPr>
              <w:t>39.96</w:t>
            </w:r>
          </w:p>
        </w:tc>
      </w:tr>
      <w:tr w14:paraId="2AE02B83">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000000" w:sz="12" w:space="0"/>
            </w:tcBorders>
            <w:noWrap/>
            <w:vAlign w:val="center"/>
          </w:tcPr>
          <w:p w14:paraId="0F1341B3">
            <w:pPr>
              <w:widowControl/>
              <w:ind w:firstLine="0" w:firstLineChars="0"/>
              <w:jc w:val="center"/>
              <w:rPr>
                <w:color w:val="000000"/>
                <w:kern w:val="0"/>
                <w:sz w:val="16"/>
                <w:szCs w:val="16"/>
              </w:rPr>
            </w:pPr>
          </w:p>
        </w:tc>
        <w:tc>
          <w:tcPr>
            <w:tcW w:w="3073" w:type="dxa"/>
            <w:tcBorders>
              <w:top w:val="single" w:color="auto" w:sz="4" w:space="0"/>
              <w:bottom w:val="single" w:color="000000" w:sz="12" w:space="0"/>
            </w:tcBorders>
            <w:noWrap/>
            <w:vAlign w:val="center"/>
          </w:tcPr>
          <w:p w14:paraId="494A89D5">
            <w:pPr>
              <w:widowControl/>
              <w:ind w:firstLine="0" w:firstLineChars="0"/>
              <w:jc w:val="center"/>
              <w:rPr>
                <w:color w:val="000000"/>
                <w:kern w:val="0"/>
                <w:sz w:val="16"/>
                <w:szCs w:val="16"/>
              </w:rPr>
            </w:pPr>
            <w:r>
              <w:rPr>
                <w:color w:val="000000"/>
                <w:kern w:val="0"/>
                <w:sz w:val="16"/>
                <w:szCs w:val="16"/>
              </w:rPr>
              <w:t>Total</w:t>
            </w:r>
          </w:p>
        </w:tc>
        <w:tc>
          <w:tcPr>
            <w:tcW w:w="1208" w:type="dxa"/>
            <w:tcBorders>
              <w:top w:val="single" w:color="auto" w:sz="4" w:space="0"/>
              <w:bottom w:val="single" w:color="000000" w:sz="12" w:space="0"/>
            </w:tcBorders>
            <w:noWrap/>
            <w:vAlign w:val="center"/>
          </w:tcPr>
          <w:p w14:paraId="3CC05E9E">
            <w:pPr>
              <w:widowControl/>
              <w:ind w:firstLine="0" w:firstLineChars="0"/>
              <w:jc w:val="center"/>
              <w:rPr>
                <w:color w:val="000000"/>
                <w:kern w:val="0"/>
                <w:sz w:val="16"/>
                <w:szCs w:val="16"/>
              </w:rPr>
            </w:pPr>
            <w:r>
              <w:rPr>
                <w:color w:val="000000"/>
                <w:kern w:val="0"/>
                <w:sz w:val="16"/>
                <w:szCs w:val="16"/>
              </w:rPr>
              <w:t>CNY</w:t>
            </w:r>
          </w:p>
        </w:tc>
        <w:tc>
          <w:tcPr>
            <w:tcW w:w="880" w:type="dxa"/>
            <w:tcBorders>
              <w:top w:val="single" w:color="auto" w:sz="4" w:space="0"/>
              <w:bottom w:val="single" w:color="000000" w:sz="12" w:space="0"/>
            </w:tcBorders>
            <w:noWrap/>
            <w:vAlign w:val="center"/>
          </w:tcPr>
          <w:p w14:paraId="170723AF">
            <w:pPr>
              <w:widowControl/>
              <w:ind w:firstLine="0" w:firstLineChars="0"/>
              <w:jc w:val="center"/>
              <w:rPr>
                <w:color w:val="000000"/>
                <w:kern w:val="0"/>
                <w:sz w:val="16"/>
                <w:szCs w:val="16"/>
              </w:rPr>
            </w:pPr>
          </w:p>
        </w:tc>
        <w:tc>
          <w:tcPr>
            <w:tcW w:w="1018" w:type="dxa"/>
            <w:tcBorders>
              <w:top w:val="single" w:color="auto" w:sz="4" w:space="0"/>
              <w:bottom w:val="single" w:color="000000" w:sz="12" w:space="0"/>
            </w:tcBorders>
            <w:noWrap/>
            <w:vAlign w:val="center"/>
          </w:tcPr>
          <w:p w14:paraId="52014B11">
            <w:pPr>
              <w:widowControl/>
              <w:ind w:firstLine="0" w:firstLineChars="0"/>
              <w:jc w:val="center"/>
              <w:rPr>
                <w:color w:val="000000"/>
                <w:kern w:val="0"/>
                <w:sz w:val="16"/>
                <w:szCs w:val="16"/>
              </w:rPr>
            </w:pPr>
          </w:p>
        </w:tc>
        <w:tc>
          <w:tcPr>
            <w:tcW w:w="1007" w:type="dxa"/>
            <w:tcBorders>
              <w:top w:val="single" w:color="auto" w:sz="4" w:space="0"/>
              <w:bottom w:val="single" w:color="000000" w:sz="12" w:space="0"/>
            </w:tcBorders>
            <w:noWrap/>
            <w:vAlign w:val="center"/>
          </w:tcPr>
          <w:p w14:paraId="641E7CF5">
            <w:pPr>
              <w:widowControl/>
              <w:ind w:firstLine="0" w:firstLineChars="0"/>
              <w:jc w:val="center"/>
              <w:rPr>
                <w:color w:val="000000"/>
                <w:kern w:val="0"/>
                <w:sz w:val="16"/>
                <w:szCs w:val="16"/>
              </w:rPr>
            </w:pPr>
            <w:r>
              <w:rPr>
                <w:color w:val="000000"/>
                <w:kern w:val="0"/>
                <w:sz w:val="16"/>
                <w:szCs w:val="16"/>
              </w:rPr>
              <w:t>465.24</w:t>
            </w:r>
          </w:p>
        </w:tc>
      </w:tr>
    </w:tbl>
    <w:p w14:paraId="4DDF5094">
      <w:pPr>
        <w:widowControl/>
        <w:ind w:firstLine="0" w:firstLineChars="0"/>
        <w:jc w:val="center"/>
        <w:rPr>
          <w:kern w:val="2"/>
          <w:sz w:val="18"/>
        </w:rPr>
      </w:pPr>
    </w:p>
    <w:p w14:paraId="631BBF43">
      <w:pPr>
        <w:pStyle w:val="52"/>
      </w:pPr>
      <w:r>
        <w:rPr>
          <w:rFonts w:hint="eastAsia"/>
        </w:rPr>
        <w:t>Table S9.3(c) Overlay Repair Cost-Laying Asphalt Layer (Unit: 100m²)</w:t>
      </w:r>
    </w:p>
    <w:tbl>
      <w:tblPr>
        <w:tblStyle w:val="15"/>
        <w:tblW w:w="0" w:type="auto"/>
        <w:jc w:val="center"/>
        <w:tblLayout w:type="fixed"/>
        <w:tblCellMar>
          <w:top w:w="0" w:type="dxa"/>
          <w:left w:w="108" w:type="dxa"/>
          <w:bottom w:w="0" w:type="dxa"/>
          <w:right w:w="108" w:type="dxa"/>
        </w:tblCellMar>
      </w:tblPr>
      <w:tblGrid>
        <w:gridCol w:w="756"/>
        <w:gridCol w:w="3116"/>
        <w:gridCol w:w="1226"/>
        <w:gridCol w:w="830"/>
        <w:gridCol w:w="1076"/>
        <w:gridCol w:w="1076"/>
      </w:tblGrid>
      <w:tr w14:paraId="0882EE24">
        <w:tblPrEx>
          <w:tblCellMar>
            <w:top w:w="0" w:type="dxa"/>
            <w:left w:w="108" w:type="dxa"/>
            <w:bottom w:w="0" w:type="dxa"/>
            <w:right w:w="108" w:type="dxa"/>
          </w:tblCellMar>
        </w:tblPrEx>
        <w:trPr>
          <w:trHeight w:val="288" w:hRule="atLeast"/>
          <w:jc w:val="center"/>
        </w:trPr>
        <w:tc>
          <w:tcPr>
            <w:tcW w:w="756" w:type="dxa"/>
            <w:tcBorders>
              <w:top w:val="single" w:color="000000" w:sz="12" w:space="0"/>
              <w:bottom w:val="single" w:color="000000" w:sz="12" w:space="0"/>
            </w:tcBorders>
            <w:vAlign w:val="center"/>
          </w:tcPr>
          <w:p w14:paraId="72592256">
            <w:pPr>
              <w:widowControl/>
              <w:snapToGrid w:val="0"/>
              <w:ind w:firstLine="0" w:firstLineChars="0"/>
              <w:jc w:val="center"/>
              <w:rPr>
                <w:b/>
                <w:bCs/>
                <w:color w:val="000000"/>
                <w:kern w:val="0"/>
                <w:sz w:val="16"/>
                <w:szCs w:val="16"/>
              </w:rPr>
            </w:pPr>
            <w:r>
              <w:rPr>
                <w:b/>
                <w:bCs/>
                <w:color w:val="000000"/>
                <w:kern w:val="0"/>
                <w:sz w:val="16"/>
                <w:szCs w:val="16"/>
              </w:rPr>
              <w:t>No.</w:t>
            </w:r>
          </w:p>
        </w:tc>
        <w:tc>
          <w:tcPr>
            <w:tcW w:w="3116" w:type="dxa"/>
            <w:tcBorders>
              <w:top w:val="single" w:color="000000" w:sz="12" w:space="0"/>
              <w:bottom w:val="single" w:color="000000" w:sz="12" w:space="0"/>
            </w:tcBorders>
            <w:vAlign w:val="center"/>
          </w:tcPr>
          <w:p w14:paraId="513B9B54">
            <w:pPr>
              <w:widowControl/>
              <w:snapToGrid w:val="0"/>
              <w:ind w:firstLine="0" w:firstLineChars="0"/>
              <w:jc w:val="center"/>
              <w:rPr>
                <w:b/>
                <w:bCs/>
                <w:color w:val="000000"/>
                <w:kern w:val="0"/>
                <w:sz w:val="16"/>
                <w:szCs w:val="16"/>
              </w:rPr>
            </w:pPr>
            <w:r>
              <w:rPr>
                <w:b/>
                <w:bCs/>
                <w:color w:val="000000"/>
                <w:kern w:val="0"/>
                <w:sz w:val="16"/>
                <w:szCs w:val="16"/>
              </w:rPr>
              <w:t>Item</w:t>
            </w:r>
          </w:p>
        </w:tc>
        <w:tc>
          <w:tcPr>
            <w:tcW w:w="1226" w:type="dxa"/>
            <w:tcBorders>
              <w:top w:val="single" w:color="000000" w:sz="12" w:space="0"/>
              <w:bottom w:val="single" w:color="000000" w:sz="12" w:space="0"/>
            </w:tcBorders>
            <w:vAlign w:val="center"/>
          </w:tcPr>
          <w:p w14:paraId="14845EE8">
            <w:pPr>
              <w:widowControl/>
              <w:snapToGrid w:val="0"/>
              <w:ind w:firstLine="0" w:firstLineChars="0"/>
              <w:jc w:val="center"/>
              <w:rPr>
                <w:b/>
                <w:bCs/>
                <w:color w:val="000000"/>
                <w:kern w:val="0"/>
                <w:sz w:val="16"/>
                <w:szCs w:val="16"/>
              </w:rPr>
            </w:pPr>
            <w:r>
              <w:rPr>
                <w:b/>
                <w:bCs/>
                <w:color w:val="000000"/>
                <w:kern w:val="0"/>
                <w:sz w:val="16"/>
                <w:szCs w:val="16"/>
              </w:rPr>
              <w:t>Unit</w:t>
            </w:r>
          </w:p>
        </w:tc>
        <w:tc>
          <w:tcPr>
            <w:tcW w:w="830" w:type="dxa"/>
            <w:tcBorders>
              <w:top w:val="single" w:color="000000" w:sz="12" w:space="0"/>
              <w:bottom w:val="single" w:color="000000" w:sz="12" w:space="0"/>
            </w:tcBorders>
            <w:vAlign w:val="center"/>
          </w:tcPr>
          <w:p w14:paraId="0EAB6C2A">
            <w:pPr>
              <w:widowControl/>
              <w:snapToGrid w:val="0"/>
              <w:ind w:firstLine="0" w:firstLineChars="0"/>
              <w:jc w:val="center"/>
              <w:rPr>
                <w:b/>
                <w:bCs/>
                <w:color w:val="000000"/>
                <w:kern w:val="0"/>
                <w:sz w:val="16"/>
                <w:szCs w:val="16"/>
              </w:rPr>
            </w:pPr>
            <w:r>
              <w:rPr>
                <w:b/>
                <w:bCs/>
                <w:color w:val="000000"/>
                <w:kern w:val="0"/>
                <w:sz w:val="16"/>
                <w:szCs w:val="16"/>
              </w:rPr>
              <w:t>Quantity</w:t>
            </w:r>
          </w:p>
        </w:tc>
        <w:tc>
          <w:tcPr>
            <w:tcW w:w="1076" w:type="dxa"/>
            <w:tcBorders>
              <w:top w:val="single" w:color="000000" w:sz="12" w:space="0"/>
              <w:bottom w:val="single" w:color="000000" w:sz="12" w:space="0"/>
            </w:tcBorders>
            <w:vAlign w:val="center"/>
          </w:tcPr>
          <w:p w14:paraId="57B0C6DE">
            <w:pPr>
              <w:widowControl/>
              <w:snapToGrid w:val="0"/>
              <w:ind w:firstLine="0" w:firstLineChars="0"/>
              <w:jc w:val="center"/>
              <w:rPr>
                <w:b/>
                <w:bCs/>
                <w:color w:val="000000"/>
                <w:kern w:val="0"/>
                <w:sz w:val="16"/>
                <w:szCs w:val="16"/>
              </w:rPr>
            </w:pPr>
            <w:r>
              <w:rPr>
                <w:b/>
                <w:bCs/>
                <w:color w:val="000000"/>
                <w:kern w:val="0"/>
                <w:sz w:val="16"/>
                <w:szCs w:val="16"/>
              </w:rPr>
              <w:t>Unit Price (CNY)</w:t>
            </w:r>
          </w:p>
        </w:tc>
        <w:tc>
          <w:tcPr>
            <w:tcW w:w="1076" w:type="dxa"/>
            <w:tcBorders>
              <w:top w:val="single" w:color="000000" w:sz="12" w:space="0"/>
              <w:bottom w:val="single" w:color="000000" w:sz="12" w:space="0"/>
            </w:tcBorders>
            <w:vAlign w:val="center"/>
          </w:tcPr>
          <w:p w14:paraId="608B6EE2">
            <w:pPr>
              <w:widowControl/>
              <w:snapToGrid w:val="0"/>
              <w:ind w:firstLine="0" w:firstLineChars="0"/>
              <w:jc w:val="center"/>
              <w:rPr>
                <w:b/>
                <w:bCs/>
                <w:color w:val="000000"/>
                <w:kern w:val="0"/>
                <w:sz w:val="16"/>
                <w:szCs w:val="16"/>
              </w:rPr>
            </w:pPr>
            <w:r>
              <w:rPr>
                <w:b/>
                <w:bCs/>
                <w:color w:val="000000"/>
                <w:kern w:val="0"/>
                <w:sz w:val="16"/>
                <w:szCs w:val="16"/>
              </w:rPr>
              <w:t>Total (CNY)</w:t>
            </w:r>
          </w:p>
        </w:tc>
      </w:tr>
      <w:tr w14:paraId="36274ABC">
        <w:tblPrEx>
          <w:tblCellMar>
            <w:top w:w="0" w:type="dxa"/>
            <w:left w:w="108" w:type="dxa"/>
            <w:bottom w:w="0" w:type="dxa"/>
            <w:right w:w="108" w:type="dxa"/>
          </w:tblCellMar>
        </w:tblPrEx>
        <w:trPr>
          <w:trHeight w:val="288" w:hRule="atLeast"/>
          <w:jc w:val="center"/>
        </w:trPr>
        <w:tc>
          <w:tcPr>
            <w:tcW w:w="756" w:type="dxa"/>
            <w:tcBorders>
              <w:top w:val="single" w:color="000000" w:sz="12" w:space="0"/>
              <w:bottom w:val="single" w:color="auto" w:sz="4" w:space="0"/>
            </w:tcBorders>
            <w:noWrap/>
            <w:vAlign w:val="center"/>
          </w:tcPr>
          <w:p w14:paraId="74C143E8">
            <w:pPr>
              <w:widowControl/>
              <w:ind w:firstLine="0" w:firstLineChars="0"/>
              <w:jc w:val="center"/>
              <w:rPr>
                <w:color w:val="000000"/>
                <w:kern w:val="0"/>
                <w:sz w:val="16"/>
                <w:szCs w:val="16"/>
              </w:rPr>
            </w:pPr>
            <w:r>
              <w:rPr>
                <w:color w:val="000000"/>
                <w:kern w:val="0"/>
                <w:sz w:val="16"/>
                <w:szCs w:val="16"/>
              </w:rPr>
              <w:t>1</w:t>
            </w:r>
          </w:p>
        </w:tc>
        <w:tc>
          <w:tcPr>
            <w:tcW w:w="3116" w:type="dxa"/>
            <w:tcBorders>
              <w:top w:val="single" w:color="000000" w:sz="12" w:space="0"/>
              <w:bottom w:val="single" w:color="auto" w:sz="4" w:space="0"/>
            </w:tcBorders>
            <w:noWrap/>
            <w:vAlign w:val="center"/>
          </w:tcPr>
          <w:p w14:paraId="7168AF09">
            <w:pPr>
              <w:widowControl/>
              <w:ind w:firstLine="0" w:firstLineChars="0"/>
              <w:jc w:val="center"/>
              <w:rPr>
                <w:color w:val="000000"/>
                <w:kern w:val="0"/>
                <w:sz w:val="16"/>
                <w:szCs w:val="16"/>
              </w:rPr>
            </w:pPr>
            <w:r>
              <w:rPr>
                <w:color w:val="000000"/>
                <w:kern w:val="0"/>
                <w:sz w:val="16"/>
                <w:szCs w:val="16"/>
              </w:rPr>
              <w:t>Direct Cost</w:t>
            </w:r>
          </w:p>
        </w:tc>
        <w:tc>
          <w:tcPr>
            <w:tcW w:w="1226" w:type="dxa"/>
            <w:tcBorders>
              <w:top w:val="single" w:color="000000" w:sz="12" w:space="0"/>
              <w:bottom w:val="single" w:color="auto" w:sz="4" w:space="0"/>
            </w:tcBorders>
            <w:noWrap/>
            <w:vAlign w:val="center"/>
          </w:tcPr>
          <w:p w14:paraId="1A240AAB">
            <w:pPr>
              <w:widowControl/>
              <w:ind w:firstLine="0" w:firstLineChars="0"/>
              <w:jc w:val="center"/>
              <w:rPr>
                <w:color w:val="000000"/>
                <w:kern w:val="0"/>
                <w:sz w:val="16"/>
                <w:szCs w:val="16"/>
              </w:rPr>
            </w:pPr>
          </w:p>
        </w:tc>
        <w:tc>
          <w:tcPr>
            <w:tcW w:w="830" w:type="dxa"/>
            <w:tcBorders>
              <w:top w:val="single" w:color="000000" w:sz="12" w:space="0"/>
              <w:bottom w:val="single" w:color="auto" w:sz="4" w:space="0"/>
            </w:tcBorders>
            <w:noWrap/>
            <w:vAlign w:val="center"/>
          </w:tcPr>
          <w:p w14:paraId="6DEBDB76">
            <w:pPr>
              <w:widowControl/>
              <w:ind w:firstLine="0" w:firstLineChars="0"/>
              <w:jc w:val="center"/>
              <w:rPr>
                <w:color w:val="000000"/>
                <w:kern w:val="0"/>
                <w:sz w:val="16"/>
                <w:szCs w:val="16"/>
              </w:rPr>
            </w:pPr>
          </w:p>
        </w:tc>
        <w:tc>
          <w:tcPr>
            <w:tcW w:w="1076" w:type="dxa"/>
            <w:tcBorders>
              <w:top w:val="single" w:color="000000" w:sz="12" w:space="0"/>
              <w:bottom w:val="single" w:color="auto" w:sz="4" w:space="0"/>
            </w:tcBorders>
            <w:noWrap/>
            <w:vAlign w:val="center"/>
          </w:tcPr>
          <w:p w14:paraId="4E22EE66">
            <w:pPr>
              <w:widowControl/>
              <w:ind w:firstLine="0" w:firstLineChars="0"/>
              <w:jc w:val="center"/>
              <w:rPr>
                <w:color w:val="000000"/>
                <w:kern w:val="0"/>
                <w:sz w:val="16"/>
                <w:szCs w:val="16"/>
              </w:rPr>
            </w:pPr>
          </w:p>
        </w:tc>
        <w:tc>
          <w:tcPr>
            <w:tcW w:w="1076" w:type="dxa"/>
            <w:tcBorders>
              <w:top w:val="single" w:color="000000" w:sz="12" w:space="0"/>
              <w:bottom w:val="single" w:color="auto" w:sz="4" w:space="0"/>
            </w:tcBorders>
            <w:noWrap/>
            <w:vAlign w:val="center"/>
          </w:tcPr>
          <w:p w14:paraId="094ADEE6">
            <w:pPr>
              <w:widowControl/>
              <w:ind w:firstLine="0" w:firstLineChars="0"/>
              <w:jc w:val="center"/>
              <w:rPr>
                <w:color w:val="000000"/>
                <w:kern w:val="0"/>
                <w:sz w:val="16"/>
                <w:szCs w:val="16"/>
              </w:rPr>
            </w:pPr>
            <w:r>
              <w:rPr>
                <w:color w:val="000000"/>
                <w:kern w:val="0"/>
                <w:sz w:val="16"/>
                <w:szCs w:val="16"/>
              </w:rPr>
              <w:t>16196.98</w:t>
            </w:r>
          </w:p>
        </w:tc>
      </w:tr>
      <w:tr w14:paraId="4093E3AD">
        <w:tblPrEx>
          <w:tblCellMar>
            <w:top w:w="0" w:type="dxa"/>
            <w:left w:w="108" w:type="dxa"/>
            <w:bottom w:w="0" w:type="dxa"/>
            <w:right w:w="108" w:type="dxa"/>
          </w:tblCellMar>
        </w:tblPrEx>
        <w:trPr>
          <w:trHeight w:val="288" w:hRule="atLeast"/>
          <w:jc w:val="center"/>
        </w:trPr>
        <w:tc>
          <w:tcPr>
            <w:tcW w:w="756" w:type="dxa"/>
            <w:tcBorders>
              <w:top w:val="single" w:color="auto" w:sz="4" w:space="0"/>
            </w:tcBorders>
            <w:noWrap/>
            <w:vAlign w:val="center"/>
          </w:tcPr>
          <w:p w14:paraId="5BCD0BE8">
            <w:pPr>
              <w:widowControl/>
              <w:ind w:firstLine="0" w:firstLineChars="0"/>
              <w:jc w:val="center"/>
              <w:rPr>
                <w:color w:val="000000"/>
                <w:kern w:val="0"/>
                <w:sz w:val="16"/>
                <w:szCs w:val="16"/>
              </w:rPr>
            </w:pPr>
            <w:r>
              <w:rPr>
                <w:color w:val="000000"/>
                <w:kern w:val="0"/>
                <w:sz w:val="16"/>
                <w:szCs w:val="16"/>
              </w:rPr>
              <w:t>1.1</w:t>
            </w:r>
          </w:p>
        </w:tc>
        <w:tc>
          <w:tcPr>
            <w:tcW w:w="3116" w:type="dxa"/>
            <w:tcBorders>
              <w:top w:val="single" w:color="auto" w:sz="4" w:space="0"/>
            </w:tcBorders>
            <w:noWrap/>
            <w:vAlign w:val="center"/>
          </w:tcPr>
          <w:p w14:paraId="46128681">
            <w:pPr>
              <w:widowControl/>
              <w:ind w:firstLine="0" w:firstLineChars="0"/>
              <w:jc w:val="center"/>
              <w:rPr>
                <w:color w:val="000000"/>
                <w:kern w:val="0"/>
                <w:sz w:val="16"/>
                <w:szCs w:val="16"/>
              </w:rPr>
            </w:pPr>
            <w:r>
              <w:rPr>
                <w:color w:val="000000"/>
                <w:kern w:val="0"/>
                <w:sz w:val="16"/>
                <w:szCs w:val="16"/>
              </w:rPr>
              <w:t>Basic Direct Costs</w:t>
            </w:r>
          </w:p>
        </w:tc>
        <w:tc>
          <w:tcPr>
            <w:tcW w:w="1226" w:type="dxa"/>
            <w:tcBorders>
              <w:top w:val="single" w:color="auto" w:sz="4" w:space="0"/>
            </w:tcBorders>
            <w:noWrap/>
            <w:vAlign w:val="center"/>
          </w:tcPr>
          <w:p w14:paraId="1A95C429">
            <w:pPr>
              <w:widowControl/>
              <w:ind w:firstLine="0" w:firstLineChars="0"/>
              <w:jc w:val="center"/>
              <w:rPr>
                <w:color w:val="000000"/>
                <w:kern w:val="0"/>
                <w:sz w:val="16"/>
                <w:szCs w:val="16"/>
              </w:rPr>
            </w:pPr>
          </w:p>
        </w:tc>
        <w:tc>
          <w:tcPr>
            <w:tcW w:w="830" w:type="dxa"/>
            <w:tcBorders>
              <w:top w:val="single" w:color="auto" w:sz="4" w:space="0"/>
            </w:tcBorders>
            <w:noWrap/>
            <w:vAlign w:val="center"/>
          </w:tcPr>
          <w:p w14:paraId="3C28EEC2">
            <w:pPr>
              <w:widowControl/>
              <w:ind w:firstLine="0" w:firstLineChars="0"/>
              <w:jc w:val="center"/>
              <w:rPr>
                <w:color w:val="000000"/>
                <w:kern w:val="0"/>
                <w:sz w:val="16"/>
                <w:szCs w:val="16"/>
              </w:rPr>
            </w:pPr>
          </w:p>
        </w:tc>
        <w:tc>
          <w:tcPr>
            <w:tcW w:w="1076" w:type="dxa"/>
            <w:tcBorders>
              <w:top w:val="single" w:color="auto" w:sz="4" w:space="0"/>
            </w:tcBorders>
            <w:noWrap/>
            <w:vAlign w:val="center"/>
          </w:tcPr>
          <w:p w14:paraId="2D83C50C">
            <w:pPr>
              <w:widowControl/>
              <w:ind w:firstLine="0" w:firstLineChars="0"/>
              <w:jc w:val="center"/>
              <w:rPr>
                <w:color w:val="000000"/>
                <w:kern w:val="0"/>
                <w:sz w:val="16"/>
                <w:szCs w:val="16"/>
              </w:rPr>
            </w:pPr>
          </w:p>
        </w:tc>
        <w:tc>
          <w:tcPr>
            <w:tcW w:w="1076" w:type="dxa"/>
            <w:tcBorders>
              <w:top w:val="single" w:color="auto" w:sz="4" w:space="0"/>
            </w:tcBorders>
            <w:noWrap/>
            <w:vAlign w:val="center"/>
          </w:tcPr>
          <w:p w14:paraId="73BA85E9">
            <w:pPr>
              <w:widowControl/>
              <w:ind w:firstLine="0" w:firstLineChars="0"/>
              <w:jc w:val="center"/>
              <w:rPr>
                <w:color w:val="000000"/>
                <w:kern w:val="0"/>
                <w:sz w:val="16"/>
                <w:szCs w:val="16"/>
              </w:rPr>
            </w:pPr>
            <w:r>
              <w:rPr>
                <w:color w:val="000000"/>
                <w:kern w:val="0"/>
                <w:sz w:val="16"/>
                <w:szCs w:val="16"/>
              </w:rPr>
              <w:t>15917.00</w:t>
            </w:r>
          </w:p>
        </w:tc>
      </w:tr>
      <w:tr w14:paraId="7AC70A24">
        <w:tblPrEx>
          <w:tblCellMar>
            <w:top w:w="0" w:type="dxa"/>
            <w:left w:w="108" w:type="dxa"/>
            <w:bottom w:w="0" w:type="dxa"/>
            <w:right w:w="108" w:type="dxa"/>
          </w:tblCellMar>
        </w:tblPrEx>
        <w:trPr>
          <w:trHeight w:val="288" w:hRule="atLeast"/>
          <w:jc w:val="center"/>
        </w:trPr>
        <w:tc>
          <w:tcPr>
            <w:tcW w:w="756" w:type="dxa"/>
            <w:noWrap/>
            <w:vAlign w:val="center"/>
          </w:tcPr>
          <w:p w14:paraId="6BA4E48E">
            <w:pPr>
              <w:widowControl/>
              <w:ind w:firstLine="0" w:firstLineChars="0"/>
              <w:jc w:val="center"/>
              <w:rPr>
                <w:color w:val="000000"/>
                <w:kern w:val="0"/>
                <w:sz w:val="16"/>
                <w:szCs w:val="16"/>
              </w:rPr>
            </w:pPr>
            <w:r>
              <w:rPr>
                <w:color w:val="000000"/>
                <w:kern w:val="0"/>
                <w:sz w:val="16"/>
                <w:szCs w:val="16"/>
              </w:rPr>
              <w:t>1.1.1</w:t>
            </w:r>
          </w:p>
        </w:tc>
        <w:tc>
          <w:tcPr>
            <w:tcW w:w="3116" w:type="dxa"/>
            <w:noWrap/>
            <w:vAlign w:val="center"/>
          </w:tcPr>
          <w:p w14:paraId="39A57D10">
            <w:pPr>
              <w:widowControl/>
              <w:ind w:firstLine="0" w:firstLineChars="0"/>
              <w:jc w:val="center"/>
              <w:rPr>
                <w:color w:val="000000"/>
                <w:kern w:val="0"/>
                <w:sz w:val="16"/>
                <w:szCs w:val="16"/>
              </w:rPr>
            </w:pPr>
            <w:r>
              <w:rPr>
                <w:color w:val="000000"/>
                <w:kern w:val="0"/>
                <w:sz w:val="16"/>
                <w:szCs w:val="16"/>
              </w:rPr>
              <w:t>Labor Cost</w:t>
            </w:r>
          </w:p>
        </w:tc>
        <w:tc>
          <w:tcPr>
            <w:tcW w:w="1226" w:type="dxa"/>
            <w:noWrap/>
            <w:vAlign w:val="center"/>
          </w:tcPr>
          <w:p w14:paraId="45A5C0C7">
            <w:pPr>
              <w:widowControl/>
              <w:ind w:firstLine="0" w:firstLineChars="0"/>
              <w:jc w:val="center"/>
              <w:rPr>
                <w:color w:val="000000"/>
                <w:kern w:val="0"/>
                <w:sz w:val="16"/>
                <w:szCs w:val="16"/>
              </w:rPr>
            </w:pPr>
          </w:p>
        </w:tc>
        <w:tc>
          <w:tcPr>
            <w:tcW w:w="830" w:type="dxa"/>
            <w:noWrap/>
            <w:vAlign w:val="center"/>
          </w:tcPr>
          <w:p w14:paraId="2DACF82F">
            <w:pPr>
              <w:widowControl/>
              <w:ind w:firstLine="0" w:firstLineChars="0"/>
              <w:jc w:val="center"/>
              <w:rPr>
                <w:color w:val="000000"/>
                <w:kern w:val="0"/>
                <w:sz w:val="16"/>
                <w:szCs w:val="16"/>
              </w:rPr>
            </w:pPr>
          </w:p>
        </w:tc>
        <w:tc>
          <w:tcPr>
            <w:tcW w:w="1076" w:type="dxa"/>
            <w:noWrap/>
            <w:vAlign w:val="center"/>
          </w:tcPr>
          <w:p w14:paraId="327551D2">
            <w:pPr>
              <w:widowControl/>
              <w:ind w:firstLine="0" w:firstLineChars="0"/>
              <w:jc w:val="center"/>
              <w:rPr>
                <w:color w:val="000000"/>
                <w:kern w:val="0"/>
                <w:sz w:val="16"/>
                <w:szCs w:val="16"/>
              </w:rPr>
            </w:pPr>
          </w:p>
        </w:tc>
        <w:tc>
          <w:tcPr>
            <w:tcW w:w="1076" w:type="dxa"/>
            <w:noWrap/>
            <w:vAlign w:val="center"/>
          </w:tcPr>
          <w:p w14:paraId="6896D89A">
            <w:pPr>
              <w:widowControl/>
              <w:ind w:firstLine="0" w:firstLineChars="0"/>
              <w:jc w:val="center"/>
              <w:rPr>
                <w:color w:val="000000"/>
                <w:kern w:val="0"/>
                <w:sz w:val="16"/>
                <w:szCs w:val="16"/>
              </w:rPr>
            </w:pPr>
            <w:r>
              <w:rPr>
                <w:color w:val="000000"/>
                <w:kern w:val="0"/>
                <w:sz w:val="16"/>
                <w:szCs w:val="16"/>
              </w:rPr>
              <w:t>958.82</w:t>
            </w:r>
          </w:p>
        </w:tc>
      </w:tr>
      <w:tr w14:paraId="5A4E1702">
        <w:tblPrEx>
          <w:tblCellMar>
            <w:top w:w="0" w:type="dxa"/>
            <w:left w:w="108" w:type="dxa"/>
            <w:bottom w:w="0" w:type="dxa"/>
            <w:right w:w="108" w:type="dxa"/>
          </w:tblCellMar>
        </w:tblPrEx>
        <w:trPr>
          <w:trHeight w:val="288" w:hRule="atLeast"/>
          <w:jc w:val="center"/>
        </w:trPr>
        <w:tc>
          <w:tcPr>
            <w:tcW w:w="756" w:type="dxa"/>
            <w:noWrap/>
            <w:vAlign w:val="center"/>
          </w:tcPr>
          <w:p w14:paraId="7AB60AC8">
            <w:pPr>
              <w:widowControl/>
              <w:ind w:firstLine="0" w:firstLineChars="0"/>
              <w:jc w:val="center"/>
              <w:rPr>
                <w:color w:val="000000"/>
                <w:kern w:val="0"/>
                <w:sz w:val="16"/>
                <w:szCs w:val="16"/>
              </w:rPr>
            </w:pPr>
          </w:p>
        </w:tc>
        <w:tc>
          <w:tcPr>
            <w:tcW w:w="3116" w:type="dxa"/>
            <w:noWrap/>
            <w:vAlign w:val="center"/>
          </w:tcPr>
          <w:p w14:paraId="0955A2C1">
            <w:pPr>
              <w:widowControl/>
              <w:ind w:firstLine="0" w:firstLineChars="0"/>
              <w:jc w:val="center"/>
              <w:rPr>
                <w:color w:val="000000"/>
                <w:kern w:val="0"/>
                <w:sz w:val="16"/>
                <w:szCs w:val="16"/>
              </w:rPr>
            </w:pPr>
            <w:r>
              <w:rPr>
                <w:color w:val="000000"/>
                <w:kern w:val="0"/>
                <w:sz w:val="16"/>
                <w:szCs w:val="16"/>
              </w:rPr>
              <w:t>Composite Labor</w:t>
            </w:r>
          </w:p>
        </w:tc>
        <w:tc>
          <w:tcPr>
            <w:tcW w:w="1226" w:type="dxa"/>
            <w:noWrap/>
            <w:vAlign w:val="center"/>
          </w:tcPr>
          <w:p w14:paraId="47A1D80E">
            <w:pPr>
              <w:widowControl/>
              <w:ind w:firstLine="0" w:firstLineChars="0"/>
              <w:jc w:val="center"/>
              <w:rPr>
                <w:color w:val="000000"/>
                <w:kern w:val="0"/>
                <w:sz w:val="16"/>
                <w:szCs w:val="16"/>
              </w:rPr>
            </w:pPr>
            <w:r>
              <w:rPr>
                <w:color w:val="000000"/>
                <w:kern w:val="0"/>
                <w:sz w:val="16"/>
                <w:szCs w:val="16"/>
              </w:rPr>
              <w:t>Man-day</w:t>
            </w:r>
          </w:p>
        </w:tc>
        <w:tc>
          <w:tcPr>
            <w:tcW w:w="830" w:type="dxa"/>
            <w:shd w:val="clear" w:color="000000" w:fill="FFFFFF"/>
            <w:noWrap/>
            <w:vAlign w:val="center"/>
          </w:tcPr>
          <w:p w14:paraId="740FF693">
            <w:pPr>
              <w:widowControl/>
              <w:ind w:firstLine="0" w:firstLineChars="0"/>
              <w:jc w:val="center"/>
              <w:rPr>
                <w:color w:val="000000"/>
                <w:kern w:val="0"/>
                <w:sz w:val="16"/>
                <w:szCs w:val="16"/>
              </w:rPr>
            </w:pPr>
            <w:r>
              <w:rPr>
                <w:color w:val="000000"/>
                <w:kern w:val="0"/>
                <w:sz w:val="16"/>
                <w:szCs w:val="16"/>
              </w:rPr>
              <w:t>3.820</w:t>
            </w:r>
          </w:p>
        </w:tc>
        <w:tc>
          <w:tcPr>
            <w:tcW w:w="1076" w:type="dxa"/>
            <w:noWrap/>
            <w:vAlign w:val="center"/>
          </w:tcPr>
          <w:p w14:paraId="36F9B36B">
            <w:pPr>
              <w:widowControl/>
              <w:ind w:firstLine="0" w:firstLineChars="0"/>
              <w:jc w:val="center"/>
              <w:rPr>
                <w:color w:val="000000"/>
                <w:kern w:val="0"/>
                <w:sz w:val="16"/>
                <w:szCs w:val="16"/>
              </w:rPr>
            </w:pPr>
            <w:r>
              <w:rPr>
                <w:color w:val="000000"/>
                <w:kern w:val="0"/>
                <w:sz w:val="16"/>
                <w:szCs w:val="16"/>
              </w:rPr>
              <w:t>251.00</w:t>
            </w:r>
          </w:p>
        </w:tc>
        <w:tc>
          <w:tcPr>
            <w:tcW w:w="1076" w:type="dxa"/>
            <w:noWrap/>
            <w:vAlign w:val="center"/>
          </w:tcPr>
          <w:p w14:paraId="1981D5BB">
            <w:pPr>
              <w:widowControl/>
              <w:ind w:firstLine="0" w:firstLineChars="0"/>
              <w:jc w:val="center"/>
              <w:rPr>
                <w:color w:val="000000"/>
                <w:kern w:val="0"/>
                <w:sz w:val="16"/>
                <w:szCs w:val="16"/>
              </w:rPr>
            </w:pPr>
            <w:r>
              <w:rPr>
                <w:color w:val="000000"/>
                <w:kern w:val="0"/>
                <w:sz w:val="16"/>
                <w:szCs w:val="16"/>
              </w:rPr>
              <w:t>958.82</w:t>
            </w:r>
          </w:p>
        </w:tc>
      </w:tr>
      <w:tr w14:paraId="4EE4A82B">
        <w:tblPrEx>
          <w:tblCellMar>
            <w:top w:w="0" w:type="dxa"/>
            <w:left w:w="108" w:type="dxa"/>
            <w:bottom w:w="0" w:type="dxa"/>
            <w:right w:w="108" w:type="dxa"/>
          </w:tblCellMar>
        </w:tblPrEx>
        <w:trPr>
          <w:trHeight w:val="288" w:hRule="atLeast"/>
          <w:jc w:val="center"/>
        </w:trPr>
        <w:tc>
          <w:tcPr>
            <w:tcW w:w="756" w:type="dxa"/>
            <w:noWrap/>
            <w:vAlign w:val="center"/>
          </w:tcPr>
          <w:p w14:paraId="0E0DE5DD">
            <w:pPr>
              <w:widowControl/>
              <w:ind w:firstLine="0" w:firstLineChars="0"/>
              <w:jc w:val="center"/>
              <w:rPr>
                <w:color w:val="000000"/>
                <w:kern w:val="0"/>
                <w:sz w:val="16"/>
                <w:szCs w:val="16"/>
              </w:rPr>
            </w:pPr>
            <w:r>
              <w:rPr>
                <w:color w:val="000000"/>
                <w:kern w:val="0"/>
                <w:sz w:val="16"/>
                <w:szCs w:val="16"/>
              </w:rPr>
              <w:t>1.1.2</w:t>
            </w:r>
          </w:p>
        </w:tc>
        <w:tc>
          <w:tcPr>
            <w:tcW w:w="3116" w:type="dxa"/>
            <w:noWrap/>
            <w:vAlign w:val="center"/>
          </w:tcPr>
          <w:p w14:paraId="51291F31">
            <w:pPr>
              <w:widowControl/>
              <w:ind w:firstLine="0" w:firstLineChars="0"/>
              <w:jc w:val="center"/>
              <w:rPr>
                <w:color w:val="000000"/>
                <w:kern w:val="0"/>
                <w:sz w:val="16"/>
                <w:szCs w:val="16"/>
              </w:rPr>
            </w:pPr>
            <w:r>
              <w:rPr>
                <w:color w:val="000000"/>
                <w:kern w:val="0"/>
                <w:sz w:val="16"/>
                <w:szCs w:val="16"/>
              </w:rPr>
              <w:t>Material Cost</w:t>
            </w:r>
          </w:p>
        </w:tc>
        <w:tc>
          <w:tcPr>
            <w:tcW w:w="1226" w:type="dxa"/>
            <w:noWrap/>
            <w:vAlign w:val="center"/>
          </w:tcPr>
          <w:p w14:paraId="42B3C81D">
            <w:pPr>
              <w:widowControl/>
              <w:ind w:firstLine="0" w:firstLineChars="0"/>
              <w:jc w:val="center"/>
              <w:rPr>
                <w:color w:val="000000"/>
                <w:kern w:val="0"/>
                <w:sz w:val="16"/>
                <w:szCs w:val="16"/>
              </w:rPr>
            </w:pPr>
          </w:p>
        </w:tc>
        <w:tc>
          <w:tcPr>
            <w:tcW w:w="830" w:type="dxa"/>
            <w:noWrap/>
            <w:vAlign w:val="center"/>
          </w:tcPr>
          <w:p w14:paraId="61007249">
            <w:pPr>
              <w:widowControl/>
              <w:ind w:firstLine="0" w:firstLineChars="0"/>
              <w:jc w:val="center"/>
              <w:rPr>
                <w:color w:val="000000"/>
                <w:kern w:val="0"/>
                <w:sz w:val="16"/>
                <w:szCs w:val="16"/>
              </w:rPr>
            </w:pPr>
          </w:p>
        </w:tc>
        <w:tc>
          <w:tcPr>
            <w:tcW w:w="1076" w:type="dxa"/>
            <w:noWrap/>
            <w:vAlign w:val="center"/>
          </w:tcPr>
          <w:p w14:paraId="0B7E6D45">
            <w:pPr>
              <w:widowControl/>
              <w:ind w:firstLine="0" w:firstLineChars="0"/>
              <w:jc w:val="center"/>
              <w:rPr>
                <w:color w:val="000000"/>
                <w:kern w:val="0"/>
                <w:sz w:val="16"/>
                <w:szCs w:val="16"/>
              </w:rPr>
            </w:pPr>
          </w:p>
        </w:tc>
        <w:tc>
          <w:tcPr>
            <w:tcW w:w="1076" w:type="dxa"/>
            <w:noWrap/>
            <w:vAlign w:val="center"/>
          </w:tcPr>
          <w:p w14:paraId="2AFB1B65">
            <w:pPr>
              <w:widowControl/>
              <w:ind w:firstLine="0" w:firstLineChars="0"/>
              <w:jc w:val="center"/>
              <w:rPr>
                <w:color w:val="000000"/>
                <w:kern w:val="0"/>
                <w:sz w:val="16"/>
                <w:szCs w:val="16"/>
              </w:rPr>
            </w:pPr>
            <w:r>
              <w:rPr>
                <w:color w:val="000000"/>
                <w:kern w:val="0"/>
                <w:sz w:val="16"/>
                <w:szCs w:val="16"/>
              </w:rPr>
              <w:t>14441.96</w:t>
            </w:r>
          </w:p>
        </w:tc>
      </w:tr>
      <w:tr w14:paraId="23D2685F">
        <w:tblPrEx>
          <w:tblCellMar>
            <w:top w:w="0" w:type="dxa"/>
            <w:left w:w="108" w:type="dxa"/>
            <w:bottom w:w="0" w:type="dxa"/>
            <w:right w:w="108" w:type="dxa"/>
          </w:tblCellMar>
        </w:tblPrEx>
        <w:trPr>
          <w:trHeight w:val="288" w:hRule="atLeast"/>
          <w:jc w:val="center"/>
        </w:trPr>
        <w:tc>
          <w:tcPr>
            <w:tcW w:w="756" w:type="dxa"/>
            <w:noWrap/>
            <w:vAlign w:val="center"/>
          </w:tcPr>
          <w:p w14:paraId="6E0D7420">
            <w:pPr>
              <w:widowControl/>
              <w:ind w:firstLine="0" w:firstLineChars="0"/>
              <w:jc w:val="center"/>
              <w:rPr>
                <w:color w:val="000000"/>
                <w:kern w:val="0"/>
                <w:sz w:val="16"/>
                <w:szCs w:val="16"/>
              </w:rPr>
            </w:pPr>
          </w:p>
        </w:tc>
        <w:tc>
          <w:tcPr>
            <w:tcW w:w="3116" w:type="dxa"/>
            <w:vAlign w:val="center"/>
          </w:tcPr>
          <w:p w14:paraId="2DFF571A">
            <w:pPr>
              <w:widowControl/>
              <w:ind w:firstLine="0" w:firstLineChars="0"/>
              <w:jc w:val="center"/>
              <w:rPr>
                <w:color w:val="000000"/>
                <w:kern w:val="0"/>
                <w:sz w:val="16"/>
                <w:szCs w:val="16"/>
              </w:rPr>
            </w:pPr>
            <w:r>
              <w:rPr>
                <w:color w:val="000000"/>
                <w:kern w:val="0"/>
                <w:sz w:val="16"/>
                <w:szCs w:val="16"/>
              </w:rPr>
              <w:t>Stone Mastic Asphalt (SMA)</w:t>
            </w:r>
          </w:p>
        </w:tc>
        <w:tc>
          <w:tcPr>
            <w:tcW w:w="1226" w:type="dxa"/>
            <w:noWrap/>
            <w:vAlign w:val="center"/>
          </w:tcPr>
          <w:p w14:paraId="2FBBCF4A">
            <w:pPr>
              <w:widowControl/>
              <w:ind w:firstLine="0" w:firstLineChars="0"/>
              <w:jc w:val="center"/>
              <w:rPr>
                <w:color w:val="000000"/>
                <w:kern w:val="0"/>
                <w:sz w:val="16"/>
                <w:szCs w:val="16"/>
              </w:rPr>
            </w:pPr>
            <w:r>
              <w:rPr>
                <w:color w:val="000000"/>
                <w:kern w:val="0"/>
                <w:sz w:val="16"/>
                <w:szCs w:val="16"/>
              </w:rPr>
              <w:t>m³</w:t>
            </w:r>
          </w:p>
        </w:tc>
        <w:tc>
          <w:tcPr>
            <w:tcW w:w="830" w:type="dxa"/>
            <w:noWrap/>
            <w:vAlign w:val="center"/>
          </w:tcPr>
          <w:p w14:paraId="6956882F">
            <w:pPr>
              <w:widowControl/>
              <w:ind w:firstLine="0" w:firstLineChars="0"/>
              <w:jc w:val="center"/>
              <w:rPr>
                <w:color w:val="000000"/>
                <w:kern w:val="0"/>
                <w:sz w:val="16"/>
                <w:szCs w:val="16"/>
              </w:rPr>
            </w:pPr>
            <w:r>
              <w:rPr>
                <w:color w:val="000000"/>
                <w:kern w:val="0"/>
                <w:sz w:val="16"/>
                <w:szCs w:val="16"/>
              </w:rPr>
              <w:t>6.090</w:t>
            </w:r>
          </w:p>
        </w:tc>
        <w:tc>
          <w:tcPr>
            <w:tcW w:w="1076" w:type="dxa"/>
            <w:noWrap/>
            <w:vAlign w:val="center"/>
          </w:tcPr>
          <w:p w14:paraId="70A84212">
            <w:pPr>
              <w:widowControl/>
              <w:ind w:firstLine="0" w:firstLineChars="0"/>
              <w:jc w:val="center"/>
              <w:rPr>
                <w:color w:val="000000"/>
                <w:kern w:val="0"/>
                <w:sz w:val="16"/>
                <w:szCs w:val="16"/>
              </w:rPr>
            </w:pPr>
            <w:r>
              <w:rPr>
                <w:color w:val="000000"/>
                <w:kern w:val="0"/>
                <w:sz w:val="16"/>
                <w:szCs w:val="16"/>
              </w:rPr>
              <w:t>2332.70</w:t>
            </w:r>
          </w:p>
        </w:tc>
        <w:tc>
          <w:tcPr>
            <w:tcW w:w="1076" w:type="dxa"/>
            <w:noWrap/>
            <w:vAlign w:val="center"/>
          </w:tcPr>
          <w:p w14:paraId="0D096D9A">
            <w:pPr>
              <w:widowControl/>
              <w:ind w:firstLine="0" w:firstLineChars="0"/>
              <w:jc w:val="center"/>
              <w:rPr>
                <w:color w:val="000000"/>
                <w:kern w:val="0"/>
                <w:sz w:val="16"/>
                <w:szCs w:val="16"/>
              </w:rPr>
            </w:pPr>
            <w:r>
              <w:rPr>
                <w:color w:val="000000"/>
                <w:kern w:val="0"/>
                <w:sz w:val="16"/>
                <w:szCs w:val="16"/>
              </w:rPr>
              <w:t>14206.14</w:t>
            </w:r>
          </w:p>
        </w:tc>
      </w:tr>
      <w:tr w14:paraId="60C0ED58">
        <w:tblPrEx>
          <w:tblCellMar>
            <w:top w:w="0" w:type="dxa"/>
            <w:left w:w="108" w:type="dxa"/>
            <w:bottom w:w="0" w:type="dxa"/>
            <w:right w:w="108" w:type="dxa"/>
          </w:tblCellMar>
        </w:tblPrEx>
        <w:trPr>
          <w:trHeight w:val="288" w:hRule="atLeast"/>
          <w:jc w:val="center"/>
        </w:trPr>
        <w:tc>
          <w:tcPr>
            <w:tcW w:w="756" w:type="dxa"/>
            <w:noWrap/>
            <w:vAlign w:val="center"/>
          </w:tcPr>
          <w:p w14:paraId="4BC5DB89">
            <w:pPr>
              <w:widowControl/>
              <w:ind w:firstLine="0" w:firstLineChars="0"/>
              <w:jc w:val="center"/>
              <w:rPr>
                <w:color w:val="000000"/>
                <w:kern w:val="0"/>
                <w:sz w:val="16"/>
                <w:szCs w:val="16"/>
              </w:rPr>
            </w:pPr>
          </w:p>
        </w:tc>
        <w:tc>
          <w:tcPr>
            <w:tcW w:w="3116" w:type="dxa"/>
            <w:noWrap/>
            <w:vAlign w:val="center"/>
          </w:tcPr>
          <w:p w14:paraId="03D27A2A">
            <w:pPr>
              <w:widowControl/>
              <w:ind w:firstLine="0" w:firstLineChars="0"/>
              <w:jc w:val="center"/>
              <w:rPr>
                <w:color w:val="000000"/>
                <w:kern w:val="0"/>
                <w:sz w:val="16"/>
                <w:szCs w:val="16"/>
              </w:rPr>
            </w:pPr>
            <w:r>
              <w:rPr>
                <w:color w:val="000000"/>
                <w:kern w:val="0"/>
                <w:sz w:val="16"/>
                <w:szCs w:val="16"/>
              </w:rPr>
              <w:t>Coal</w:t>
            </w:r>
          </w:p>
        </w:tc>
        <w:tc>
          <w:tcPr>
            <w:tcW w:w="1226" w:type="dxa"/>
            <w:noWrap/>
            <w:vAlign w:val="center"/>
          </w:tcPr>
          <w:p w14:paraId="616D3A61">
            <w:pPr>
              <w:widowControl/>
              <w:ind w:firstLine="0" w:firstLineChars="0"/>
              <w:jc w:val="center"/>
              <w:rPr>
                <w:color w:val="000000"/>
                <w:kern w:val="0"/>
                <w:sz w:val="16"/>
                <w:szCs w:val="16"/>
              </w:rPr>
            </w:pPr>
            <w:r>
              <w:rPr>
                <w:color w:val="000000"/>
                <w:kern w:val="0"/>
                <w:sz w:val="16"/>
                <w:szCs w:val="16"/>
              </w:rPr>
              <w:t>kg</w:t>
            </w:r>
          </w:p>
        </w:tc>
        <w:tc>
          <w:tcPr>
            <w:tcW w:w="830" w:type="dxa"/>
            <w:noWrap/>
            <w:vAlign w:val="center"/>
          </w:tcPr>
          <w:p w14:paraId="7CEFFC5C">
            <w:pPr>
              <w:widowControl/>
              <w:ind w:firstLine="0" w:firstLineChars="0"/>
              <w:jc w:val="center"/>
              <w:rPr>
                <w:color w:val="000000"/>
                <w:kern w:val="0"/>
                <w:sz w:val="16"/>
                <w:szCs w:val="16"/>
              </w:rPr>
            </w:pPr>
            <w:r>
              <w:rPr>
                <w:color w:val="000000"/>
                <w:kern w:val="0"/>
                <w:sz w:val="16"/>
                <w:szCs w:val="16"/>
              </w:rPr>
              <w:t>23.000</w:t>
            </w:r>
          </w:p>
        </w:tc>
        <w:tc>
          <w:tcPr>
            <w:tcW w:w="1076" w:type="dxa"/>
            <w:noWrap/>
            <w:vAlign w:val="center"/>
          </w:tcPr>
          <w:p w14:paraId="5BEFF87C">
            <w:pPr>
              <w:widowControl/>
              <w:ind w:firstLine="0" w:firstLineChars="0"/>
              <w:jc w:val="center"/>
              <w:rPr>
                <w:color w:val="000000"/>
                <w:kern w:val="0"/>
                <w:sz w:val="16"/>
                <w:szCs w:val="16"/>
              </w:rPr>
            </w:pPr>
            <w:r>
              <w:rPr>
                <w:color w:val="000000"/>
                <w:kern w:val="0"/>
                <w:sz w:val="16"/>
                <w:szCs w:val="16"/>
              </w:rPr>
              <w:t>2.00</w:t>
            </w:r>
          </w:p>
        </w:tc>
        <w:tc>
          <w:tcPr>
            <w:tcW w:w="1076" w:type="dxa"/>
            <w:noWrap/>
            <w:vAlign w:val="center"/>
          </w:tcPr>
          <w:p w14:paraId="2034B883">
            <w:pPr>
              <w:widowControl/>
              <w:ind w:firstLine="0" w:firstLineChars="0"/>
              <w:jc w:val="center"/>
              <w:rPr>
                <w:color w:val="000000"/>
                <w:kern w:val="0"/>
                <w:sz w:val="16"/>
                <w:szCs w:val="16"/>
              </w:rPr>
            </w:pPr>
            <w:r>
              <w:rPr>
                <w:color w:val="000000"/>
                <w:kern w:val="0"/>
                <w:sz w:val="16"/>
                <w:szCs w:val="16"/>
              </w:rPr>
              <w:t>46.00</w:t>
            </w:r>
          </w:p>
        </w:tc>
      </w:tr>
      <w:tr w14:paraId="495FEC46">
        <w:tblPrEx>
          <w:tblCellMar>
            <w:top w:w="0" w:type="dxa"/>
            <w:left w:w="108" w:type="dxa"/>
            <w:bottom w:w="0" w:type="dxa"/>
            <w:right w:w="108" w:type="dxa"/>
          </w:tblCellMar>
        </w:tblPrEx>
        <w:trPr>
          <w:trHeight w:val="288" w:hRule="atLeast"/>
          <w:jc w:val="center"/>
        </w:trPr>
        <w:tc>
          <w:tcPr>
            <w:tcW w:w="756" w:type="dxa"/>
            <w:noWrap/>
            <w:vAlign w:val="center"/>
          </w:tcPr>
          <w:p w14:paraId="7342C506">
            <w:pPr>
              <w:widowControl/>
              <w:ind w:firstLine="0" w:firstLineChars="0"/>
              <w:jc w:val="center"/>
              <w:rPr>
                <w:color w:val="000000"/>
                <w:kern w:val="0"/>
                <w:sz w:val="16"/>
                <w:szCs w:val="16"/>
              </w:rPr>
            </w:pPr>
          </w:p>
        </w:tc>
        <w:tc>
          <w:tcPr>
            <w:tcW w:w="3116" w:type="dxa"/>
            <w:noWrap/>
            <w:vAlign w:val="center"/>
          </w:tcPr>
          <w:p w14:paraId="313DE14F">
            <w:pPr>
              <w:widowControl/>
              <w:ind w:firstLine="0" w:firstLineChars="0"/>
              <w:jc w:val="center"/>
              <w:rPr>
                <w:color w:val="000000"/>
                <w:kern w:val="0"/>
                <w:sz w:val="16"/>
                <w:szCs w:val="16"/>
              </w:rPr>
            </w:pPr>
            <w:r>
              <w:rPr>
                <w:color w:val="000000"/>
                <w:kern w:val="0"/>
                <w:sz w:val="16"/>
                <w:szCs w:val="16"/>
              </w:rPr>
              <w:t>Diesel Fuel</w:t>
            </w:r>
          </w:p>
        </w:tc>
        <w:tc>
          <w:tcPr>
            <w:tcW w:w="1226" w:type="dxa"/>
            <w:noWrap/>
            <w:vAlign w:val="center"/>
          </w:tcPr>
          <w:p w14:paraId="24D96937">
            <w:pPr>
              <w:widowControl/>
              <w:ind w:firstLine="0" w:firstLineChars="0"/>
              <w:jc w:val="center"/>
              <w:rPr>
                <w:color w:val="000000"/>
                <w:kern w:val="0"/>
                <w:sz w:val="16"/>
                <w:szCs w:val="16"/>
              </w:rPr>
            </w:pPr>
            <w:r>
              <w:rPr>
                <w:color w:val="000000"/>
                <w:kern w:val="0"/>
                <w:sz w:val="16"/>
                <w:szCs w:val="16"/>
              </w:rPr>
              <w:t>kg</w:t>
            </w:r>
          </w:p>
        </w:tc>
        <w:tc>
          <w:tcPr>
            <w:tcW w:w="830" w:type="dxa"/>
            <w:noWrap/>
            <w:vAlign w:val="center"/>
          </w:tcPr>
          <w:p w14:paraId="3702844E">
            <w:pPr>
              <w:widowControl/>
              <w:ind w:firstLine="0" w:firstLineChars="0"/>
              <w:jc w:val="center"/>
              <w:rPr>
                <w:color w:val="000000"/>
                <w:kern w:val="0"/>
                <w:sz w:val="16"/>
                <w:szCs w:val="16"/>
              </w:rPr>
            </w:pPr>
            <w:r>
              <w:rPr>
                <w:color w:val="000000"/>
                <w:kern w:val="0"/>
                <w:sz w:val="16"/>
                <w:szCs w:val="16"/>
              </w:rPr>
              <w:t>7.000</w:t>
            </w:r>
          </w:p>
        </w:tc>
        <w:tc>
          <w:tcPr>
            <w:tcW w:w="1076" w:type="dxa"/>
            <w:noWrap/>
            <w:vAlign w:val="center"/>
          </w:tcPr>
          <w:p w14:paraId="55DBD8D2">
            <w:pPr>
              <w:widowControl/>
              <w:ind w:firstLine="0" w:firstLineChars="0"/>
              <w:jc w:val="center"/>
              <w:rPr>
                <w:color w:val="000000"/>
                <w:kern w:val="0"/>
                <w:sz w:val="16"/>
                <w:szCs w:val="16"/>
              </w:rPr>
            </w:pPr>
            <w:r>
              <w:rPr>
                <w:color w:val="000000"/>
                <w:kern w:val="0"/>
                <w:sz w:val="16"/>
                <w:szCs w:val="16"/>
              </w:rPr>
              <w:t>6.69</w:t>
            </w:r>
          </w:p>
        </w:tc>
        <w:tc>
          <w:tcPr>
            <w:tcW w:w="1076" w:type="dxa"/>
            <w:noWrap/>
            <w:vAlign w:val="center"/>
          </w:tcPr>
          <w:p w14:paraId="334DE847">
            <w:pPr>
              <w:widowControl/>
              <w:ind w:firstLine="0" w:firstLineChars="0"/>
              <w:jc w:val="center"/>
              <w:rPr>
                <w:color w:val="000000"/>
                <w:kern w:val="0"/>
                <w:sz w:val="16"/>
                <w:szCs w:val="16"/>
              </w:rPr>
            </w:pPr>
            <w:r>
              <w:rPr>
                <w:color w:val="000000"/>
                <w:kern w:val="0"/>
                <w:sz w:val="16"/>
                <w:szCs w:val="16"/>
              </w:rPr>
              <w:t>46.83</w:t>
            </w:r>
          </w:p>
        </w:tc>
      </w:tr>
      <w:tr w14:paraId="292835A5">
        <w:tblPrEx>
          <w:tblCellMar>
            <w:top w:w="0" w:type="dxa"/>
            <w:left w:w="108" w:type="dxa"/>
            <w:bottom w:w="0" w:type="dxa"/>
            <w:right w:w="108" w:type="dxa"/>
          </w:tblCellMar>
        </w:tblPrEx>
        <w:trPr>
          <w:trHeight w:val="288" w:hRule="atLeast"/>
          <w:jc w:val="center"/>
        </w:trPr>
        <w:tc>
          <w:tcPr>
            <w:tcW w:w="756" w:type="dxa"/>
            <w:noWrap/>
            <w:vAlign w:val="center"/>
          </w:tcPr>
          <w:p w14:paraId="1A279016">
            <w:pPr>
              <w:widowControl/>
              <w:ind w:firstLine="0" w:firstLineChars="0"/>
              <w:jc w:val="center"/>
              <w:rPr>
                <w:color w:val="000000"/>
                <w:kern w:val="0"/>
                <w:sz w:val="16"/>
                <w:szCs w:val="16"/>
              </w:rPr>
            </w:pPr>
          </w:p>
        </w:tc>
        <w:tc>
          <w:tcPr>
            <w:tcW w:w="3116" w:type="dxa"/>
            <w:noWrap/>
            <w:vAlign w:val="center"/>
          </w:tcPr>
          <w:p w14:paraId="2FFA279D">
            <w:pPr>
              <w:widowControl/>
              <w:ind w:firstLine="0" w:firstLineChars="0"/>
              <w:jc w:val="center"/>
              <w:rPr>
                <w:color w:val="000000"/>
                <w:kern w:val="0"/>
                <w:sz w:val="16"/>
                <w:szCs w:val="16"/>
              </w:rPr>
            </w:pPr>
            <w:r>
              <w:rPr>
                <w:color w:val="000000"/>
                <w:kern w:val="0"/>
                <w:sz w:val="16"/>
                <w:szCs w:val="16"/>
              </w:rPr>
              <w:t>Other Material Cost</w:t>
            </w:r>
          </w:p>
        </w:tc>
        <w:tc>
          <w:tcPr>
            <w:tcW w:w="1226" w:type="dxa"/>
            <w:noWrap/>
            <w:vAlign w:val="center"/>
          </w:tcPr>
          <w:p w14:paraId="480E6BCA">
            <w:pPr>
              <w:widowControl/>
              <w:ind w:firstLine="0" w:firstLineChars="0"/>
              <w:jc w:val="center"/>
              <w:rPr>
                <w:color w:val="000000"/>
                <w:kern w:val="0"/>
                <w:sz w:val="16"/>
                <w:szCs w:val="16"/>
              </w:rPr>
            </w:pPr>
            <w:r>
              <w:rPr>
                <w:color w:val="000000"/>
                <w:kern w:val="0"/>
                <w:sz w:val="16"/>
                <w:szCs w:val="16"/>
              </w:rPr>
              <w:t>%</w:t>
            </w:r>
          </w:p>
        </w:tc>
        <w:tc>
          <w:tcPr>
            <w:tcW w:w="830" w:type="dxa"/>
            <w:noWrap/>
            <w:vAlign w:val="center"/>
          </w:tcPr>
          <w:p w14:paraId="65C56402">
            <w:pPr>
              <w:widowControl/>
              <w:ind w:firstLine="0" w:firstLineChars="0"/>
              <w:jc w:val="center"/>
              <w:rPr>
                <w:color w:val="000000"/>
                <w:kern w:val="0"/>
                <w:sz w:val="16"/>
                <w:szCs w:val="16"/>
              </w:rPr>
            </w:pPr>
            <w:r>
              <w:rPr>
                <w:color w:val="000000"/>
                <w:kern w:val="0"/>
                <w:sz w:val="16"/>
                <w:szCs w:val="16"/>
              </w:rPr>
              <w:t>0.010</w:t>
            </w:r>
          </w:p>
        </w:tc>
        <w:tc>
          <w:tcPr>
            <w:tcW w:w="1076" w:type="dxa"/>
            <w:noWrap/>
            <w:vAlign w:val="center"/>
          </w:tcPr>
          <w:p w14:paraId="7B5F259A">
            <w:pPr>
              <w:widowControl/>
              <w:ind w:firstLine="0" w:firstLineChars="0"/>
              <w:jc w:val="center"/>
              <w:rPr>
                <w:color w:val="000000"/>
                <w:kern w:val="0"/>
                <w:sz w:val="16"/>
                <w:szCs w:val="16"/>
              </w:rPr>
            </w:pPr>
            <w:r>
              <w:rPr>
                <w:color w:val="000000"/>
                <w:kern w:val="0"/>
                <w:sz w:val="16"/>
                <w:szCs w:val="16"/>
              </w:rPr>
              <w:t>14298.97</w:t>
            </w:r>
          </w:p>
        </w:tc>
        <w:tc>
          <w:tcPr>
            <w:tcW w:w="1076" w:type="dxa"/>
            <w:noWrap/>
            <w:vAlign w:val="center"/>
          </w:tcPr>
          <w:p w14:paraId="7FD940DE">
            <w:pPr>
              <w:widowControl/>
              <w:ind w:firstLine="0" w:firstLineChars="0"/>
              <w:jc w:val="center"/>
              <w:rPr>
                <w:color w:val="000000"/>
                <w:kern w:val="0"/>
                <w:sz w:val="16"/>
                <w:szCs w:val="16"/>
              </w:rPr>
            </w:pPr>
            <w:r>
              <w:rPr>
                <w:color w:val="000000"/>
                <w:kern w:val="0"/>
                <w:sz w:val="16"/>
                <w:szCs w:val="16"/>
              </w:rPr>
              <w:t>142.99</w:t>
            </w:r>
          </w:p>
        </w:tc>
      </w:tr>
      <w:tr w14:paraId="369C6674">
        <w:tblPrEx>
          <w:tblCellMar>
            <w:top w:w="0" w:type="dxa"/>
            <w:left w:w="108" w:type="dxa"/>
            <w:bottom w:w="0" w:type="dxa"/>
            <w:right w:w="108" w:type="dxa"/>
          </w:tblCellMar>
        </w:tblPrEx>
        <w:trPr>
          <w:trHeight w:val="288" w:hRule="atLeast"/>
          <w:jc w:val="center"/>
        </w:trPr>
        <w:tc>
          <w:tcPr>
            <w:tcW w:w="756" w:type="dxa"/>
            <w:noWrap/>
            <w:vAlign w:val="center"/>
          </w:tcPr>
          <w:p w14:paraId="225BF4EC">
            <w:pPr>
              <w:widowControl/>
              <w:ind w:firstLine="0" w:firstLineChars="0"/>
              <w:jc w:val="center"/>
              <w:rPr>
                <w:color w:val="000000"/>
                <w:kern w:val="0"/>
                <w:sz w:val="16"/>
                <w:szCs w:val="16"/>
              </w:rPr>
            </w:pPr>
            <w:r>
              <w:rPr>
                <w:color w:val="000000"/>
                <w:kern w:val="0"/>
                <w:sz w:val="16"/>
                <w:szCs w:val="16"/>
              </w:rPr>
              <w:t>1.1.3</w:t>
            </w:r>
          </w:p>
        </w:tc>
        <w:tc>
          <w:tcPr>
            <w:tcW w:w="3116" w:type="dxa"/>
            <w:noWrap/>
            <w:vAlign w:val="center"/>
          </w:tcPr>
          <w:p w14:paraId="41E927E8">
            <w:pPr>
              <w:widowControl/>
              <w:ind w:firstLine="0" w:firstLineChars="0"/>
              <w:jc w:val="center"/>
              <w:rPr>
                <w:color w:val="000000"/>
                <w:kern w:val="0"/>
                <w:sz w:val="16"/>
                <w:szCs w:val="16"/>
              </w:rPr>
            </w:pPr>
            <w:r>
              <w:rPr>
                <w:color w:val="000000"/>
                <w:kern w:val="0"/>
                <w:sz w:val="16"/>
                <w:szCs w:val="16"/>
              </w:rPr>
              <w:t>Machinery Operation Cost</w:t>
            </w:r>
          </w:p>
        </w:tc>
        <w:tc>
          <w:tcPr>
            <w:tcW w:w="1226" w:type="dxa"/>
            <w:noWrap/>
            <w:vAlign w:val="center"/>
          </w:tcPr>
          <w:p w14:paraId="62E55D5F">
            <w:pPr>
              <w:widowControl/>
              <w:ind w:firstLine="0" w:firstLineChars="0"/>
              <w:jc w:val="center"/>
              <w:rPr>
                <w:color w:val="000000"/>
                <w:kern w:val="0"/>
                <w:sz w:val="16"/>
                <w:szCs w:val="16"/>
              </w:rPr>
            </w:pPr>
          </w:p>
        </w:tc>
        <w:tc>
          <w:tcPr>
            <w:tcW w:w="830" w:type="dxa"/>
            <w:noWrap/>
            <w:vAlign w:val="center"/>
          </w:tcPr>
          <w:p w14:paraId="2B9913E1">
            <w:pPr>
              <w:widowControl/>
              <w:ind w:firstLine="0" w:firstLineChars="0"/>
              <w:jc w:val="center"/>
              <w:rPr>
                <w:color w:val="000000"/>
                <w:kern w:val="0"/>
                <w:sz w:val="16"/>
                <w:szCs w:val="16"/>
              </w:rPr>
            </w:pPr>
          </w:p>
        </w:tc>
        <w:tc>
          <w:tcPr>
            <w:tcW w:w="1076" w:type="dxa"/>
            <w:noWrap/>
            <w:vAlign w:val="center"/>
          </w:tcPr>
          <w:p w14:paraId="7E53748E">
            <w:pPr>
              <w:widowControl/>
              <w:ind w:firstLine="0" w:firstLineChars="0"/>
              <w:jc w:val="center"/>
              <w:rPr>
                <w:color w:val="000000"/>
                <w:kern w:val="0"/>
                <w:sz w:val="16"/>
                <w:szCs w:val="16"/>
              </w:rPr>
            </w:pPr>
          </w:p>
        </w:tc>
        <w:tc>
          <w:tcPr>
            <w:tcW w:w="1076" w:type="dxa"/>
            <w:noWrap/>
            <w:vAlign w:val="center"/>
          </w:tcPr>
          <w:p w14:paraId="0EAF4859">
            <w:pPr>
              <w:widowControl/>
              <w:ind w:firstLine="0" w:firstLineChars="0"/>
              <w:jc w:val="center"/>
              <w:rPr>
                <w:color w:val="000000"/>
                <w:kern w:val="0"/>
                <w:sz w:val="16"/>
                <w:szCs w:val="16"/>
              </w:rPr>
            </w:pPr>
            <w:r>
              <w:rPr>
                <w:color w:val="000000"/>
                <w:kern w:val="0"/>
                <w:sz w:val="16"/>
                <w:szCs w:val="16"/>
              </w:rPr>
              <w:t>516.22</w:t>
            </w:r>
          </w:p>
        </w:tc>
      </w:tr>
      <w:tr w14:paraId="56B78A0C">
        <w:tblPrEx>
          <w:tblCellMar>
            <w:top w:w="0" w:type="dxa"/>
            <w:left w:w="108" w:type="dxa"/>
            <w:bottom w:w="0" w:type="dxa"/>
            <w:right w:w="108" w:type="dxa"/>
          </w:tblCellMar>
        </w:tblPrEx>
        <w:trPr>
          <w:trHeight w:val="288" w:hRule="atLeast"/>
          <w:jc w:val="center"/>
        </w:trPr>
        <w:tc>
          <w:tcPr>
            <w:tcW w:w="756" w:type="dxa"/>
            <w:noWrap/>
            <w:vAlign w:val="center"/>
          </w:tcPr>
          <w:p w14:paraId="65E7CA27">
            <w:pPr>
              <w:widowControl/>
              <w:ind w:firstLine="0" w:firstLineChars="0"/>
              <w:jc w:val="center"/>
              <w:rPr>
                <w:color w:val="000000"/>
                <w:kern w:val="0"/>
                <w:sz w:val="16"/>
                <w:szCs w:val="16"/>
              </w:rPr>
            </w:pPr>
          </w:p>
        </w:tc>
        <w:tc>
          <w:tcPr>
            <w:tcW w:w="3116" w:type="dxa"/>
            <w:noWrap/>
            <w:vAlign w:val="center"/>
          </w:tcPr>
          <w:p w14:paraId="39670517">
            <w:pPr>
              <w:widowControl/>
              <w:ind w:firstLine="0" w:firstLineChars="0"/>
              <w:jc w:val="center"/>
              <w:rPr>
                <w:color w:val="000000"/>
                <w:kern w:val="0"/>
                <w:sz w:val="16"/>
                <w:szCs w:val="16"/>
              </w:rPr>
            </w:pPr>
            <w:r>
              <w:rPr>
                <w:color w:val="000000"/>
                <w:kern w:val="0"/>
                <w:sz w:val="16"/>
                <w:szCs w:val="16"/>
              </w:rPr>
              <w:t>Steel Wheel Roller 8t (Internal Comb.)</w:t>
            </w:r>
          </w:p>
        </w:tc>
        <w:tc>
          <w:tcPr>
            <w:tcW w:w="1226" w:type="dxa"/>
            <w:noWrap/>
            <w:vAlign w:val="center"/>
          </w:tcPr>
          <w:p w14:paraId="73F80210">
            <w:pPr>
              <w:widowControl/>
              <w:ind w:firstLine="0" w:firstLineChars="0"/>
              <w:jc w:val="center"/>
              <w:rPr>
                <w:color w:val="000000"/>
                <w:kern w:val="0"/>
                <w:sz w:val="16"/>
                <w:szCs w:val="16"/>
              </w:rPr>
            </w:pPr>
            <w:r>
              <w:rPr>
                <w:color w:val="000000"/>
                <w:kern w:val="0"/>
                <w:sz w:val="16"/>
                <w:szCs w:val="16"/>
              </w:rPr>
              <w:t>Machine-shift</w:t>
            </w:r>
          </w:p>
        </w:tc>
        <w:tc>
          <w:tcPr>
            <w:tcW w:w="830" w:type="dxa"/>
            <w:noWrap/>
            <w:vAlign w:val="center"/>
          </w:tcPr>
          <w:p w14:paraId="70C1FA8F">
            <w:pPr>
              <w:widowControl/>
              <w:ind w:firstLine="0" w:firstLineChars="0"/>
              <w:jc w:val="center"/>
              <w:rPr>
                <w:color w:val="000000"/>
                <w:kern w:val="0"/>
                <w:sz w:val="16"/>
                <w:szCs w:val="16"/>
              </w:rPr>
            </w:pPr>
            <w:r>
              <w:rPr>
                <w:color w:val="000000"/>
                <w:kern w:val="0"/>
                <w:sz w:val="16"/>
                <w:szCs w:val="16"/>
              </w:rPr>
              <w:t>0.044</w:t>
            </w:r>
          </w:p>
        </w:tc>
        <w:tc>
          <w:tcPr>
            <w:tcW w:w="1076" w:type="dxa"/>
            <w:noWrap/>
            <w:vAlign w:val="center"/>
          </w:tcPr>
          <w:p w14:paraId="0A535DC2">
            <w:pPr>
              <w:widowControl/>
              <w:ind w:firstLine="0" w:firstLineChars="0"/>
              <w:jc w:val="center"/>
              <w:rPr>
                <w:color w:val="000000"/>
                <w:kern w:val="0"/>
                <w:sz w:val="16"/>
                <w:szCs w:val="16"/>
              </w:rPr>
            </w:pPr>
            <w:r>
              <w:rPr>
                <w:color w:val="000000"/>
                <w:kern w:val="0"/>
                <w:sz w:val="16"/>
                <w:szCs w:val="16"/>
              </w:rPr>
              <w:t>612.07</w:t>
            </w:r>
          </w:p>
        </w:tc>
        <w:tc>
          <w:tcPr>
            <w:tcW w:w="1076" w:type="dxa"/>
            <w:noWrap/>
            <w:vAlign w:val="center"/>
          </w:tcPr>
          <w:p w14:paraId="77AD9D13">
            <w:pPr>
              <w:widowControl/>
              <w:ind w:firstLine="0" w:firstLineChars="0"/>
              <w:jc w:val="center"/>
              <w:rPr>
                <w:color w:val="000000"/>
                <w:kern w:val="0"/>
                <w:sz w:val="16"/>
                <w:szCs w:val="16"/>
              </w:rPr>
            </w:pPr>
            <w:r>
              <w:rPr>
                <w:color w:val="000000"/>
                <w:kern w:val="0"/>
                <w:sz w:val="16"/>
                <w:szCs w:val="16"/>
              </w:rPr>
              <w:t>26.93</w:t>
            </w:r>
          </w:p>
        </w:tc>
      </w:tr>
      <w:tr w14:paraId="1021EECE">
        <w:tblPrEx>
          <w:tblCellMar>
            <w:top w:w="0" w:type="dxa"/>
            <w:left w:w="108" w:type="dxa"/>
            <w:bottom w:w="0" w:type="dxa"/>
            <w:right w:w="108" w:type="dxa"/>
          </w:tblCellMar>
        </w:tblPrEx>
        <w:trPr>
          <w:trHeight w:val="288" w:hRule="atLeast"/>
          <w:jc w:val="center"/>
        </w:trPr>
        <w:tc>
          <w:tcPr>
            <w:tcW w:w="756" w:type="dxa"/>
            <w:noWrap/>
            <w:vAlign w:val="center"/>
          </w:tcPr>
          <w:p w14:paraId="0F1F882E">
            <w:pPr>
              <w:widowControl/>
              <w:ind w:firstLine="0" w:firstLineChars="0"/>
              <w:jc w:val="center"/>
              <w:rPr>
                <w:color w:val="000000"/>
                <w:kern w:val="0"/>
                <w:sz w:val="16"/>
                <w:szCs w:val="16"/>
              </w:rPr>
            </w:pPr>
          </w:p>
        </w:tc>
        <w:tc>
          <w:tcPr>
            <w:tcW w:w="3116" w:type="dxa"/>
            <w:noWrap/>
            <w:vAlign w:val="center"/>
          </w:tcPr>
          <w:p w14:paraId="46F45EF5">
            <w:pPr>
              <w:widowControl/>
              <w:ind w:firstLine="0" w:firstLineChars="0"/>
              <w:jc w:val="center"/>
              <w:rPr>
                <w:color w:val="000000"/>
                <w:kern w:val="0"/>
                <w:sz w:val="16"/>
                <w:szCs w:val="16"/>
              </w:rPr>
            </w:pPr>
            <w:r>
              <w:rPr>
                <w:color w:val="000000"/>
                <w:kern w:val="0"/>
                <w:sz w:val="16"/>
                <w:szCs w:val="16"/>
              </w:rPr>
              <w:t>Steel Wheel Roller 15t (Internal Comb.)</w:t>
            </w:r>
          </w:p>
        </w:tc>
        <w:tc>
          <w:tcPr>
            <w:tcW w:w="1226" w:type="dxa"/>
            <w:noWrap/>
            <w:vAlign w:val="center"/>
          </w:tcPr>
          <w:p w14:paraId="26B3DD66">
            <w:pPr>
              <w:widowControl/>
              <w:ind w:firstLine="0" w:firstLineChars="0"/>
              <w:jc w:val="center"/>
              <w:rPr>
                <w:color w:val="000000"/>
                <w:kern w:val="0"/>
                <w:sz w:val="16"/>
                <w:szCs w:val="16"/>
              </w:rPr>
            </w:pPr>
            <w:r>
              <w:rPr>
                <w:color w:val="000000"/>
                <w:kern w:val="0"/>
                <w:sz w:val="16"/>
                <w:szCs w:val="16"/>
              </w:rPr>
              <w:t>Machine-shift</w:t>
            </w:r>
          </w:p>
        </w:tc>
        <w:tc>
          <w:tcPr>
            <w:tcW w:w="830" w:type="dxa"/>
            <w:noWrap/>
            <w:vAlign w:val="center"/>
          </w:tcPr>
          <w:p w14:paraId="4A225798">
            <w:pPr>
              <w:widowControl/>
              <w:ind w:firstLine="0" w:firstLineChars="0"/>
              <w:jc w:val="center"/>
              <w:rPr>
                <w:color w:val="000000"/>
                <w:kern w:val="0"/>
                <w:sz w:val="16"/>
                <w:szCs w:val="16"/>
              </w:rPr>
            </w:pPr>
            <w:r>
              <w:rPr>
                <w:color w:val="000000"/>
                <w:kern w:val="0"/>
                <w:sz w:val="16"/>
                <w:szCs w:val="16"/>
              </w:rPr>
              <w:t>0.250</w:t>
            </w:r>
          </w:p>
        </w:tc>
        <w:tc>
          <w:tcPr>
            <w:tcW w:w="1076" w:type="dxa"/>
            <w:noWrap/>
            <w:vAlign w:val="center"/>
          </w:tcPr>
          <w:p w14:paraId="17F0DAC6">
            <w:pPr>
              <w:widowControl/>
              <w:ind w:firstLine="0" w:firstLineChars="0"/>
              <w:jc w:val="center"/>
              <w:rPr>
                <w:color w:val="000000"/>
                <w:kern w:val="0"/>
                <w:sz w:val="16"/>
                <w:szCs w:val="16"/>
              </w:rPr>
            </w:pPr>
            <w:r>
              <w:rPr>
                <w:color w:val="000000"/>
                <w:kern w:val="0"/>
                <w:sz w:val="16"/>
                <w:szCs w:val="16"/>
              </w:rPr>
              <w:t>1034.98</w:t>
            </w:r>
          </w:p>
        </w:tc>
        <w:tc>
          <w:tcPr>
            <w:tcW w:w="1076" w:type="dxa"/>
            <w:noWrap/>
            <w:vAlign w:val="center"/>
          </w:tcPr>
          <w:p w14:paraId="1B8E9096">
            <w:pPr>
              <w:widowControl/>
              <w:ind w:firstLine="0" w:firstLineChars="0"/>
              <w:jc w:val="center"/>
              <w:rPr>
                <w:color w:val="000000"/>
                <w:kern w:val="0"/>
                <w:sz w:val="16"/>
                <w:szCs w:val="16"/>
              </w:rPr>
            </w:pPr>
            <w:r>
              <w:rPr>
                <w:color w:val="000000"/>
                <w:kern w:val="0"/>
                <w:sz w:val="16"/>
                <w:szCs w:val="16"/>
              </w:rPr>
              <w:t>258.75</w:t>
            </w:r>
          </w:p>
        </w:tc>
      </w:tr>
      <w:tr w14:paraId="7AA158AE">
        <w:tblPrEx>
          <w:tblCellMar>
            <w:top w:w="0" w:type="dxa"/>
            <w:left w:w="108" w:type="dxa"/>
            <w:bottom w:w="0" w:type="dxa"/>
            <w:right w:w="108" w:type="dxa"/>
          </w:tblCellMar>
        </w:tblPrEx>
        <w:trPr>
          <w:trHeight w:val="288" w:hRule="atLeast"/>
          <w:jc w:val="center"/>
        </w:trPr>
        <w:tc>
          <w:tcPr>
            <w:tcW w:w="756" w:type="dxa"/>
            <w:tcBorders>
              <w:bottom w:val="single" w:color="auto" w:sz="4" w:space="0"/>
            </w:tcBorders>
            <w:noWrap/>
            <w:vAlign w:val="center"/>
          </w:tcPr>
          <w:p w14:paraId="3F969AF8">
            <w:pPr>
              <w:widowControl/>
              <w:ind w:firstLine="0" w:firstLineChars="0"/>
              <w:jc w:val="center"/>
              <w:rPr>
                <w:color w:val="000000"/>
                <w:kern w:val="0"/>
                <w:sz w:val="16"/>
                <w:szCs w:val="16"/>
              </w:rPr>
            </w:pPr>
          </w:p>
        </w:tc>
        <w:tc>
          <w:tcPr>
            <w:tcW w:w="3116" w:type="dxa"/>
            <w:tcBorders>
              <w:bottom w:val="single" w:color="auto" w:sz="4" w:space="0"/>
            </w:tcBorders>
            <w:noWrap/>
            <w:vAlign w:val="center"/>
          </w:tcPr>
          <w:p w14:paraId="4EBF313F">
            <w:pPr>
              <w:widowControl/>
              <w:ind w:firstLine="0" w:firstLineChars="0"/>
              <w:jc w:val="center"/>
              <w:rPr>
                <w:color w:val="000000"/>
                <w:kern w:val="0"/>
                <w:sz w:val="16"/>
                <w:szCs w:val="16"/>
              </w:rPr>
            </w:pPr>
            <w:r>
              <w:rPr>
                <w:color w:val="000000"/>
                <w:kern w:val="0"/>
                <w:sz w:val="16"/>
                <w:szCs w:val="16"/>
              </w:rPr>
              <w:t>Asphalt Paver 8t</w:t>
            </w:r>
          </w:p>
        </w:tc>
        <w:tc>
          <w:tcPr>
            <w:tcW w:w="1226" w:type="dxa"/>
            <w:tcBorders>
              <w:bottom w:val="single" w:color="auto" w:sz="4" w:space="0"/>
            </w:tcBorders>
            <w:noWrap/>
            <w:vAlign w:val="center"/>
          </w:tcPr>
          <w:p w14:paraId="4ED0BDCF">
            <w:pPr>
              <w:widowControl/>
              <w:ind w:firstLine="0" w:firstLineChars="0"/>
              <w:jc w:val="center"/>
              <w:rPr>
                <w:color w:val="000000"/>
                <w:kern w:val="0"/>
                <w:sz w:val="16"/>
                <w:szCs w:val="16"/>
              </w:rPr>
            </w:pPr>
            <w:r>
              <w:rPr>
                <w:color w:val="000000"/>
                <w:kern w:val="0"/>
                <w:sz w:val="16"/>
                <w:szCs w:val="16"/>
              </w:rPr>
              <w:t>Machine-shift</w:t>
            </w:r>
          </w:p>
        </w:tc>
        <w:tc>
          <w:tcPr>
            <w:tcW w:w="830" w:type="dxa"/>
            <w:tcBorders>
              <w:bottom w:val="single" w:color="auto" w:sz="4" w:space="0"/>
            </w:tcBorders>
            <w:noWrap/>
            <w:vAlign w:val="center"/>
          </w:tcPr>
          <w:p w14:paraId="3C234F43">
            <w:pPr>
              <w:widowControl/>
              <w:ind w:firstLine="0" w:firstLineChars="0"/>
              <w:jc w:val="center"/>
              <w:rPr>
                <w:color w:val="000000"/>
                <w:kern w:val="0"/>
                <w:sz w:val="16"/>
                <w:szCs w:val="16"/>
              </w:rPr>
            </w:pPr>
            <w:r>
              <w:rPr>
                <w:color w:val="000000"/>
                <w:kern w:val="0"/>
                <w:sz w:val="16"/>
                <w:szCs w:val="16"/>
              </w:rPr>
              <w:t>0.082</w:t>
            </w:r>
          </w:p>
        </w:tc>
        <w:tc>
          <w:tcPr>
            <w:tcW w:w="1076" w:type="dxa"/>
            <w:tcBorders>
              <w:bottom w:val="single" w:color="auto" w:sz="4" w:space="0"/>
            </w:tcBorders>
            <w:noWrap/>
            <w:vAlign w:val="center"/>
          </w:tcPr>
          <w:p w14:paraId="2692AE5A">
            <w:pPr>
              <w:widowControl/>
              <w:ind w:firstLine="0" w:firstLineChars="0"/>
              <w:jc w:val="center"/>
              <w:rPr>
                <w:color w:val="000000"/>
                <w:kern w:val="0"/>
                <w:sz w:val="16"/>
                <w:szCs w:val="16"/>
              </w:rPr>
            </w:pPr>
            <w:r>
              <w:rPr>
                <w:color w:val="000000"/>
                <w:kern w:val="0"/>
                <w:sz w:val="16"/>
                <w:szCs w:val="16"/>
              </w:rPr>
              <w:t>2811.50</w:t>
            </w:r>
          </w:p>
        </w:tc>
        <w:tc>
          <w:tcPr>
            <w:tcW w:w="1076" w:type="dxa"/>
            <w:tcBorders>
              <w:bottom w:val="single" w:color="auto" w:sz="4" w:space="0"/>
            </w:tcBorders>
            <w:noWrap/>
            <w:vAlign w:val="center"/>
          </w:tcPr>
          <w:p w14:paraId="6E324A93">
            <w:pPr>
              <w:widowControl/>
              <w:ind w:firstLine="0" w:firstLineChars="0"/>
              <w:jc w:val="center"/>
              <w:rPr>
                <w:color w:val="000000"/>
                <w:kern w:val="0"/>
                <w:sz w:val="16"/>
                <w:szCs w:val="16"/>
              </w:rPr>
            </w:pPr>
            <w:r>
              <w:rPr>
                <w:color w:val="000000"/>
                <w:kern w:val="0"/>
                <w:sz w:val="16"/>
                <w:szCs w:val="16"/>
              </w:rPr>
              <w:t>230.54</w:t>
            </w:r>
          </w:p>
        </w:tc>
      </w:tr>
      <w:tr w14:paraId="7D698A57">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26336DB5">
            <w:pPr>
              <w:widowControl/>
              <w:ind w:firstLine="0" w:firstLineChars="0"/>
              <w:jc w:val="center"/>
              <w:rPr>
                <w:color w:val="000000"/>
                <w:kern w:val="0"/>
                <w:sz w:val="16"/>
                <w:szCs w:val="16"/>
              </w:rPr>
            </w:pPr>
            <w:r>
              <w:rPr>
                <w:color w:val="000000"/>
                <w:kern w:val="0"/>
                <w:sz w:val="16"/>
                <w:szCs w:val="16"/>
              </w:rPr>
              <w:t>1.2</w:t>
            </w:r>
          </w:p>
        </w:tc>
        <w:tc>
          <w:tcPr>
            <w:tcW w:w="3116" w:type="dxa"/>
            <w:tcBorders>
              <w:top w:val="single" w:color="auto" w:sz="4" w:space="0"/>
              <w:bottom w:val="single" w:color="auto" w:sz="4" w:space="0"/>
            </w:tcBorders>
            <w:noWrap/>
            <w:vAlign w:val="center"/>
          </w:tcPr>
          <w:p w14:paraId="4794AD1F">
            <w:pPr>
              <w:widowControl/>
              <w:ind w:firstLine="0" w:firstLineChars="0"/>
              <w:jc w:val="center"/>
              <w:rPr>
                <w:color w:val="000000"/>
                <w:kern w:val="0"/>
                <w:sz w:val="16"/>
                <w:szCs w:val="16"/>
              </w:rPr>
            </w:pPr>
            <w:r>
              <w:rPr>
                <w:color w:val="000000"/>
                <w:kern w:val="0"/>
                <w:sz w:val="16"/>
                <w:szCs w:val="16"/>
              </w:rPr>
              <w:t>Other Direct Costs (Measure Costs)</w:t>
            </w:r>
          </w:p>
        </w:tc>
        <w:tc>
          <w:tcPr>
            <w:tcW w:w="1226" w:type="dxa"/>
            <w:tcBorders>
              <w:top w:val="single" w:color="auto" w:sz="4" w:space="0"/>
              <w:bottom w:val="single" w:color="auto" w:sz="4" w:space="0"/>
            </w:tcBorders>
            <w:noWrap/>
            <w:vAlign w:val="center"/>
          </w:tcPr>
          <w:p w14:paraId="0D10B38F">
            <w:pPr>
              <w:widowControl/>
              <w:ind w:firstLine="0" w:firstLineChars="0"/>
              <w:jc w:val="center"/>
              <w:rPr>
                <w:color w:val="000000"/>
                <w:kern w:val="0"/>
                <w:sz w:val="16"/>
                <w:szCs w:val="16"/>
              </w:rPr>
            </w:pPr>
            <w:r>
              <w:rPr>
                <w:color w:val="000000"/>
                <w:kern w:val="0"/>
                <w:sz w:val="16"/>
                <w:szCs w:val="16"/>
              </w:rPr>
              <w:t>CNY</w:t>
            </w:r>
          </w:p>
        </w:tc>
        <w:tc>
          <w:tcPr>
            <w:tcW w:w="830" w:type="dxa"/>
            <w:tcBorders>
              <w:top w:val="single" w:color="auto" w:sz="4" w:space="0"/>
              <w:bottom w:val="single" w:color="auto" w:sz="4" w:space="0"/>
            </w:tcBorders>
            <w:noWrap/>
            <w:vAlign w:val="center"/>
          </w:tcPr>
          <w:p w14:paraId="59133763">
            <w:pPr>
              <w:widowControl/>
              <w:ind w:firstLine="0" w:firstLineChars="0"/>
              <w:jc w:val="center"/>
              <w:rPr>
                <w:color w:val="000000"/>
                <w:kern w:val="0"/>
                <w:sz w:val="16"/>
                <w:szCs w:val="16"/>
              </w:rPr>
            </w:pPr>
            <w:r>
              <w:rPr>
                <w:color w:val="000000"/>
                <w:kern w:val="0"/>
                <w:sz w:val="16"/>
                <w:szCs w:val="16"/>
              </w:rPr>
              <w:t>29.20%</w:t>
            </w:r>
          </w:p>
        </w:tc>
        <w:tc>
          <w:tcPr>
            <w:tcW w:w="1076" w:type="dxa"/>
            <w:tcBorders>
              <w:top w:val="single" w:color="auto" w:sz="4" w:space="0"/>
              <w:bottom w:val="single" w:color="auto" w:sz="4" w:space="0"/>
            </w:tcBorders>
            <w:noWrap/>
            <w:vAlign w:val="center"/>
          </w:tcPr>
          <w:p w14:paraId="75BA3214">
            <w:pPr>
              <w:widowControl/>
              <w:ind w:firstLine="0" w:firstLineChars="0"/>
              <w:jc w:val="center"/>
              <w:rPr>
                <w:color w:val="000000"/>
                <w:kern w:val="0"/>
                <w:sz w:val="16"/>
                <w:szCs w:val="16"/>
              </w:rPr>
            </w:pPr>
            <w:r>
              <w:rPr>
                <w:color w:val="000000"/>
                <w:kern w:val="0"/>
                <w:sz w:val="16"/>
                <w:szCs w:val="16"/>
              </w:rPr>
              <w:t>958.82</w:t>
            </w:r>
          </w:p>
        </w:tc>
        <w:tc>
          <w:tcPr>
            <w:tcW w:w="1076" w:type="dxa"/>
            <w:tcBorders>
              <w:top w:val="single" w:color="auto" w:sz="4" w:space="0"/>
              <w:bottom w:val="single" w:color="auto" w:sz="4" w:space="0"/>
            </w:tcBorders>
            <w:noWrap/>
            <w:vAlign w:val="center"/>
          </w:tcPr>
          <w:p w14:paraId="402A2D1F">
            <w:pPr>
              <w:widowControl/>
              <w:ind w:firstLine="0" w:firstLineChars="0"/>
              <w:jc w:val="center"/>
              <w:rPr>
                <w:color w:val="000000"/>
                <w:kern w:val="0"/>
                <w:sz w:val="16"/>
                <w:szCs w:val="16"/>
              </w:rPr>
            </w:pPr>
            <w:r>
              <w:rPr>
                <w:color w:val="000000"/>
                <w:kern w:val="0"/>
                <w:sz w:val="16"/>
                <w:szCs w:val="16"/>
              </w:rPr>
              <w:t>279.98</w:t>
            </w:r>
          </w:p>
        </w:tc>
      </w:tr>
      <w:tr w14:paraId="7F84BB0F">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4880B80B">
            <w:pPr>
              <w:widowControl/>
              <w:ind w:firstLine="0" w:firstLineChars="0"/>
              <w:jc w:val="center"/>
              <w:rPr>
                <w:color w:val="000000"/>
                <w:kern w:val="0"/>
                <w:sz w:val="16"/>
                <w:szCs w:val="16"/>
              </w:rPr>
            </w:pPr>
            <w:r>
              <w:rPr>
                <w:color w:val="000000"/>
                <w:kern w:val="0"/>
                <w:sz w:val="16"/>
                <w:szCs w:val="16"/>
              </w:rPr>
              <w:t>2</w:t>
            </w:r>
          </w:p>
        </w:tc>
        <w:tc>
          <w:tcPr>
            <w:tcW w:w="3116" w:type="dxa"/>
            <w:tcBorders>
              <w:top w:val="single" w:color="auto" w:sz="4" w:space="0"/>
              <w:bottom w:val="single" w:color="auto" w:sz="4" w:space="0"/>
            </w:tcBorders>
            <w:noWrap/>
            <w:vAlign w:val="center"/>
          </w:tcPr>
          <w:p w14:paraId="6A0FDBDE">
            <w:pPr>
              <w:widowControl/>
              <w:ind w:firstLine="0" w:firstLineChars="0"/>
              <w:jc w:val="center"/>
              <w:rPr>
                <w:color w:val="000000"/>
                <w:kern w:val="0"/>
                <w:sz w:val="16"/>
                <w:szCs w:val="16"/>
              </w:rPr>
            </w:pPr>
            <w:r>
              <w:rPr>
                <w:color w:val="000000"/>
                <w:kern w:val="0"/>
                <w:sz w:val="16"/>
                <w:szCs w:val="16"/>
              </w:rPr>
              <w:t>Indirect Costs</w:t>
            </w:r>
          </w:p>
        </w:tc>
        <w:tc>
          <w:tcPr>
            <w:tcW w:w="1226" w:type="dxa"/>
            <w:tcBorders>
              <w:top w:val="single" w:color="auto" w:sz="4" w:space="0"/>
              <w:bottom w:val="single" w:color="auto" w:sz="4" w:space="0"/>
            </w:tcBorders>
            <w:noWrap/>
            <w:vAlign w:val="center"/>
          </w:tcPr>
          <w:p w14:paraId="245899D8">
            <w:pPr>
              <w:widowControl/>
              <w:ind w:firstLine="0" w:firstLineChars="0"/>
              <w:jc w:val="center"/>
              <w:rPr>
                <w:color w:val="000000"/>
                <w:kern w:val="0"/>
                <w:sz w:val="16"/>
                <w:szCs w:val="16"/>
              </w:rPr>
            </w:pPr>
            <w:r>
              <w:rPr>
                <w:color w:val="000000"/>
                <w:kern w:val="0"/>
                <w:sz w:val="16"/>
                <w:szCs w:val="16"/>
              </w:rPr>
              <w:t>CNY</w:t>
            </w:r>
          </w:p>
        </w:tc>
        <w:tc>
          <w:tcPr>
            <w:tcW w:w="830" w:type="dxa"/>
            <w:tcBorders>
              <w:top w:val="single" w:color="auto" w:sz="4" w:space="0"/>
              <w:bottom w:val="single" w:color="auto" w:sz="4" w:space="0"/>
            </w:tcBorders>
            <w:noWrap/>
            <w:vAlign w:val="center"/>
          </w:tcPr>
          <w:p w14:paraId="680C8807">
            <w:pPr>
              <w:widowControl/>
              <w:ind w:firstLine="0" w:firstLineChars="0"/>
              <w:jc w:val="center"/>
              <w:rPr>
                <w:color w:val="000000"/>
                <w:kern w:val="0"/>
                <w:sz w:val="16"/>
                <w:szCs w:val="16"/>
              </w:rPr>
            </w:pPr>
          </w:p>
        </w:tc>
        <w:tc>
          <w:tcPr>
            <w:tcW w:w="1076" w:type="dxa"/>
            <w:tcBorders>
              <w:top w:val="single" w:color="auto" w:sz="4" w:space="0"/>
              <w:bottom w:val="single" w:color="auto" w:sz="4" w:space="0"/>
            </w:tcBorders>
            <w:noWrap/>
            <w:vAlign w:val="center"/>
          </w:tcPr>
          <w:p w14:paraId="02E3697B">
            <w:pPr>
              <w:widowControl/>
              <w:ind w:firstLine="0" w:firstLineChars="0"/>
              <w:jc w:val="center"/>
              <w:rPr>
                <w:color w:val="000000"/>
                <w:kern w:val="0"/>
                <w:sz w:val="16"/>
                <w:szCs w:val="16"/>
              </w:rPr>
            </w:pPr>
          </w:p>
        </w:tc>
        <w:tc>
          <w:tcPr>
            <w:tcW w:w="1076" w:type="dxa"/>
            <w:tcBorders>
              <w:top w:val="single" w:color="auto" w:sz="4" w:space="0"/>
              <w:bottom w:val="single" w:color="auto" w:sz="4" w:space="0"/>
            </w:tcBorders>
            <w:noWrap/>
            <w:vAlign w:val="center"/>
          </w:tcPr>
          <w:p w14:paraId="4C553611">
            <w:pPr>
              <w:widowControl/>
              <w:ind w:firstLine="0" w:firstLineChars="0"/>
              <w:jc w:val="center"/>
              <w:rPr>
                <w:color w:val="000000"/>
                <w:kern w:val="0"/>
                <w:sz w:val="16"/>
                <w:szCs w:val="16"/>
              </w:rPr>
            </w:pPr>
            <w:r>
              <w:rPr>
                <w:color w:val="000000"/>
                <w:kern w:val="0"/>
                <w:sz w:val="16"/>
                <w:szCs w:val="16"/>
              </w:rPr>
              <w:t>594.47</w:t>
            </w:r>
          </w:p>
        </w:tc>
      </w:tr>
      <w:tr w14:paraId="734380A0">
        <w:tblPrEx>
          <w:tblCellMar>
            <w:top w:w="0" w:type="dxa"/>
            <w:left w:w="108" w:type="dxa"/>
            <w:bottom w:w="0" w:type="dxa"/>
            <w:right w:w="108" w:type="dxa"/>
          </w:tblCellMar>
        </w:tblPrEx>
        <w:trPr>
          <w:trHeight w:val="288" w:hRule="atLeast"/>
          <w:jc w:val="center"/>
        </w:trPr>
        <w:tc>
          <w:tcPr>
            <w:tcW w:w="756" w:type="dxa"/>
            <w:tcBorders>
              <w:top w:val="single" w:color="auto" w:sz="4" w:space="0"/>
            </w:tcBorders>
            <w:noWrap/>
            <w:vAlign w:val="center"/>
          </w:tcPr>
          <w:p w14:paraId="640C10B6">
            <w:pPr>
              <w:widowControl/>
              <w:ind w:firstLine="0" w:firstLineChars="0"/>
              <w:jc w:val="center"/>
              <w:rPr>
                <w:color w:val="000000"/>
                <w:kern w:val="0"/>
                <w:sz w:val="16"/>
                <w:szCs w:val="16"/>
              </w:rPr>
            </w:pPr>
            <w:r>
              <w:rPr>
                <w:color w:val="000000"/>
                <w:kern w:val="0"/>
                <w:sz w:val="16"/>
                <w:szCs w:val="16"/>
              </w:rPr>
              <w:t>2.1</w:t>
            </w:r>
          </w:p>
        </w:tc>
        <w:tc>
          <w:tcPr>
            <w:tcW w:w="3116" w:type="dxa"/>
            <w:tcBorders>
              <w:top w:val="single" w:color="auto" w:sz="4" w:space="0"/>
            </w:tcBorders>
            <w:noWrap/>
            <w:vAlign w:val="center"/>
          </w:tcPr>
          <w:p w14:paraId="7F8FF719">
            <w:pPr>
              <w:widowControl/>
              <w:ind w:firstLine="0" w:firstLineChars="0"/>
              <w:jc w:val="center"/>
              <w:rPr>
                <w:color w:val="000000"/>
                <w:kern w:val="0"/>
                <w:sz w:val="16"/>
                <w:szCs w:val="16"/>
              </w:rPr>
            </w:pPr>
            <w:r>
              <w:rPr>
                <w:color w:val="000000"/>
                <w:kern w:val="0"/>
                <w:sz w:val="16"/>
                <w:szCs w:val="16"/>
              </w:rPr>
              <w:t>Statutory Fees</w:t>
            </w:r>
          </w:p>
        </w:tc>
        <w:tc>
          <w:tcPr>
            <w:tcW w:w="1226" w:type="dxa"/>
            <w:tcBorders>
              <w:top w:val="single" w:color="auto" w:sz="4" w:space="0"/>
            </w:tcBorders>
            <w:noWrap/>
            <w:vAlign w:val="center"/>
          </w:tcPr>
          <w:p w14:paraId="17CB612B">
            <w:pPr>
              <w:widowControl/>
              <w:ind w:firstLine="0" w:firstLineChars="0"/>
              <w:jc w:val="center"/>
              <w:rPr>
                <w:color w:val="000000"/>
                <w:kern w:val="0"/>
                <w:sz w:val="16"/>
                <w:szCs w:val="16"/>
              </w:rPr>
            </w:pPr>
          </w:p>
        </w:tc>
        <w:tc>
          <w:tcPr>
            <w:tcW w:w="830" w:type="dxa"/>
            <w:tcBorders>
              <w:top w:val="single" w:color="auto" w:sz="4" w:space="0"/>
            </w:tcBorders>
            <w:noWrap/>
            <w:vAlign w:val="center"/>
          </w:tcPr>
          <w:p w14:paraId="5C31580C">
            <w:pPr>
              <w:widowControl/>
              <w:ind w:firstLine="0" w:firstLineChars="0"/>
              <w:jc w:val="center"/>
              <w:rPr>
                <w:color w:val="000000"/>
                <w:kern w:val="0"/>
                <w:sz w:val="16"/>
                <w:szCs w:val="16"/>
              </w:rPr>
            </w:pPr>
          </w:p>
        </w:tc>
        <w:tc>
          <w:tcPr>
            <w:tcW w:w="1076" w:type="dxa"/>
            <w:tcBorders>
              <w:top w:val="single" w:color="auto" w:sz="4" w:space="0"/>
            </w:tcBorders>
            <w:noWrap/>
            <w:vAlign w:val="center"/>
          </w:tcPr>
          <w:p w14:paraId="23457C10">
            <w:pPr>
              <w:widowControl/>
              <w:ind w:firstLine="0" w:firstLineChars="0"/>
              <w:jc w:val="center"/>
              <w:rPr>
                <w:color w:val="000000"/>
                <w:kern w:val="0"/>
                <w:sz w:val="16"/>
                <w:szCs w:val="16"/>
              </w:rPr>
            </w:pPr>
          </w:p>
        </w:tc>
        <w:tc>
          <w:tcPr>
            <w:tcW w:w="1076" w:type="dxa"/>
            <w:tcBorders>
              <w:top w:val="single" w:color="auto" w:sz="4" w:space="0"/>
            </w:tcBorders>
            <w:noWrap/>
            <w:vAlign w:val="center"/>
          </w:tcPr>
          <w:p w14:paraId="2D9F00BC">
            <w:pPr>
              <w:widowControl/>
              <w:ind w:firstLine="0" w:firstLineChars="0"/>
              <w:jc w:val="center"/>
              <w:rPr>
                <w:color w:val="000000"/>
                <w:kern w:val="0"/>
                <w:sz w:val="16"/>
                <w:szCs w:val="16"/>
              </w:rPr>
            </w:pPr>
            <w:r>
              <w:rPr>
                <w:color w:val="000000"/>
                <w:kern w:val="0"/>
                <w:sz w:val="16"/>
                <w:szCs w:val="16"/>
              </w:rPr>
              <w:t>306.82</w:t>
            </w:r>
          </w:p>
        </w:tc>
      </w:tr>
      <w:tr w14:paraId="31EF03EF">
        <w:tblPrEx>
          <w:tblCellMar>
            <w:top w:w="0" w:type="dxa"/>
            <w:left w:w="108" w:type="dxa"/>
            <w:bottom w:w="0" w:type="dxa"/>
            <w:right w:w="108" w:type="dxa"/>
          </w:tblCellMar>
        </w:tblPrEx>
        <w:trPr>
          <w:trHeight w:val="288" w:hRule="atLeast"/>
          <w:jc w:val="center"/>
        </w:trPr>
        <w:tc>
          <w:tcPr>
            <w:tcW w:w="756" w:type="dxa"/>
            <w:noWrap/>
            <w:vAlign w:val="center"/>
          </w:tcPr>
          <w:p w14:paraId="6C8F5109">
            <w:pPr>
              <w:widowControl/>
              <w:ind w:firstLine="0" w:firstLineChars="0"/>
              <w:jc w:val="center"/>
              <w:rPr>
                <w:color w:val="000000"/>
                <w:kern w:val="0"/>
                <w:sz w:val="16"/>
                <w:szCs w:val="16"/>
              </w:rPr>
            </w:pPr>
            <w:r>
              <w:rPr>
                <w:color w:val="000000"/>
                <w:kern w:val="0"/>
                <w:sz w:val="16"/>
                <w:szCs w:val="16"/>
              </w:rPr>
              <w:t>2.1.1</w:t>
            </w:r>
          </w:p>
        </w:tc>
        <w:tc>
          <w:tcPr>
            <w:tcW w:w="3116" w:type="dxa"/>
            <w:noWrap/>
            <w:vAlign w:val="center"/>
          </w:tcPr>
          <w:p w14:paraId="5327EFA5">
            <w:pPr>
              <w:widowControl/>
              <w:ind w:firstLine="0" w:firstLineChars="0"/>
              <w:jc w:val="center"/>
              <w:rPr>
                <w:color w:val="000000"/>
                <w:kern w:val="0"/>
                <w:sz w:val="16"/>
                <w:szCs w:val="16"/>
              </w:rPr>
            </w:pPr>
            <w:r>
              <w:rPr>
                <w:color w:val="000000"/>
                <w:kern w:val="0"/>
                <w:sz w:val="16"/>
                <w:szCs w:val="16"/>
              </w:rPr>
              <w:t>Social Security Fees</w:t>
            </w:r>
          </w:p>
        </w:tc>
        <w:tc>
          <w:tcPr>
            <w:tcW w:w="1226" w:type="dxa"/>
            <w:noWrap/>
            <w:vAlign w:val="center"/>
          </w:tcPr>
          <w:p w14:paraId="34D3ED92">
            <w:pPr>
              <w:widowControl/>
              <w:ind w:firstLine="0" w:firstLineChars="0"/>
              <w:jc w:val="center"/>
              <w:rPr>
                <w:color w:val="000000"/>
                <w:kern w:val="0"/>
                <w:sz w:val="16"/>
                <w:szCs w:val="16"/>
              </w:rPr>
            </w:pPr>
            <w:r>
              <w:rPr>
                <w:color w:val="000000"/>
                <w:kern w:val="0"/>
                <w:sz w:val="16"/>
                <w:szCs w:val="16"/>
              </w:rPr>
              <w:t>CNY</w:t>
            </w:r>
          </w:p>
        </w:tc>
        <w:tc>
          <w:tcPr>
            <w:tcW w:w="830" w:type="dxa"/>
            <w:noWrap/>
            <w:vAlign w:val="center"/>
          </w:tcPr>
          <w:p w14:paraId="3F00487E">
            <w:pPr>
              <w:widowControl/>
              <w:ind w:firstLine="0" w:firstLineChars="0"/>
              <w:jc w:val="center"/>
              <w:rPr>
                <w:color w:val="000000"/>
                <w:kern w:val="0"/>
                <w:sz w:val="16"/>
                <w:szCs w:val="16"/>
              </w:rPr>
            </w:pPr>
            <w:r>
              <w:rPr>
                <w:color w:val="000000"/>
                <w:kern w:val="0"/>
                <w:sz w:val="16"/>
                <w:szCs w:val="16"/>
              </w:rPr>
              <w:t>26.81%</w:t>
            </w:r>
          </w:p>
        </w:tc>
        <w:tc>
          <w:tcPr>
            <w:tcW w:w="1076" w:type="dxa"/>
            <w:noWrap/>
            <w:vAlign w:val="center"/>
          </w:tcPr>
          <w:p w14:paraId="724E84E6">
            <w:pPr>
              <w:widowControl/>
              <w:ind w:firstLine="0" w:firstLineChars="0"/>
              <w:jc w:val="center"/>
              <w:rPr>
                <w:color w:val="000000"/>
                <w:kern w:val="0"/>
                <w:sz w:val="16"/>
                <w:szCs w:val="16"/>
              </w:rPr>
            </w:pPr>
            <w:r>
              <w:rPr>
                <w:color w:val="000000"/>
                <w:kern w:val="0"/>
                <w:sz w:val="16"/>
                <w:szCs w:val="16"/>
              </w:rPr>
              <w:t>958.82</w:t>
            </w:r>
          </w:p>
        </w:tc>
        <w:tc>
          <w:tcPr>
            <w:tcW w:w="1076" w:type="dxa"/>
            <w:noWrap/>
            <w:vAlign w:val="center"/>
          </w:tcPr>
          <w:p w14:paraId="366F962D">
            <w:pPr>
              <w:widowControl/>
              <w:ind w:firstLine="0" w:firstLineChars="0"/>
              <w:jc w:val="center"/>
              <w:rPr>
                <w:color w:val="000000"/>
                <w:kern w:val="0"/>
                <w:sz w:val="16"/>
                <w:szCs w:val="16"/>
              </w:rPr>
            </w:pPr>
            <w:r>
              <w:rPr>
                <w:color w:val="000000"/>
                <w:kern w:val="0"/>
                <w:sz w:val="16"/>
                <w:szCs w:val="16"/>
              </w:rPr>
              <w:t>257.06</w:t>
            </w:r>
          </w:p>
        </w:tc>
      </w:tr>
      <w:tr w14:paraId="5CA20E13">
        <w:tblPrEx>
          <w:tblCellMar>
            <w:top w:w="0" w:type="dxa"/>
            <w:left w:w="108" w:type="dxa"/>
            <w:bottom w:w="0" w:type="dxa"/>
            <w:right w:w="108" w:type="dxa"/>
          </w:tblCellMar>
        </w:tblPrEx>
        <w:trPr>
          <w:trHeight w:val="288" w:hRule="atLeast"/>
          <w:jc w:val="center"/>
        </w:trPr>
        <w:tc>
          <w:tcPr>
            <w:tcW w:w="756" w:type="dxa"/>
            <w:noWrap/>
            <w:vAlign w:val="center"/>
          </w:tcPr>
          <w:p w14:paraId="0E668756">
            <w:pPr>
              <w:widowControl/>
              <w:ind w:firstLine="0" w:firstLineChars="0"/>
              <w:jc w:val="center"/>
              <w:rPr>
                <w:color w:val="000000"/>
                <w:kern w:val="0"/>
                <w:sz w:val="16"/>
                <w:szCs w:val="16"/>
              </w:rPr>
            </w:pPr>
            <w:r>
              <w:rPr>
                <w:color w:val="000000"/>
                <w:kern w:val="0"/>
                <w:sz w:val="16"/>
                <w:szCs w:val="16"/>
              </w:rPr>
              <w:t>2.1.2</w:t>
            </w:r>
          </w:p>
        </w:tc>
        <w:tc>
          <w:tcPr>
            <w:tcW w:w="3116" w:type="dxa"/>
            <w:noWrap/>
            <w:vAlign w:val="center"/>
          </w:tcPr>
          <w:p w14:paraId="3E4C3C8D">
            <w:pPr>
              <w:widowControl/>
              <w:ind w:firstLine="0" w:firstLineChars="0"/>
              <w:jc w:val="center"/>
              <w:rPr>
                <w:color w:val="000000"/>
                <w:kern w:val="0"/>
                <w:sz w:val="16"/>
                <w:szCs w:val="16"/>
              </w:rPr>
            </w:pPr>
            <w:r>
              <w:rPr>
                <w:color w:val="000000"/>
                <w:kern w:val="0"/>
                <w:sz w:val="16"/>
                <w:szCs w:val="16"/>
              </w:rPr>
              <w:t>Housing Provident Fund</w:t>
            </w:r>
          </w:p>
        </w:tc>
        <w:tc>
          <w:tcPr>
            <w:tcW w:w="1226" w:type="dxa"/>
            <w:noWrap/>
            <w:vAlign w:val="center"/>
          </w:tcPr>
          <w:p w14:paraId="4CFECBEB">
            <w:pPr>
              <w:widowControl/>
              <w:ind w:firstLine="0" w:firstLineChars="0"/>
              <w:jc w:val="center"/>
              <w:rPr>
                <w:color w:val="000000"/>
                <w:kern w:val="0"/>
                <w:sz w:val="16"/>
                <w:szCs w:val="16"/>
              </w:rPr>
            </w:pPr>
            <w:r>
              <w:rPr>
                <w:color w:val="000000"/>
                <w:kern w:val="0"/>
                <w:sz w:val="16"/>
                <w:szCs w:val="16"/>
              </w:rPr>
              <w:t>CNY</w:t>
            </w:r>
          </w:p>
        </w:tc>
        <w:tc>
          <w:tcPr>
            <w:tcW w:w="830" w:type="dxa"/>
            <w:noWrap/>
            <w:vAlign w:val="center"/>
          </w:tcPr>
          <w:p w14:paraId="58572428">
            <w:pPr>
              <w:widowControl/>
              <w:ind w:firstLine="0" w:firstLineChars="0"/>
              <w:jc w:val="center"/>
              <w:rPr>
                <w:color w:val="000000"/>
                <w:kern w:val="0"/>
                <w:sz w:val="16"/>
                <w:szCs w:val="16"/>
              </w:rPr>
            </w:pPr>
            <w:r>
              <w:rPr>
                <w:color w:val="000000"/>
                <w:kern w:val="0"/>
                <w:sz w:val="16"/>
                <w:szCs w:val="16"/>
              </w:rPr>
              <w:t>4.19%</w:t>
            </w:r>
          </w:p>
        </w:tc>
        <w:tc>
          <w:tcPr>
            <w:tcW w:w="1076" w:type="dxa"/>
            <w:noWrap/>
            <w:vAlign w:val="center"/>
          </w:tcPr>
          <w:p w14:paraId="408148B3">
            <w:pPr>
              <w:widowControl/>
              <w:ind w:firstLine="0" w:firstLineChars="0"/>
              <w:jc w:val="center"/>
              <w:rPr>
                <w:color w:val="000000"/>
                <w:kern w:val="0"/>
                <w:sz w:val="16"/>
                <w:szCs w:val="16"/>
              </w:rPr>
            </w:pPr>
            <w:r>
              <w:rPr>
                <w:color w:val="000000"/>
                <w:kern w:val="0"/>
                <w:sz w:val="16"/>
                <w:szCs w:val="16"/>
              </w:rPr>
              <w:t>958.82</w:t>
            </w:r>
          </w:p>
        </w:tc>
        <w:tc>
          <w:tcPr>
            <w:tcW w:w="1076" w:type="dxa"/>
            <w:noWrap/>
            <w:vAlign w:val="center"/>
          </w:tcPr>
          <w:p w14:paraId="3CAFE851">
            <w:pPr>
              <w:widowControl/>
              <w:ind w:firstLine="0" w:firstLineChars="0"/>
              <w:jc w:val="center"/>
              <w:rPr>
                <w:color w:val="000000"/>
                <w:kern w:val="0"/>
                <w:sz w:val="16"/>
                <w:szCs w:val="16"/>
              </w:rPr>
            </w:pPr>
            <w:r>
              <w:rPr>
                <w:color w:val="000000"/>
                <w:kern w:val="0"/>
                <w:sz w:val="16"/>
                <w:szCs w:val="16"/>
              </w:rPr>
              <w:t>40.17</w:t>
            </w:r>
          </w:p>
        </w:tc>
      </w:tr>
      <w:tr w14:paraId="675B4112">
        <w:tblPrEx>
          <w:tblCellMar>
            <w:top w:w="0" w:type="dxa"/>
            <w:left w:w="108" w:type="dxa"/>
            <w:bottom w:w="0" w:type="dxa"/>
            <w:right w:w="108" w:type="dxa"/>
          </w:tblCellMar>
        </w:tblPrEx>
        <w:trPr>
          <w:trHeight w:val="288" w:hRule="atLeast"/>
          <w:jc w:val="center"/>
        </w:trPr>
        <w:tc>
          <w:tcPr>
            <w:tcW w:w="756" w:type="dxa"/>
            <w:tcBorders>
              <w:bottom w:val="single" w:color="auto" w:sz="4" w:space="0"/>
            </w:tcBorders>
            <w:noWrap/>
            <w:vAlign w:val="center"/>
          </w:tcPr>
          <w:p w14:paraId="732FEE32">
            <w:pPr>
              <w:widowControl/>
              <w:ind w:firstLine="0" w:firstLineChars="0"/>
              <w:jc w:val="center"/>
              <w:rPr>
                <w:color w:val="000000"/>
                <w:kern w:val="0"/>
                <w:sz w:val="16"/>
                <w:szCs w:val="16"/>
              </w:rPr>
            </w:pPr>
            <w:r>
              <w:rPr>
                <w:color w:val="000000"/>
                <w:kern w:val="0"/>
                <w:sz w:val="16"/>
                <w:szCs w:val="16"/>
              </w:rPr>
              <w:t>2.1.3</w:t>
            </w:r>
          </w:p>
        </w:tc>
        <w:tc>
          <w:tcPr>
            <w:tcW w:w="3116" w:type="dxa"/>
            <w:tcBorders>
              <w:bottom w:val="single" w:color="auto" w:sz="4" w:space="0"/>
            </w:tcBorders>
            <w:noWrap/>
            <w:vAlign w:val="center"/>
          </w:tcPr>
          <w:p w14:paraId="7F99F1FA">
            <w:pPr>
              <w:widowControl/>
              <w:ind w:firstLine="0" w:firstLineChars="0"/>
              <w:jc w:val="center"/>
              <w:rPr>
                <w:color w:val="000000"/>
                <w:kern w:val="0"/>
                <w:sz w:val="16"/>
                <w:szCs w:val="16"/>
              </w:rPr>
            </w:pPr>
            <w:r>
              <w:rPr>
                <w:color w:val="000000"/>
                <w:kern w:val="0"/>
                <w:sz w:val="16"/>
                <w:szCs w:val="16"/>
              </w:rPr>
              <w:t>Hazardous Work Accident Insurance</w:t>
            </w:r>
          </w:p>
        </w:tc>
        <w:tc>
          <w:tcPr>
            <w:tcW w:w="1226" w:type="dxa"/>
            <w:tcBorders>
              <w:bottom w:val="single" w:color="auto" w:sz="4" w:space="0"/>
            </w:tcBorders>
            <w:noWrap/>
            <w:vAlign w:val="center"/>
          </w:tcPr>
          <w:p w14:paraId="46BB985C">
            <w:pPr>
              <w:widowControl/>
              <w:ind w:firstLine="0" w:firstLineChars="0"/>
              <w:jc w:val="center"/>
              <w:rPr>
                <w:color w:val="000000"/>
                <w:kern w:val="0"/>
                <w:sz w:val="16"/>
                <w:szCs w:val="16"/>
              </w:rPr>
            </w:pPr>
            <w:r>
              <w:rPr>
                <w:color w:val="000000"/>
                <w:kern w:val="0"/>
                <w:sz w:val="16"/>
                <w:szCs w:val="16"/>
              </w:rPr>
              <w:t>CNY</w:t>
            </w:r>
          </w:p>
        </w:tc>
        <w:tc>
          <w:tcPr>
            <w:tcW w:w="830" w:type="dxa"/>
            <w:tcBorders>
              <w:bottom w:val="single" w:color="auto" w:sz="4" w:space="0"/>
            </w:tcBorders>
            <w:noWrap/>
            <w:vAlign w:val="center"/>
          </w:tcPr>
          <w:p w14:paraId="24066239">
            <w:pPr>
              <w:widowControl/>
              <w:ind w:firstLine="0" w:firstLineChars="0"/>
              <w:jc w:val="center"/>
              <w:rPr>
                <w:color w:val="000000"/>
                <w:kern w:val="0"/>
                <w:sz w:val="16"/>
                <w:szCs w:val="16"/>
              </w:rPr>
            </w:pPr>
            <w:r>
              <w:rPr>
                <w:color w:val="000000"/>
                <w:kern w:val="0"/>
                <w:sz w:val="16"/>
                <w:szCs w:val="16"/>
              </w:rPr>
              <w:t>1.00%</w:t>
            </w:r>
          </w:p>
        </w:tc>
        <w:tc>
          <w:tcPr>
            <w:tcW w:w="1076" w:type="dxa"/>
            <w:tcBorders>
              <w:bottom w:val="single" w:color="auto" w:sz="4" w:space="0"/>
            </w:tcBorders>
            <w:noWrap/>
            <w:vAlign w:val="center"/>
          </w:tcPr>
          <w:p w14:paraId="7A2FA7C2">
            <w:pPr>
              <w:widowControl/>
              <w:ind w:firstLine="0" w:firstLineChars="0"/>
              <w:jc w:val="center"/>
              <w:rPr>
                <w:color w:val="000000"/>
                <w:kern w:val="0"/>
                <w:sz w:val="16"/>
                <w:szCs w:val="16"/>
              </w:rPr>
            </w:pPr>
            <w:r>
              <w:rPr>
                <w:color w:val="000000"/>
                <w:kern w:val="0"/>
                <w:sz w:val="16"/>
                <w:szCs w:val="16"/>
              </w:rPr>
              <w:t>958.82</w:t>
            </w:r>
          </w:p>
        </w:tc>
        <w:tc>
          <w:tcPr>
            <w:tcW w:w="1076" w:type="dxa"/>
            <w:tcBorders>
              <w:bottom w:val="single" w:color="auto" w:sz="4" w:space="0"/>
            </w:tcBorders>
            <w:noWrap/>
            <w:vAlign w:val="center"/>
          </w:tcPr>
          <w:p w14:paraId="5DAFDA9C">
            <w:pPr>
              <w:widowControl/>
              <w:ind w:firstLine="0" w:firstLineChars="0"/>
              <w:jc w:val="center"/>
              <w:rPr>
                <w:color w:val="000000"/>
                <w:kern w:val="0"/>
                <w:sz w:val="16"/>
                <w:szCs w:val="16"/>
              </w:rPr>
            </w:pPr>
            <w:r>
              <w:rPr>
                <w:color w:val="000000"/>
                <w:kern w:val="0"/>
                <w:sz w:val="16"/>
                <w:szCs w:val="16"/>
              </w:rPr>
              <w:t>9.59</w:t>
            </w:r>
          </w:p>
        </w:tc>
      </w:tr>
      <w:tr w14:paraId="33C43D57">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29546521">
            <w:pPr>
              <w:widowControl/>
              <w:ind w:firstLine="0" w:firstLineChars="0"/>
              <w:jc w:val="center"/>
              <w:rPr>
                <w:color w:val="000000"/>
                <w:kern w:val="0"/>
                <w:sz w:val="16"/>
                <w:szCs w:val="16"/>
              </w:rPr>
            </w:pPr>
            <w:r>
              <w:rPr>
                <w:color w:val="000000"/>
                <w:kern w:val="0"/>
                <w:sz w:val="16"/>
                <w:szCs w:val="16"/>
              </w:rPr>
              <w:t>2.2</w:t>
            </w:r>
          </w:p>
        </w:tc>
        <w:tc>
          <w:tcPr>
            <w:tcW w:w="3116" w:type="dxa"/>
            <w:tcBorders>
              <w:top w:val="single" w:color="auto" w:sz="4" w:space="0"/>
              <w:bottom w:val="single" w:color="auto" w:sz="4" w:space="0"/>
            </w:tcBorders>
            <w:noWrap/>
            <w:vAlign w:val="center"/>
          </w:tcPr>
          <w:p w14:paraId="09B5E4ED">
            <w:pPr>
              <w:widowControl/>
              <w:ind w:firstLine="0" w:firstLineChars="0"/>
              <w:jc w:val="center"/>
              <w:rPr>
                <w:color w:val="000000"/>
                <w:kern w:val="0"/>
                <w:sz w:val="16"/>
                <w:szCs w:val="16"/>
              </w:rPr>
            </w:pPr>
            <w:r>
              <w:rPr>
                <w:color w:val="000000"/>
                <w:kern w:val="0"/>
                <w:sz w:val="16"/>
                <w:szCs w:val="16"/>
              </w:rPr>
              <w:t>Enterprise Management Fees</w:t>
            </w:r>
          </w:p>
        </w:tc>
        <w:tc>
          <w:tcPr>
            <w:tcW w:w="1226" w:type="dxa"/>
            <w:tcBorders>
              <w:top w:val="single" w:color="auto" w:sz="4" w:space="0"/>
              <w:bottom w:val="single" w:color="auto" w:sz="4" w:space="0"/>
            </w:tcBorders>
            <w:noWrap/>
            <w:vAlign w:val="center"/>
          </w:tcPr>
          <w:p w14:paraId="4E835E75">
            <w:pPr>
              <w:widowControl/>
              <w:ind w:firstLine="0" w:firstLineChars="0"/>
              <w:jc w:val="center"/>
              <w:rPr>
                <w:color w:val="000000"/>
                <w:kern w:val="0"/>
                <w:sz w:val="16"/>
                <w:szCs w:val="16"/>
              </w:rPr>
            </w:pPr>
            <w:r>
              <w:rPr>
                <w:color w:val="000000"/>
                <w:kern w:val="0"/>
                <w:sz w:val="16"/>
                <w:szCs w:val="16"/>
              </w:rPr>
              <w:t>CNY</w:t>
            </w:r>
          </w:p>
        </w:tc>
        <w:tc>
          <w:tcPr>
            <w:tcW w:w="830" w:type="dxa"/>
            <w:tcBorders>
              <w:top w:val="single" w:color="auto" w:sz="4" w:space="0"/>
              <w:bottom w:val="single" w:color="auto" w:sz="4" w:space="0"/>
            </w:tcBorders>
            <w:noWrap/>
            <w:vAlign w:val="center"/>
          </w:tcPr>
          <w:p w14:paraId="70E2942A">
            <w:pPr>
              <w:widowControl/>
              <w:ind w:firstLine="0" w:firstLineChars="0"/>
              <w:jc w:val="center"/>
              <w:rPr>
                <w:color w:val="000000"/>
                <w:kern w:val="0"/>
                <w:sz w:val="16"/>
                <w:szCs w:val="16"/>
              </w:rPr>
            </w:pPr>
            <w:r>
              <w:rPr>
                <w:color w:val="000000"/>
                <w:kern w:val="0"/>
                <w:sz w:val="16"/>
                <w:szCs w:val="16"/>
              </w:rPr>
              <w:t>30.00%</w:t>
            </w:r>
          </w:p>
        </w:tc>
        <w:tc>
          <w:tcPr>
            <w:tcW w:w="1076" w:type="dxa"/>
            <w:tcBorders>
              <w:top w:val="single" w:color="auto" w:sz="4" w:space="0"/>
              <w:bottom w:val="single" w:color="auto" w:sz="4" w:space="0"/>
            </w:tcBorders>
            <w:noWrap/>
            <w:vAlign w:val="center"/>
          </w:tcPr>
          <w:p w14:paraId="1199CEF8">
            <w:pPr>
              <w:widowControl/>
              <w:ind w:firstLine="0" w:firstLineChars="0"/>
              <w:jc w:val="center"/>
              <w:rPr>
                <w:color w:val="000000"/>
                <w:kern w:val="0"/>
                <w:sz w:val="16"/>
                <w:szCs w:val="16"/>
              </w:rPr>
            </w:pPr>
            <w:r>
              <w:rPr>
                <w:color w:val="000000"/>
                <w:kern w:val="0"/>
                <w:sz w:val="16"/>
                <w:szCs w:val="16"/>
              </w:rPr>
              <w:t>958.82</w:t>
            </w:r>
          </w:p>
        </w:tc>
        <w:tc>
          <w:tcPr>
            <w:tcW w:w="1076" w:type="dxa"/>
            <w:tcBorders>
              <w:top w:val="single" w:color="auto" w:sz="4" w:space="0"/>
              <w:bottom w:val="single" w:color="auto" w:sz="4" w:space="0"/>
            </w:tcBorders>
            <w:noWrap/>
            <w:vAlign w:val="center"/>
          </w:tcPr>
          <w:p w14:paraId="3FE0540E">
            <w:pPr>
              <w:widowControl/>
              <w:ind w:firstLine="0" w:firstLineChars="0"/>
              <w:jc w:val="center"/>
              <w:rPr>
                <w:color w:val="000000"/>
                <w:kern w:val="0"/>
                <w:sz w:val="16"/>
                <w:szCs w:val="16"/>
              </w:rPr>
            </w:pPr>
            <w:r>
              <w:rPr>
                <w:color w:val="000000"/>
                <w:kern w:val="0"/>
                <w:sz w:val="16"/>
                <w:szCs w:val="16"/>
              </w:rPr>
              <w:t>287.65</w:t>
            </w:r>
          </w:p>
        </w:tc>
      </w:tr>
      <w:tr w14:paraId="05A70561">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3932A2AB">
            <w:pPr>
              <w:widowControl/>
              <w:ind w:firstLine="0" w:firstLineChars="0"/>
              <w:jc w:val="center"/>
              <w:rPr>
                <w:color w:val="000000"/>
                <w:kern w:val="0"/>
                <w:sz w:val="16"/>
                <w:szCs w:val="16"/>
              </w:rPr>
            </w:pPr>
            <w:r>
              <w:rPr>
                <w:color w:val="000000"/>
                <w:kern w:val="0"/>
                <w:sz w:val="16"/>
                <w:szCs w:val="16"/>
              </w:rPr>
              <w:t>3</w:t>
            </w:r>
          </w:p>
        </w:tc>
        <w:tc>
          <w:tcPr>
            <w:tcW w:w="3116" w:type="dxa"/>
            <w:tcBorders>
              <w:top w:val="single" w:color="auto" w:sz="4" w:space="0"/>
              <w:bottom w:val="single" w:color="auto" w:sz="4" w:space="0"/>
            </w:tcBorders>
            <w:noWrap/>
            <w:vAlign w:val="center"/>
          </w:tcPr>
          <w:p w14:paraId="568DF623">
            <w:pPr>
              <w:widowControl/>
              <w:ind w:firstLine="0" w:firstLineChars="0"/>
              <w:jc w:val="center"/>
              <w:rPr>
                <w:color w:val="000000"/>
                <w:kern w:val="0"/>
                <w:sz w:val="16"/>
                <w:szCs w:val="16"/>
              </w:rPr>
            </w:pPr>
            <w:r>
              <w:rPr>
                <w:color w:val="000000"/>
                <w:kern w:val="0"/>
                <w:sz w:val="16"/>
                <w:szCs w:val="16"/>
              </w:rPr>
              <w:t>Profit</w:t>
            </w:r>
          </w:p>
        </w:tc>
        <w:tc>
          <w:tcPr>
            <w:tcW w:w="1226" w:type="dxa"/>
            <w:tcBorders>
              <w:top w:val="single" w:color="auto" w:sz="4" w:space="0"/>
              <w:bottom w:val="single" w:color="auto" w:sz="4" w:space="0"/>
            </w:tcBorders>
            <w:noWrap/>
            <w:vAlign w:val="center"/>
          </w:tcPr>
          <w:p w14:paraId="2D675254">
            <w:pPr>
              <w:widowControl/>
              <w:ind w:firstLine="0" w:firstLineChars="0"/>
              <w:jc w:val="center"/>
              <w:rPr>
                <w:color w:val="000000"/>
                <w:kern w:val="0"/>
                <w:sz w:val="16"/>
                <w:szCs w:val="16"/>
              </w:rPr>
            </w:pPr>
            <w:r>
              <w:rPr>
                <w:color w:val="000000"/>
                <w:kern w:val="0"/>
                <w:sz w:val="16"/>
                <w:szCs w:val="16"/>
              </w:rPr>
              <w:t>CNY</w:t>
            </w:r>
          </w:p>
        </w:tc>
        <w:tc>
          <w:tcPr>
            <w:tcW w:w="830" w:type="dxa"/>
            <w:tcBorders>
              <w:top w:val="single" w:color="auto" w:sz="4" w:space="0"/>
              <w:bottom w:val="single" w:color="auto" w:sz="4" w:space="0"/>
            </w:tcBorders>
            <w:noWrap/>
            <w:vAlign w:val="center"/>
          </w:tcPr>
          <w:p w14:paraId="777B4314">
            <w:pPr>
              <w:widowControl/>
              <w:ind w:firstLine="0" w:firstLineChars="0"/>
              <w:jc w:val="center"/>
              <w:rPr>
                <w:color w:val="000000"/>
                <w:kern w:val="0"/>
                <w:sz w:val="16"/>
                <w:szCs w:val="16"/>
              </w:rPr>
            </w:pPr>
            <w:r>
              <w:rPr>
                <w:color w:val="000000"/>
                <w:kern w:val="0"/>
                <w:sz w:val="16"/>
                <w:szCs w:val="16"/>
              </w:rPr>
              <w:t>30.00%</w:t>
            </w:r>
          </w:p>
        </w:tc>
        <w:tc>
          <w:tcPr>
            <w:tcW w:w="1076" w:type="dxa"/>
            <w:tcBorders>
              <w:top w:val="single" w:color="auto" w:sz="4" w:space="0"/>
              <w:bottom w:val="single" w:color="auto" w:sz="4" w:space="0"/>
            </w:tcBorders>
            <w:noWrap/>
            <w:vAlign w:val="center"/>
          </w:tcPr>
          <w:p w14:paraId="0A5D71C8">
            <w:pPr>
              <w:widowControl/>
              <w:ind w:firstLine="0" w:firstLineChars="0"/>
              <w:jc w:val="center"/>
              <w:rPr>
                <w:color w:val="000000"/>
                <w:kern w:val="0"/>
                <w:sz w:val="16"/>
                <w:szCs w:val="16"/>
              </w:rPr>
            </w:pPr>
            <w:r>
              <w:rPr>
                <w:color w:val="000000"/>
                <w:kern w:val="0"/>
                <w:sz w:val="16"/>
                <w:szCs w:val="16"/>
              </w:rPr>
              <w:t>958.82</w:t>
            </w:r>
          </w:p>
        </w:tc>
        <w:tc>
          <w:tcPr>
            <w:tcW w:w="1076" w:type="dxa"/>
            <w:tcBorders>
              <w:top w:val="single" w:color="auto" w:sz="4" w:space="0"/>
              <w:bottom w:val="single" w:color="auto" w:sz="4" w:space="0"/>
            </w:tcBorders>
            <w:noWrap/>
            <w:vAlign w:val="center"/>
          </w:tcPr>
          <w:p w14:paraId="55B5EA03">
            <w:pPr>
              <w:widowControl/>
              <w:ind w:firstLine="0" w:firstLineChars="0"/>
              <w:jc w:val="center"/>
              <w:rPr>
                <w:color w:val="000000"/>
                <w:kern w:val="0"/>
                <w:sz w:val="16"/>
                <w:szCs w:val="16"/>
              </w:rPr>
            </w:pPr>
            <w:r>
              <w:rPr>
                <w:color w:val="000000"/>
                <w:kern w:val="0"/>
                <w:sz w:val="16"/>
                <w:szCs w:val="16"/>
              </w:rPr>
              <w:t>287.65</w:t>
            </w:r>
          </w:p>
        </w:tc>
      </w:tr>
      <w:tr w14:paraId="425DB8E9">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auto" w:sz="4" w:space="0"/>
            </w:tcBorders>
            <w:noWrap/>
            <w:vAlign w:val="center"/>
          </w:tcPr>
          <w:p w14:paraId="53C9B659">
            <w:pPr>
              <w:widowControl/>
              <w:ind w:firstLine="0" w:firstLineChars="0"/>
              <w:jc w:val="center"/>
              <w:rPr>
                <w:color w:val="000000"/>
                <w:kern w:val="0"/>
                <w:sz w:val="16"/>
                <w:szCs w:val="16"/>
              </w:rPr>
            </w:pPr>
            <w:r>
              <w:rPr>
                <w:color w:val="000000"/>
                <w:kern w:val="0"/>
                <w:sz w:val="16"/>
                <w:szCs w:val="16"/>
              </w:rPr>
              <w:t>4</w:t>
            </w:r>
          </w:p>
        </w:tc>
        <w:tc>
          <w:tcPr>
            <w:tcW w:w="3116" w:type="dxa"/>
            <w:tcBorders>
              <w:top w:val="single" w:color="auto" w:sz="4" w:space="0"/>
              <w:bottom w:val="single" w:color="auto" w:sz="4" w:space="0"/>
            </w:tcBorders>
            <w:noWrap/>
            <w:vAlign w:val="center"/>
          </w:tcPr>
          <w:p w14:paraId="1D352FF7">
            <w:pPr>
              <w:widowControl/>
              <w:ind w:firstLine="0" w:firstLineChars="0"/>
              <w:jc w:val="center"/>
              <w:rPr>
                <w:color w:val="000000"/>
                <w:kern w:val="0"/>
                <w:sz w:val="16"/>
                <w:szCs w:val="16"/>
              </w:rPr>
            </w:pPr>
            <w:r>
              <w:rPr>
                <w:color w:val="000000"/>
                <w:kern w:val="0"/>
                <w:sz w:val="16"/>
                <w:szCs w:val="16"/>
              </w:rPr>
              <w:t>Tax</w:t>
            </w:r>
          </w:p>
        </w:tc>
        <w:tc>
          <w:tcPr>
            <w:tcW w:w="1226" w:type="dxa"/>
            <w:tcBorders>
              <w:top w:val="single" w:color="auto" w:sz="4" w:space="0"/>
              <w:bottom w:val="single" w:color="auto" w:sz="4" w:space="0"/>
            </w:tcBorders>
            <w:noWrap/>
            <w:vAlign w:val="center"/>
          </w:tcPr>
          <w:p w14:paraId="407E3542">
            <w:pPr>
              <w:widowControl/>
              <w:ind w:firstLine="0" w:firstLineChars="0"/>
              <w:jc w:val="center"/>
              <w:rPr>
                <w:color w:val="000000"/>
                <w:kern w:val="0"/>
                <w:sz w:val="16"/>
                <w:szCs w:val="16"/>
              </w:rPr>
            </w:pPr>
            <w:r>
              <w:rPr>
                <w:color w:val="000000"/>
                <w:kern w:val="0"/>
                <w:sz w:val="16"/>
                <w:szCs w:val="16"/>
              </w:rPr>
              <w:t>CNY</w:t>
            </w:r>
          </w:p>
        </w:tc>
        <w:tc>
          <w:tcPr>
            <w:tcW w:w="830" w:type="dxa"/>
            <w:tcBorders>
              <w:top w:val="single" w:color="auto" w:sz="4" w:space="0"/>
              <w:bottom w:val="single" w:color="auto" w:sz="4" w:space="0"/>
            </w:tcBorders>
            <w:noWrap/>
            <w:vAlign w:val="center"/>
          </w:tcPr>
          <w:p w14:paraId="45229F4D">
            <w:pPr>
              <w:widowControl/>
              <w:ind w:firstLine="0" w:firstLineChars="0"/>
              <w:jc w:val="center"/>
              <w:rPr>
                <w:color w:val="000000"/>
                <w:kern w:val="0"/>
                <w:sz w:val="16"/>
                <w:szCs w:val="16"/>
              </w:rPr>
            </w:pPr>
            <w:r>
              <w:rPr>
                <w:color w:val="000000"/>
                <w:kern w:val="0"/>
                <w:sz w:val="16"/>
                <w:szCs w:val="16"/>
              </w:rPr>
              <w:t>9.00%</w:t>
            </w:r>
          </w:p>
        </w:tc>
        <w:tc>
          <w:tcPr>
            <w:tcW w:w="1076" w:type="dxa"/>
            <w:tcBorders>
              <w:top w:val="single" w:color="auto" w:sz="4" w:space="0"/>
              <w:bottom w:val="single" w:color="auto" w:sz="4" w:space="0"/>
            </w:tcBorders>
            <w:noWrap/>
            <w:vAlign w:val="center"/>
          </w:tcPr>
          <w:p w14:paraId="7AE35955">
            <w:pPr>
              <w:widowControl/>
              <w:ind w:firstLine="0" w:firstLineChars="0"/>
              <w:jc w:val="center"/>
              <w:rPr>
                <w:color w:val="000000"/>
                <w:kern w:val="0"/>
                <w:sz w:val="16"/>
                <w:szCs w:val="16"/>
              </w:rPr>
            </w:pPr>
            <w:r>
              <w:rPr>
                <w:color w:val="000000"/>
                <w:kern w:val="0"/>
                <w:sz w:val="16"/>
                <w:szCs w:val="16"/>
              </w:rPr>
              <w:t>17366.74</w:t>
            </w:r>
          </w:p>
        </w:tc>
        <w:tc>
          <w:tcPr>
            <w:tcW w:w="1076" w:type="dxa"/>
            <w:tcBorders>
              <w:top w:val="single" w:color="auto" w:sz="4" w:space="0"/>
              <w:bottom w:val="single" w:color="auto" w:sz="4" w:space="0"/>
            </w:tcBorders>
            <w:noWrap/>
            <w:vAlign w:val="center"/>
          </w:tcPr>
          <w:p w14:paraId="11D638D7">
            <w:pPr>
              <w:widowControl/>
              <w:ind w:firstLine="0" w:firstLineChars="0"/>
              <w:jc w:val="center"/>
              <w:rPr>
                <w:color w:val="000000"/>
                <w:kern w:val="0"/>
                <w:sz w:val="16"/>
                <w:szCs w:val="16"/>
              </w:rPr>
            </w:pPr>
            <w:r>
              <w:rPr>
                <w:color w:val="000000"/>
                <w:kern w:val="0"/>
                <w:sz w:val="16"/>
                <w:szCs w:val="16"/>
              </w:rPr>
              <w:t>1563.01</w:t>
            </w:r>
          </w:p>
        </w:tc>
      </w:tr>
      <w:tr w14:paraId="625E93AD">
        <w:tblPrEx>
          <w:tblCellMar>
            <w:top w:w="0" w:type="dxa"/>
            <w:left w:w="108" w:type="dxa"/>
            <w:bottom w:w="0" w:type="dxa"/>
            <w:right w:w="108" w:type="dxa"/>
          </w:tblCellMar>
        </w:tblPrEx>
        <w:trPr>
          <w:trHeight w:val="288" w:hRule="atLeast"/>
          <w:jc w:val="center"/>
        </w:trPr>
        <w:tc>
          <w:tcPr>
            <w:tcW w:w="756" w:type="dxa"/>
            <w:tcBorders>
              <w:top w:val="single" w:color="auto" w:sz="4" w:space="0"/>
              <w:bottom w:val="single" w:color="000000" w:sz="12" w:space="0"/>
            </w:tcBorders>
            <w:noWrap/>
            <w:vAlign w:val="center"/>
          </w:tcPr>
          <w:p w14:paraId="3E60C2E7">
            <w:pPr>
              <w:widowControl/>
              <w:ind w:firstLine="0" w:firstLineChars="0"/>
              <w:jc w:val="center"/>
              <w:rPr>
                <w:color w:val="000000"/>
                <w:kern w:val="0"/>
                <w:sz w:val="16"/>
                <w:szCs w:val="16"/>
              </w:rPr>
            </w:pPr>
          </w:p>
        </w:tc>
        <w:tc>
          <w:tcPr>
            <w:tcW w:w="3116" w:type="dxa"/>
            <w:tcBorders>
              <w:top w:val="single" w:color="auto" w:sz="4" w:space="0"/>
              <w:bottom w:val="single" w:color="000000" w:sz="12" w:space="0"/>
            </w:tcBorders>
            <w:noWrap/>
            <w:vAlign w:val="center"/>
          </w:tcPr>
          <w:p w14:paraId="23C927C8">
            <w:pPr>
              <w:widowControl/>
              <w:ind w:firstLine="0" w:firstLineChars="0"/>
              <w:jc w:val="center"/>
              <w:rPr>
                <w:color w:val="000000"/>
                <w:kern w:val="0"/>
                <w:sz w:val="16"/>
                <w:szCs w:val="16"/>
              </w:rPr>
            </w:pPr>
            <w:r>
              <w:rPr>
                <w:color w:val="000000"/>
                <w:kern w:val="0"/>
                <w:sz w:val="16"/>
                <w:szCs w:val="16"/>
              </w:rPr>
              <w:t>Total</w:t>
            </w:r>
          </w:p>
        </w:tc>
        <w:tc>
          <w:tcPr>
            <w:tcW w:w="1226" w:type="dxa"/>
            <w:tcBorders>
              <w:top w:val="single" w:color="auto" w:sz="4" w:space="0"/>
              <w:bottom w:val="single" w:color="000000" w:sz="12" w:space="0"/>
            </w:tcBorders>
            <w:noWrap/>
            <w:vAlign w:val="center"/>
          </w:tcPr>
          <w:p w14:paraId="2B5F138C">
            <w:pPr>
              <w:widowControl/>
              <w:ind w:firstLine="0" w:firstLineChars="0"/>
              <w:jc w:val="center"/>
              <w:rPr>
                <w:color w:val="000000"/>
                <w:kern w:val="0"/>
                <w:sz w:val="16"/>
                <w:szCs w:val="16"/>
              </w:rPr>
            </w:pPr>
            <w:r>
              <w:rPr>
                <w:color w:val="000000"/>
                <w:kern w:val="0"/>
                <w:sz w:val="16"/>
                <w:szCs w:val="16"/>
              </w:rPr>
              <w:t>CNY</w:t>
            </w:r>
          </w:p>
        </w:tc>
        <w:tc>
          <w:tcPr>
            <w:tcW w:w="830" w:type="dxa"/>
            <w:tcBorders>
              <w:top w:val="single" w:color="auto" w:sz="4" w:space="0"/>
              <w:bottom w:val="single" w:color="000000" w:sz="12" w:space="0"/>
            </w:tcBorders>
            <w:noWrap/>
            <w:vAlign w:val="center"/>
          </w:tcPr>
          <w:p w14:paraId="6FCA5BFC">
            <w:pPr>
              <w:widowControl/>
              <w:ind w:firstLine="0" w:firstLineChars="0"/>
              <w:jc w:val="center"/>
              <w:rPr>
                <w:color w:val="000000"/>
                <w:kern w:val="0"/>
                <w:sz w:val="16"/>
                <w:szCs w:val="16"/>
              </w:rPr>
            </w:pPr>
          </w:p>
        </w:tc>
        <w:tc>
          <w:tcPr>
            <w:tcW w:w="1076" w:type="dxa"/>
            <w:tcBorders>
              <w:top w:val="single" w:color="auto" w:sz="4" w:space="0"/>
              <w:bottom w:val="single" w:color="000000" w:sz="12" w:space="0"/>
            </w:tcBorders>
            <w:noWrap/>
            <w:vAlign w:val="center"/>
          </w:tcPr>
          <w:p w14:paraId="36D79B49">
            <w:pPr>
              <w:widowControl/>
              <w:ind w:firstLine="0" w:firstLineChars="0"/>
              <w:jc w:val="center"/>
              <w:rPr>
                <w:color w:val="000000"/>
                <w:kern w:val="0"/>
                <w:sz w:val="16"/>
                <w:szCs w:val="16"/>
              </w:rPr>
            </w:pPr>
          </w:p>
        </w:tc>
        <w:tc>
          <w:tcPr>
            <w:tcW w:w="1076" w:type="dxa"/>
            <w:tcBorders>
              <w:top w:val="single" w:color="auto" w:sz="4" w:space="0"/>
              <w:bottom w:val="single" w:color="000000" w:sz="12" w:space="0"/>
            </w:tcBorders>
            <w:noWrap/>
            <w:vAlign w:val="center"/>
          </w:tcPr>
          <w:p w14:paraId="33E4A664">
            <w:pPr>
              <w:widowControl/>
              <w:ind w:firstLine="0" w:firstLineChars="0"/>
              <w:jc w:val="center"/>
              <w:rPr>
                <w:color w:val="000000"/>
                <w:kern w:val="0"/>
                <w:sz w:val="16"/>
                <w:szCs w:val="16"/>
              </w:rPr>
            </w:pPr>
            <w:r>
              <w:rPr>
                <w:color w:val="000000"/>
                <w:kern w:val="0"/>
                <w:sz w:val="16"/>
                <w:szCs w:val="16"/>
              </w:rPr>
              <w:t>18642.10</w:t>
            </w:r>
          </w:p>
        </w:tc>
      </w:tr>
    </w:tbl>
    <w:p w14:paraId="1B7BDC87">
      <w:pPr>
        <w:pStyle w:val="52"/>
      </w:pPr>
    </w:p>
    <w:p w14:paraId="40B8B441">
      <w:pPr>
        <w:widowControl/>
        <w:ind w:firstLine="0" w:firstLineChars="0"/>
        <w:jc w:val="center"/>
        <w:rPr>
          <w:kern w:val="2"/>
          <w:szCs w:val="21"/>
        </w:rPr>
      </w:pPr>
      <w:r>
        <w:rPr>
          <w:rFonts w:hint="eastAsia"/>
          <w:kern w:val="2"/>
          <w:szCs w:val="21"/>
          <w14:ligatures w14:val="standardContextual"/>
        </w:rPr>
        <w:t>Table S9.3(d) Mobilization Cost for Overlay Repair (Unit: operation)</w:t>
      </w:r>
    </w:p>
    <w:tbl>
      <w:tblPr>
        <w:tblStyle w:val="15"/>
        <w:tblW w:w="0" w:type="auto"/>
        <w:jc w:val="center"/>
        <w:tblLayout w:type="fixed"/>
        <w:tblCellMar>
          <w:top w:w="0" w:type="dxa"/>
          <w:left w:w="108" w:type="dxa"/>
          <w:bottom w:w="0" w:type="dxa"/>
          <w:right w:w="108" w:type="dxa"/>
        </w:tblCellMar>
      </w:tblPr>
      <w:tblGrid>
        <w:gridCol w:w="452"/>
        <w:gridCol w:w="3291"/>
        <w:gridCol w:w="1226"/>
        <w:gridCol w:w="830"/>
        <w:gridCol w:w="1407"/>
        <w:gridCol w:w="1074"/>
      </w:tblGrid>
      <w:tr w14:paraId="0E54C9AD">
        <w:tblPrEx>
          <w:tblCellMar>
            <w:top w:w="0" w:type="dxa"/>
            <w:left w:w="108" w:type="dxa"/>
            <w:bottom w:w="0" w:type="dxa"/>
            <w:right w:w="108" w:type="dxa"/>
          </w:tblCellMar>
        </w:tblPrEx>
        <w:trPr>
          <w:trHeight w:val="288" w:hRule="atLeast"/>
          <w:jc w:val="center"/>
        </w:trPr>
        <w:tc>
          <w:tcPr>
            <w:tcW w:w="452" w:type="dxa"/>
            <w:tcBorders>
              <w:top w:val="single" w:color="000000" w:sz="12" w:space="0"/>
              <w:bottom w:val="single" w:color="000000" w:sz="12" w:space="0"/>
            </w:tcBorders>
            <w:shd w:val="clear" w:color="auto" w:fill="auto"/>
            <w:vAlign w:val="center"/>
          </w:tcPr>
          <w:p w14:paraId="56587242">
            <w:pPr>
              <w:widowControl/>
              <w:snapToGrid w:val="0"/>
              <w:ind w:firstLine="0" w:firstLineChars="0"/>
              <w:jc w:val="center"/>
              <w:rPr>
                <w:b/>
                <w:bCs/>
                <w:color w:val="000000"/>
                <w:kern w:val="0"/>
                <w:sz w:val="16"/>
                <w:szCs w:val="16"/>
              </w:rPr>
            </w:pPr>
            <w:r>
              <w:rPr>
                <w:b/>
                <w:bCs/>
                <w:color w:val="000000"/>
                <w:kern w:val="0"/>
                <w:sz w:val="16"/>
                <w:szCs w:val="16"/>
              </w:rPr>
              <w:t>No.</w:t>
            </w:r>
          </w:p>
        </w:tc>
        <w:tc>
          <w:tcPr>
            <w:tcW w:w="3291" w:type="dxa"/>
            <w:tcBorders>
              <w:top w:val="single" w:color="000000" w:sz="12" w:space="0"/>
              <w:bottom w:val="single" w:color="000000" w:sz="12" w:space="0"/>
            </w:tcBorders>
            <w:shd w:val="clear" w:color="auto" w:fill="auto"/>
            <w:vAlign w:val="center"/>
          </w:tcPr>
          <w:p w14:paraId="087EBC16">
            <w:pPr>
              <w:widowControl/>
              <w:snapToGrid w:val="0"/>
              <w:ind w:firstLine="0" w:firstLineChars="0"/>
              <w:jc w:val="center"/>
              <w:rPr>
                <w:b/>
                <w:bCs/>
                <w:color w:val="000000"/>
                <w:kern w:val="0"/>
                <w:sz w:val="16"/>
                <w:szCs w:val="16"/>
              </w:rPr>
            </w:pPr>
            <w:r>
              <w:rPr>
                <w:b/>
                <w:bCs/>
                <w:color w:val="000000"/>
                <w:kern w:val="0"/>
                <w:sz w:val="16"/>
                <w:szCs w:val="16"/>
              </w:rPr>
              <w:t>Item</w:t>
            </w:r>
          </w:p>
        </w:tc>
        <w:tc>
          <w:tcPr>
            <w:tcW w:w="1226" w:type="dxa"/>
            <w:tcBorders>
              <w:top w:val="single" w:color="000000" w:sz="12" w:space="0"/>
              <w:bottom w:val="single" w:color="000000" w:sz="12" w:space="0"/>
            </w:tcBorders>
            <w:shd w:val="clear" w:color="auto" w:fill="auto"/>
            <w:vAlign w:val="center"/>
          </w:tcPr>
          <w:p w14:paraId="247B93B0">
            <w:pPr>
              <w:widowControl/>
              <w:snapToGrid w:val="0"/>
              <w:ind w:firstLine="0" w:firstLineChars="0"/>
              <w:jc w:val="center"/>
              <w:rPr>
                <w:b/>
                <w:bCs/>
                <w:color w:val="000000"/>
                <w:kern w:val="0"/>
                <w:sz w:val="16"/>
                <w:szCs w:val="16"/>
              </w:rPr>
            </w:pPr>
            <w:r>
              <w:rPr>
                <w:b/>
                <w:bCs/>
                <w:color w:val="000000"/>
                <w:kern w:val="0"/>
                <w:sz w:val="16"/>
                <w:szCs w:val="16"/>
              </w:rPr>
              <w:t>Unit</w:t>
            </w:r>
          </w:p>
        </w:tc>
        <w:tc>
          <w:tcPr>
            <w:tcW w:w="830" w:type="dxa"/>
            <w:tcBorders>
              <w:top w:val="single" w:color="000000" w:sz="12" w:space="0"/>
              <w:bottom w:val="single" w:color="000000" w:sz="12" w:space="0"/>
            </w:tcBorders>
            <w:shd w:val="clear" w:color="auto" w:fill="auto"/>
            <w:vAlign w:val="center"/>
          </w:tcPr>
          <w:p w14:paraId="40A0930F">
            <w:pPr>
              <w:widowControl/>
              <w:snapToGrid w:val="0"/>
              <w:ind w:firstLine="0" w:firstLineChars="0"/>
              <w:jc w:val="center"/>
              <w:rPr>
                <w:b/>
                <w:bCs/>
                <w:color w:val="000000"/>
                <w:kern w:val="0"/>
                <w:sz w:val="16"/>
                <w:szCs w:val="16"/>
              </w:rPr>
            </w:pPr>
            <w:r>
              <w:rPr>
                <w:b/>
                <w:bCs/>
                <w:color w:val="000000"/>
                <w:kern w:val="0"/>
                <w:sz w:val="16"/>
                <w:szCs w:val="16"/>
              </w:rPr>
              <w:t>Quantity</w:t>
            </w:r>
          </w:p>
        </w:tc>
        <w:tc>
          <w:tcPr>
            <w:tcW w:w="1407" w:type="dxa"/>
            <w:tcBorders>
              <w:top w:val="single" w:color="000000" w:sz="12" w:space="0"/>
              <w:bottom w:val="single" w:color="000000" w:sz="12" w:space="0"/>
            </w:tcBorders>
            <w:shd w:val="clear" w:color="auto" w:fill="auto"/>
            <w:vAlign w:val="center"/>
          </w:tcPr>
          <w:p w14:paraId="725E238D">
            <w:pPr>
              <w:widowControl/>
              <w:snapToGrid w:val="0"/>
              <w:ind w:firstLine="0" w:firstLineChars="0"/>
              <w:jc w:val="center"/>
              <w:rPr>
                <w:b/>
                <w:bCs/>
                <w:color w:val="000000"/>
                <w:kern w:val="0"/>
                <w:sz w:val="16"/>
                <w:szCs w:val="16"/>
              </w:rPr>
            </w:pPr>
            <w:r>
              <w:rPr>
                <w:b/>
                <w:bCs/>
                <w:color w:val="000000"/>
                <w:kern w:val="0"/>
                <w:sz w:val="16"/>
                <w:szCs w:val="16"/>
              </w:rPr>
              <w:t>Unit Price (CNY)</w:t>
            </w:r>
          </w:p>
        </w:tc>
        <w:tc>
          <w:tcPr>
            <w:tcW w:w="1074" w:type="dxa"/>
            <w:tcBorders>
              <w:top w:val="single" w:color="000000" w:sz="12" w:space="0"/>
              <w:bottom w:val="single" w:color="000000" w:sz="12" w:space="0"/>
            </w:tcBorders>
            <w:shd w:val="clear" w:color="auto" w:fill="auto"/>
            <w:vAlign w:val="center"/>
          </w:tcPr>
          <w:p w14:paraId="71C998EC">
            <w:pPr>
              <w:widowControl/>
              <w:snapToGrid w:val="0"/>
              <w:ind w:firstLine="0" w:firstLineChars="0"/>
              <w:jc w:val="center"/>
              <w:rPr>
                <w:b/>
                <w:bCs/>
                <w:color w:val="000000"/>
                <w:kern w:val="0"/>
                <w:sz w:val="16"/>
                <w:szCs w:val="16"/>
              </w:rPr>
            </w:pPr>
            <w:r>
              <w:rPr>
                <w:b/>
                <w:bCs/>
                <w:color w:val="000000"/>
                <w:kern w:val="0"/>
                <w:sz w:val="16"/>
                <w:szCs w:val="16"/>
              </w:rPr>
              <w:t>Total (CNY)</w:t>
            </w:r>
          </w:p>
        </w:tc>
      </w:tr>
      <w:tr w14:paraId="3C80669C">
        <w:tblPrEx>
          <w:tblCellMar>
            <w:top w:w="0" w:type="dxa"/>
            <w:left w:w="108" w:type="dxa"/>
            <w:bottom w:w="0" w:type="dxa"/>
            <w:right w:w="108" w:type="dxa"/>
          </w:tblCellMar>
        </w:tblPrEx>
        <w:trPr>
          <w:trHeight w:val="288" w:hRule="atLeast"/>
          <w:jc w:val="center"/>
        </w:trPr>
        <w:tc>
          <w:tcPr>
            <w:tcW w:w="452" w:type="dxa"/>
            <w:tcBorders>
              <w:top w:val="single" w:color="000000" w:sz="12" w:space="0"/>
            </w:tcBorders>
            <w:noWrap/>
            <w:vAlign w:val="center"/>
          </w:tcPr>
          <w:p w14:paraId="0B55EE1F">
            <w:pPr>
              <w:widowControl/>
              <w:ind w:firstLine="0" w:firstLineChars="0"/>
              <w:jc w:val="center"/>
              <w:rPr>
                <w:rFonts w:cs="Arial"/>
                <w:color w:val="000000"/>
                <w:kern w:val="0"/>
                <w:sz w:val="16"/>
                <w:szCs w:val="16"/>
              </w:rPr>
            </w:pPr>
            <w:r>
              <w:rPr>
                <w:rFonts w:hint="eastAsia" w:cs="Arial"/>
                <w:color w:val="000000"/>
                <w:kern w:val="0"/>
                <w:sz w:val="16"/>
                <w:szCs w:val="16"/>
              </w:rPr>
              <w:t>1</w:t>
            </w:r>
          </w:p>
        </w:tc>
        <w:tc>
          <w:tcPr>
            <w:tcW w:w="3291" w:type="dxa"/>
            <w:tcBorders>
              <w:top w:val="single" w:color="000000" w:sz="12" w:space="0"/>
            </w:tcBorders>
            <w:noWrap/>
            <w:vAlign w:val="center"/>
          </w:tcPr>
          <w:p w14:paraId="7CDC9668">
            <w:pPr>
              <w:widowControl/>
              <w:ind w:firstLine="0" w:firstLineChars="0"/>
              <w:jc w:val="center"/>
              <w:rPr>
                <w:rFonts w:cs="Arial"/>
                <w:color w:val="000000"/>
                <w:kern w:val="0"/>
                <w:sz w:val="16"/>
                <w:szCs w:val="16"/>
              </w:rPr>
            </w:pPr>
            <w:r>
              <w:rPr>
                <w:rFonts w:hint="eastAsia" w:cs="Arial"/>
                <w:color w:val="000000"/>
                <w:kern w:val="0"/>
                <w:sz w:val="16"/>
                <w:szCs w:val="16"/>
              </w:rPr>
              <w:t>Pavement Milling Machine</w:t>
            </w:r>
          </w:p>
        </w:tc>
        <w:tc>
          <w:tcPr>
            <w:tcW w:w="1226" w:type="dxa"/>
            <w:tcBorders>
              <w:top w:val="single" w:color="000000" w:sz="12" w:space="0"/>
            </w:tcBorders>
            <w:noWrap/>
          </w:tcPr>
          <w:p w14:paraId="21F0729D">
            <w:pPr>
              <w:widowControl/>
              <w:ind w:firstLine="0" w:firstLineChars="0"/>
              <w:jc w:val="center"/>
              <w:rPr>
                <w:rFonts w:cs="Arial"/>
                <w:color w:val="000000"/>
                <w:kern w:val="0"/>
                <w:sz w:val="16"/>
                <w:szCs w:val="16"/>
              </w:rPr>
            </w:pPr>
            <w:r>
              <w:rPr>
                <w:rFonts w:hint="eastAsia" w:cs="Arial"/>
                <w:color w:val="000000"/>
                <w:kern w:val="0"/>
                <w:sz w:val="16"/>
                <w:szCs w:val="16"/>
              </w:rPr>
              <w:t>Machine-shift</w:t>
            </w:r>
          </w:p>
        </w:tc>
        <w:tc>
          <w:tcPr>
            <w:tcW w:w="830" w:type="dxa"/>
            <w:tcBorders>
              <w:top w:val="single" w:color="000000" w:sz="12" w:space="0"/>
            </w:tcBorders>
            <w:noWrap/>
          </w:tcPr>
          <w:p w14:paraId="3818EBED">
            <w:pPr>
              <w:widowControl/>
              <w:ind w:firstLine="0" w:firstLineChars="0"/>
              <w:jc w:val="center"/>
              <w:rPr>
                <w:rFonts w:cs="Arial"/>
                <w:color w:val="000000"/>
                <w:kern w:val="0"/>
                <w:sz w:val="16"/>
                <w:szCs w:val="16"/>
              </w:rPr>
            </w:pPr>
            <w:r>
              <w:rPr>
                <w:rFonts w:hint="eastAsia" w:cs="Arial"/>
                <w:color w:val="000000"/>
                <w:kern w:val="0"/>
                <w:sz w:val="16"/>
                <w:szCs w:val="16"/>
              </w:rPr>
              <w:t xml:space="preserve">1.00 </w:t>
            </w:r>
          </w:p>
        </w:tc>
        <w:tc>
          <w:tcPr>
            <w:tcW w:w="1407" w:type="dxa"/>
            <w:tcBorders>
              <w:top w:val="single" w:color="000000" w:sz="12" w:space="0"/>
            </w:tcBorders>
            <w:noWrap/>
          </w:tcPr>
          <w:p w14:paraId="4E553A4D">
            <w:pPr>
              <w:widowControl/>
              <w:ind w:firstLine="0" w:firstLineChars="0"/>
              <w:jc w:val="center"/>
              <w:rPr>
                <w:rFonts w:cs="Arial"/>
                <w:color w:val="000000"/>
                <w:kern w:val="0"/>
                <w:sz w:val="16"/>
                <w:szCs w:val="16"/>
              </w:rPr>
            </w:pPr>
            <w:r>
              <w:rPr>
                <w:rFonts w:hint="eastAsia" w:cs="Arial"/>
                <w:color w:val="000000"/>
                <w:kern w:val="0"/>
                <w:sz w:val="16"/>
                <w:szCs w:val="16"/>
              </w:rPr>
              <w:t>4200.00</w:t>
            </w:r>
          </w:p>
        </w:tc>
        <w:tc>
          <w:tcPr>
            <w:tcW w:w="1074" w:type="dxa"/>
            <w:tcBorders>
              <w:top w:val="single" w:color="000000" w:sz="12" w:space="0"/>
            </w:tcBorders>
            <w:noWrap/>
          </w:tcPr>
          <w:p w14:paraId="25570976">
            <w:pPr>
              <w:widowControl/>
              <w:ind w:firstLine="0" w:firstLineChars="0"/>
              <w:jc w:val="center"/>
              <w:rPr>
                <w:rFonts w:cs="Arial"/>
                <w:color w:val="000000"/>
                <w:kern w:val="0"/>
                <w:sz w:val="16"/>
                <w:szCs w:val="16"/>
              </w:rPr>
            </w:pPr>
            <w:r>
              <w:rPr>
                <w:rFonts w:hint="eastAsia" w:cs="Arial"/>
                <w:color w:val="000000"/>
                <w:kern w:val="0"/>
                <w:sz w:val="16"/>
                <w:szCs w:val="16"/>
              </w:rPr>
              <w:t xml:space="preserve">4200.00 </w:t>
            </w:r>
          </w:p>
        </w:tc>
      </w:tr>
      <w:tr w14:paraId="5FB35785">
        <w:tblPrEx>
          <w:tblCellMar>
            <w:top w:w="0" w:type="dxa"/>
            <w:left w:w="108" w:type="dxa"/>
            <w:bottom w:w="0" w:type="dxa"/>
            <w:right w:w="108" w:type="dxa"/>
          </w:tblCellMar>
        </w:tblPrEx>
        <w:trPr>
          <w:trHeight w:val="288" w:hRule="atLeast"/>
          <w:jc w:val="center"/>
        </w:trPr>
        <w:tc>
          <w:tcPr>
            <w:tcW w:w="452" w:type="dxa"/>
            <w:noWrap/>
            <w:vAlign w:val="center"/>
          </w:tcPr>
          <w:p w14:paraId="7A7AC6AF">
            <w:pPr>
              <w:widowControl/>
              <w:ind w:firstLine="0" w:firstLineChars="0"/>
              <w:jc w:val="center"/>
              <w:rPr>
                <w:rFonts w:cs="Arial"/>
                <w:color w:val="000000"/>
                <w:kern w:val="0"/>
                <w:sz w:val="16"/>
                <w:szCs w:val="16"/>
              </w:rPr>
            </w:pPr>
            <w:r>
              <w:rPr>
                <w:rFonts w:hint="eastAsia" w:cs="Arial"/>
                <w:color w:val="000000"/>
                <w:kern w:val="0"/>
                <w:sz w:val="16"/>
                <w:szCs w:val="16"/>
              </w:rPr>
              <w:t>2</w:t>
            </w:r>
          </w:p>
        </w:tc>
        <w:tc>
          <w:tcPr>
            <w:tcW w:w="3291" w:type="dxa"/>
            <w:noWrap/>
            <w:vAlign w:val="center"/>
          </w:tcPr>
          <w:p w14:paraId="1C33E686">
            <w:pPr>
              <w:widowControl/>
              <w:ind w:firstLine="0" w:firstLineChars="0"/>
              <w:jc w:val="center"/>
              <w:rPr>
                <w:rFonts w:cs="Arial"/>
                <w:color w:val="000000"/>
                <w:kern w:val="0"/>
                <w:sz w:val="16"/>
                <w:szCs w:val="16"/>
              </w:rPr>
            </w:pPr>
            <w:r>
              <w:rPr>
                <w:rFonts w:hint="eastAsia" w:cs="Arial"/>
                <w:color w:val="000000"/>
                <w:kern w:val="0"/>
                <w:sz w:val="16"/>
                <w:szCs w:val="16"/>
              </w:rPr>
              <w:t>Truck-mounted Asphalt Distributor 4000L</w:t>
            </w:r>
          </w:p>
        </w:tc>
        <w:tc>
          <w:tcPr>
            <w:tcW w:w="1226" w:type="dxa"/>
            <w:noWrap/>
          </w:tcPr>
          <w:p w14:paraId="2B194756">
            <w:pPr>
              <w:widowControl/>
              <w:ind w:firstLine="0" w:firstLineChars="0"/>
              <w:jc w:val="center"/>
              <w:rPr>
                <w:rFonts w:cs="Arial"/>
                <w:color w:val="000000"/>
                <w:kern w:val="0"/>
                <w:sz w:val="16"/>
                <w:szCs w:val="16"/>
              </w:rPr>
            </w:pPr>
            <w:r>
              <w:rPr>
                <w:rFonts w:hint="eastAsia" w:cs="Arial"/>
                <w:color w:val="000000"/>
                <w:kern w:val="0"/>
                <w:sz w:val="16"/>
                <w:szCs w:val="16"/>
              </w:rPr>
              <w:t>Machine-shift</w:t>
            </w:r>
          </w:p>
        </w:tc>
        <w:tc>
          <w:tcPr>
            <w:tcW w:w="830" w:type="dxa"/>
            <w:noWrap/>
          </w:tcPr>
          <w:p w14:paraId="40D5D2F1">
            <w:pPr>
              <w:widowControl/>
              <w:ind w:firstLine="0" w:firstLineChars="0"/>
              <w:jc w:val="center"/>
              <w:rPr>
                <w:rFonts w:cs="Arial"/>
                <w:color w:val="000000"/>
                <w:kern w:val="0"/>
                <w:sz w:val="16"/>
                <w:szCs w:val="16"/>
              </w:rPr>
            </w:pPr>
            <w:r>
              <w:rPr>
                <w:rFonts w:hint="eastAsia" w:cs="Arial"/>
                <w:color w:val="000000"/>
                <w:kern w:val="0"/>
                <w:sz w:val="16"/>
                <w:szCs w:val="16"/>
              </w:rPr>
              <w:t xml:space="preserve">1.00 </w:t>
            </w:r>
          </w:p>
        </w:tc>
        <w:tc>
          <w:tcPr>
            <w:tcW w:w="1407" w:type="dxa"/>
            <w:noWrap/>
          </w:tcPr>
          <w:p w14:paraId="5B019937">
            <w:pPr>
              <w:widowControl/>
              <w:ind w:firstLine="0" w:firstLineChars="0"/>
              <w:jc w:val="center"/>
              <w:rPr>
                <w:rFonts w:cs="Arial"/>
                <w:color w:val="000000"/>
                <w:kern w:val="0"/>
                <w:sz w:val="16"/>
                <w:szCs w:val="16"/>
              </w:rPr>
            </w:pPr>
            <w:r>
              <w:rPr>
                <w:rFonts w:hint="eastAsia" w:cs="Arial"/>
                <w:color w:val="000000"/>
                <w:kern w:val="0"/>
                <w:sz w:val="16"/>
                <w:szCs w:val="16"/>
              </w:rPr>
              <w:t>4200.00</w:t>
            </w:r>
          </w:p>
        </w:tc>
        <w:tc>
          <w:tcPr>
            <w:tcW w:w="1074" w:type="dxa"/>
            <w:noWrap/>
          </w:tcPr>
          <w:p w14:paraId="35C68F58">
            <w:pPr>
              <w:widowControl/>
              <w:ind w:firstLine="0" w:firstLineChars="0"/>
              <w:jc w:val="center"/>
              <w:rPr>
                <w:rFonts w:cs="Arial"/>
                <w:color w:val="000000"/>
                <w:kern w:val="0"/>
                <w:sz w:val="16"/>
                <w:szCs w:val="16"/>
              </w:rPr>
            </w:pPr>
            <w:r>
              <w:rPr>
                <w:rFonts w:hint="eastAsia" w:cs="Arial"/>
                <w:color w:val="000000"/>
                <w:kern w:val="0"/>
                <w:sz w:val="16"/>
                <w:szCs w:val="16"/>
              </w:rPr>
              <w:t xml:space="preserve">4200.00 </w:t>
            </w:r>
          </w:p>
        </w:tc>
      </w:tr>
      <w:tr w14:paraId="66EB5046">
        <w:tblPrEx>
          <w:tblCellMar>
            <w:top w:w="0" w:type="dxa"/>
            <w:left w:w="108" w:type="dxa"/>
            <w:bottom w:w="0" w:type="dxa"/>
            <w:right w:w="108" w:type="dxa"/>
          </w:tblCellMar>
        </w:tblPrEx>
        <w:trPr>
          <w:trHeight w:val="288" w:hRule="atLeast"/>
          <w:jc w:val="center"/>
        </w:trPr>
        <w:tc>
          <w:tcPr>
            <w:tcW w:w="452" w:type="dxa"/>
            <w:tcBorders>
              <w:bottom w:val="single" w:color="000000" w:sz="12" w:space="0"/>
            </w:tcBorders>
            <w:noWrap/>
            <w:vAlign w:val="center"/>
          </w:tcPr>
          <w:p w14:paraId="1239169F">
            <w:pPr>
              <w:widowControl/>
              <w:ind w:firstLine="0" w:firstLineChars="0"/>
              <w:jc w:val="center"/>
              <w:rPr>
                <w:rFonts w:cs="Arial"/>
                <w:color w:val="000000"/>
                <w:kern w:val="0"/>
                <w:sz w:val="16"/>
                <w:szCs w:val="16"/>
              </w:rPr>
            </w:pPr>
            <w:r>
              <w:rPr>
                <w:rFonts w:hint="eastAsia" w:cs="Arial"/>
                <w:color w:val="000000"/>
                <w:kern w:val="0"/>
                <w:sz w:val="16"/>
                <w:szCs w:val="16"/>
              </w:rPr>
              <w:t>3</w:t>
            </w:r>
          </w:p>
        </w:tc>
        <w:tc>
          <w:tcPr>
            <w:tcW w:w="3291" w:type="dxa"/>
            <w:tcBorders>
              <w:bottom w:val="single" w:color="000000" w:sz="12" w:space="0"/>
            </w:tcBorders>
            <w:noWrap/>
            <w:vAlign w:val="center"/>
          </w:tcPr>
          <w:p w14:paraId="6CA0F40D">
            <w:pPr>
              <w:widowControl/>
              <w:ind w:firstLine="0" w:firstLineChars="0"/>
              <w:jc w:val="center"/>
              <w:rPr>
                <w:rFonts w:cs="Arial"/>
                <w:color w:val="000000"/>
                <w:kern w:val="0"/>
                <w:sz w:val="16"/>
                <w:szCs w:val="16"/>
              </w:rPr>
            </w:pPr>
            <w:r>
              <w:rPr>
                <w:rFonts w:hint="eastAsia" w:cs="Arial"/>
                <w:color w:val="000000"/>
                <w:kern w:val="0"/>
                <w:sz w:val="16"/>
                <w:szCs w:val="16"/>
              </w:rPr>
              <w:t>Rollers and paver</w:t>
            </w:r>
          </w:p>
        </w:tc>
        <w:tc>
          <w:tcPr>
            <w:tcW w:w="1226" w:type="dxa"/>
            <w:tcBorders>
              <w:bottom w:val="single" w:color="000000" w:sz="12" w:space="0"/>
            </w:tcBorders>
            <w:noWrap/>
          </w:tcPr>
          <w:p w14:paraId="6B39E55C">
            <w:pPr>
              <w:widowControl/>
              <w:ind w:firstLine="0" w:firstLineChars="0"/>
              <w:jc w:val="center"/>
              <w:rPr>
                <w:rFonts w:cs="Arial"/>
                <w:color w:val="000000"/>
                <w:kern w:val="0"/>
                <w:sz w:val="16"/>
                <w:szCs w:val="16"/>
              </w:rPr>
            </w:pPr>
            <w:r>
              <w:rPr>
                <w:rFonts w:hint="eastAsia" w:cs="Arial"/>
                <w:color w:val="000000"/>
                <w:kern w:val="0"/>
                <w:sz w:val="16"/>
                <w:szCs w:val="16"/>
              </w:rPr>
              <w:t>Machine-shift</w:t>
            </w:r>
          </w:p>
        </w:tc>
        <w:tc>
          <w:tcPr>
            <w:tcW w:w="830" w:type="dxa"/>
            <w:tcBorders>
              <w:bottom w:val="single" w:color="000000" w:sz="12" w:space="0"/>
            </w:tcBorders>
            <w:noWrap/>
          </w:tcPr>
          <w:p w14:paraId="54665B07">
            <w:pPr>
              <w:widowControl/>
              <w:ind w:firstLine="0" w:firstLineChars="0"/>
              <w:jc w:val="center"/>
              <w:rPr>
                <w:rFonts w:cs="Arial"/>
                <w:color w:val="000000"/>
                <w:kern w:val="0"/>
                <w:sz w:val="16"/>
                <w:szCs w:val="16"/>
              </w:rPr>
            </w:pPr>
            <w:r>
              <w:rPr>
                <w:rFonts w:hint="eastAsia" w:cs="Arial"/>
                <w:color w:val="000000"/>
                <w:kern w:val="0"/>
                <w:sz w:val="16"/>
                <w:szCs w:val="16"/>
              </w:rPr>
              <w:t xml:space="preserve">1.00 </w:t>
            </w:r>
          </w:p>
        </w:tc>
        <w:tc>
          <w:tcPr>
            <w:tcW w:w="1407" w:type="dxa"/>
            <w:tcBorders>
              <w:bottom w:val="single" w:color="000000" w:sz="12" w:space="0"/>
            </w:tcBorders>
            <w:noWrap/>
          </w:tcPr>
          <w:p w14:paraId="1DB5C2E1">
            <w:pPr>
              <w:widowControl/>
              <w:ind w:firstLine="0" w:firstLineChars="0"/>
              <w:jc w:val="center"/>
              <w:rPr>
                <w:rFonts w:cs="Arial"/>
                <w:color w:val="000000"/>
                <w:kern w:val="0"/>
                <w:sz w:val="16"/>
                <w:szCs w:val="16"/>
              </w:rPr>
            </w:pPr>
            <w:r>
              <w:rPr>
                <w:rFonts w:hint="eastAsia" w:cs="Arial"/>
                <w:color w:val="000000"/>
                <w:kern w:val="0"/>
                <w:sz w:val="16"/>
                <w:szCs w:val="16"/>
              </w:rPr>
              <w:t>4200.00</w:t>
            </w:r>
          </w:p>
        </w:tc>
        <w:tc>
          <w:tcPr>
            <w:tcW w:w="1074" w:type="dxa"/>
            <w:tcBorders>
              <w:bottom w:val="single" w:color="000000" w:sz="12" w:space="0"/>
            </w:tcBorders>
            <w:noWrap/>
          </w:tcPr>
          <w:p w14:paraId="698740D0">
            <w:pPr>
              <w:widowControl/>
              <w:ind w:firstLine="0" w:firstLineChars="0"/>
              <w:jc w:val="center"/>
              <w:rPr>
                <w:rFonts w:cs="Arial"/>
                <w:color w:val="000000"/>
                <w:kern w:val="0"/>
                <w:sz w:val="16"/>
                <w:szCs w:val="16"/>
              </w:rPr>
            </w:pPr>
            <w:r>
              <w:rPr>
                <w:rFonts w:hint="eastAsia" w:cs="Arial"/>
                <w:color w:val="000000"/>
                <w:kern w:val="0"/>
                <w:sz w:val="16"/>
                <w:szCs w:val="16"/>
              </w:rPr>
              <w:t xml:space="preserve">4200.00 </w:t>
            </w:r>
          </w:p>
        </w:tc>
      </w:tr>
    </w:tbl>
    <w:p w14:paraId="547CAFE0">
      <w:pPr>
        <w:ind w:firstLine="0" w:firstLineChars="0"/>
        <w:rPr>
          <w:kern w:val="2"/>
          <w:szCs w:val="22"/>
        </w:rPr>
      </w:pPr>
    </w:p>
    <w:p w14:paraId="405F078A">
      <w:pPr>
        <w:ind w:firstLine="420"/>
      </w:pPr>
    </w:p>
    <w:p w14:paraId="17E096C2">
      <w:pPr>
        <w:ind w:firstLine="420"/>
      </w:pPr>
    </w:p>
    <w:p w14:paraId="752093BF">
      <w:pPr>
        <w:ind w:firstLine="420"/>
      </w:pPr>
    </w:p>
    <w:p w14:paraId="392DE773">
      <w:pPr>
        <w:ind w:firstLine="420"/>
      </w:pPr>
    </w:p>
    <w:p w14:paraId="78447C53">
      <w:pPr>
        <w:ind w:firstLine="420"/>
      </w:pPr>
    </w:p>
    <w:p w14:paraId="5AE52406">
      <w:pPr>
        <w:ind w:firstLine="420"/>
      </w:pPr>
    </w:p>
    <w:p w14:paraId="3E17B5EC">
      <w:pPr>
        <w:ind w:firstLine="0" w:firstLineChars="0"/>
        <w:jc w:val="left"/>
      </w:pPr>
    </w:p>
    <w:p w14:paraId="11BC2EFF">
      <w:pPr>
        <w:pStyle w:val="2"/>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171B5B4">
      <w:pPr>
        <w:pStyle w:val="2"/>
        <w:ind w:firstLine="0" w:firstLineChars="0"/>
      </w:pPr>
      <w:r>
        <w:t>Supplementary Note 10. Correlation Analysis Methodology</w:t>
      </w:r>
    </w:p>
    <w:p w14:paraId="66FDB013">
      <w:pPr>
        <w:ind w:firstLine="420"/>
      </w:pPr>
      <w:r>
        <w:t>This study selected 151 airport runways as research samples. The original elevation data were collected at 25 m intervals. To reduce the influence of local outliers, each runway was segmented into 100 m sections, and the average value of each indicator within a segment was taken as its representative value. This process ensured consistent spatial matching between elevation data and emission results.</w:t>
      </w:r>
    </w:p>
    <w:p w14:paraId="7EBA1DA2">
      <w:pPr>
        <w:ind w:firstLine="420"/>
      </w:pPr>
      <w:r>
        <w:t>Based on the processed elevation dataset, CO₂ emissions during taxiing were calculated for 14 representative aircraft types across all runways. Correlations among aircraft-specific CO₂ emissions were first examined.</w:t>
      </w:r>
    </w:p>
    <w:p w14:paraId="1C292979">
      <w:pPr>
        <w:ind w:firstLine="420"/>
      </w:pPr>
      <w:r>
        <w:t>Simultaneously, three pavement roughness indicators—BBI, IRI, and CCI—were computed using the same elevation dataset. The relationships between these indicators and aircraft CO₂ emissions were then quantified using Pearson correlation analysis and linear regression modeling. The analytical procedure is summarized as follows:</w:t>
      </w:r>
    </w:p>
    <w:p w14:paraId="7FCB65A5">
      <w:pPr>
        <w:ind w:firstLine="420"/>
      </w:pPr>
      <w:r>
        <w:rPr>
          <w:rFonts w:hint="eastAsia"/>
        </w:rPr>
        <w:t>(</w:t>
      </w:r>
      <w:r>
        <w:t>1)Normality test: Data distributions were examined using the Shapiro–Wilk test (P &gt; 0.05, indicating normality).</w:t>
      </w:r>
    </w:p>
    <w:p w14:paraId="6D056F8F">
      <w:pPr>
        <w:ind w:firstLine="420"/>
      </w:pPr>
      <w:r>
        <w:t>(2)Correlation analysis: Pearson correlation coefficients (r) were calculated to quantify linear relationships between roughness indicators and CO₂ emissions.</w:t>
      </w:r>
    </w:p>
    <w:p w14:paraId="620C516A">
      <w:pPr>
        <w:ind w:firstLine="420"/>
      </w:pPr>
      <w:r>
        <w:t>(3)Significance test: Statistical significance of correlation coefficients was verified using t-tests (α = 0.05).</w:t>
      </w:r>
    </w:p>
    <w:p w14:paraId="5F7977F6">
      <w:pPr>
        <w:ind w:firstLine="420"/>
      </w:pPr>
      <w:r>
        <w:rPr>
          <w:rFonts w:hint="eastAsia"/>
        </w:rPr>
        <w:t>(</w:t>
      </w:r>
      <w:r>
        <w:t>4)Regression modeling: Linear regression models were constructed, and the coefficient of determination (R²) was used to evaluate goodness of fit.</w:t>
      </w:r>
    </w:p>
    <w:p w14:paraId="5607AC13">
      <w:pPr>
        <w:ind w:firstLine="420"/>
        <w:jc w:val="center"/>
        <w:rPr>
          <w:rStyle w:val="53"/>
        </w:rPr>
      </w:pPr>
      <w:r>
        <w:rPr>
          <w:rFonts w:eastAsiaTheme="minorEastAsia"/>
          <w:kern w:val="2"/>
          <w:szCs w:val="24"/>
        </w:rPr>
        <w:drawing>
          <wp:inline distT="0" distB="0" distL="114300" distR="114300">
            <wp:extent cx="4319905" cy="2974340"/>
            <wp:effectExtent l="0" t="0" r="10795" b="10160"/>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96"/>
                    <a:stretch>
                      <a:fillRect/>
                    </a:stretch>
                  </pic:blipFill>
                  <pic:spPr>
                    <a:xfrm>
                      <a:off x="0" y="0"/>
                      <a:ext cx="4319905" cy="2974340"/>
                    </a:xfrm>
                    <a:prstGeom prst="rect">
                      <a:avLst/>
                    </a:prstGeom>
                    <a:noFill/>
                    <a:ln>
                      <a:noFill/>
                    </a:ln>
                  </pic:spPr>
                </pic:pic>
              </a:graphicData>
            </a:graphic>
          </wp:inline>
        </w:drawing>
      </w:r>
    </w:p>
    <w:p w14:paraId="33298B7C">
      <w:pPr>
        <w:ind w:firstLine="420"/>
        <w:jc w:val="center"/>
      </w:pPr>
      <w:r>
        <w:t>Fig.</w:t>
      </w:r>
      <w:r>
        <w:rPr>
          <w:rFonts w:hint="eastAsia"/>
        </w:rPr>
        <w:t>S</w:t>
      </w:r>
      <w:r>
        <w:t>10.1. Workflow of the correlation analysis procedure.</w:t>
      </w:r>
    </w:p>
    <w:p w14:paraId="1AE90C54">
      <w:pPr>
        <w:ind w:firstLine="420"/>
        <w:jc w:val="left"/>
      </w:pPr>
      <w:r>
        <w:t xml:space="preserve">To ensure representativeness across the full spectrum of civil aviation operations, 14 aircraft types were selected, including: narrow-body jets (A319, A320neo, B737, B737-300, B757), wide-body jets (A330, A350, A380, B747, B777, B787), regional jets (CRJ900, E190), turboprop aircraft (ATR 500). </w:t>
      </w:r>
    </w:p>
    <w:p w14:paraId="16864634">
      <w:pPr>
        <w:ind w:firstLine="420"/>
        <w:jc w:val="left"/>
      </w:pPr>
      <w:r>
        <w:t>The inter-aircraft correlation results are shown in Fig.</w:t>
      </w:r>
      <w:r>
        <w:rPr>
          <w:rFonts w:hint="eastAsia"/>
          <w:lang w:val="en-US" w:eastAsia="zh-CN"/>
        </w:rPr>
        <w:t>1</w:t>
      </w:r>
      <w:r>
        <w:t>0.2. The high correlation observed in the original energy data primarily reflects the common excitation induced by pavement roughness. After removing the pavement-induced common effect via residual analysis, inter-aircraft residual correlations decreased significantly, and the residual standard deviations confirmed systematic differences among aircraft responses. This demonstrates that even under identical pavement excitation, aircraft energy responses exhibit clear heterogeneity.</w:t>
      </w:r>
    </w:p>
    <w:p w14:paraId="53B2D99B">
      <w:pPr>
        <w:ind w:firstLine="420"/>
        <w:jc w:val="left"/>
      </w:pPr>
      <w:r>
        <w:t>Further analysis of correlations between aircraft energy consumption and the three roughness indicators shows:</w:t>
      </w:r>
    </w:p>
    <w:p w14:paraId="4F791C2D">
      <w:pPr>
        <w:ind w:firstLine="420"/>
        <w:jc w:val="left"/>
      </w:pPr>
      <w:r>
        <w:t>CCI exhibits strong linear correlations (r</w:t>
      </w:r>
      <w:r>
        <w:rPr>
          <w:rFonts w:hint="eastAsia"/>
        </w:rPr>
        <w:t>≈</w:t>
      </w:r>
      <w:r>
        <w:t>0.8) with CO₂ emissions across all aircraft types;</w:t>
      </w:r>
    </w:p>
    <w:p w14:paraId="45409F38">
      <w:pPr>
        <w:ind w:firstLine="420"/>
        <w:jc w:val="left"/>
      </w:pPr>
      <w:r>
        <w:t>BBI shows relatively higher correlations for smaller aircraft;</w:t>
      </w:r>
    </w:p>
    <w:p w14:paraId="4DF4E05B">
      <w:pPr>
        <w:ind w:firstLine="420"/>
        <w:jc w:val="left"/>
      </w:pPr>
      <w:r>
        <w:t>IRI generally demonstrates weaker correlations with CO₂ emissions.</w:t>
      </w:r>
    </w:p>
    <w:p w14:paraId="0ADB0CB4">
      <w:pPr>
        <w:ind w:firstLine="420"/>
        <w:jc w:val="left"/>
      </w:pPr>
      <w:r>
        <w:t>These results indicate that CCI provides the strongest explanatory power in quantifying the effect of runway roughness on aircraft carbon emissions. In contrast, the sensitivities of BBI and IRI are strongly influenced by aircraft size and dynamic characteristics, resulting in pronounced aircraft-type dependence.</w:t>
      </w:r>
    </w:p>
    <w:p w14:paraId="62A2D993">
      <w:pPr>
        <w:ind w:firstLine="0" w:firstLineChars="0"/>
        <w:jc w:val="center"/>
      </w:pPr>
      <w:r>
        <w:rPr>
          <w:rFonts w:hint="eastAsia"/>
        </w:rPr>
        <w:drawing>
          <wp:inline distT="0" distB="0" distL="114300" distR="114300">
            <wp:extent cx="4070985" cy="3009265"/>
            <wp:effectExtent l="0" t="0" r="5715" b="635"/>
            <wp:docPr id="61" name="图片 61" descr="aircraft_residual_correlation_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aircraft_residual_correlation_plot"/>
                    <pic:cNvPicPr>
                      <a:picLocks noChangeAspect="1"/>
                    </pic:cNvPicPr>
                  </pic:nvPicPr>
                  <pic:blipFill>
                    <a:blip r:embed="rId97"/>
                    <a:stretch>
                      <a:fillRect/>
                    </a:stretch>
                  </pic:blipFill>
                  <pic:spPr>
                    <a:xfrm>
                      <a:off x="0" y="0"/>
                      <a:ext cx="4070985" cy="3009265"/>
                    </a:xfrm>
                    <a:prstGeom prst="rect">
                      <a:avLst/>
                    </a:prstGeom>
                  </pic:spPr>
                </pic:pic>
              </a:graphicData>
            </a:graphic>
          </wp:inline>
        </w:drawing>
      </w:r>
    </w:p>
    <w:p w14:paraId="1AD19866">
      <w:pPr>
        <w:pStyle w:val="52"/>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Fig.</w:t>
      </w:r>
      <w:r>
        <w:rPr>
          <w:rFonts w:hint="eastAsia"/>
        </w:rPr>
        <w:t>S</w:t>
      </w:r>
      <w:r>
        <w:t>10.2. Correlations between BBI, CCI, IRI and CO₂ emissions across different aircraft types.</w:t>
      </w:r>
    </w:p>
    <w:p w14:paraId="5E277E6F">
      <w:pPr>
        <w:pStyle w:val="2"/>
        <w:ind w:firstLine="0" w:firstLineChars="0"/>
      </w:pPr>
      <w:r>
        <w:t>Supplementary Note 11</w:t>
      </w:r>
      <w:r>
        <w:rPr>
          <w:rFonts w:hint="eastAsia"/>
        </w:rPr>
        <w:t>.</w:t>
      </w:r>
      <w:r>
        <w:t xml:space="preserve"> Carbon Reduction Assessment for Shanghai Pudong International Airport</w:t>
      </w:r>
    </w:p>
    <w:p w14:paraId="7124AF4C">
      <w:pPr>
        <w:ind w:firstLine="420"/>
      </w:pPr>
      <w:r>
        <w:t xml:space="preserve">The subgrade beneath Runway 2 at Shanghai Pudong International Airport (PVG) consists of thick soft soil deposits with non-uniform consolidation rates. Long-term regional land subsidence has led to the gradual formation of pronounced long-wavelength surface irregularities over the runway life cycle. Based on multi-period field measurements, the dominant irregularity can be approximated as a sinusoidal profile with wavelength </w:t>
      </w:r>
      <w:r>
        <w:rPr>
          <w:rFonts w:ascii="Cambria Math" w:hAnsi="Cambria Math" w:cs="Cambria Math"/>
        </w:rPr>
        <w:t>𝐿</w:t>
      </w:r>
      <w:r>
        <w:t xml:space="preserve">=60m and geometric amplitude </w:t>
      </w:r>
      <w:r>
        <w:rPr>
          <w:rFonts w:ascii="Cambria Math" w:hAnsi="Cambria Math" w:cs="Cambria Math"/>
        </w:rPr>
        <w:t>𝐴</w:t>
      </w:r>
      <w:r>
        <w:t>=112.2 mm.</w:t>
      </w:r>
    </w:p>
    <w:p w14:paraId="12D4B459">
      <w:pPr>
        <w:ind w:firstLine="420"/>
      </w:pPr>
      <w:r>
        <w:t>Although this long-wave unevenness amplifies aircraft dynamic responses, its BBI value remains 1.0, which is within the current regulatory limit. Consequently, the runway has remained in service for nearly 30 years without triggering maintenance under existing standards.</w:t>
      </w:r>
    </w:p>
    <w:p w14:paraId="7A778BAF">
      <w:pPr>
        <w:ind w:firstLine="420"/>
      </w:pPr>
      <w:r>
        <w:t xml:space="preserve">To quantify the carbon impact of this long-wave irregularity, aircraft taxiing over the affected section was simulated at 200 km/h, based on typical taxiway design speeds and operational averages. Using the dynamic model, the incremental energy dissipation and corresponding CO₂ emissions per aircraft passage in 2019 were calculated for major aircraft types. Combined with the actual annual movement frequencies (see Source Data 1), the total additional CO₂ emissions induced by pavement unevenness were obtained, as summarized in Table </w:t>
      </w:r>
      <w:r>
        <w:rPr>
          <w:rFonts w:hint="eastAsia"/>
        </w:rPr>
        <w:t>S</w:t>
      </w:r>
      <w:r>
        <w:t>11.</w:t>
      </w:r>
    </w:p>
    <w:p w14:paraId="117F0DAB">
      <w:pPr>
        <w:pStyle w:val="52"/>
      </w:pPr>
      <w:r>
        <w:t xml:space="preserve">Table </w:t>
      </w:r>
      <w:r>
        <w:rPr>
          <w:rFonts w:hint="eastAsia"/>
        </w:rPr>
        <w:t>S</w:t>
      </w:r>
      <w:r>
        <w:t>11.</w:t>
      </w:r>
      <w:r>
        <w:rPr>
          <w:rFonts w:hint="eastAsia"/>
        </w:rPr>
        <w:t xml:space="preserve"> </w:t>
      </w:r>
      <w:r>
        <w:t>Additional CO₂ emissions induced by subsidence at PVG (2019)</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3"/>
        <w:gridCol w:w="1985"/>
        <w:gridCol w:w="1559"/>
        <w:gridCol w:w="2035"/>
      </w:tblGrid>
      <w:tr w14:paraId="64E1E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top w:val="single" w:color="auto" w:sz="12" w:space="0"/>
              <w:left w:val="nil"/>
              <w:bottom w:val="single" w:color="auto" w:sz="12" w:space="0"/>
            </w:tcBorders>
            <w:shd w:val="clear" w:color="auto" w:fill="auto"/>
            <w:vAlign w:val="center"/>
          </w:tcPr>
          <w:p w14:paraId="036B6AD2">
            <w:pPr>
              <w:pStyle w:val="49"/>
            </w:pPr>
            <w:r>
              <w:t>A</w:t>
            </w:r>
            <w:r>
              <w:rPr>
                <w:rFonts w:hint="eastAsia"/>
              </w:rPr>
              <w:t>ircraft</w:t>
            </w:r>
            <w:r>
              <w:t xml:space="preserve"> </w:t>
            </w:r>
            <w:r>
              <w:rPr>
                <w:rFonts w:hint="eastAsia"/>
              </w:rPr>
              <w:t>type</w:t>
            </w:r>
          </w:p>
        </w:tc>
        <w:tc>
          <w:tcPr>
            <w:tcW w:w="1985" w:type="dxa"/>
            <w:tcBorders>
              <w:top w:val="single" w:color="auto" w:sz="12" w:space="0"/>
              <w:bottom w:val="single" w:color="auto" w:sz="12" w:space="0"/>
            </w:tcBorders>
            <w:shd w:val="clear" w:color="auto" w:fill="auto"/>
            <w:vAlign w:val="center"/>
          </w:tcPr>
          <w:p w14:paraId="2F2A69E5">
            <w:pPr>
              <w:pStyle w:val="49"/>
            </w:pPr>
            <w:r>
              <w:t xml:space="preserve">Energy </w:t>
            </w:r>
            <w:r>
              <w:rPr>
                <w:rFonts w:hint="eastAsia"/>
              </w:rPr>
              <w:t>(</w:t>
            </w:r>
            <w:r>
              <w:t>J</w:t>
            </w:r>
            <w:r>
              <w:rPr>
                <w:rFonts w:hint="eastAsia"/>
              </w:rPr>
              <w:t>)</w:t>
            </w:r>
          </w:p>
        </w:tc>
        <w:tc>
          <w:tcPr>
            <w:tcW w:w="1559" w:type="dxa"/>
            <w:tcBorders>
              <w:top w:val="single" w:color="auto" w:sz="12" w:space="0"/>
              <w:bottom w:val="single" w:color="auto" w:sz="12" w:space="0"/>
            </w:tcBorders>
            <w:shd w:val="clear" w:color="auto" w:fill="auto"/>
            <w:vAlign w:val="center"/>
          </w:tcPr>
          <w:p w14:paraId="6714D054">
            <w:pPr>
              <w:pStyle w:val="49"/>
            </w:pPr>
            <w:r>
              <w:t>Number of Movements</w:t>
            </w:r>
          </w:p>
        </w:tc>
        <w:tc>
          <w:tcPr>
            <w:tcW w:w="2035" w:type="dxa"/>
            <w:tcBorders>
              <w:top w:val="single" w:color="auto" w:sz="12" w:space="0"/>
              <w:bottom w:val="single" w:color="auto" w:sz="12" w:space="0"/>
              <w:right w:val="nil"/>
            </w:tcBorders>
            <w:shd w:val="clear" w:color="auto" w:fill="auto"/>
            <w:vAlign w:val="center"/>
          </w:tcPr>
          <w:p w14:paraId="166523C2">
            <w:pPr>
              <w:pStyle w:val="49"/>
            </w:pPr>
            <w:r>
              <w:t>CO₂ Emissions (g)</w:t>
            </w:r>
          </w:p>
        </w:tc>
      </w:tr>
      <w:tr w14:paraId="23785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top w:val="single" w:color="auto" w:sz="12" w:space="0"/>
              <w:left w:val="nil"/>
            </w:tcBorders>
            <w:shd w:val="clear" w:color="auto" w:fill="auto"/>
            <w:vAlign w:val="center"/>
          </w:tcPr>
          <w:p w14:paraId="3E52DEAA">
            <w:pPr>
              <w:pStyle w:val="49"/>
            </w:pPr>
            <w:r>
              <w:rPr>
                <w:rFonts w:hint="eastAsia"/>
              </w:rPr>
              <w:t>B747-400</w:t>
            </w:r>
          </w:p>
        </w:tc>
        <w:tc>
          <w:tcPr>
            <w:tcW w:w="1985" w:type="dxa"/>
            <w:tcBorders>
              <w:top w:val="single" w:color="auto" w:sz="12" w:space="0"/>
            </w:tcBorders>
            <w:shd w:val="clear" w:color="auto" w:fill="auto"/>
            <w:vAlign w:val="center"/>
          </w:tcPr>
          <w:p w14:paraId="537504CA">
            <w:pPr>
              <w:pStyle w:val="49"/>
            </w:pPr>
            <w:r>
              <w:rPr>
                <w:rFonts w:hint="eastAsia"/>
              </w:rPr>
              <w:t>5.31E+04</w:t>
            </w:r>
          </w:p>
        </w:tc>
        <w:tc>
          <w:tcPr>
            <w:tcW w:w="1559" w:type="dxa"/>
            <w:tcBorders>
              <w:top w:val="single" w:color="auto" w:sz="12" w:space="0"/>
            </w:tcBorders>
            <w:shd w:val="clear" w:color="auto" w:fill="auto"/>
            <w:vAlign w:val="bottom"/>
          </w:tcPr>
          <w:p w14:paraId="510B09A6">
            <w:pPr>
              <w:pStyle w:val="49"/>
            </w:pPr>
            <w:r>
              <w:rPr>
                <w:rFonts w:hint="eastAsia"/>
              </w:rPr>
              <w:t>700</w:t>
            </w:r>
          </w:p>
        </w:tc>
        <w:tc>
          <w:tcPr>
            <w:tcW w:w="2035" w:type="dxa"/>
            <w:tcBorders>
              <w:top w:val="single" w:color="auto" w:sz="12" w:space="0"/>
              <w:right w:val="nil"/>
            </w:tcBorders>
            <w:shd w:val="clear" w:color="auto" w:fill="auto"/>
            <w:vAlign w:val="center"/>
          </w:tcPr>
          <w:p w14:paraId="6818CB17">
            <w:pPr>
              <w:pStyle w:val="49"/>
            </w:pPr>
            <w:r>
              <w:rPr>
                <w:rFonts w:hint="eastAsia"/>
              </w:rPr>
              <w:t>5435.446121</w:t>
            </w:r>
          </w:p>
        </w:tc>
      </w:tr>
      <w:tr w14:paraId="1324E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5EAB0564">
            <w:pPr>
              <w:pStyle w:val="49"/>
            </w:pPr>
            <w:r>
              <w:rPr>
                <w:rFonts w:hint="eastAsia"/>
              </w:rPr>
              <w:t>B787-9</w:t>
            </w:r>
          </w:p>
        </w:tc>
        <w:tc>
          <w:tcPr>
            <w:tcW w:w="1985" w:type="dxa"/>
            <w:shd w:val="clear" w:color="auto" w:fill="auto"/>
            <w:vAlign w:val="center"/>
          </w:tcPr>
          <w:p w14:paraId="04FF62D3">
            <w:pPr>
              <w:pStyle w:val="49"/>
            </w:pPr>
            <w:r>
              <w:rPr>
                <w:rFonts w:hint="eastAsia"/>
              </w:rPr>
              <w:t>7.27E+04</w:t>
            </w:r>
          </w:p>
        </w:tc>
        <w:tc>
          <w:tcPr>
            <w:tcW w:w="1559" w:type="dxa"/>
            <w:shd w:val="clear" w:color="auto" w:fill="auto"/>
            <w:vAlign w:val="bottom"/>
          </w:tcPr>
          <w:p w14:paraId="52E23DA6">
            <w:pPr>
              <w:pStyle w:val="49"/>
            </w:pPr>
            <w:r>
              <w:rPr>
                <w:rFonts w:hint="eastAsia"/>
              </w:rPr>
              <w:t>7338</w:t>
            </w:r>
          </w:p>
        </w:tc>
        <w:tc>
          <w:tcPr>
            <w:tcW w:w="2035" w:type="dxa"/>
            <w:tcBorders>
              <w:right w:val="nil"/>
            </w:tcBorders>
            <w:shd w:val="clear" w:color="auto" w:fill="auto"/>
            <w:vAlign w:val="center"/>
          </w:tcPr>
          <w:p w14:paraId="6FAE40F0">
            <w:pPr>
              <w:pStyle w:val="49"/>
            </w:pPr>
            <w:r>
              <w:rPr>
                <w:rFonts w:hint="eastAsia"/>
              </w:rPr>
              <w:t>77996.27516</w:t>
            </w:r>
          </w:p>
        </w:tc>
      </w:tr>
      <w:tr w14:paraId="78472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5733BB0A">
            <w:pPr>
              <w:pStyle w:val="49"/>
            </w:pPr>
            <w:r>
              <w:rPr>
                <w:rFonts w:hint="eastAsia"/>
              </w:rPr>
              <w:t>B787-8</w:t>
            </w:r>
          </w:p>
        </w:tc>
        <w:tc>
          <w:tcPr>
            <w:tcW w:w="1985" w:type="dxa"/>
            <w:shd w:val="clear" w:color="auto" w:fill="auto"/>
            <w:vAlign w:val="center"/>
          </w:tcPr>
          <w:p w14:paraId="786F892C">
            <w:pPr>
              <w:pStyle w:val="49"/>
            </w:pPr>
            <w:r>
              <w:rPr>
                <w:rFonts w:hint="eastAsia"/>
              </w:rPr>
              <w:t>7.27E+04</w:t>
            </w:r>
          </w:p>
        </w:tc>
        <w:tc>
          <w:tcPr>
            <w:tcW w:w="1559" w:type="dxa"/>
            <w:shd w:val="clear" w:color="auto" w:fill="auto"/>
            <w:vAlign w:val="bottom"/>
          </w:tcPr>
          <w:p w14:paraId="6D804B32">
            <w:pPr>
              <w:pStyle w:val="49"/>
            </w:pPr>
            <w:r>
              <w:rPr>
                <w:rFonts w:hint="eastAsia"/>
              </w:rPr>
              <w:t>2315</w:t>
            </w:r>
          </w:p>
        </w:tc>
        <w:tc>
          <w:tcPr>
            <w:tcW w:w="2035" w:type="dxa"/>
            <w:tcBorders>
              <w:right w:val="nil"/>
            </w:tcBorders>
            <w:shd w:val="clear" w:color="auto" w:fill="auto"/>
            <w:vAlign w:val="center"/>
          </w:tcPr>
          <w:p w14:paraId="6241496D">
            <w:pPr>
              <w:pStyle w:val="49"/>
            </w:pPr>
            <w:r>
              <w:rPr>
                <w:rFonts w:hint="eastAsia"/>
              </w:rPr>
              <w:t>24606.34737</w:t>
            </w:r>
          </w:p>
        </w:tc>
      </w:tr>
      <w:tr w14:paraId="1927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14C7F6D2">
            <w:pPr>
              <w:pStyle w:val="49"/>
            </w:pPr>
            <w:r>
              <w:rPr>
                <w:rFonts w:hint="eastAsia"/>
              </w:rPr>
              <w:t>B787</w:t>
            </w:r>
          </w:p>
        </w:tc>
        <w:tc>
          <w:tcPr>
            <w:tcW w:w="1985" w:type="dxa"/>
            <w:shd w:val="clear" w:color="auto" w:fill="auto"/>
            <w:vAlign w:val="center"/>
          </w:tcPr>
          <w:p w14:paraId="4E1FDBD5">
            <w:pPr>
              <w:pStyle w:val="49"/>
            </w:pPr>
            <w:r>
              <w:rPr>
                <w:rFonts w:hint="eastAsia"/>
              </w:rPr>
              <w:t>7.30E+04</w:t>
            </w:r>
          </w:p>
        </w:tc>
        <w:tc>
          <w:tcPr>
            <w:tcW w:w="1559" w:type="dxa"/>
            <w:shd w:val="clear" w:color="auto" w:fill="auto"/>
            <w:vAlign w:val="bottom"/>
          </w:tcPr>
          <w:p w14:paraId="66521CED">
            <w:pPr>
              <w:pStyle w:val="49"/>
            </w:pPr>
            <w:r>
              <w:rPr>
                <w:rFonts w:hint="eastAsia"/>
              </w:rPr>
              <w:t>1457</w:t>
            </w:r>
          </w:p>
        </w:tc>
        <w:tc>
          <w:tcPr>
            <w:tcW w:w="2035" w:type="dxa"/>
            <w:tcBorders>
              <w:right w:val="nil"/>
            </w:tcBorders>
            <w:shd w:val="clear" w:color="auto" w:fill="auto"/>
            <w:vAlign w:val="center"/>
          </w:tcPr>
          <w:p w14:paraId="07859B67">
            <w:pPr>
              <w:pStyle w:val="49"/>
            </w:pPr>
            <w:r>
              <w:rPr>
                <w:rFonts w:hint="eastAsia"/>
              </w:rPr>
              <w:t>15537.00377</w:t>
            </w:r>
          </w:p>
        </w:tc>
      </w:tr>
      <w:tr w14:paraId="54D5F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6BB6F268">
            <w:pPr>
              <w:pStyle w:val="49"/>
            </w:pPr>
            <w:r>
              <w:rPr>
                <w:rFonts w:hint="eastAsia"/>
              </w:rPr>
              <w:t>B777-300ER</w:t>
            </w:r>
          </w:p>
        </w:tc>
        <w:tc>
          <w:tcPr>
            <w:tcW w:w="1985" w:type="dxa"/>
            <w:shd w:val="clear" w:color="auto" w:fill="auto"/>
            <w:vAlign w:val="center"/>
          </w:tcPr>
          <w:p w14:paraId="5837ED0A">
            <w:pPr>
              <w:pStyle w:val="49"/>
            </w:pPr>
            <w:r>
              <w:rPr>
                <w:rFonts w:hint="eastAsia"/>
              </w:rPr>
              <w:t>6.96E+04</w:t>
            </w:r>
          </w:p>
        </w:tc>
        <w:tc>
          <w:tcPr>
            <w:tcW w:w="1559" w:type="dxa"/>
            <w:shd w:val="clear" w:color="auto" w:fill="auto"/>
            <w:vAlign w:val="bottom"/>
          </w:tcPr>
          <w:p w14:paraId="3E0682E7">
            <w:pPr>
              <w:pStyle w:val="49"/>
            </w:pPr>
            <w:r>
              <w:rPr>
                <w:rFonts w:hint="eastAsia"/>
              </w:rPr>
              <w:t>3034</w:t>
            </w:r>
          </w:p>
        </w:tc>
        <w:tc>
          <w:tcPr>
            <w:tcW w:w="2035" w:type="dxa"/>
            <w:tcBorders>
              <w:right w:val="nil"/>
            </w:tcBorders>
            <w:shd w:val="clear" w:color="auto" w:fill="auto"/>
            <w:vAlign w:val="center"/>
          </w:tcPr>
          <w:p w14:paraId="394B4337">
            <w:pPr>
              <w:pStyle w:val="49"/>
            </w:pPr>
            <w:r>
              <w:rPr>
                <w:rFonts w:hint="eastAsia"/>
              </w:rPr>
              <w:t>30861.64352</w:t>
            </w:r>
          </w:p>
        </w:tc>
      </w:tr>
      <w:tr w14:paraId="77268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0EFC4AEF">
            <w:pPr>
              <w:pStyle w:val="49"/>
            </w:pPr>
            <w:r>
              <w:rPr>
                <w:rFonts w:hint="eastAsia"/>
              </w:rPr>
              <w:t>B777-300</w:t>
            </w:r>
          </w:p>
        </w:tc>
        <w:tc>
          <w:tcPr>
            <w:tcW w:w="1985" w:type="dxa"/>
            <w:shd w:val="clear" w:color="auto" w:fill="auto"/>
            <w:vAlign w:val="center"/>
          </w:tcPr>
          <w:p w14:paraId="3F89A9BB">
            <w:pPr>
              <w:pStyle w:val="49"/>
            </w:pPr>
            <w:r>
              <w:rPr>
                <w:rFonts w:hint="eastAsia"/>
              </w:rPr>
              <w:t>6.57E+04</w:t>
            </w:r>
          </w:p>
        </w:tc>
        <w:tc>
          <w:tcPr>
            <w:tcW w:w="1559" w:type="dxa"/>
            <w:shd w:val="clear" w:color="auto" w:fill="auto"/>
            <w:vAlign w:val="bottom"/>
          </w:tcPr>
          <w:p w14:paraId="5E9C4432">
            <w:pPr>
              <w:pStyle w:val="49"/>
            </w:pPr>
            <w:r>
              <w:rPr>
                <w:rFonts w:hint="eastAsia"/>
              </w:rPr>
              <w:t>3689</w:t>
            </w:r>
          </w:p>
        </w:tc>
        <w:tc>
          <w:tcPr>
            <w:tcW w:w="2035" w:type="dxa"/>
            <w:tcBorders>
              <w:right w:val="nil"/>
            </w:tcBorders>
            <w:shd w:val="clear" w:color="auto" w:fill="auto"/>
            <w:vAlign w:val="center"/>
          </w:tcPr>
          <w:p w14:paraId="1DBF7AE2">
            <w:pPr>
              <w:pStyle w:val="49"/>
            </w:pPr>
            <w:r>
              <w:rPr>
                <w:rFonts w:hint="eastAsia"/>
              </w:rPr>
              <w:t>35435.4192</w:t>
            </w:r>
          </w:p>
        </w:tc>
      </w:tr>
      <w:tr w14:paraId="0E515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08959241">
            <w:pPr>
              <w:pStyle w:val="49"/>
            </w:pPr>
            <w:r>
              <w:rPr>
                <w:rFonts w:hint="eastAsia"/>
              </w:rPr>
              <w:t>B757</w:t>
            </w:r>
          </w:p>
        </w:tc>
        <w:tc>
          <w:tcPr>
            <w:tcW w:w="1985" w:type="dxa"/>
            <w:shd w:val="clear" w:color="auto" w:fill="auto"/>
            <w:vAlign w:val="center"/>
          </w:tcPr>
          <w:p w14:paraId="160BD513">
            <w:pPr>
              <w:pStyle w:val="49"/>
            </w:pPr>
            <w:r>
              <w:rPr>
                <w:rFonts w:hint="eastAsia"/>
              </w:rPr>
              <w:t>3.97E+04</w:t>
            </w:r>
          </w:p>
        </w:tc>
        <w:tc>
          <w:tcPr>
            <w:tcW w:w="1559" w:type="dxa"/>
            <w:shd w:val="clear" w:color="auto" w:fill="auto"/>
            <w:vAlign w:val="bottom"/>
          </w:tcPr>
          <w:p w14:paraId="3446A8F0">
            <w:pPr>
              <w:pStyle w:val="49"/>
            </w:pPr>
            <w:r>
              <w:rPr>
                <w:rFonts w:hint="eastAsia"/>
              </w:rPr>
              <w:t>522</w:t>
            </w:r>
          </w:p>
        </w:tc>
        <w:tc>
          <w:tcPr>
            <w:tcW w:w="2035" w:type="dxa"/>
            <w:tcBorders>
              <w:right w:val="nil"/>
            </w:tcBorders>
            <w:shd w:val="clear" w:color="auto" w:fill="auto"/>
            <w:vAlign w:val="center"/>
          </w:tcPr>
          <w:p w14:paraId="5C703D1A">
            <w:pPr>
              <w:pStyle w:val="49"/>
            </w:pPr>
            <w:r>
              <w:rPr>
                <w:rFonts w:hint="eastAsia"/>
              </w:rPr>
              <w:t>3026.144835</w:t>
            </w:r>
          </w:p>
        </w:tc>
      </w:tr>
      <w:tr w14:paraId="2BAEA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33A21178">
            <w:pPr>
              <w:pStyle w:val="49"/>
            </w:pPr>
            <w:r>
              <w:rPr>
                <w:rFonts w:hint="eastAsia"/>
              </w:rPr>
              <w:t>B747</w:t>
            </w:r>
          </w:p>
        </w:tc>
        <w:tc>
          <w:tcPr>
            <w:tcW w:w="1985" w:type="dxa"/>
            <w:shd w:val="clear" w:color="auto" w:fill="auto"/>
            <w:vAlign w:val="center"/>
          </w:tcPr>
          <w:p w14:paraId="674B894A">
            <w:pPr>
              <w:pStyle w:val="49"/>
            </w:pPr>
            <w:r>
              <w:rPr>
                <w:rFonts w:hint="eastAsia"/>
              </w:rPr>
              <w:t>5.31E+04</w:t>
            </w:r>
          </w:p>
        </w:tc>
        <w:tc>
          <w:tcPr>
            <w:tcW w:w="1559" w:type="dxa"/>
            <w:shd w:val="clear" w:color="auto" w:fill="auto"/>
            <w:vAlign w:val="bottom"/>
          </w:tcPr>
          <w:p w14:paraId="513FD63C">
            <w:pPr>
              <w:pStyle w:val="49"/>
            </w:pPr>
            <w:r>
              <w:rPr>
                <w:rFonts w:hint="eastAsia"/>
              </w:rPr>
              <w:t>662</w:t>
            </w:r>
          </w:p>
        </w:tc>
        <w:tc>
          <w:tcPr>
            <w:tcW w:w="2035" w:type="dxa"/>
            <w:tcBorders>
              <w:right w:val="nil"/>
            </w:tcBorders>
            <w:shd w:val="clear" w:color="auto" w:fill="auto"/>
            <w:vAlign w:val="center"/>
          </w:tcPr>
          <w:p w14:paraId="2CA9B344">
            <w:pPr>
              <w:pStyle w:val="49"/>
            </w:pPr>
            <w:r>
              <w:rPr>
                <w:rFonts w:hint="eastAsia"/>
              </w:rPr>
              <w:t>5140.379046</w:t>
            </w:r>
          </w:p>
        </w:tc>
      </w:tr>
      <w:tr w14:paraId="6ED2B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3E5F3B16">
            <w:pPr>
              <w:pStyle w:val="49"/>
            </w:pPr>
            <w:r>
              <w:rPr>
                <w:rFonts w:hint="eastAsia"/>
              </w:rPr>
              <w:t>B737MAX 8</w:t>
            </w:r>
          </w:p>
        </w:tc>
        <w:tc>
          <w:tcPr>
            <w:tcW w:w="1985" w:type="dxa"/>
            <w:shd w:val="clear" w:color="auto" w:fill="auto"/>
            <w:vAlign w:val="center"/>
          </w:tcPr>
          <w:p w14:paraId="524DCEBA">
            <w:pPr>
              <w:pStyle w:val="49"/>
            </w:pPr>
            <w:r>
              <w:rPr>
                <w:rFonts w:hint="eastAsia"/>
              </w:rPr>
              <w:t>3.05E+04</w:t>
            </w:r>
          </w:p>
        </w:tc>
        <w:tc>
          <w:tcPr>
            <w:tcW w:w="1559" w:type="dxa"/>
            <w:shd w:val="clear" w:color="auto" w:fill="auto"/>
            <w:vAlign w:val="bottom"/>
          </w:tcPr>
          <w:p w14:paraId="7130CFF4">
            <w:pPr>
              <w:pStyle w:val="49"/>
            </w:pPr>
            <w:r>
              <w:rPr>
                <w:rFonts w:hint="eastAsia"/>
              </w:rPr>
              <w:t>784</w:t>
            </w:r>
          </w:p>
        </w:tc>
        <w:tc>
          <w:tcPr>
            <w:tcW w:w="2035" w:type="dxa"/>
            <w:tcBorders>
              <w:right w:val="nil"/>
            </w:tcBorders>
            <w:shd w:val="clear" w:color="auto" w:fill="auto"/>
            <w:vAlign w:val="center"/>
          </w:tcPr>
          <w:p w14:paraId="5C741CA7">
            <w:pPr>
              <w:pStyle w:val="49"/>
            </w:pPr>
            <w:r>
              <w:rPr>
                <w:rFonts w:hint="eastAsia"/>
              </w:rPr>
              <w:t>3491.166639</w:t>
            </w:r>
          </w:p>
        </w:tc>
      </w:tr>
      <w:tr w14:paraId="4B430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1B57299B">
            <w:pPr>
              <w:pStyle w:val="49"/>
            </w:pPr>
            <w:r>
              <w:rPr>
                <w:rFonts w:hint="eastAsia"/>
              </w:rPr>
              <w:t>B737-900</w:t>
            </w:r>
          </w:p>
        </w:tc>
        <w:tc>
          <w:tcPr>
            <w:tcW w:w="1985" w:type="dxa"/>
            <w:shd w:val="clear" w:color="auto" w:fill="auto"/>
            <w:vAlign w:val="center"/>
          </w:tcPr>
          <w:p w14:paraId="2C245FC9">
            <w:pPr>
              <w:pStyle w:val="49"/>
            </w:pPr>
            <w:r>
              <w:rPr>
                <w:rFonts w:hint="eastAsia"/>
              </w:rPr>
              <w:t>3.28E+04</w:t>
            </w:r>
          </w:p>
        </w:tc>
        <w:tc>
          <w:tcPr>
            <w:tcW w:w="1559" w:type="dxa"/>
            <w:shd w:val="clear" w:color="auto" w:fill="auto"/>
            <w:vAlign w:val="bottom"/>
          </w:tcPr>
          <w:p w14:paraId="27740E3E">
            <w:pPr>
              <w:pStyle w:val="49"/>
            </w:pPr>
            <w:r>
              <w:rPr>
                <w:rFonts w:hint="eastAsia"/>
              </w:rPr>
              <w:t>388</w:t>
            </w:r>
          </w:p>
        </w:tc>
        <w:tc>
          <w:tcPr>
            <w:tcW w:w="2035" w:type="dxa"/>
            <w:tcBorders>
              <w:right w:val="nil"/>
            </w:tcBorders>
            <w:shd w:val="clear" w:color="auto" w:fill="auto"/>
            <w:vAlign w:val="center"/>
          </w:tcPr>
          <w:p w14:paraId="6E48910D">
            <w:pPr>
              <w:pStyle w:val="49"/>
            </w:pPr>
            <w:r>
              <w:rPr>
                <w:rFonts w:hint="eastAsia"/>
              </w:rPr>
              <w:t>1862.25536</w:t>
            </w:r>
          </w:p>
        </w:tc>
      </w:tr>
      <w:tr w14:paraId="1E98A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2ADB423E">
            <w:pPr>
              <w:pStyle w:val="49"/>
            </w:pPr>
            <w:r>
              <w:rPr>
                <w:rFonts w:hint="eastAsia"/>
              </w:rPr>
              <w:t>B737-800</w:t>
            </w:r>
          </w:p>
        </w:tc>
        <w:tc>
          <w:tcPr>
            <w:tcW w:w="1985" w:type="dxa"/>
            <w:shd w:val="clear" w:color="auto" w:fill="auto"/>
            <w:vAlign w:val="center"/>
          </w:tcPr>
          <w:p w14:paraId="688B8435">
            <w:pPr>
              <w:pStyle w:val="49"/>
            </w:pPr>
            <w:r>
              <w:rPr>
                <w:rFonts w:hint="eastAsia"/>
              </w:rPr>
              <w:t>3.05E+04</w:t>
            </w:r>
          </w:p>
        </w:tc>
        <w:tc>
          <w:tcPr>
            <w:tcW w:w="1559" w:type="dxa"/>
            <w:shd w:val="clear" w:color="auto" w:fill="auto"/>
            <w:vAlign w:val="bottom"/>
          </w:tcPr>
          <w:p w14:paraId="1188D88A">
            <w:pPr>
              <w:pStyle w:val="49"/>
            </w:pPr>
            <w:r>
              <w:rPr>
                <w:rFonts w:hint="eastAsia"/>
              </w:rPr>
              <w:t>74516</w:t>
            </w:r>
          </w:p>
        </w:tc>
        <w:tc>
          <w:tcPr>
            <w:tcW w:w="2035" w:type="dxa"/>
            <w:tcBorders>
              <w:right w:val="nil"/>
            </w:tcBorders>
            <w:shd w:val="clear" w:color="auto" w:fill="auto"/>
            <w:vAlign w:val="center"/>
          </w:tcPr>
          <w:p w14:paraId="78E1B300">
            <w:pPr>
              <w:pStyle w:val="49"/>
            </w:pPr>
            <w:r>
              <w:rPr>
                <w:rFonts w:hint="eastAsia"/>
              </w:rPr>
              <w:t>331821.1393</w:t>
            </w:r>
          </w:p>
        </w:tc>
      </w:tr>
      <w:tr w14:paraId="1167D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0780F27A">
            <w:pPr>
              <w:pStyle w:val="49"/>
            </w:pPr>
            <w:r>
              <w:rPr>
                <w:rFonts w:hint="eastAsia"/>
              </w:rPr>
              <w:t xml:space="preserve">B737-800 (winglets) </w:t>
            </w:r>
          </w:p>
        </w:tc>
        <w:tc>
          <w:tcPr>
            <w:tcW w:w="1985" w:type="dxa"/>
            <w:shd w:val="clear" w:color="auto" w:fill="auto"/>
            <w:vAlign w:val="center"/>
          </w:tcPr>
          <w:p w14:paraId="315A9A63">
            <w:pPr>
              <w:pStyle w:val="49"/>
            </w:pPr>
            <w:r>
              <w:rPr>
                <w:rFonts w:hint="eastAsia"/>
              </w:rPr>
              <w:t>3.05E+04</w:t>
            </w:r>
          </w:p>
        </w:tc>
        <w:tc>
          <w:tcPr>
            <w:tcW w:w="1559" w:type="dxa"/>
            <w:shd w:val="clear" w:color="auto" w:fill="auto"/>
            <w:vAlign w:val="bottom"/>
          </w:tcPr>
          <w:p w14:paraId="572FFBA4">
            <w:pPr>
              <w:pStyle w:val="49"/>
            </w:pPr>
            <w:r>
              <w:rPr>
                <w:rFonts w:hint="eastAsia"/>
              </w:rPr>
              <w:t>2859</w:t>
            </w:r>
          </w:p>
        </w:tc>
        <w:tc>
          <w:tcPr>
            <w:tcW w:w="2035" w:type="dxa"/>
            <w:tcBorders>
              <w:right w:val="nil"/>
            </w:tcBorders>
            <w:shd w:val="clear" w:color="auto" w:fill="auto"/>
            <w:vAlign w:val="center"/>
          </w:tcPr>
          <w:p w14:paraId="719DCE0A">
            <w:pPr>
              <w:pStyle w:val="49"/>
            </w:pPr>
            <w:r>
              <w:rPr>
                <w:rFonts w:hint="eastAsia"/>
              </w:rPr>
              <w:t>12731.18038</w:t>
            </w:r>
          </w:p>
        </w:tc>
      </w:tr>
      <w:tr w14:paraId="4350E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5B067E35">
            <w:pPr>
              <w:pStyle w:val="49"/>
            </w:pPr>
            <w:r>
              <w:rPr>
                <w:rFonts w:hint="eastAsia"/>
              </w:rPr>
              <w:t>B737-700</w:t>
            </w:r>
          </w:p>
        </w:tc>
        <w:tc>
          <w:tcPr>
            <w:tcW w:w="1985" w:type="dxa"/>
            <w:shd w:val="clear" w:color="auto" w:fill="auto"/>
            <w:vAlign w:val="center"/>
          </w:tcPr>
          <w:p w14:paraId="6B4E2021">
            <w:pPr>
              <w:pStyle w:val="49"/>
            </w:pPr>
            <w:r>
              <w:rPr>
                <w:rFonts w:hint="eastAsia"/>
              </w:rPr>
              <w:t>2.73E+04</w:t>
            </w:r>
          </w:p>
        </w:tc>
        <w:tc>
          <w:tcPr>
            <w:tcW w:w="1559" w:type="dxa"/>
            <w:shd w:val="clear" w:color="auto" w:fill="auto"/>
            <w:vAlign w:val="bottom"/>
          </w:tcPr>
          <w:p w14:paraId="0E957A70">
            <w:pPr>
              <w:pStyle w:val="49"/>
            </w:pPr>
            <w:r>
              <w:rPr>
                <w:rFonts w:hint="eastAsia"/>
              </w:rPr>
              <w:t>3453</w:t>
            </w:r>
          </w:p>
        </w:tc>
        <w:tc>
          <w:tcPr>
            <w:tcW w:w="2035" w:type="dxa"/>
            <w:tcBorders>
              <w:right w:val="nil"/>
            </w:tcBorders>
            <w:shd w:val="clear" w:color="auto" w:fill="auto"/>
            <w:vAlign w:val="center"/>
          </w:tcPr>
          <w:p w14:paraId="0F4AA00D">
            <w:pPr>
              <w:pStyle w:val="49"/>
            </w:pPr>
            <w:r>
              <w:rPr>
                <w:rFonts w:hint="eastAsia"/>
              </w:rPr>
              <w:t>13752.10146</w:t>
            </w:r>
          </w:p>
        </w:tc>
      </w:tr>
      <w:tr w14:paraId="58DC5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645CBA9A">
            <w:pPr>
              <w:pStyle w:val="49"/>
            </w:pPr>
            <w:r>
              <w:rPr>
                <w:rFonts w:hint="eastAsia"/>
              </w:rPr>
              <w:t>B737-500</w:t>
            </w:r>
          </w:p>
        </w:tc>
        <w:tc>
          <w:tcPr>
            <w:tcW w:w="1985" w:type="dxa"/>
            <w:shd w:val="clear" w:color="auto" w:fill="auto"/>
            <w:vAlign w:val="center"/>
          </w:tcPr>
          <w:p w14:paraId="40AFA135">
            <w:pPr>
              <w:pStyle w:val="49"/>
            </w:pPr>
            <w:r>
              <w:rPr>
                <w:rFonts w:hint="eastAsia"/>
              </w:rPr>
              <w:t>2.64E+04</w:t>
            </w:r>
          </w:p>
        </w:tc>
        <w:tc>
          <w:tcPr>
            <w:tcW w:w="1559" w:type="dxa"/>
            <w:shd w:val="clear" w:color="auto" w:fill="auto"/>
            <w:vAlign w:val="bottom"/>
          </w:tcPr>
          <w:p w14:paraId="227EF5B4">
            <w:pPr>
              <w:pStyle w:val="49"/>
            </w:pPr>
            <w:r>
              <w:rPr>
                <w:rFonts w:hint="eastAsia"/>
              </w:rPr>
              <w:t>52</w:t>
            </w:r>
          </w:p>
        </w:tc>
        <w:tc>
          <w:tcPr>
            <w:tcW w:w="2035" w:type="dxa"/>
            <w:tcBorders>
              <w:right w:val="nil"/>
            </w:tcBorders>
            <w:shd w:val="clear" w:color="auto" w:fill="auto"/>
            <w:vAlign w:val="center"/>
          </w:tcPr>
          <w:p w14:paraId="44FC410A">
            <w:pPr>
              <w:pStyle w:val="49"/>
            </w:pPr>
            <w:r>
              <w:rPr>
                <w:rFonts w:hint="eastAsia"/>
              </w:rPr>
              <w:t>200.7812904</w:t>
            </w:r>
          </w:p>
        </w:tc>
      </w:tr>
      <w:tr w14:paraId="354D9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37581915">
            <w:pPr>
              <w:pStyle w:val="49"/>
            </w:pPr>
            <w:r>
              <w:rPr>
                <w:rFonts w:hint="eastAsia"/>
              </w:rPr>
              <w:t>B737-300</w:t>
            </w:r>
          </w:p>
        </w:tc>
        <w:tc>
          <w:tcPr>
            <w:tcW w:w="1985" w:type="dxa"/>
            <w:shd w:val="clear" w:color="auto" w:fill="auto"/>
            <w:vAlign w:val="center"/>
          </w:tcPr>
          <w:p w14:paraId="72B1132E">
            <w:pPr>
              <w:pStyle w:val="49"/>
            </w:pPr>
            <w:r>
              <w:rPr>
                <w:rFonts w:hint="eastAsia"/>
              </w:rPr>
              <w:t>2.43E+04</w:t>
            </w:r>
          </w:p>
        </w:tc>
        <w:tc>
          <w:tcPr>
            <w:tcW w:w="1559" w:type="dxa"/>
            <w:shd w:val="clear" w:color="auto" w:fill="auto"/>
            <w:vAlign w:val="bottom"/>
          </w:tcPr>
          <w:p w14:paraId="0D13D6B8">
            <w:pPr>
              <w:pStyle w:val="49"/>
            </w:pPr>
            <w:r>
              <w:rPr>
                <w:rFonts w:hint="eastAsia"/>
              </w:rPr>
              <w:t>534</w:t>
            </w:r>
          </w:p>
        </w:tc>
        <w:tc>
          <w:tcPr>
            <w:tcW w:w="2035" w:type="dxa"/>
            <w:tcBorders>
              <w:right w:val="nil"/>
            </w:tcBorders>
            <w:shd w:val="clear" w:color="auto" w:fill="auto"/>
            <w:vAlign w:val="center"/>
          </w:tcPr>
          <w:p w14:paraId="1034AE90">
            <w:pPr>
              <w:pStyle w:val="49"/>
            </w:pPr>
            <w:r>
              <w:rPr>
                <w:rFonts w:hint="eastAsia"/>
              </w:rPr>
              <w:t>1897.117006</w:t>
            </w:r>
          </w:p>
        </w:tc>
      </w:tr>
      <w:tr w14:paraId="6D6C2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6E33D271">
            <w:pPr>
              <w:pStyle w:val="49"/>
            </w:pPr>
            <w:r>
              <w:rPr>
                <w:rFonts w:hint="eastAsia"/>
              </w:rPr>
              <w:t>B737-300 (Mixed Configuration)</w:t>
            </w:r>
          </w:p>
        </w:tc>
        <w:tc>
          <w:tcPr>
            <w:tcW w:w="1985" w:type="dxa"/>
            <w:shd w:val="clear" w:color="auto" w:fill="auto"/>
            <w:vAlign w:val="center"/>
          </w:tcPr>
          <w:p w14:paraId="347D1B3C">
            <w:pPr>
              <w:pStyle w:val="49"/>
            </w:pPr>
            <w:r>
              <w:rPr>
                <w:rFonts w:hint="eastAsia"/>
              </w:rPr>
              <w:t>2.43E+04</w:t>
            </w:r>
          </w:p>
        </w:tc>
        <w:tc>
          <w:tcPr>
            <w:tcW w:w="1559" w:type="dxa"/>
            <w:shd w:val="clear" w:color="auto" w:fill="auto"/>
            <w:vAlign w:val="bottom"/>
          </w:tcPr>
          <w:p w14:paraId="3D3EFEEE">
            <w:pPr>
              <w:pStyle w:val="49"/>
            </w:pPr>
            <w:r>
              <w:rPr>
                <w:rFonts w:hint="eastAsia"/>
              </w:rPr>
              <w:t>67</w:t>
            </w:r>
          </w:p>
        </w:tc>
        <w:tc>
          <w:tcPr>
            <w:tcW w:w="2035" w:type="dxa"/>
            <w:tcBorders>
              <w:right w:val="nil"/>
            </w:tcBorders>
            <w:shd w:val="clear" w:color="auto" w:fill="auto"/>
            <w:vAlign w:val="center"/>
          </w:tcPr>
          <w:p w14:paraId="07E9A1B5">
            <w:pPr>
              <w:pStyle w:val="49"/>
            </w:pPr>
            <w:r>
              <w:rPr>
                <w:rFonts w:hint="eastAsia"/>
              </w:rPr>
              <w:t>238.0277892</w:t>
            </w:r>
          </w:p>
        </w:tc>
      </w:tr>
      <w:tr w14:paraId="58678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1998B967">
            <w:pPr>
              <w:pStyle w:val="49"/>
            </w:pPr>
            <w:r>
              <w:rPr>
                <w:rFonts w:hint="eastAsia"/>
              </w:rPr>
              <w:t>B737-200</w:t>
            </w:r>
          </w:p>
        </w:tc>
        <w:tc>
          <w:tcPr>
            <w:tcW w:w="1985" w:type="dxa"/>
            <w:shd w:val="clear" w:color="auto" w:fill="auto"/>
            <w:vAlign w:val="center"/>
          </w:tcPr>
          <w:p w14:paraId="5401954F">
            <w:pPr>
              <w:pStyle w:val="49"/>
            </w:pPr>
            <w:r>
              <w:rPr>
                <w:rFonts w:hint="eastAsia"/>
              </w:rPr>
              <w:t>2.00E+04</w:t>
            </w:r>
          </w:p>
        </w:tc>
        <w:tc>
          <w:tcPr>
            <w:tcW w:w="1559" w:type="dxa"/>
            <w:shd w:val="clear" w:color="auto" w:fill="auto"/>
            <w:vAlign w:val="bottom"/>
          </w:tcPr>
          <w:p w14:paraId="3200D21A">
            <w:pPr>
              <w:pStyle w:val="49"/>
            </w:pPr>
            <w:r>
              <w:rPr>
                <w:rFonts w:hint="eastAsia"/>
              </w:rPr>
              <w:t>8</w:t>
            </w:r>
          </w:p>
        </w:tc>
        <w:tc>
          <w:tcPr>
            <w:tcW w:w="2035" w:type="dxa"/>
            <w:tcBorders>
              <w:right w:val="nil"/>
            </w:tcBorders>
            <w:shd w:val="clear" w:color="auto" w:fill="auto"/>
            <w:vAlign w:val="center"/>
          </w:tcPr>
          <w:p w14:paraId="6A6D7B34">
            <w:pPr>
              <w:pStyle w:val="49"/>
            </w:pPr>
            <w:r>
              <w:rPr>
                <w:rFonts w:hint="eastAsia"/>
              </w:rPr>
              <w:t>23.39114268</w:t>
            </w:r>
          </w:p>
        </w:tc>
      </w:tr>
      <w:tr w14:paraId="7267F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0FDBDA75">
            <w:pPr>
              <w:pStyle w:val="49"/>
            </w:pPr>
            <w:r>
              <w:rPr>
                <w:rFonts w:hint="eastAsia"/>
              </w:rPr>
              <w:t xml:space="preserve">B737 </w:t>
            </w:r>
          </w:p>
        </w:tc>
        <w:tc>
          <w:tcPr>
            <w:tcW w:w="1985" w:type="dxa"/>
            <w:shd w:val="clear" w:color="auto" w:fill="auto"/>
            <w:vAlign w:val="center"/>
          </w:tcPr>
          <w:p w14:paraId="6D65DAF5">
            <w:pPr>
              <w:pStyle w:val="49"/>
            </w:pPr>
            <w:r>
              <w:rPr>
                <w:rFonts w:hint="eastAsia"/>
              </w:rPr>
              <w:t>2.73E+04</w:t>
            </w:r>
          </w:p>
        </w:tc>
        <w:tc>
          <w:tcPr>
            <w:tcW w:w="1559" w:type="dxa"/>
            <w:shd w:val="clear" w:color="auto" w:fill="auto"/>
            <w:vAlign w:val="bottom"/>
          </w:tcPr>
          <w:p w14:paraId="061D9C02">
            <w:pPr>
              <w:pStyle w:val="49"/>
            </w:pPr>
            <w:r>
              <w:rPr>
                <w:rFonts w:hint="eastAsia"/>
              </w:rPr>
              <w:t>5205</w:t>
            </w:r>
          </w:p>
        </w:tc>
        <w:tc>
          <w:tcPr>
            <w:tcW w:w="2035" w:type="dxa"/>
            <w:tcBorders>
              <w:right w:val="nil"/>
            </w:tcBorders>
            <w:shd w:val="clear" w:color="auto" w:fill="auto"/>
            <w:vAlign w:val="center"/>
          </w:tcPr>
          <w:p w14:paraId="71FAD386">
            <w:pPr>
              <w:pStyle w:val="49"/>
            </w:pPr>
            <w:r>
              <w:rPr>
                <w:rFonts w:hint="eastAsia"/>
              </w:rPr>
              <w:t>20729.70984</w:t>
            </w:r>
          </w:p>
        </w:tc>
      </w:tr>
      <w:tr w14:paraId="68C43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34137098">
            <w:pPr>
              <w:pStyle w:val="49"/>
            </w:pPr>
            <w:r>
              <w:rPr>
                <w:rFonts w:hint="eastAsia"/>
              </w:rPr>
              <w:t>B737 (Mixed Configuration)</w:t>
            </w:r>
          </w:p>
        </w:tc>
        <w:tc>
          <w:tcPr>
            <w:tcW w:w="1985" w:type="dxa"/>
            <w:shd w:val="clear" w:color="auto" w:fill="auto"/>
            <w:vAlign w:val="center"/>
          </w:tcPr>
          <w:p w14:paraId="405F2622">
            <w:pPr>
              <w:pStyle w:val="49"/>
            </w:pPr>
            <w:r>
              <w:rPr>
                <w:rFonts w:hint="eastAsia"/>
              </w:rPr>
              <w:t>2.73E+04</w:t>
            </w:r>
          </w:p>
        </w:tc>
        <w:tc>
          <w:tcPr>
            <w:tcW w:w="1559" w:type="dxa"/>
            <w:shd w:val="clear" w:color="auto" w:fill="auto"/>
            <w:vAlign w:val="bottom"/>
          </w:tcPr>
          <w:p w14:paraId="4C41E523">
            <w:pPr>
              <w:pStyle w:val="49"/>
            </w:pPr>
            <w:r>
              <w:rPr>
                <w:rFonts w:hint="eastAsia"/>
              </w:rPr>
              <w:t>4</w:t>
            </w:r>
          </w:p>
        </w:tc>
        <w:tc>
          <w:tcPr>
            <w:tcW w:w="2035" w:type="dxa"/>
            <w:tcBorders>
              <w:right w:val="nil"/>
            </w:tcBorders>
            <w:shd w:val="clear" w:color="auto" w:fill="auto"/>
            <w:vAlign w:val="center"/>
          </w:tcPr>
          <w:p w14:paraId="352EF5DD">
            <w:pPr>
              <w:pStyle w:val="49"/>
            </w:pPr>
            <w:r>
              <w:rPr>
                <w:rFonts w:hint="eastAsia"/>
              </w:rPr>
              <w:t>15.93061275</w:t>
            </w:r>
          </w:p>
        </w:tc>
      </w:tr>
      <w:tr w14:paraId="748A8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3D0046B0">
            <w:pPr>
              <w:pStyle w:val="49"/>
            </w:pPr>
            <w:r>
              <w:rPr>
                <w:rFonts w:hint="eastAsia"/>
              </w:rPr>
              <w:t xml:space="preserve">A380 </w:t>
            </w:r>
          </w:p>
        </w:tc>
        <w:tc>
          <w:tcPr>
            <w:tcW w:w="1985" w:type="dxa"/>
            <w:shd w:val="clear" w:color="auto" w:fill="auto"/>
            <w:vAlign w:val="center"/>
          </w:tcPr>
          <w:p w14:paraId="1A6ED860">
            <w:pPr>
              <w:pStyle w:val="49"/>
            </w:pPr>
            <w:r>
              <w:rPr>
                <w:rFonts w:hint="eastAsia"/>
              </w:rPr>
              <w:t>6.31E+04</w:t>
            </w:r>
          </w:p>
        </w:tc>
        <w:tc>
          <w:tcPr>
            <w:tcW w:w="1559" w:type="dxa"/>
            <w:shd w:val="clear" w:color="auto" w:fill="auto"/>
            <w:vAlign w:val="bottom"/>
          </w:tcPr>
          <w:p w14:paraId="75EB8F11">
            <w:pPr>
              <w:pStyle w:val="49"/>
            </w:pPr>
            <w:r>
              <w:rPr>
                <w:rFonts w:hint="eastAsia"/>
              </w:rPr>
              <w:t>868</w:t>
            </w:r>
          </w:p>
        </w:tc>
        <w:tc>
          <w:tcPr>
            <w:tcW w:w="2035" w:type="dxa"/>
            <w:tcBorders>
              <w:right w:val="nil"/>
            </w:tcBorders>
            <w:shd w:val="clear" w:color="auto" w:fill="auto"/>
            <w:vAlign w:val="center"/>
          </w:tcPr>
          <w:p w14:paraId="6DBA0408">
            <w:pPr>
              <w:pStyle w:val="49"/>
            </w:pPr>
            <w:r>
              <w:rPr>
                <w:rFonts w:hint="eastAsia"/>
              </w:rPr>
              <w:t>8002.067267</w:t>
            </w:r>
          </w:p>
        </w:tc>
      </w:tr>
      <w:tr w14:paraId="77C11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5FC5543F">
            <w:pPr>
              <w:pStyle w:val="49"/>
            </w:pPr>
            <w:r>
              <w:rPr>
                <w:rFonts w:hint="eastAsia"/>
              </w:rPr>
              <w:t>A350-900</w:t>
            </w:r>
          </w:p>
        </w:tc>
        <w:tc>
          <w:tcPr>
            <w:tcW w:w="1985" w:type="dxa"/>
            <w:shd w:val="clear" w:color="auto" w:fill="auto"/>
            <w:vAlign w:val="center"/>
          </w:tcPr>
          <w:p w14:paraId="7BAD2B63">
            <w:pPr>
              <w:pStyle w:val="49"/>
            </w:pPr>
            <w:r>
              <w:rPr>
                <w:rFonts w:hint="eastAsia"/>
              </w:rPr>
              <w:t>6.80E+04</w:t>
            </w:r>
          </w:p>
        </w:tc>
        <w:tc>
          <w:tcPr>
            <w:tcW w:w="1559" w:type="dxa"/>
            <w:shd w:val="clear" w:color="auto" w:fill="auto"/>
            <w:vAlign w:val="bottom"/>
          </w:tcPr>
          <w:p w14:paraId="33BD7CC6">
            <w:pPr>
              <w:pStyle w:val="49"/>
            </w:pPr>
            <w:r>
              <w:rPr>
                <w:rFonts w:hint="eastAsia"/>
              </w:rPr>
              <w:t>3114</w:t>
            </w:r>
          </w:p>
        </w:tc>
        <w:tc>
          <w:tcPr>
            <w:tcW w:w="2035" w:type="dxa"/>
            <w:tcBorders>
              <w:right w:val="nil"/>
            </w:tcBorders>
            <w:shd w:val="clear" w:color="auto" w:fill="auto"/>
            <w:vAlign w:val="center"/>
          </w:tcPr>
          <w:p w14:paraId="62B3DDA4">
            <w:pPr>
              <w:pStyle w:val="49"/>
            </w:pPr>
            <w:r>
              <w:rPr>
                <w:rFonts w:hint="eastAsia"/>
              </w:rPr>
              <w:t>30945.01233</w:t>
            </w:r>
          </w:p>
        </w:tc>
      </w:tr>
      <w:tr w14:paraId="31907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3379699A">
            <w:pPr>
              <w:pStyle w:val="49"/>
            </w:pPr>
            <w:r>
              <w:rPr>
                <w:rFonts w:hint="eastAsia"/>
              </w:rPr>
              <w:t>A350-1000</w:t>
            </w:r>
          </w:p>
        </w:tc>
        <w:tc>
          <w:tcPr>
            <w:tcW w:w="1985" w:type="dxa"/>
            <w:shd w:val="clear" w:color="auto" w:fill="auto"/>
            <w:vAlign w:val="center"/>
          </w:tcPr>
          <w:p w14:paraId="5E936C98">
            <w:pPr>
              <w:pStyle w:val="49"/>
            </w:pPr>
            <w:r>
              <w:rPr>
                <w:rFonts w:hint="eastAsia"/>
              </w:rPr>
              <w:t>7.37E+04</w:t>
            </w:r>
          </w:p>
        </w:tc>
        <w:tc>
          <w:tcPr>
            <w:tcW w:w="1559" w:type="dxa"/>
            <w:shd w:val="clear" w:color="auto" w:fill="auto"/>
            <w:vAlign w:val="bottom"/>
          </w:tcPr>
          <w:p w14:paraId="53322E78">
            <w:pPr>
              <w:pStyle w:val="49"/>
            </w:pPr>
            <w:r>
              <w:rPr>
                <w:rFonts w:hint="eastAsia"/>
              </w:rPr>
              <w:t>784</w:t>
            </w:r>
          </w:p>
        </w:tc>
        <w:tc>
          <w:tcPr>
            <w:tcW w:w="2035" w:type="dxa"/>
            <w:tcBorders>
              <w:right w:val="nil"/>
            </w:tcBorders>
            <w:shd w:val="clear" w:color="auto" w:fill="auto"/>
            <w:vAlign w:val="center"/>
          </w:tcPr>
          <w:p w14:paraId="505232BF">
            <w:pPr>
              <w:pStyle w:val="49"/>
            </w:pPr>
            <w:r>
              <w:rPr>
                <w:rFonts w:hint="eastAsia"/>
              </w:rPr>
              <w:t>8446.762544</w:t>
            </w:r>
          </w:p>
        </w:tc>
      </w:tr>
      <w:tr w14:paraId="5722C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4C5ED6A5">
            <w:pPr>
              <w:pStyle w:val="49"/>
            </w:pPr>
            <w:r>
              <w:rPr>
                <w:rFonts w:hint="eastAsia"/>
              </w:rPr>
              <w:t>A350</w:t>
            </w:r>
          </w:p>
        </w:tc>
        <w:tc>
          <w:tcPr>
            <w:tcW w:w="1985" w:type="dxa"/>
            <w:shd w:val="clear" w:color="auto" w:fill="auto"/>
            <w:vAlign w:val="center"/>
          </w:tcPr>
          <w:p w14:paraId="32E57514">
            <w:pPr>
              <w:pStyle w:val="49"/>
            </w:pPr>
            <w:r>
              <w:rPr>
                <w:rFonts w:hint="eastAsia"/>
              </w:rPr>
              <w:t>7.37E+04</w:t>
            </w:r>
          </w:p>
        </w:tc>
        <w:tc>
          <w:tcPr>
            <w:tcW w:w="1559" w:type="dxa"/>
            <w:shd w:val="clear" w:color="auto" w:fill="auto"/>
            <w:vAlign w:val="bottom"/>
          </w:tcPr>
          <w:p w14:paraId="3C8EE2A0">
            <w:pPr>
              <w:pStyle w:val="49"/>
            </w:pPr>
            <w:r>
              <w:rPr>
                <w:rFonts w:hint="eastAsia"/>
              </w:rPr>
              <w:t>921</w:t>
            </w:r>
          </w:p>
        </w:tc>
        <w:tc>
          <w:tcPr>
            <w:tcW w:w="2035" w:type="dxa"/>
            <w:tcBorders>
              <w:right w:val="nil"/>
            </w:tcBorders>
            <w:shd w:val="clear" w:color="auto" w:fill="auto"/>
            <w:vAlign w:val="center"/>
          </w:tcPr>
          <w:p w14:paraId="603C84F8">
            <w:pPr>
              <w:pStyle w:val="49"/>
            </w:pPr>
            <w:r>
              <w:rPr>
                <w:rFonts w:hint="eastAsia"/>
              </w:rPr>
              <w:t>9922.791203</w:t>
            </w:r>
          </w:p>
        </w:tc>
      </w:tr>
      <w:tr w14:paraId="6489E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0B358E9A">
            <w:pPr>
              <w:pStyle w:val="49"/>
            </w:pPr>
            <w:r>
              <w:rPr>
                <w:rFonts w:hint="eastAsia"/>
              </w:rPr>
              <w:t>A330-300</w:t>
            </w:r>
          </w:p>
        </w:tc>
        <w:tc>
          <w:tcPr>
            <w:tcW w:w="1985" w:type="dxa"/>
            <w:shd w:val="clear" w:color="auto" w:fill="auto"/>
            <w:vAlign w:val="center"/>
          </w:tcPr>
          <w:p w14:paraId="4562A4EB">
            <w:pPr>
              <w:pStyle w:val="49"/>
            </w:pPr>
            <w:r>
              <w:rPr>
                <w:rFonts w:hint="eastAsia"/>
              </w:rPr>
              <w:t>7.12E+04</w:t>
            </w:r>
          </w:p>
        </w:tc>
        <w:tc>
          <w:tcPr>
            <w:tcW w:w="1559" w:type="dxa"/>
            <w:shd w:val="clear" w:color="auto" w:fill="auto"/>
            <w:vAlign w:val="bottom"/>
          </w:tcPr>
          <w:p w14:paraId="0AB229F6">
            <w:pPr>
              <w:pStyle w:val="49"/>
            </w:pPr>
            <w:r>
              <w:rPr>
                <w:rFonts w:hint="eastAsia"/>
              </w:rPr>
              <w:t>20531</w:t>
            </w:r>
          </w:p>
        </w:tc>
        <w:tc>
          <w:tcPr>
            <w:tcW w:w="2035" w:type="dxa"/>
            <w:tcBorders>
              <w:right w:val="nil"/>
            </w:tcBorders>
            <w:shd w:val="clear" w:color="auto" w:fill="auto"/>
            <w:vAlign w:val="center"/>
          </w:tcPr>
          <w:p w14:paraId="12DD1E6F">
            <w:pPr>
              <w:pStyle w:val="49"/>
            </w:pPr>
            <w:r>
              <w:rPr>
                <w:rFonts w:hint="eastAsia"/>
              </w:rPr>
              <w:t>213612.0428</w:t>
            </w:r>
          </w:p>
        </w:tc>
      </w:tr>
      <w:tr w14:paraId="4113C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237834C1">
            <w:pPr>
              <w:pStyle w:val="49"/>
            </w:pPr>
            <w:r>
              <w:rPr>
                <w:rFonts w:hint="eastAsia"/>
              </w:rPr>
              <w:t>A330-200</w:t>
            </w:r>
          </w:p>
        </w:tc>
        <w:tc>
          <w:tcPr>
            <w:tcW w:w="1985" w:type="dxa"/>
            <w:shd w:val="clear" w:color="auto" w:fill="auto"/>
            <w:vAlign w:val="center"/>
          </w:tcPr>
          <w:p w14:paraId="1202855E">
            <w:pPr>
              <w:pStyle w:val="49"/>
            </w:pPr>
            <w:r>
              <w:rPr>
                <w:rFonts w:hint="eastAsia"/>
              </w:rPr>
              <w:t>7.17E+04</w:t>
            </w:r>
          </w:p>
        </w:tc>
        <w:tc>
          <w:tcPr>
            <w:tcW w:w="1559" w:type="dxa"/>
            <w:shd w:val="clear" w:color="auto" w:fill="auto"/>
            <w:vAlign w:val="bottom"/>
          </w:tcPr>
          <w:p w14:paraId="5518EA4C">
            <w:pPr>
              <w:pStyle w:val="49"/>
            </w:pPr>
            <w:r>
              <w:rPr>
                <w:rFonts w:hint="eastAsia"/>
              </w:rPr>
              <w:t>5364</w:t>
            </w:r>
          </w:p>
        </w:tc>
        <w:tc>
          <w:tcPr>
            <w:tcW w:w="2035" w:type="dxa"/>
            <w:tcBorders>
              <w:right w:val="nil"/>
            </w:tcBorders>
            <w:shd w:val="clear" w:color="auto" w:fill="auto"/>
            <w:vAlign w:val="center"/>
          </w:tcPr>
          <w:p w14:paraId="4587F6F7">
            <w:pPr>
              <w:pStyle w:val="49"/>
            </w:pPr>
            <w:r>
              <w:rPr>
                <w:rFonts w:hint="eastAsia"/>
              </w:rPr>
              <w:t>56163.24247</w:t>
            </w:r>
          </w:p>
        </w:tc>
      </w:tr>
      <w:tr w14:paraId="36AFB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29C8E025">
            <w:pPr>
              <w:pStyle w:val="49"/>
            </w:pPr>
            <w:r>
              <w:rPr>
                <w:rFonts w:hint="eastAsia"/>
              </w:rPr>
              <w:t>A330</w:t>
            </w:r>
          </w:p>
        </w:tc>
        <w:tc>
          <w:tcPr>
            <w:tcW w:w="1985" w:type="dxa"/>
            <w:shd w:val="clear" w:color="auto" w:fill="auto"/>
            <w:vAlign w:val="center"/>
          </w:tcPr>
          <w:p w14:paraId="08935C77">
            <w:pPr>
              <w:pStyle w:val="49"/>
            </w:pPr>
            <w:r>
              <w:rPr>
                <w:rFonts w:hint="eastAsia"/>
              </w:rPr>
              <w:t>7.12E+04</w:t>
            </w:r>
          </w:p>
        </w:tc>
        <w:tc>
          <w:tcPr>
            <w:tcW w:w="1559" w:type="dxa"/>
            <w:shd w:val="clear" w:color="auto" w:fill="auto"/>
            <w:vAlign w:val="bottom"/>
          </w:tcPr>
          <w:p w14:paraId="5D9601CD">
            <w:pPr>
              <w:pStyle w:val="49"/>
            </w:pPr>
            <w:r>
              <w:rPr>
                <w:rFonts w:hint="eastAsia"/>
              </w:rPr>
              <w:t>10368</w:t>
            </w:r>
          </w:p>
        </w:tc>
        <w:tc>
          <w:tcPr>
            <w:tcW w:w="2035" w:type="dxa"/>
            <w:tcBorders>
              <w:right w:val="nil"/>
            </w:tcBorders>
            <w:shd w:val="clear" w:color="auto" w:fill="auto"/>
            <w:vAlign w:val="center"/>
          </w:tcPr>
          <w:p w14:paraId="5B63F213">
            <w:pPr>
              <w:pStyle w:val="49"/>
            </w:pPr>
            <w:r>
              <w:rPr>
                <w:rFonts w:hint="eastAsia"/>
              </w:rPr>
              <w:t>107872.4689</w:t>
            </w:r>
          </w:p>
        </w:tc>
      </w:tr>
      <w:tr w14:paraId="039AC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2FCE6C44">
            <w:pPr>
              <w:pStyle w:val="49"/>
            </w:pPr>
            <w:r>
              <w:rPr>
                <w:rFonts w:hint="eastAsia"/>
              </w:rPr>
              <w:t>A321neo</w:t>
            </w:r>
          </w:p>
        </w:tc>
        <w:tc>
          <w:tcPr>
            <w:tcW w:w="1985" w:type="dxa"/>
            <w:shd w:val="clear" w:color="auto" w:fill="auto"/>
            <w:vAlign w:val="center"/>
          </w:tcPr>
          <w:p w14:paraId="007DD119">
            <w:pPr>
              <w:pStyle w:val="49"/>
            </w:pPr>
            <w:r>
              <w:rPr>
                <w:rFonts w:hint="eastAsia"/>
              </w:rPr>
              <w:t>3.66E+04</w:t>
            </w:r>
          </w:p>
        </w:tc>
        <w:tc>
          <w:tcPr>
            <w:tcW w:w="1559" w:type="dxa"/>
            <w:shd w:val="clear" w:color="auto" w:fill="auto"/>
            <w:vAlign w:val="bottom"/>
          </w:tcPr>
          <w:p w14:paraId="678E44D6">
            <w:pPr>
              <w:pStyle w:val="49"/>
            </w:pPr>
            <w:r>
              <w:rPr>
                <w:rFonts w:hint="eastAsia"/>
              </w:rPr>
              <w:t>429</w:t>
            </w:r>
          </w:p>
        </w:tc>
        <w:tc>
          <w:tcPr>
            <w:tcW w:w="2035" w:type="dxa"/>
            <w:tcBorders>
              <w:right w:val="nil"/>
            </w:tcBorders>
            <w:shd w:val="clear" w:color="auto" w:fill="auto"/>
            <w:vAlign w:val="center"/>
          </w:tcPr>
          <w:p w14:paraId="7143B86E">
            <w:pPr>
              <w:pStyle w:val="49"/>
            </w:pPr>
            <w:r>
              <w:rPr>
                <w:rFonts w:hint="eastAsia"/>
              </w:rPr>
              <w:t>2295.061143</w:t>
            </w:r>
          </w:p>
        </w:tc>
      </w:tr>
      <w:tr w14:paraId="14D14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5659F5FC">
            <w:pPr>
              <w:pStyle w:val="49"/>
            </w:pPr>
            <w:r>
              <w:rPr>
                <w:rFonts w:hint="eastAsia"/>
              </w:rPr>
              <w:t>A321 (Sharklets)</w:t>
            </w:r>
          </w:p>
        </w:tc>
        <w:tc>
          <w:tcPr>
            <w:tcW w:w="1985" w:type="dxa"/>
            <w:shd w:val="clear" w:color="auto" w:fill="auto"/>
            <w:vAlign w:val="center"/>
          </w:tcPr>
          <w:p w14:paraId="10BB15B0">
            <w:pPr>
              <w:pStyle w:val="49"/>
            </w:pPr>
            <w:r>
              <w:rPr>
                <w:rFonts w:hint="eastAsia"/>
              </w:rPr>
              <w:t>3.56E+04</w:t>
            </w:r>
          </w:p>
        </w:tc>
        <w:tc>
          <w:tcPr>
            <w:tcW w:w="1559" w:type="dxa"/>
            <w:shd w:val="clear" w:color="auto" w:fill="auto"/>
            <w:vAlign w:val="bottom"/>
          </w:tcPr>
          <w:p w14:paraId="4286B1C1">
            <w:pPr>
              <w:pStyle w:val="49"/>
            </w:pPr>
            <w:r>
              <w:rPr>
                <w:rFonts w:hint="eastAsia"/>
              </w:rPr>
              <w:t>417</w:t>
            </w:r>
          </w:p>
        </w:tc>
        <w:tc>
          <w:tcPr>
            <w:tcW w:w="2035" w:type="dxa"/>
            <w:tcBorders>
              <w:right w:val="nil"/>
            </w:tcBorders>
            <w:shd w:val="clear" w:color="auto" w:fill="auto"/>
            <w:vAlign w:val="center"/>
          </w:tcPr>
          <w:p w14:paraId="40D96A5A">
            <w:pPr>
              <w:pStyle w:val="49"/>
            </w:pPr>
            <w:r>
              <w:rPr>
                <w:rFonts w:hint="eastAsia"/>
              </w:rPr>
              <w:t>2166.924471</w:t>
            </w:r>
          </w:p>
        </w:tc>
      </w:tr>
      <w:tr w14:paraId="16A4C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1C741A38">
            <w:pPr>
              <w:pStyle w:val="49"/>
            </w:pPr>
            <w:r>
              <w:rPr>
                <w:rFonts w:hint="eastAsia"/>
              </w:rPr>
              <w:t>A321</w:t>
            </w:r>
          </w:p>
        </w:tc>
        <w:tc>
          <w:tcPr>
            <w:tcW w:w="1985" w:type="dxa"/>
            <w:shd w:val="clear" w:color="auto" w:fill="auto"/>
            <w:vAlign w:val="center"/>
          </w:tcPr>
          <w:p w14:paraId="340ACF63">
            <w:pPr>
              <w:pStyle w:val="49"/>
            </w:pPr>
            <w:r>
              <w:rPr>
                <w:rFonts w:hint="eastAsia"/>
              </w:rPr>
              <w:t>3.56E+04</w:t>
            </w:r>
          </w:p>
        </w:tc>
        <w:tc>
          <w:tcPr>
            <w:tcW w:w="1559" w:type="dxa"/>
            <w:shd w:val="clear" w:color="auto" w:fill="auto"/>
            <w:vAlign w:val="bottom"/>
          </w:tcPr>
          <w:p w14:paraId="3E04080A">
            <w:pPr>
              <w:pStyle w:val="49"/>
            </w:pPr>
            <w:r>
              <w:rPr>
                <w:rFonts w:hint="eastAsia"/>
              </w:rPr>
              <w:t>39837</w:t>
            </w:r>
          </w:p>
        </w:tc>
        <w:tc>
          <w:tcPr>
            <w:tcW w:w="2035" w:type="dxa"/>
            <w:tcBorders>
              <w:right w:val="nil"/>
            </w:tcBorders>
            <w:shd w:val="clear" w:color="auto" w:fill="auto"/>
            <w:vAlign w:val="center"/>
          </w:tcPr>
          <w:p w14:paraId="448E8CF8">
            <w:pPr>
              <w:pStyle w:val="49"/>
            </w:pPr>
            <w:r>
              <w:rPr>
                <w:rFonts w:hint="eastAsia"/>
              </w:rPr>
              <w:t>207011.4393</w:t>
            </w:r>
          </w:p>
        </w:tc>
      </w:tr>
      <w:tr w14:paraId="14D47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tcBorders>
            <w:shd w:val="clear" w:color="auto" w:fill="auto"/>
            <w:vAlign w:val="bottom"/>
          </w:tcPr>
          <w:p w14:paraId="03A4DC4D">
            <w:pPr>
              <w:pStyle w:val="49"/>
            </w:pPr>
            <w:r>
              <w:rPr>
                <w:rFonts w:hint="eastAsia"/>
              </w:rPr>
              <w:t>A320 (Sharklets)</w:t>
            </w:r>
          </w:p>
        </w:tc>
        <w:tc>
          <w:tcPr>
            <w:tcW w:w="1985" w:type="dxa"/>
            <w:shd w:val="clear" w:color="auto" w:fill="auto"/>
            <w:vAlign w:val="center"/>
          </w:tcPr>
          <w:p w14:paraId="03645EA4">
            <w:pPr>
              <w:pStyle w:val="49"/>
            </w:pPr>
            <w:r>
              <w:rPr>
                <w:rFonts w:hint="eastAsia"/>
              </w:rPr>
              <w:t>2.99E+04</w:t>
            </w:r>
          </w:p>
        </w:tc>
        <w:tc>
          <w:tcPr>
            <w:tcW w:w="1559" w:type="dxa"/>
            <w:shd w:val="clear" w:color="auto" w:fill="auto"/>
            <w:vAlign w:val="bottom"/>
          </w:tcPr>
          <w:p w14:paraId="4E7503A9">
            <w:pPr>
              <w:pStyle w:val="49"/>
            </w:pPr>
            <w:r>
              <w:rPr>
                <w:rFonts w:hint="eastAsia"/>
              </w:rPr>
              <w:t>11</w:t>
            </w:r>
          </w:p>
        </w:tc>
        <w:tc>
          <w:tcPr>
            <w:tcW w:w="2035" w:type="dxa"/>
            <w:tcBorders>
              <w:right w:val="nil"/>
            </w:tcBorders>
            <w:shd w:val="clear" w:color="auto" w:fill="auto"/>
            <w:vAlign w:val="center"/>
          </w:tcPr>
          <w:p w14:paraId="5EB026F9">
            <w:pPr>
              <w:pStyle w:val="49"/>
            </w:pPr>
            <w:r>
              <w:rPr>
                <w:rFonts w:hint="eastAsia"/>
              </w:rPr>
              <w:t>48.10395796</w:t>
            </w:r>
          </w:p>
        </w:tc>
      </w:tr>
      <w:tr w14:paraId="080D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bottom w:val="single" w:color="auto" w:sz="4" w:space="0"/>
            </w:tcBorders>
            <w:shd w:val="clear" w:color="auto" w:fill="auto"/>
            <w:vAlign w:val="bottom"/>
          </w:tcPr>
          <w:p w14:paraId="6E66CD13">
            <w:pPr>
              <w:pStyle w:val="49"/>
            </w:pPr>
            <w:r>
              <w:rPr>
                <w:rFonts w:hint="eastAsia"/>
              </w:rPr>
              <w:t>A320</w:t>
            </w:r>
          </w:p>
        </w:tc>
        <w:tc>
          <w:tcPr>
            <w:tcW w:w="1985" w:type="dxa"/>
            <w:tcBorders>
              <w:bottom w:val="single" w:color="auto" w:sz="4" w:space="0"/>
            </w:tcBorders>
            <w:shd w:val="clear" w:color="auto" w:fill="auto"/>
            <w:vAlign w:val="center"/>
          </w:tcPr>
          <w:p w14:paraId="7DC9FCA0">
            <w:pPr>
              <w:pStyle w:val="49"/>
            </w:pPr>
            <w:r>
              <w:rPr>
                <w:rFonts w:hint="eastAsia"/>
              </w:rPr>
              <w:t>2.99E+04</w:t>
            </w:r>
          </w:p>
        </w:tc>
        <w:tc>
          <w:tcPr>
            <w:tcW w:w="1559" w:type="dxa"/>
            <w:tcBorders>
              <w:bottom w:val="single" w:color="auto" w:sz="4" w:space="0"/>
            </w:tcBorders>
            <w:shd w:val="clear" w:color="auto" w:fill="auto"/>
            <w:vAlign w:val="bottom"/>
          </w:tcPr>
          <w:p w14:paraId="5DCB1351">
            <w:pPr>
              <w:pStyle w:val="49"/>
            </w:pPr>
            <w:r>
              <w:rPr>
                <w:rFonts w:hint="eastAsia"/>
              </w:rPr>
              <w:t>30229</w:t>
            </w:r>
          </w:p>
        </w:tc>
        <w:tc>
          <w:tcPr>
            <w:tcW w:w="2035" w:type="dxa"/>
            <w:tcBorders>
              <w:bottom w:val="single" w:color="auto" w:sz="4" w:space="0"/>
              <w:right w:val="nil"/>
            </w:tcBorders>
            <w:shd w:val="clear" w:color="auto" w:fill="auto"/>
            <w:vAlign w:val="center"/>
          </w:tcPr>
          <w:p w14:paraId="25717C4C">
            <w:pPr>
              <w:pStyle w:val="49"/>
            </w:pPr>
            <w:r>
              <w:rPr>
                <w:rFonts w:hint="eastAsia"/>
              </w:rPr>
              <w:t>132194.0496</w:t>
            </w:r>
          </w:p>
        </w:tc>
      </w:tr>
      <w:tr w14:paraId="24780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Borders>
              <w:left w:val="nil"/>
              <w:bottom w:val="single" w:color="auto" w:sz="12" w:space="0"/>
            </w:tcBorders>
            <w:shd w:val="clear" w:color="auto" w:fill="auto"/>
            <w:vAlign w:val="bottom"/>
          </w:tcPr>
          <w:p w14:paraId="54027A67">
            <w:pPr>
              <w:pStyle w:val="49"/>
            </w:pPr>
            <w:r>
              <w:rPr>
                <w:rFonts w:hint="eastAsia"/>
              </w:rPr>
              <w:t>A319</w:t>
            </w:r>
          </w:p>
        </w:tc>
        <w:tc>
          <w:tcPr>
            <w:tcW w:w="1985" w:type="dxa"/>
            <w:tcBorders>
              <w:bottom w:val="single" w:color="auto" w:sz="12" w:space="0"/>
            </w:tcBorders>
            <w:shd w:val="clear" w:color="auto" w:fill="auto"/>
            <w:vAlign w:val="center"/>
          </w:tcPr>
          <w:p w14:paraId="463666DA">
            <w:pPr>
              <w:pStyle w:val="49"/>
            </w:pPr>
            <w:r>
              <w:rPr>
                <w:rFonts w:hint="eastAsia"/>
              </w:rPr>
              <w:t>2.94E+04</w:t>
            </w:r>
          </w:p>
        </w:tc>
        <w:tc>
          <w:tcPr>
            <w:tcW w:w="1559" w:type="dxa"/>
            <w:tcBorders>
              <w:bottom w:val="single" w:color="auto" w:sz="12" w:space="0"/>
            </w:tcBorders>
            <w:shd w:val="clear" w:color="auto" w:fill="auto"/>
            <w:vAlign w:val="bottom"/>
          </w:tcPr>
          <w:p w14:paraId="377DAE47">
            <w:pPr>
              <w:pStyle w:val="49"/>
            </w:pPr>
            <w:r>
              <w:rPr>
                <w:rFonts w:hint="eastAsia"/>
              </w:rPr>
              <w:t>5949</w:t>
            </w:r>
          </w:p>
        </w:tc>
        <w:tc>
          <w:tcPr>
            <w:tcW w:w="2035" w:type="dxa"/>
            <w:tcBorders>
              <w:bottom w:val="single" w:color="auto" w:sz="12" w:space="0"/>
              <w:right w:val="nil"/>
            </w:tcBorders>
            <w:shd w:val="clear" w:color="auto" w:fill="auto"/>
            <w:vAlign w:val="center"/>
          </w:tcPr>
          <w:p w14:paraId="7ED5F7D9">
            <w:pPr>
              <w:pStyle w:val="49"/>
            </w:pPr>
            <w:r>
              <w:rPr>
                <w:rFonts w:hint="eastAsia"/>
              </w:rPr>
              <w:t>25523.86091</w:t>
            </w:r>
          </w:p>
        </w:tc>
      </w:tr>
    </w:tbl>
    <w:p w14:paraId="05D38BF3">
      <w:pPr>
        <w:ind w:firstLine="420"/>
        <w:rPr>
          <w:i/>
          <w:iCs/>
        </w:rPr>
      </w:pPr>
      <w:r>
        <w:rPr>
          <w:i/>
          <w:iCs/>
        </w:rPr>
        <w:t>Note: Each movement (take-off or landing) is counted as one taxiing event.</w:t>
      </w:r>
    </w:p>
    <w:p w14:paraId="4F04C866">
      <w:pPr>
        <w:ind w:firstLine="420"/>
      </w:pPr>
      <w:r>
        <w:t xml:space="preserve">To evaluate the full life-cycle carbon impact of this long-wave irregularity, cumulative simulations were performed over a 30-year period (2020–2050), incorporating projected growth in aircraft movements and fleet structure evolution. Assuming the wavelength and amplitude remain unchanged, the irregularity would generate approximately </w:t>
      </w:r>
      <w:r>
        <w:rPr>
          <w:rFonts w:hint="eastAsia"/>
        </w:rPr>
        <w:t>1.35×10</w:t>
      </w:r>
      <w:r>
        <w:rPr>
          <w:rFonts w:hint="eastAsia"/>
          <w:vertAlign w:val="superscript"/>
        </w:rPr>
        <w:t>8</w:t>
      </w:r>
      <w:r>
        <w:rPr>
          <w:rFonts w:hint="eastAsia"/>
        </w:rPr>
        <w:t>g</w:t>
      </w:r>
      <w:r>
        <w:t xml:space="preserve"> of additional emissions over the 30-year life cycle. This amount represents a form of “hidden carbon emission” that cannot be effectively identified under the current BBI-based evaluation system.</w:t>
      </w:r>
    </w:p>
    <w:p w14:paraId="66138BE1">
      <w:pPr>
        <w:ind w:firstLine="422"/>
        <w:rPr>
          <w:b/>
          <w:bCs/>
        </w:rPr>
      </w:pPr>
      <w:r>
        <w:rPr>
          <w:b/>
          <w:bCs/>
        </w:rPr>
        <w:t>Impact of Applying the CCI Standard</w:t>
      </w:r>
    </w:p>
    <w:p w14:paraId="6C22DF50">
      <w:pPr>
        <w:ind w:firstLine="420"/>
      </w:pPr>
      <w:r>
        <w:t>Under the proposed CCI control criterion (CCI</w:t>
      </w:r>
      <w:r>
        <w:rPr>
          <w:rFonts w:hint="eastAsia"/>
        </w:rPr>
        <w:t>≤</w:t>
      </w:r>
      <w:r>
        <w:t xml:space="preserve">3.9 s⁻¹), the allowable geometric amplitude must be reduced to satisfy carbon emission constraints. Keeping the wavelength L constant at 60 m, the amplitude must decrease from: </w:t>
      </w:r>
      <w:r>
        <w:rPr>
          <w:rFonts w:ascii="Cambria Math" w:hAnsi="Cambria Math" w:cs="Cambria Math"/>
        </w:rPr>
        <w:t>𝐴</w:t>
      </w:r>
      <w:r>
        <w:t>=112.2 mm</w:t>
      </w:r>
      <w:r>
        <w:rPr>
          <w:rFonts w:hint="eastAsia"/>
        </w:rPr>
        <w:t>→</w:t>
      </w:r>
      <w:r>
        <w:rPr>
          <w:rFonts w:ascii="Cambria Math" w:hAnsi="Cambria Math" w:cs="Cambria Math"/>
        </w:rPr>
        <w:t>𝐴</w:t>
      </w:r>
      <w:r>
        <w:rPr>
          <w:vertAlign w:val="subscript"/>
        </w:rPr>
        <w:t>2</w:t>
      </w:r>
      <w:r>
        <w:t xml:space="preserve">=82.4 mm. </w:t>
      </w:r>
    </w:p>
    <w:p w14:paraId="32675E9D">
      <w:pPr>
        <w:ind w:firstLine="420"/>
      </w:pPr>
      <w:r>
        <w:t>Re-simulating the full taxiing process with the optimized amplitude shows that the cumulative additional CO₂ emissions over 30 years would be reduced to: 7.33</w:t>
      </w:r>
      <w:r>
        <w:rPr>
          <w:rFonts w:hint="eastAsia"/>
        </w:rPr>
        <w:t>×</w:t>
      </w:r>
      <w:r>
        <w:t>10</w:t>
      </w:r>
      <w:r>
        <w:rPr>
          <w:vertAlign w:val="superscript"/>
        </w:rPr>
        <w:t>7</w:t>
      </w:r>
      <w:r>
        <w:t xml:space="preserve"> g CO</w:t>
      </w:r>
      <w:r>
        <w:rPr>
          <w:vertAlign w:val="subscript"/>
        </w:rPr>
        <w:t>2</w:t>
      </w:r>
      <w:r>
        <w:rPr>
          <w:rFonts w:hint="eastAsia"/>
          <w:vertAlign w:val="subscript"/>
        </w:rPr>
        <w:t>.</w:t>
      </w:r>
    </w:p>
    <w:p w14:paraId="4B8DCA76">
      <w:pPr>
        <w:ind w:firstLine="420"/>
      </w:pPr>
      <w:r>
        <w:t>This represents a 46% reduction compared with the current condition.</w:t>
      </w:r>
    </w:p>
    <w:p w14:paraId="72F0B42E">
      <w:pPr>
        <w:ind w:firstLine="420"/>
      </w:pPr>
      <w:r>
        <w:t>These results demonstrate that, unlike BBI, the proposed CCI framework can effectively identify and regulate long-wavelength irregularities with significant carbon implications, thereby enabling targeted mitigation of hidden lifecycle emissions while maintaining operational feasibility.</w:t>
      </w:r>
    </w:p>
    <w:p w14:paraId="28E33F50">
      <w:pPr>
        <w:ind w:firstLine="420"/>
      </w:pPr>
    </w:p>
    <w:p w14:paraId="00BE7F8F">
      <w:pPr>
        <w:ind w:firstLine="422"/>
        <w:rPr>
          <w:rFonts w:eastAsiaTheme="minorEastAsia"/>
          <w:b/>
          <w:bCs/>
          <w:kern w:val="2"/>
          <w:szCs w:val="24"/>
        </w:rPr>
      </w:pPr>
    </w:p>
    <w:p w14:paraId="38F9EE75">
      <w:pPr>
        <w:ind w:firstLine="422"/>
        <w:rPr>
          <w:rFonts w:eastAsiaTheme="minorEastAsia"/>
          <w:b/>
          <w:bCs/>
          <w:kern w:val="2"/>
          <w:szCs w:val="24"/>
        </w:rPr>
      </w:pPr>
    </w:p>
    <w:p w14:paraId="48AC7D93">
      <w:pPr>
        <w:ind w:firstLine="422"/>
        <w:rPr>
          <w:rFonts w:eastAsiaTheme="minorEastAsia"/>
          <w:b/>
          <w:bCs/>
          <w:kern w:val="2"/>
          <w:szCs w:val="24"/>
        </w:rPr>
      </w:pPr>
    </w:p>
    <w:p w14:paraId="31A6093E">
      <w:pPr>
        <w:ind w:firstLine="422"/>
        <w:rPr>
          <w:rFonts w:eastAsiaTheme="minorEastAsia"/>
          <w:b/>
          <w:bCs/>
          <w:kern w:val="2"/>
          <w:szCs w:val="24"/>
        </w:rPr>
      </w:pPr>
    </w:p>
    <w:p w14:paraId="365AE934">
      <w:pPr>
        <w:ind w:firstLine="422"/>
        <w:rPr>
          <w:rFonts w:eastAsiaTheme="minorEastAsia"/>
          <w:b/>
          <w:bCs/>
          <w:kern w:val="2"/>
          <w:szCs w:val="24"/>
        </w:rPr>
      </w:pPr>
    </w:p>
    <w:p w14:paraId="39B96932">
      <w:pPr>
        <w:ind w:firstLine="422"/>
        <w:rPr>
          <w:rFonts w:eastAsiaTheme="minorEastAsia"/>
          <w:b/>
          <w:bCs/>
          <w:kern w:val="2"/>
          <w:szCs w:val="24"/>
        </w:rPr>
      </w:pPr>
    </w:p>
    <w:p w14:paraId="542E0A9C">
      <w:pPr>
        <w:ind w:firstLine="422"/>
        <w:rPr>
          <w:rFonts w:eastAsiaTheme="minorEastAsia"/>
          <w:b/>
          <w:bCs/>
          <w:kern w:val="2"/>
          <w:szCs w:val="24"/>
        </w:rPr>
      </w:pPr>
    </w:p>
    <w:p w14:paraId="6F43164A">
      <w:pPr>
        <w:ind w:firstLine="422"/>
        <w:rPr>
          <w:rFonts w:eastAsiaTheme="minorEastAsia"/>
          <w:b/>
          <w:bCs/>
          <w:kern w:val="2"/>
          <w:szCs w:val="24"/>
        </w:rPr>
      </w:pPr>
    </w:p>
    <w:p w14:paraId="67B10D07">
      <w:pPr>
        <w:ind w:firstLine="422"/>
        <w:rPr>
          <w:rFonts w:eastAsiaTheme="minorEastAsia"/>
          <w:b/>
          <w:bCs/>
          <w:kern w:val="2"/>
          <w:szCs w:val="24"/>
        </w:rPr>
      </w:pPr>
    </w:p>
    <w:p w14:paraId="74682CF6">
      <w:pPr>
        <w:ind w:firstLine="0" w:firstLineChars="0"/>
        <w:rPr>
          <w:rFonts w:eastAsiaTheme="minorEastAsia"/>
          <w:b/>
          <w:bCs/>
          <w:kern w:val="2"/>
          <w:szCs w:val="24"/>
        </w:rPr>
      </w:pPr>
    </w:p>
    <w:p w14:paraId="63DE114A">
      <w:pPr>
        <w:ind w:firstLine="420"/>
      </w:pPr>
    </w:p>
    <w:p w14:paraId="5A050D0D">
      <w:pPr>
        <w:pStyle w:val="2"/>
        <w:ind w:firstLine="562"/>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F5CDAD9">
      <w:pPr>
        <w:pStyle w:val="2"/>
        <w:ind w:firstLine="0" w:firstLineChars="0"/>
      </w:pPr>
      <w:r>
        <w:t>Supplementary Note 12. Comparison of Carbon Emissions under CCI and IRI Control Scenarios</w:t>
      </w:r>
    </w:p>
    <w:p w14:paraId="28F02D3D">
      <w:pPr>
        <w:ind w:firstLine="420"/>
      </w:pPr>
      <w:r>
        <w:t>Based on the differentiated pavement roughness prediction results presented in Section 5.2, this study takes 2025 as the baseline year and further analyzes the long-term evolution of runway roughness at different airports. The analysis focuses on airport-specific IRI deterioration mechanisms, maintenance intervention thresholds, and adaptive operational strategies.</w:t>
      </w:r>
    </w:p>
    <w:p w14:paraId="68390E44">
      <w:pPr>
        <w:ind w:firstLine="420"/>
      </w:pPr>
    </w:p>
    <w:p w14:paraId="20932E39">
      <w:pPr>
        <w:ind w:firstLine="422"/>
        <w:rPr>
          <w:b/>
          <w:bCs/>
        </w:rPr>
      </w:pPr>
      <w:r>
        <w:rPr>
          <w:b/>
          <w:bCs/>
        </w:rPr>
        <w:t>(1) Airport-specific IRI deterioration mechanisms</w:t>
      </w:r>
    </w:p>
    <w:p w14:paraId="19F52641">
      <w:pPr>
        <w:ind w:firstLine="420"/>
      </w:pPr>
      <w:r>
        <w:t>Runway roughness deterioration results from the coupled effects of material aging, cumulative traffic loading, and environmental exposure. The relative influence of these factors varies among airports, leading to distinct IRI evolution trajectories:</w:t>
      </w:r>
    </w:p>
    <w:p w14:paraId="5CF2D121">
      <w:pPr>
        <w:ind w:firstLine="420"/>
      </w:pPr>
      <w:r>
        <w:rPr>
          <w:rFonts w:hint="eastAsia"/>
        </w:rPr>
        <w:t>①</w:t>
      </w:r>
      <w:r>
        <w:t>Material properties: Differences in pavement type (asphalt vs. concrete), aggregate composition, binder characteristics, and construction quality result in varying oxidation rates and deformation accumulation patterns.</w:t>
      </w:r>
    </w:p>
    <w:p w14:paraId="2CD889AE">
      <w:pPr>
        <w:ind w:firstLine="420"/>
      </w:pPr>
      <w:r>
        <w:rPr>
          <w:rFonts w:hint="eastAsia"/>
        </w:rPr>
        <w:t>②</w:t>
      </w:r>
      <w:r>
        <w:t>Traffic loading: Hub airports and regional airports differ significantly in aircraft movements, fleet mix, and daily runway usage intensity, resulting in differentiated structural fatigue and plastic deformation rates.</w:t>
      </w:r>
    </w:p>
    <w:p w14:paraId="2BC5EA21">
      <w:pPr>
        <w:ind w:firstLine="420"/>
      </w:pPr>
      <w:r>
        <w:rPr>
          <w:rFonts w:hint="eastAsia"/>
        </w:rPr>
        <w:t>③</w:t>
      </w:r>
      <w:r>
        <w:t>Environmental conditions: Variations in temperature cycles, annual precipitation, and freeze–thaw frequency further influence the rate of pavement deterioration.</w:t>
      </w:r>
    </w:p>
    <w:p w14:paraId="2FCA61C2">
      <w:pPr>
        <w:ind w:firstLine="420"/>
      </w:pPr>
      <w:r>
        <w:t>These factors collectively determine airport-specific IRI deterioration rates.</w:t>
      </w:r>
    </w:p>
    <w:p w14:paraId="6EF839E4">
      <w:pPr>
        <w:ind w:firstLine="422"/>
        <w:rPr>
          <w:b/>
          <w:bCs/>
        </w:rPr>
      </w:pPr>
      <w:r>
        <w:rPr>
          <w:b/>
          <w:bCs/>
        </w:rPr>
        <w:t>(2) Maintenance threshold and intervention strategy</w:t>
      </w:r>
    </w:p>
    <w:p w14:paraId="54150E2B">
      <w:pPr>
        <w:ind w:firstLine="420"/>
      </w:pPr>
      <w:r>
        <w:t>According to industry practice, major rehabilitation cycles typically range: 6–8 years for hub airports, 8–10 years for regional airports. In accordance with the 2019 Technical Specification for Airport Pavement Evaluation and Management, an intervention threshold of IRI = 4.3 m/km is adopted.</w:t>
      </w:r>
    </w:p>
    <w:p w14:paraId="7A8D55E1">
      <w:pPr>
        <w:ind w:firstLine="420"/>
      </w:pPr>
      <w:r>
        <w:t>Using the predicted 2025 baseline IRI values and airport-specific deterioration rates established in Section 5.2, post-2025 IRI trajectories are projected. When IRI reaches 4.3 m/km, rolling resistance and tire wear increase significantly, triggering maintenance intervention. Maintenance strategies are adapted to pavement type:</w:t>
      </w:r>
    </w:p>
    <w:p w14:paraId="0AD2BC7A">
      <w:pPr>
        <w:ind w:firstLine="420"/>
      </w:pPr>
      <w:r>
        <w:t>Concrete runways: milling + overlay combined with crack repair</w:t>
      </w:r>
    </w:p>
    <w:p w14:paraId="4BA1A9BE">
      <w:pPr>
        <w:ind w:firstLine="420"/>
      </w:pPr>
      <w:r>
        <w:t>Asphalt runways: milling + overlay combined with surface sealing</w:t>
      </w:r>
    </w:p>
    <w:p w14:paraId="5C23EEF6">
      <w:pPr>
        <w:ind w:firstLine="420"/>
      </w:pPr>
      <w:r>
        <w:t>Post-maintenance IRI recovery values are determined based on historical performance data for similar runway types at each airport.</w:t>
      </w:r>
    </w:p>
    <w:p w14:paraId="3359E3B1">
      <w:pPr>
        <w:ind w:firstLine="422"/>
        <w:rPr>
          <w:b/>
          <w:bCs/>
        </w:rPr>
      </w:pPr>
      <w:r>
        <w:rPr>
          <w:b/>
          <w:bCs/>
        </w:rPr>
        <w:t>(3)Carbon Emission Comparison under IRI and CCI Control</w:t>
      </w:r>
    </w:p>
    <w:p w14:paraId="7A1B75B5">
      <w:pPr>
        <w:ind w:firstLine="420"/>
      </w:pPr>
      <w:r>
        <w:t>Based on the above IRI evolution scenarios, CO₂ emissions from 2025 to 2050 are calculated under: IRI-based control scenario and CCI-based control scenario. The comparison results are shown in Fig.</w:t>
      </w:r>
      <w:r>
        <w:rPr>
          <w:rFonts w:hint="eastAsia"/>
        </w:rPr>
        <w:t>S</w:t>
      </w:r>
      <w:r>
        <w:t>12.</w:t>
      </w:r>
    </w:p>
    <w:p w14:paraId="756F8497">
      <w:pPr>
        <w:ind w:firstLine="420"/>
      </w:pPr>
      <w:r>
        <w:t>Under the CCI control framework, carbon emissions are consistently lower than under the IRI control scenario, demonstrating that the CCI index provides a more direct and effective mechanism for limiting vibration-induced incremental carbon emissions.</w:t>
      </w:r>
    </w:p>
    <w:p w14:paraId="616A5C3C">
      <w:pPr>
        <w:ind w:firstLine="420"/>
        <w:jc w:val="center"/>
      </w:pPr>
      <w:r>
        <w:rPr>
          <w:rFonts w:hint="eastAsia"/>
        </w:rPr>
        <w:drawing>
          <wp:inline distT="0" distB="0" distL="114300" distR="114300">
            <wp:extent cx="3917950" cy="2230755"/>
            <wp:effectExtent l="0" t="0" r="6350" b="4445"/>
            <wp:docPr id="62" name="图片 62" descr="carbon_emissions_1e7_correct_f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arbon_emissions_1e7_correct_font"/>
                    <pic:cNvPicPr>
                      <a:picLocks noChangeAspect="1"/>
                    </pic:cNvPicPr>
                  </pic:nvPicPr>
                  <pic:blipFill>
                    <a:blip r:embed="rId98"/>
                    <a:stretch>
                      <a:fillRect/>
                    </a:stretch>
                  </pic:blipFill>
                  <pic:spPr>
                    <a:xfrm>
                      <a:off x="0" y="0"/>
                      <a:ext cx="3917950" cy="2230755"/>
                    </a:xfrm>
                    <a:prstGeom prst="rect">
                      <a:avLst/>
                    </a:prstGeom>
                  </pic:spPr>
                </pic:pic>
              </a:graphicData>
            </a:graphic>
          </wp:inline>
        </w:drawing>
      </w:r>
    </w:p>
    <w:p w14:paraId="73063657">
      <w:pPr>
        <w:pStyle w:val="52"/>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Fig.</w:t>
      </w:r>
      <w:r>
        <w:rPr>
          <w:rFonts w:hint="eastAsia"/>
        </w:rPr>
        <w:t>S</w:t>
      </w:r>
      <w:r>
        <w:t>12. Comparison of CO₂ emissions under IRI-based control and CCI-based control scenarios (2025–2050).</w:t>
      </w:r>
    </w:p>
    <w:p w14:paraId="6578286D">
      <w:pPr>
        <w:ind w:firstLine="42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A66FCE8">
      <w:pPr>
        <w:pStyle w:val="2"/>
        <w:ind w:firstLine="0" w:firstLineChars="0"/>
      </w:pPr>
      <w:r>
        <w:t>Supplementary Note 13</w:t>
      </w:r>
      <w:r>
        <w:rPr>
          <w:rFonts w:hint="eastAsia"/>
        </w:rPr>
        <w:t xml:space="preserve">. </w:t>
      </w:r>
      <w:r>
        <w:t>Comparison of Runway Roughness Between China and the United States and Global CE</w:t>
      </w:r>
      <w:r>
        <w:rPr>
          <w:vertAlign w:val="subscript"/>
        </w:rPr>
        <w:t xml:space="preserve">ctol </w:t>
      </w:r>
      <w:r>
        <w:t>Extrapolation</w:t>
      </w:r>
    </w:p>
    <w:p w14:paraId="0E14923A">
      <w:pPr>
        <w:pStyle w:val="3"/>
        <w:ind w:firstLine="482"/>
      </w:pPr>
      <w:r>
        <w:t>13.1 Pavement Roughness Characteristics of Chinese and U.S. Airports</w:t>
      </w:r>
    </w:p>
    <w:p w14:paraId="0F19F265">
      <w:pPr>
        <w:ind w:firstLine="420"/>
      </w:pPr>
      <w:r>
        <w:t xml:space="preserve">The Federal Aviation Administration (FAA) provides publicly available longitudinal roughness measurements for 37 runways and 37 taxiways in the United States. Table </w:t>
      </w:r>
      <w:r>
        <w:rPr>
          <w:rFonts w:hint="eastAsia"/>
        </w:rPr>
        <w:t>S</w:t>
      </w:r>
      <w:r>
        <w:t>13.1 lists the identifiers and airport codes of 18 representative U.S. runways selected for this study.</w:t>
      </w:r>
    </w:p>
    <w:p w14:paraId="193EA3C6">
      <w:pPr>
        <w:ind w:firstLine="420"/>
      </w:pPr>
      <w:r>
        <w:t>Due to the distinct spectral characteristics of asphalt and concrete pavements, separate power spectral density (PSD) models were adopted for the two pavement types in accordance with Equations (1.1) and (1.2) in Supplementary Note 1.</w:t>
      </w:r>
    </w:p>
    <w:p w14:paraId="6DBC8F9E">
      <w:pPr>
        <w:pStyle w:val="52"/>
      </w:pPr>
      <w:r>
        <w:t xml:space="preserve">Table </w:t>
      </w:r>
      <w:r>
        <w:rPr>
          <w:rFonts w:hint="eastAsia"/>
        </w:rPr>
        <w:t>S</w:t>
      </w:r>
      <w:r>
        <w:t>13.1 Single-track roughness data for 18 U.S. runways</w:t>
      </w:r>
    </w:p>
    <w:tbl>
      <w:tblPr>
        <w:tblStyle w:val="15"/>
        <w:tblW w:w="52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9"/>
        <w:gridCol w:w="1119"/>
        <w:gridCol w:w="986"/>
        <w:gridCol w:w="1390"/>
      </w:tblGrid>
      <w:tr w14:paraId="0F339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69" w:type="dxa"/>
            <w:tcBorders>
              <w:top w:val="single" w:color="auto" w:sz="12" w:space="0"/>
              <w:bottom w:val="single" w:color="auto" w:sz="12" w:space="0"/>
            </w:tcBorders>
            <w:shd w:val="clear" w:color="auto" w:fill="auto"/>
            <w:vAlign w:val="center"/>
          </w:tcPr>
          <w:p w14:paraId="331122E5">
            <w:pPr>
              <w:pStyle w:val="49"/>
            </w:pPr>
            <w:r>
              <w:t>Runway ID</w:t>
            </w:r>
          </w:p>
        </w:tc>
        <w:tc>
          <w:tcPr>
            <w:tcW w:w="1119" w:type="dxa"/>
            <w:tcBorders>
              <w:top w:val="single" w:color="auto" w:sz="12" w:space="0"/>
              <w:bottom w:val="single" w:color="auto" w:sz="12" w:space="0"/>
            </w:tcBorders>
            <w:shd w:val="clear" w:color="auto" w:fill="auto"/>
            <w:vAlign w:val="center"/>
          </w:tcPr>
          <w:p w14:paraId="0C36C140">
            <w:pPr>
              <w:pStyle w:val="49"/>
            </w:pPr>
            <w:r>
              <w:t>Airport Code</w:t>
            </w:r>
          </w:p>
        </w:tc>
        <w:tc>
          <w:tcPr>
            <w:tcW w:w="986" w:type="dxa"/>
            <w:tcBorders>
              <w:top w:val="single" w:color="auto" w:sz="12" w:space="0"/>
              <w:bottom w:val="single" w:color="auto" w:sz="12" w:space="0"/>
            </w:tcBorders>
            <w:shd w:val="clear" w:color="auto" w:fill="auto"/>
          </w:tcPr>
          <w:p w14:paraId="1085D943">
            <w:pPr>
              <w:pStyle w:val="49"/>
            </w:pPr>
            <w:r>
              <w:t>Runway ID</w:t>
            </w:r>
          </w:p>
        </w:tc>
        <w:tc>
          <w:tcPr>
            <w:tcW w:w="1390" w:type="dxa"/>
            <w:tcBorders>
              <w:top w:val="single" w:color="auto" w:sz="12" w:space="0"/>
              <w:bottom w:val="single" w:color="auto" w:sz="12" w:space="0"/>
            </w:tcBorders>
            <w:shd w:val="clear" w:color="auto" w:fill="auto"/>
          </w:tcPr>
          <w:p w14:paraId="05E67833">
            <w:pPr>
              <w:pStyle w:val="49"/>
            </w:pPr>
            <w:r>
              <w:t>Airport Code</w:t>
            </w:r>
          </w:p>
        </w:tc>
      </w:tr>
      <w:tr w14:paraId="22E796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1769" w:type="dxa"/>
            <w:tcBorders>
              <w:top w:val="single" w:color="auto" w:sz="12" w:space="0"/>
            </w:tcBorders>
            <w:shd w:val="clear" w:color="auto" w:fill="auto"/>
            <w:vAlign w:val="center"/>
          </w:tcPr>
          <w:p w14:paraId="39B30852">
            <w:pPr>
              <w:pStyle w:val="49"/>
            </w:pPr>
            <w:r>
              <w:t>43</w:t>
            </w:r>
          </w:p>
        </w:tc>
        <w:tc>
          <w:tcPr>
            <w:tcW w:w="1119" w:type="dxa"/>
            <w:tcBorders>
              <w:top w:val="single" w:color="auto" w:sz="12" w:space="0"/>
            </w:tcBorders>
            <w:shd w:val="clear" w:color="auto" w:fill="auto"/>
            <w:vAlign w:val="center"/>
          </w:tcPr>
          <w:p w14:paraId="39410BB6">
            <w:pPr>
              <w:pStyle w:val="49"/>
            </w:pPr>
            <w:r>
              <w:t>SRQ</w:t>
            </w:r>
          </w:p>
        </w:tc>
        <w:tc>
          <w:tcPr>
            <w:tcW w:w="986" w:type="dxa"/>
            <w:tcBorders>
              <w:top w:val="single" w:color="auto" w:sz="12" w:space="0"/>
            </w:tcBorders>
            <w:shd w:val="clear" w:color="auto" w:fill="auto"/>
            <w:vAlign w:val="center"/>
          </w:tcPr>
          <w:p w14:paraId="7F43B102">
            <w:pPr>
              <w:pStyle w:val="49"/>
            </w:pPr>
            <w:r>
              <w:t>62</w:t>
            </w:r>
          </w:p>
        </w:tc>
        <w:tc>
          <w:tcPr>
            <w:tcW w:w="1390" w:type="dxa"/>
            <w:tcBorders>
              <w:top w:val="single" w:color="auto" w:sz="12" w:space="0"/>
            </w:tcBorders>
            <w:shd w:val="clear" w:color="auto" w:fill="auto"/>
            <w:vAlign w:val="center"/>
          </w:tcPr>
          <w:p w14:paraId="2C3A4920">
            <w:pPr>
              <w:pStyle w:val="49"/>
            </w:pPr>
            <w:r>
              <w:t>DFW</w:t>
            </w:r>
          </w:p>
        </w:tc>
      </w:tr>
      <w:tr w14:paraId="00A00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69" w:type="dxa"/>
            <w:shd w:val="clear" w:color="auto" w:fill="auto"/>
            <w:vAlign w:val="center"/>
          </w:tcPr>
          <w:p w14:paraId="213634E9">
            <w:pPr>
              <w:pStyle w:val="49"/>
            </w:pPr>
            <w:r>
              <w:t>44</w:t>
            </w:r>
          </w:p>
        </w:tc>
        <w:tc>
          <w:tcPr>
            <w:tcW w:w="1119" w:type="dxa"/>
            <w:shd w:val="clear" w:color="auto" w:fill="auto"/>
            <w:vAlign w:val="center"/>
          </w:tcPr>
          <w:p w14:paraId="39C1BBB6">
            <w:pPr>
              <w:pStyle w:val="49"/>
            </w:pPr>
            <w:r>
              <w:t>DEN</w:t>
            </w:r>
          </w:p>
        </w:tc>
        <w:tc>
          <w:tcPr>
            <w:tcW w:w="986" w:type="dxa"/>
            <w:shd w:val="clear" w:color="auto" w:fill="auto"/>
            <w:vAlign w:val="center"/>
          </w:tcPr>
          <w:p w14:paraId="60EFF5A6">
            <w:pPr>
              <w:pStyle w:val="49"/>
            </w:pPr>
            <w:r>
              <w:t>63</w:t>
            </w:r>
          </w:p>
        </w:tc>
        <w:tc>
          <w:tcPr>
            <w:tcW w:w="1390" w:type="dxa"/>
            <w:shd w:val="clear" w:color="auto" w:fill="auto"/>
            <w:vAlign w:val="center"/>
          </w:tcPr>
          <w:p w14:paraId="48026F6B">
            <w:pPr>
              <w:pStyle w:val="49"/>
            </w:pPr>
            <w:r>
              <w:t>MDT</w:t>
            </w:r>
          </w:p>
        </w:tc>
      </w:tr>
      <w:tr w14:paraId="3F36E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1769" w:type="dxa"/>
            <w:shd w:val="clear" w:color="auto" w:fill="auto"/>
            <w:vAlign w:val="center"/>
          </w:tcPr>
          <w:p w14:paraId="0D22D082">
            <w:pPr>
              <w:pStyle w:val="49"/>
            </w:pPr>
            <w:r>
              <w:t>45</w:t>
            </w:r>
          </w:p>
        </w:tc>
        <w:tc>
          <w:tcPr>
            <w:tcW w:w="1119" w:type="dxa"/>
            <w:shd w:val="clear" w:color="auto" w:fill="auto"/>
            <w:vAlign w:val="center"/>
          </w:tcPr>
          <w:p w14:paraId="51806801">
            <w:pPr>
              <w:pStyle w:val="49"/>
            </w:pPr>
            <w:r>
              <w:t>DEN</w:t>
            </w:r>
          </w:p>
        </w:tc>
        <w:tc>
          <w:tcPr>
            <w:tcW w:w="986" w:type="dxa"/>
            <w:shd w:val="clear" w:color="auto" w:fill="auto"/>
            <w:vAlign w:val="center"/>
          </w:tcPr>
          <w:p w14:paraId="4E481B22">
            <w:pPr>
              <w:pStyle w:val="49"/>
            </w:pPr>
            <w:r>
              <w:t>64</w:t>
            </w:r>
          </w:p>
        </w:tc>
        <w:tc>
          <w:tcPr>
            <w:tcW w:w="1390" w:type="dxa"/>
            <w:shd w:val="clear" w:color="auto" w:fill="auto"/>
            <w:vAlign w:val="center"/>
          </w:tcPr>
          <w:p w14:paraId="6855E61D">
            <w:pPr>
              <w:pStyle w:val="49"/>
            </w:pPr>
            <w:r>
              <w:t>ACY</w:t>
            </w:r>
          </w:p>
        </w:tc>
      </w:tr>
      <w:tr w14:paraId="6ED58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69" w:type="dxa"/>
            <w:shd w:val="clear" w:color="auto" w:fill="auto"/>
            <w:vAlign w:val="center"/>
          </w:tcPr>
          <w:p w14:paraId="36010B17">
            <w:pPr>
              <w:pStyle w:val="49"/>
            </w:pPr>
            <w:r>
              <w:t>46</w:t>
            </w:r>
          </w:p>
        </w:tc>
        <w:tc>
          <w:tcPr>
            <w:tcW w:w="1119" w:type="dxa"/>
            <w:shd w:val="clear" w:color="auto" w:fill="auto"/>
            <w:vAlign w:val="center"/>
          </w:tcPr>
          <w:p w14:paraId="4692C036">
            <w:pPr>
              <w:pStyle w:val="49"/>
            </w:pPr>
            <w:r>
              <w:t>SRQ</w:t>
            </w:r>
          </w:p>
        </w:tc>
        <w:tc>
          <w:tcPr>
            <w:tcW w:w="986" w:type="dxa"/>
            <w:shd w:val="clear" w:color="auto" w:fill="auto"/>
            <w:vAlign w:val="center"/>
          </w:tcPr>
          <w:p w14:paraId="69D98288">
            <w:pPr>
              <w:pStyle w:val="49"/>
            </w:pPr>
            <w:r>
              <w:t>67</w:t>
            </w:r>
          </w:p>
        </w:tc>
        <w:tc>
          <w:tcPr>
            <w:tcW w:w="1390" w:type="dxa"/>
            <w:shd w:val="clear" w:color="auto" w:fill="auto"/>
            <w:vAlign w:val="center"/>
          </w:tcPr>
          <w:p w14:paraId="1FF8D26A">
            <w:pPr>
              <w:pStyle w:val="49"/>
            </w:pPr>
            <w:r>
              <w:t>PHX</w:t>
            </w:r>
          </w:p>
        </w:tc>
      </w:tr>
      <w:tr w14:paraId="5875C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1769" w:type="dxa"/>
            <w:shd w:val="clear" w:color="auto" w:fill="auto"/>
            <w:vAlign w:val="center"/>
          </w:tcPr>
          <w:p w14:paraId="0B954D81">
            <w:pPr>
              <w:pStyle w:val="49"/>
            </w:pPr>
            <w:r>
              <w:t>47</w:t>
            </w:r>
          </w:p>
        </w:tc>
        <w:tc>
          <w:tcPr>
            <w:tcW w:w="1119" w:type="dxa"/>
            <w:shd w:val="clear" w:color="auto" w:fill="auto"/>
            <w:vAlign w:val="center"/>
          </w:tcPr>
          <w:p w14:paraId="25899553">
            <w:pPr>
              <w:pStyle w:val="49"/>
            </w:pPr>
            <w:r>
              <w:t>MSY</w:t>
            </w:r>
          </w:p>
        </w:tc>
        <w:tc>
          <w:tcPr>
            <w:tcW w:w="986" w:type="dxa"/>
            <w:shd w:val="clear" w:color="auto" w:fill="auto"/>
            <w:vAlign w:val="center"/>
          </w:tcPr>
          <w:p w14:paraId="1486D44E">
            <w:pPr>
              <w:pStyle w:val="49"/>
            </w:pPr>
            <w:r>
              <w:t>68</w:t>
            </w:r>
          </w:p>
        </w:tc>
        <w:tc>
          <w:tcPr>
            <w:tcW w:w="1390" w:type="dxa"/>
            <w:shd w:val="clear" w:color="auto" w:fill="auto"/>
            <w:vAlign w:val="center"/>
          </w:tcPr>
          <w:p w14:paraId="089EBE70">
            <w:pPr>
              <w:pStyle w:val="49"/>
            </w:pPr>
            <w:r>
              <w:t>ACY</w:t>
            </w:r>
          </w:p>
        </w:tc>
      </w:tr>
      <w:tr w14:paraId="22E1B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69" w:type="dxa"/>
            <w:shd w:val="clear" w:color="auto" w:fill="auto"/>
            <w:vAlign w:val="center"/>
          </w:tcPr>
          <w:p w14:paraId="05615538">
            <w:pPr>
              <w:pStyle w:val="49"/>
            </w:pPr>
            <w:r>
              <w:t>48</w:t>
            </w:r>
          </w:p>
        </w:tc>
        <w:tc>
          <w:tcPr>
            <w:tcW w:w="1119" w:type="dxa"/>
            <w:shd w:val="clear" w:color="auto" w:fill="auto"/>
            <w:vAlign w:val="center"/>
          </w:tcPr>
          <w:p w14:paraId="17A560C6">
            <w:pPr>
              <w:pStyle w:val="49"/>
            </w:pPr>
            <w:r>
              <w:t>ORD</w:t>
            </w:r>
          </w:p>
        </w:tc>
        <w:tc>
          <w:tcPr>
            <w:tcW w:w="986" w:type="dxa"/>
            <w:shd w:val="clear" w:color="auto" w:fill="auto"/>
            <w:vAlign w:val="center"/>
          </w:tcPr>
          <w:p w14:paraId="7CB0037E">
            <w:pPr>
              <w:pStyle w:val="49"/>
            </w:pPr>
            <w:r>
              <w:t>56</w:t>
            </w:r>
          </w:p>
        </w:tc>
        <w:tc>
          <w:tcPr>
            <w:tcW w:w="1390" w:type="dxa"/>
            <w:shd w:val="clear" w:color="auto" w:fill="auto"/>
            <w:vAlign w:val="center"/>
          </w:tcPr>
          <w:p w14:paraId="4DA38CF6">
            <w:pPr>
              <w:pStyle w:val="49"/>
            </w:pPr>
            <w:r>
              <w:t>ACY</w:t>
            </w:r>
          </w:p>
        </w:tc>
      </w:tr>
      <w:tr w14:paraId="48D519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69" w:type="dxa"/>
            <w:shd w:val="clear" w:color="auto" w:fill="auto"/>
            <w:vAlign w:val="center"/>
          </w:tcPr>
          <w:p w14:paraId="5AC659DF">
            <w:pPr>
              <w:pStyle w:val="49"/>
            </w:pPr>
            <w:r>
              <w:t>49</w:t>
            </w:r>
          </w:p>
        </w:tc>
        <w:tc>
          <w:tcPr>
            <w:tcW w:w="1119" w:type="dxa"/>
            <w:shd w:val="clear" w:color="auto" w:fill="auto"/>
            <w:vAlign w:val="center"/>
          </w:tcPr>
          <w:p w14:paraId="04E88A12">
            <w:pPr>
              <w:pStyle w:val="49"/>
            </w:pPr>
            <w:r>
              <w:t>MCI</w:t>
            </w:r>
          </w:p>
        </w:tc>
        <w:tc>
          <w:tcPr>
            <w:tcW w:w="986" w:type="dxa"/>
            <w:shd w:val="clear" w:color="auto" w:fill="auto"/>
            <w:vAlign w:val="center"/>
          </w:tcPr>
          <w:p w14:paraId="772EFD3C">
            <w:pPr>
              <w:pStyle w:val="49"/>
            </w:pPr>
            <w:r>
              <w:t>57</w:t>
            </w:r>
          </w:p>
        </w:tc>
        <w:tc>
          <w:tcPr>
            <w:tcW w:w="1390" w:type="dxa"/>
            <w:shd w:val="clear" w:color="auto" w:fill="auto"/>
            <w:vAlign w:val="center"/>
          </w:tcPr>
          <w:p w14:paraId="5DB35748">
            <w:pPr>
              <w:pStyle w:val="49"/>
            </w:pPr>
            <w:r>
              <w:t>ACY</w:t>
            </w:r>
          </w:p>
        </w:tc>
      </w:tr>
      <w:tr w14:paraId="42491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1769" w:type="dxa"/>
            <w:shd w:val="clear" w:color="auto" w:fill="auto"/>
            <w:vAlign w:val="center"/>
          </w:tcPr>
          <w:p w14:paraId="7F662A52">
            <w:pPr>
              <w:pStyle w:val="49"/>
            </w:pPr>
            <w:r>
              <w:t>50</w:t>
            </w:r>
          </w:p>
        </w:tc>
        <w:tc>
          <w:tcPr>
            <w:tcW w:w="1119" w:type="dxa"/>
            <w:shd w:val="clear" w:color="auto" w:fill="auto"/>
            <w:vAlign w:val="center"/>
          </w:tcPr>
          <w:p w14:paraId="206C3CB5">
            <w:pPr>
              <w:pStyle w:val="49"/>
            </w:pPr>
            <w:r>
              <w:t>SRQ</w:t>
            </w:r>
          </w:p>
        </w:tc>
        <w:tc>
          <w:tcPr>
            <w:tcW w:w="986" w:type="dxa"/>
            <w:shd w:val="clear" w:color="auto" w:fill="auto"/>
            <w:vAlign w:val="center"/>
          </w:tcPr>
          <w:p w14:paraId="478A8805">
            <w:pPr>
              <w:pStyle w:val="49"/>
            </w:pPr>
            <w:r>
              <w:t>59</w:t>
            </w:r>
          </w:p>
        </w:tc>
        <w:tc>
          <w:tcPr>
            <w:tcW w:w="1390" w:type="dxa"/>
            <w:shd w:val="clear" w:color="auto" w:fill="auto"/>
            <w:vAlign w:val="center"/>
          </w:tcPr>
          <w:p w14:paraId="671CD8E3">
            <w:pPr>
              <w:pStyle w:val="49"/>
            </w:pPr>
            <w:r>
              <w:t>EWR</w:t>
            </w:r>
          </w:p>
        </w:tc>
      </w:tr>
      <w:tr w14:paraId="17B90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69" w:type="dxa"/>
            <w:shd w:val="clear" w:color="auto" w:fill="auto"/>
            <w:vAlign w:val="center"/>
          </w:tcPr>
          <w:p w14:paraId="37DA41B3">
            <w:pPr>
              <w:pStyle w:val="49"/>
            </w:pPr>
            <w:r>
              <w:t>51</w:t>
            </w:r>
          </w:p>
        </w:tc>
        <w:tc>
          <w:tcPr>
            <w:tcW w:w="1119" w:type="dxa"/>
            <w:shd w:val="clear" w:color="auto" w:fill="auto"/>
            <w:vAlign w:val="center"/>
          </w:tcPr>
          <w:p w14:paraId="3412A45B">
            <w:pPr>
              <w:pStyle w:val="49"/>
            </w:pPr>
            <w:r>
              <w:t>ORD</w:t>
            </w:r>
          </w:p>
        </w:tc>
        <w:tc>
          <w:tcPr>
            <w:tcW w:w="986" w:type="dxa"/>
            <w:shd w:val="clear" w:color="auto" w:fill="auto"/>
            <w:vAlign w:val="center"/>
          </w:tcPr>
          <w:p w14:paraId="3B4B0208">
            <w:pPr>
              <w:pStyle w:val="49"/>
            </w:pPr>
            <w:r>
              <w:t>54</w:t>
            </w:r>
          </w:p>
        </w:tc>
        <w:tc>
          <w:tcPr>
            <w:tcW w:w="1390" w:type="dxa"/>
            <w:shd w:val="clear" w:color="auto" w:fill="auto"/>
            <w:vAlign w:val="center"/>
          </w:tcPr>
          <w:p w14:paraId="401C9424">
            <w:pPr>
              <w:pStyle w:val="49"/>
            </w:pPr>
            <w:r>
              <w:t>EWR</w:t>
            </w:r>
          </w:p>
        </w:tc>
      </w:tr>
      <w:tr w14:paraId="7F791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1769" w:type="dxa"/>
            <w:shd w:val="clear" w:color="auto" w:fill="auto"/>
            <w:vAlign w:val="center"/>
          </w:tcPr>
          <w:p w14:paraId="3D9F746D">
            <w:pPr>
              <w:pStyle w:val="49"/>
            </w:pPr>
            <w:r>
              <w:t>60</w:t>
            </w:r>
          </w:p>
        </w:tc>
        <w:tc>
          <w:tcPr>
            <w:tcW w:w="1119" w:type="dxa"/>
            <w:shd w:val="clear" w:color="auto" w:fill="auto"/>
            <w:vAlign w:val="center"/>
          </w:tcPr>
          <w:p w14:paraId="317E8929">
            <w:pPr>
              <w:pStyle w:val="49"/>
            </w:pPr>
            <w:r>
              <w:t>MSY</w:t>
            </w:r>
          </w:p>
        </w:tc>
        <w:tc>
          <w:tcPr>
            <w:tcW w:w="986" w:type="dxa"/>
            <w:shd w:val="clear" w:color="auto" w:fill="auto"/>
            <w:vAlign w:val="center"/>
          </w:tcPr>
          <w:p w14:paraId="0AE01A03">
            <w:pPr>
              <w:pStyle w:val="49"/>
            </w:pPr>
            <w:r>
              <w:t>55</w:t>
            </w:r>
          </w:p>
        </w:tc>
        <w:tc>
          <w:tcPr>
            <w:tcW w:w="1390" w:type="dxa"/>
            <w:shd w:val="clear" w:color="auto" w:fill="auto"/>
            <w:vAlign w:val="center"/>
          </w:tcPr>
          <w:p w14:paraId="73892920">
            <w:pPr>
              <w:pStyle w:val="49"/>
            </w:pPr>
            <w:r>
              <w:t>ACY</w:t>
            </w:r>
          </w:p>
        </w:tc>
      </w:tr>
    </w:tbl>
    <w:p w14:paraId="21FF3CCF">
      <w:pPr>
        <w:ind w:firstLine="420"/>
      </w:pPr>
      <w:r>
        <w:t>(1) Asphalt Runways</w:t>
      </w:r>
    </w:p>
    <w:p w14:paraId="520A66CD">
      <w:pPr>
        <w:ind w:firstLine="420"/>
      </w:pPr>
      <w:r>
        <w:t>The PSD of each asphalt runway was computed using Eq.(</w:t>
      </w:r>
      <w:r>
        <w:rPr>
          <w:rFonts w:hint="eastAsia"/>
        </w:rPr>
        <w:t>S</w:t>
      </w:r>
      <w:r>
        <w:t>1.1). Fitted parameter distributions for Chinese and U.S. runways are presented in Fig.</w:t>
      </w:r>
      <w:r>
        <w:rPr>
          <w:rFonts w:hint="eastAsia"/>
        </w:rPr>
        <w:t>S</w:t>
      </w:r>
      <w:r>
        <w:t>13.1.</w:t>
      </w:r>
    </w:p>
    <w:p w14:paraId="5538C779">
      <w:pPr>
        <w:ind w:firstLine="0" w:firstLineChars="0"/>
      </w:pPr>
      <w:r>
        <w:drawing>
          <wp:inline distT="0" distB="0" distL="114300" distR="114300">
            <wp:extent cx="2534920" cy="1718945"/>
            <wp:effectExtent l="0" t="0" r="5080" b="825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99"/>
                    <a:stretch>
                      <a:fillRect/>
                    </a:stretch>
                  </pic:blipFill>
                  <pic:spPr>
                    <a:xfrm>
                      <a:off x="0" y="0"/>
                      <a:ext cx="2534920" cy="1718945"/>
                    </a:xfrm>
                    <a:prstGeom prst="rect">
                      <a:avLst/>
                    </a:prstGeom>
                    <a:noFill/>
                    <a:ln>
                      <a:noFill/>
                    </a:ln>
                  </pic:spPr>
                </pic:pic>
              </a:graphicData>
            </a:graphic>
          </wp:inline>
        </w:drawing>
      </w:r>
      <w:r>
        <w:drawing>
          <wp:inline distT="0" distB="0" distL="114300" distR="114300">
            <wp:extent cx="2577465" cy="1715135"/>
            <wp:effectExtent l="0" t="0" r="635" b="12065"/>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00"/>
                    <a:stretch>
                      <a:fillRect/>
                    </a:stretch>
                  </pic:blipFill>
                  <pic:spPr>
                    <a:xfrm>
                      <a:off x="0" y="0"/>
                      <a:ext cx="2577465" cy="1715135"/>
                    </a:xfrm>
                    <a:prstGeom prst="rect">
                      <a:avLst/>
                    </a:prstGeom>
                    <a:noFill/>
                    <a:ln>
                      <a:noFill/>
                    </a:ln>
                  </pic:spPr>
                </pic:pic>
              </a:graphicData>
            </a:graphic>
          </wp:inline>
        </w:drawing>
      </w:r>
    </w:p>
    <w:p w14:paraId="55F8DBAE">
      <w:pPr>
        <w:ind w:firstLine="0" w:firstLineChars="0"/>
      </w:pPr>
      <w:r>
        <w:drawing>
          <wp:inline distT="0" distB="0" distL="114300" distR="114300">
            <wp:extent cx="2531745" cy="1896110"/>
            <wp:effectExtent l="0" t="0" r="8255" b="8890"/>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101"/>
                    <a:stretch>
                      <a:fillRect/>
                    </a:stretch>
                  </pic:blipFill>
                  <pic:spPr>
                    <a:xfrm>
                      <a:off x="0" y="0"/>
                      <a:ext cx="2531745" cy="1896110"/>
                    </a:xfrm>
                    <a:prstGeom prst="rect">
                      <a:avLst/>
                    </a:prstGeom>
                    <a:noFill/>
                    <a:ln>
                      <a:noFill/>
                    </a:ln>
                  </pic:spPr>
                </pic:pic>
              </a:graphicData>
            </a:graphic>
          </wp:inline>
        </w:drawing>
      </w:r>
    </w:p>
    <w:p w14:paraId="2A3FD4DE">
      <w:pPr>
        <w:pStyle w:val="52"/>
      </w:pPr>
      <w:r>
        <w:rPr>
          <w:rFonts w:hint="eastAsia"/>
        </w:rPr>
        <w:t>Fig.S</w:t>
      </w:r>
      <w:r>
        <w:t>13.1</w:t>
      </w:r>
      <w:r>
        <w:rPr>
          <w:rFonts w:hint="eastAsia"/>
        </w:rPr>
        <w:t>.</w:t>
      </w:r>
      <w:r>
        <w:t xml:space="preserve"> Probability distribution and probability density of fitted PSD parameters for all asphalt runways</w:t>
      </w:r>
    </w:p>
    <w:p w14:paraId="25DD68F4">
      <w:pPr>
        <w:ind w:firstLine="420"/>
      </w:pPr>
      <w:r>
        <w:rPr>
          <w:rFonts w:hint="eastAsia"/>
        </w:rPr>
        <w:t>For the spectral coefficient C, U.S. runways exhibit a bimodal distribution, with peaks near 0.1 and 1.25. The first peak (≈0.1) accounts for approximately 85% of the probability density. In contrast, Chinese asphalt runways show a concentrated distributio</w:t>
      </w:r>
      <w:r>
        <w:t>n within 0.09–0.12, located entirely within the primary U.S. peak. This indicates that U.S. airports cover a broader range of roughness conditions. For parameter ω, both countries exhibit largely overlapping distributions, although Chinese values tend to be slightly lower.</w:t>
      </w:r>
    </w:p>
    <w:p w14:paraId="0DECA210">
      <w:pPr>
        <w:ind w:firstLine="420"/>
      </w:pPr>
      <w:r>
        <w:t>For parameter β, U.S. runways show maximum probability density near 2.3, while Chinese runways peak near 2.24. Although the most probable values are close, U.S. runways span a wider interval (2.0–3.2), fully covering the Chinese range. This reflects the larger and more diverse asphalt pavement sample in the U.S.</w:t>
      </w:r>
    </w:p>
    <w:p w14:paraId="4F6A9A39">
      <w:pPr>
        <w:ind w:firstLine="420"/>
      </w:pPr>
      <w:r>
        <w:t xml:space="preserve">The corresponding parameter ranges are summarized in Table </w:t>
      </w:r>
      <w:r>
        <w:rPr>
          <w:rFonts w:hint="eastAsia"/>
        </w:rPr>
        <w:t>S</w:t>
      </w:r>
      <w:r>
        <w:t>13.2.</w:t>
      </w:r>
    </w:p>
    <w:p w14:paraId="1A93B01B">
      <w:pPr>
        <w:pStyle w:val="52"/>
      </w:pPr>
      <w:r>
        <w:t xml:space="preserve">Table </w:t>
      </w:r>
      <w:r>
        <w:rPr>
          <w:rFonts w:hint="eastAsia"/>
        </w:rPr>
        <w:t>S</w:t>
      </w:r>
      <w:r>
        <w:t>13.2</w:t>
      </w:r>
      <w:r>
        <w:rPr>
          <w:rFonts w:hint="eastAsia"/>
        </w:rPr>
        <w:t>.</w:t>
      </w:r>
      <w:r>
        <w:t xml:space="preserve"> Range of fitted PSD parameters for asphalt runways</w:t>
      </w:r>
    </w:p>
    <w:tbl>
      <w:tblPr>
        <w:tblStyle w:val="1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20"/>
        <w:gridCol w:w="2019"/>
        <w:gridCol w:w="2346"/>
        <w:gridCol w:w="2128"/>
      </w:tblGrid>
      <w:tr w14:paraId="203C1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920" w:type="dxa"/>
            <w:tcBorders>
              <w:top w:val="single" w:color="auto" w:sz="12" w:space="0"/>
              <w:bottom w:val="single" w:color="auto" w:sz="12" w:space="0"/>
            </w:tcBorders>
            <w:shd w:val="clear" w:color="auto" w:fill="auto"/>
          </w:tcPr>
          <w:p w14:paraId="597E85CE">
            <w:pPr>
              <w:pStyle w:val="49"/>
            </w:pPr>
            <w:r>
              <w:t>Asphalt Runways</w:t>
            </w:r>
          </w:p>
        </w:tc>
        <w:tc>
          <w:tcPr>
            <w:tcW w:w="2019" w:type="dxa"/>
            <w:tcBorders>
              <w:top w:val="single" w:color="auto" w:sz="12" w:space="0"/>
              <w:bottom w:val="single" w:color="auto" w:sz="12" w:space="0"/>
            </w:tcBorders>
            <w:shd w:val="clear" w:color="auto" w:fill="auto"/>
          </w:tcPr>
          <w:p w14:paraId="77DCDBC4">
            <w:pPr>
              <w:pStyle w:val="49"/>
            </w:pPr>
            <w:r>
              <w:t>C</w:t>
            </w:r>
          </w:p>
        </w:tc>
        <w:tc>
          <w:tcPr>
            <w:tcW w:w="2346" w:type="dxa"/>
            <w:tcBorders>
              <w:top w:val="single" w:color="auto" w:sz="12" w:space="0"/>
              <w:bottom w:val="single" w:color="auto" w:sz="12" w:space="0"/>
            </w:tcBorders>
            <w:shd w:val="clear" w:color="auto" w:fill="auto"/>
          </w:tcPr>
          <w:p w14:paraId="248FCF5F">
            <w:pPr>
              <w:pStyle w:val="49"/>
            </w:pPr>
            <w:r>
              <w:object>
                <v:shape id="_x0000_i1051" o:spt="75" type="#_x0000_t75" style="height:10.65pt;width:12pt;" o:ole="t" filled="f" o:preferrelative="t" stroked="f" coordsize="21600,21600">
                  <v:path/>
                  <v:fill on="f" focussize="0,0"/>
                  <v:stroke on="f" joinstyle="miter"/>
                  <v:imagedata r:id="rId103" o:title=""/>
                  <o:lock v:ext="edit" aspectratio="t"/>
                  <w10:wrap type="none"/>
                  <w10:anchorlock/>
                </v:shape>
                <o:OLEObject Type="Embed" ProgID="Equation.DSMT4" ShapeID="_x0000_i1051" DrawAspect="Content" ObjectID="_1468075751" r:id="rId102">
                  <o:LockedField>false</o:LockedField>
                </o:OLEObject>
              </w:object>
            </w:r>
          </w:p>
        </w:tc>
        <w:tc>
          <w:tcPr>
            <w:tcW w:w="2128" w:type="dxa"/>
            <w:tcBorders>
              <w:top w:val="single" w:color="auto" w:sz="12" w:space="0"/>
              <w:bottom w:val="single" w:color="auto" w:sz="12" w:space="0"/>
            </w:tcBorders>
            <w:shd w:val="clear" w:color="auto" w:fill="auto"/>
          </w:tcPr>
          <w:p w14:paraId="0AEAFC2C">
            <w:pPr>
              <w:pStyle w:val="49"/>
            </w:pPr>
            <w:r>
              <w:object>
                <v:shape id="_x0000_i1052" o:spt="75" type="#_x0000_t75" style="height:10.65pt;width:12pt;" o:ole="t" filled="f" o:preferrelative="t" stroked="f" coordsize="21600,21600">
                  <v:path/>
                  <v:fill on="f" focussize="0,0"/>
                  <v:stroke on="f" joinstyle="miter"/>
                  <v:imagedata r:id="rId105" o:title=""/>
                  <o:lock v:ext="edit" aspectratio="t"/>
                  <w10:wrap type="none"/>
                  <w10:anchorlock/>
                </v:shape>
                <o:OLEObject Type="Embed" ProgID="Equation.DSMT4" ShapeID="_x0000_i1052" DrawAspect="Content" ObjectID="_1468075752" r:id="rId104">
                  <o:LockedField>false</o:LockedField>
                </o:OLEObject>
              </w:object>
            </w:r>
          </w:p>
        </w:tc>
      </w:tr>
      <w:tr w14:paraId="5FCF6E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920" w:type="dxa"/>
            <w:tcBorders>
              <w:top w:val="single" w:color="auto" w:sz="12" w:space="0"/>
            </w:tcBorders>
            <w:shd w:val="clear" w:color="auto" w:fill="auto"/>
          </w:tcPr>
          <w:p w14:paraId="0F8A89DA">
            <w:pPr>
              <w:pStyle w:val="49"/>
            </w:pPr>
            <w:r>
              <w:t>Chinese Runways</w:t>
            </w:r>
          </w:p>
        </w:tc>
        <w:tc>
          <w:tcPr>
            <w:tcW w:w="2019" w:type="dxa"/>
            <w:tcBorders>
              <w:top w:val="single" w:color="auto" w:sz="12" w:space="0"/>
            </w:tcBorders>
            <w:shd w:val="clear" w:color="auto" w:fill="auto"/>
          </w:tcPr>
          <w:p w14:paraId="69D16299">
            <w:pPr>
              <w:pStyle w:val="49"/>
            </w:pPr>
            <w:r>
              <w:t>0.0907~0.119（0.1）</w:t>
            </w:r>
          </w:p>
        </w:tc>
        <w:tc>
          <w:tcPr>
            <w:tcW w:w="2346" w:type="dxa"/>
            <w:tcBorders>
              <w:top w:val="single" w:color="auto" w:sz="12" w:space="0"/>
            </w:tcBorders>
            <w:shd w:val="clear" w:color="auto" w:fill="auto"/>
          </w:tcPr>
          <w:p w14:paraId="330BC682">
            <w:pPr>
              <w:pStyle w:val="49"/>
            </w:pPr>
            <w:r>
              <w:t>0.00054~0.0014（0.0009）</w:t>
            </w:r>
          </w:p>
        </w:tc>
        <w:tc>
          <w:tcPr>
            <w:tcW w:w="2128" w:type="dxa"/>
            <w:tcBorders>
              <w:top w:val="single" w:color="auto" w:sz="12" w:space="0"/>
            </w:tcBorders>
            <w:shd w:val="clear" w:color="auto" w:fill="auto"/>
          </w:tcPr>
          <w:p w14:paraId="3016D77C">
            <w:pPr>
              <w:pStyle w:val="49"/>
            </w:pPr>
            <w:r>
              <w:t>2.199~2.285（2.24）</w:t>
            </w:r>
          </w:p>
        </w:tc>
      </w:tr>
      <w:tr w14:paraId="658A1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920" w:type="dxa"/>
            <w:shd w:val="clear" w:color="auto" w:fill="auto"/>
          </w:tcPr>
          <w:p w14:paraId="2B8E867E">
            <w:pPr>
              <w:pStyle w:val="49"/>
            </w:pPr>
            <w:r>
              <w:t>U.S. Runways</w:t>
            </w:r>
          </w:p>
        </w:tc>
        <w:tc>
          <w:tcPr>
            <w:tcW w:w="2019" w:type="dxa"/>
            <w:shd w:val="clear" w:color="auto" w:fill="auto"/>
          </w:tcPr>
          <w:p w14:paraId="577F9FCE">
            <w:pPr>
              <w:pStyle w:val="49"/>
            </w:pPr>
            <w:r>
              <w:t>0.0227~1.206（0.1）</w:t>
            </w:r>
          </w:p>
        </w:tc>
        <w:tc>
          <w:tcPr>
            <w:tcW w:w="2346" w:type="dxa"/>
            <w:shd w:val="clear" w:color="auto" w:fill="auto"/>
          </w:tcPr>
          <w:p w14:paraId="21240C98">
            <w:pPr>
              <w:pStyle w:val="49"/>
            </w:pPr>
            <w:r>
              <w:t>0.00019~0.00178（0.0005）</w:t>
            </w:r>
          </w:p>
        </w:tc>
        <w:tc>
          <w:tcPr>
            <w:tcW w:w="2128" w:type="dxa"/>
            <w:shd w:val="clear" w:color="auto" w:fill="auto"/>
          </w:tcPr>
          <w:p w14:paraId="38BF2B12">
            <w:pPr>
              <w:pStyle w:val="49"/>
            </w:pPr>
            <w:r>
              <w:t>2.042~3.162（2.3）</w:t>
            </w:r>
          </w:p>
        </w:tc>
      </w:tr>
    </w:tbl>
    <w:p w14:paraId="0D783397">
      <w:pPr>
        <w:ind w:firstLine="420"/>
        <w:rPr>
          <w:i/>
          <w:iCs/>
        </w:rPr>
      </w:pPr>
      <w:r>
        <w:rPr>
          <w:i/>
          <w:iCs/>
        </w:rPr>
        <w:t>Note: Values in parentheses indicate the parameter corresponding to the maximum probability density.</w:t>
      </w:r>
    </w:p>
    <w:p w14:paraId="315EE5CA">
      <w:pPr>
        <w:ind w:firstLine="420"/>
      </w:pPr>
      <w:r>
        <w:t>(2) Concrete Runways</w:t>
      </w:r>
    </w:p>
    <w:p w14:paraId="7E2178A3">
      <w:pPr>
        <w:ind w:firstLine="420"/>
      </w:pPr>
      <w:r>
        <w:t>For concrete pavements, PSD was calculated using Eq.(</w:t>
      </w:r>
      <w:r>
        <w:rPr>
          <w:rFonts w:hint="eastAsia"/>
        </w:rPr>
        <w:t>S</w:t>
      </w:r>
      <w:r>
        <w:t>1.2), and two-segment fitting was performed.</w:t>
      </w:r>
    </w:p>
    <w:p w14:paraId="3DF5D6D6">
      <w:pPr>
        <w:ind w:firstLine="420"/>
      </w:pPr>
    </w:p>
    <w:p w14:paraId="0E64EC6C">
      <w:pPr>
        <w:ind w:firstLine="420"/>
      </w:pPr>
    </w:p>
    <w:p w14:paraId="2AF2C047">
      <w:pPr>
        <w:ind w:firstLine="420"/>
      </w:pPr>
    </w:p>
    <w:p w14:paraId="549832E6">
      <w:pPr>
        <w:ind w:firstLine="420"/>
      </w:pPr>
    </w:p>
    <w:p w14:paraId="32866E25">
      <w:pPr>
        <w:ind w:firstLine="0" w:firstLineChars="0"/>
      </w:pPr>
      <w:r>
        <w:drawing>
          <wp:inline distT="0" distB="0" distL="114300" distR="114300">
            <wp:extent cx="2593340" cy="1778000"/>
            <wp:effectExtent l="0" t="0" r="10160" b="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106"/>
                    <a:stretch>
                      <a:fillRect/>
                    </a:stretch>
                  </pic:blipFill>
                  <pic:spPr>
                    <a:xfrm>
                      <a:off x="0" y="0"/>
                      <a:ext cx="2593340" cy="1778000"/>
                    </a:xfrm>
                    <a:prstGeom prst="rect">
                      <a:avLst/>
                    </a:prstGeom>
                    <a:noFill/>
                    <a:ln>
                      <a:noFill/>
                    </a:ln>
                  </pic:spPr>
                </pic:pic>
              </a:graphicData>
            </a:graphic>
          </wp:inline>
        </w:drawing>
      </w:r>
      <w:r>
        <w:drawing>
          <wp:inline distT="0" distB="0" distL="114300" distR="114300">
            <wp:extent cx="2526030" cy="1829435"/>
            <wp:effectExtent l="0" t="0" r="1270" b="12065"/>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107"/>
                    <a:stretch>
                      <a:fillRect/>
                    </a:stretch>
                  </pic:blipFill>
                  <pic:spPr>
                    <a:xfrm>
                      <a:off x="0" y="0"/>
                      <a:ext cx="2526030" cy="1829435"/>
                    </a:xfrm>
                    <a:prstGeom prst="rect">
                      <a:avLst/>
                    </a:prstGeom>
                    <a:noFill/>
                    <a:ln>
                      <a:noFill/>
                    </a:ln>
                  </pic:spPr>
                </pic:pic>
              </a:graphicData>
            </a:graphic>
          </wp:inline>
        </w:drawing>
      </w:r>
    </w:p>
    <w:p w14:paraId="537BECA0">
      <w:pPr>
        <w:pStyle w:val="52"/>
      </w:pPr>
      <w:r>
        <w:t>Fig.</w:t>
      </w:r>
      <w:r>
        <w:rPr>
          <w:rFonts w:hint="eastAsia"/>
        </w:rPr>
        <w:t>S</w:t>
      </w:r>
      <w:r>
        <w:t>13.2</w:t>
      </w:r>
      <w:r>
        <w:rPr>
          <w:rFonts w:hint="eastAsia"/>
        </w:rPr>
        <w:t>.</w:t>
      </w:r>
      <w:r>
        <w:t xml:space="preserve"> Frequency distribution and probability density of first-segment fitted parameters for all concrete pavements</w:t>
      </w:r>
    </w:p>
    <w:p w14:paraId="6320613E">
      <w:pPr>
        <w:ind w:firstLine="422"/>
        <w:rPr>
          <w:b/>
          <w:bCs/>
        </w:rPr>
      </w:pPr>
      <w:r>
        <w:rPr>
          <w:b/>
          <w:bCs/>
        </w:rPr>
        <w:t>First Segment</w:t>
      </w:r>
    </w:p>
    <w:p w14:paraId="4A6630DA">
      <w:pPr>
        <w:ind w:firstLine="420"/>
      </w:pPr>
      <w:r>
        <w:t>The fitted parameter distributions for the first segment are shown in Fig.</w:t>
      </w:r>
      <w:r>
        <w:rPr>
          <w:rFonts w:hint="eastAsia"/>
          <w:lang w:val="en-US" w:eastAsia="zh-CN"/>
        </w:rPr>
        <w:t>S</w:t>
      </w:r>
      <w:r>
        <w:t>13.2. For C₁, both countries exhibit similar distributions within 0–0.2, with the highest probability near 0.025. For ω₁, U.S. runways are mainly distributed within 0–0.015 (mode</w:t>
      </w:r>
      <w:r>
        <w:rPr>
          <w:rFonts w:hint="eastAsia"/>
        </w:rPr>
        <w:t>≈</w:t>
      </w:r>
      <w:r>
        <w:t>0.005), while Chinese runways extend to 0–0.15 (mode</w:t>
      </w:r>
      <w:r>
        <w:rPr>
          <w:rFonts w:hint="eastAsia"/>
        </w:rPr>
        <w:t>≈</w:t>
      </w:r>
      <w:r>
        <w:t>0.04). The larger magnitude observed for Chinese runways indicates comparatively smoother slab-level conditions. For β₁, both countries span similar overall ranges (approximately1.5–3.5), although U.S. distributions are more concentrated, whereas Chinese values are more evenly distributed.</w:t>
      </w:r>
    </w:p>
    <w:p w14:paraId="00B0EECE">
      <w:pPr>
        <w:ind w:firstLine="0" w:firstLineChars="0"/>
      </w:pPr>
      <w:r>
        <w:drawing>
          <wp:inline distT="0" distB="0" distL="114300" distR="114300">
            <wp:extent cx="2493645" cy="1707515"/>
            <wp:effectExtent l="0" t="0" r="8255" b="698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08"/>
                    <a:srcRect r="2677" b="1212"/>
                    <a:stretch>
                      <a:fillRect/>
                    </a:stretch>
                  </pic:blipFill>
                  <pic:spPr>
                    <a:xfrm>
                      <a:off x="0" y="0"/>
                      <a:ext cx="2493645" cy="1707515"/>
                    </a:xfrm>
                    <a:prstGeom prst="rect">
                      <a:avLst/>
                    </a:prstGeom>
                    <a:noFill/>
                    <a:ln>
                      <a:noFill/>
                    </a:ln>
                  </pic:spPr>
                </pic:pic>
              </a:graphicData>
            </a:graphic>
          </wp:inline>
        </w:drawing>
      </w:r>
      <w:r>
        <w:drawing>
          <wp:inline distT="0" distB="0" distL="114300" distR="114300">
            <wp:extent cx="2592705" cy="1802130"/>
            <wp:effectExtent l="0" t="0" r="10795" b="1270"/>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109"/>
                    <a:srcRect r="2530" b="1969"/>
                    <a:stretch>
                      <a:fillRect/>
                    </a:stretch>
                  </pic:blipFill>
                  <pic:spPr>
                    <a:xfrm>
                      <a:off x="0" y="0"/>
                      <a:ext cx="2592705" cy="1802130"/>
                    </a:xfrm>
                    <a:prstGeom prst="rect">
                      <a:avLst/>
                    </a:prstGeom>
                    <a:noFill/>
                    <a:ln>
                      <a:noFill/>
                    </a:ln>
                  </pic:spPr>
                </pic:pic>
              </a:graphicData>
            </a:graphic>
          </wp:inline>
        </w:drawing>
      </w:r>
    </w:p>
    <w:p w14:paraId="077D8421">
      <w:pPr>
        <w:ind w:firstLine="0" w:firstLineChars="0"/>
      </w:pPr>
      <w:r>
        <w:drawing>
          <wp:inline distT="0" distB="0" distL="114300" distR="114300">
            <wp:extent cx="2497455" cy="1729105"/>
            <wp:effectExtent l="0" t="0" r="4445" b="10795"/>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10"/>
                    <a:stretch>
                      <a:fillRect/>
                    </a:stretch>
                  </pic:blipFill>
                  <pic:spPr>
                    <a:xfrm>
                      <a:off x="0" y="0"/>
                      <a:ext cx="2497455" cy="1729105"/>
                    </a:xfrm>
                    <a:prstGeom prst="rect">
                      <a:avLst/>
                    </a:prstGeom>
                    <a:noFill/>
                    <a:ln>
                      <a:noFill/>
                    </a:ln>
                  </pic:spPr>
                </pic:pic>
              </a:graphicData>
            </a:graphic>
          </wp:inline>
        </w:drawing>
      </w:r>
    </w:p>
    <w:p w14:paraId="4E5265F4">
      <w:pPr>
        <w:pStyle w:val="52"/>
      </w:pPr>
      <w:r>
        <w:t>Fig.</w:t>
      </w:r>
      <w:r>
        <w:rPr>
          <w:rFonts w:hint="eastAsia"/>
        </w:rPr>
        <w:t>S</w:t>
      </w:r>
      <w:r>
        <w:t>13.3</w:t>
      </w:r>
      <w:r>
        <w:rPr>
          <w:rFonts w:hint="eastAsia"/>
        </w:rPr>
        <w:t>.</w:t>
      </w:r>
      <w:r>
        <w:t xml:space="preserve"> Probability distribution and probability density of fitted parameters for all concrete pavements</w:t>
      </w:r>
    </w:p>
    <w:p w14:paraId="03C2FCAA">
      <w:pPr>
        <w:ind w:firstLine="422"/>
        <w:rPr>
          <w:b/>
          <w:bCs/>
        </w:rPr>
      </w:pPr>
      <w:r>
        <w:rPr>
          <w:b/>
          <w:bCs/>
        </w:rPr>
        <w:t>Second Segment</w:t>
      </w:r>
    </w:p>
    <w:p w14:paraId="79AEA5B7">
      <w:pPr>
        <w:ind w:firstLine="420"/>
      </w:pPr>
      <w:r>
        <w:t>The second-segment parameter distributions are presented in Fig.</w:t>
      </w:r>
      <w:r>
        <w:rPr>
          <w:rFonts w:hint="eastAsia"/>
        </w:rPr>
        <w:t>S</w:t>
      </w:r>
      <w:r>
        <w:t>13.3. For C₂, both countries show similar distributions within 0–0.4, with the most probable value near 0.08. For ω₂, both fall within 1.8–2.4, with U.S. runways peaking near 2.5 and Chinese runways near 2.2. These results indicate that, at the slab scale, roughness characteristics are highly comparable between Chinese and U.S. airports. This consistency is expected because severe structural defects (e.g., slab breakage) are not tolerated in operational runways. Within-slab roughness is primarily governed by surface texturing, patching, and minor cracking, which exhibit similar engineering standards internationally.</w:t>
      </w:r>
    </w:p>
    <w:p w14:paraId="63C6B7E3">
      <w:pPr>
        <w:ind w:firstLine="420"/>
      </w:pPr>
      <w:r>
        <w:t xml:space="preserve">The fitted parameter ranges for concrete runways are summarized in Table </w:t>
      </w:r>
      <w:r>
        <w:rPr>
          <w:rFonts w:hint="eastAsia"/>
        </w:rPr>
        <w:t>S</w:t>
      </w:r>
      <w:r>
        <w:t>13.3.</w:t>
      </w:r>
    </w:p>
    <w:p w14:paraId="3D6AFD13">
      <w:pPr>
        <w:pStyle w:val="52"/>
      </w:pPr>
      <w:r>
        <w:t xml:space="preserve">Table </w:t>
      </w:r>
      <w:r>
        <w:rPr>
          <w:rFonts w:hint="eastAsia"/>
        </w:rPr>
        <w:t>S</w:t>
      </w:r>
      <w:r>
        <w:t>13.3</w:t>
      </w:r>
      <w:r>
        <w:rPr>
          <w:rFonts w:hint="eastAsia"/>
        </w:rPr>
        <w:t>.</w:t>
      </w:r>
      <w:r>
        <w:t xml:space="preserve"> Range of fitted PSD parameters for concrete runways</w:t>
      </w:r>
    </w:p>
    <w:tbl>
      <w:tblPr>
        <w:tblStyle w:val="15"/>
        <w:tblW w:w="4869" w:type="pct"/>
        <w:tblInd w:w="112"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2"/>
        <w:gridCol w:w="2037"/>
        <w:gridCol w:w="2456"/>
        <w:gridCol w:w="2024"/>
      </w:tblGrid>
      <w:tr w14:paraId="545DB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73" w:type="pct"/>
            <w:tcBorders>
              <w:top w:val="single" w:color="auto" w:sz="12" w:space="0"/>
              <w:bottom w:val="single" w:color="auto" w:sz="12" w:space="0"/>
            </w:tcBorders>
            <w:shd w:val="clear" w:color="auto" w:fill="auto"/>
          </w:tcPr>
          <w:p w14:paraId="12576A12">
            <w:pPr>
              <w:pStyle w:val="49"/>
            </w:pPr>
            <w:r>
              <w:t>Concrete Runways</w:t>
            </w:r>
          </w:p>
        </w:tc>
        <w:tc>
          <w:tcPr>
            <w:tcW w:w="1227" w:type="pct"/>
            <w:tcBorders>
              <w:top w:val="single" w:color="auto" w:sz="12" w:space="0"/>
              <w:bottom w:val="single" w:color="auto" w:sz="12" w:space="0"/>
            </w:tcBorders>
            <w:shd w:val="clear" w:color="auto" w:fill="auto"/>
          </w:tcPr>
          <w:p w14:paraId="1EB4EFBE">
            <w:pPr>
              <w:pStyle w:val="49"/>
            </w:pPr>
            <w:r>
              <w:t>C</w:t>
            </w:r>
            <w:r>
              <w:rPr>
                <w:vertAlign w:val="subscript"/>
              </w:rPr>
              <w:t>1</w:t>
            </w:r>
          </w:p>
        </w:tc>
        <w:tc>
          <w:tcPr>
            <w:tcW w:w="1479" w:type="pct"/>
            <w:tcBorders>
              <w:top w:val="single" w:color="auto" w:sz="12" w:space="0"/>
              <w:bottom w:val="single" w:color="auto" w:sz="12" w:space="0"/>
            </w:tcBorders>
            <w:shd w:val="clear" w:color="auto" w:fill="auto"/>
          </w:tcPr>
          <w:p w14:paraId="5EEC1856">
            <w:pPr>
              <w:pStyle w:val="49"/>
            </w:pPr>
            <w:r>
              <w:object>
                <v:shape id="_x0000_i1053" o:spt="75" type="#_x0000_t75" style="height:10.65pt;width:12pt;" o:ole="t" filled="f" o:preferrelative="t" stroked="f" coordsize="21600,21600">
                  <v:path/>
                  <v:fill on="f" focussize="0,0"/>
                  <v:stroke on="f" joinstyle="miter"/>
                  <v:imagedata r:id="rId103" o:title=""/>
                  <o:lock v:ext="edit" aspectratio="t"/>
                  <w10:wrap type="none"/>
                  <w10:anchorlock/>
                </v:shape>
                <o:OLEObject Type="Embed" ProgID="Equation.DSMT4" ShapeID="_x0000_i1053" DrawAspect="Content" ObjectID="_1468075753" r:id="rId111">
                  <o:LockedField>false</o:LockedField>
                </o:OLEObject>
              </w:object>
            </w:r>
          </w:p>
        </w:tc>
        <w:tc>
          <w:tcPr>
            <w:tcW w:w="1219" w:type="pct"/>
            <w:tcBorders>
              <w:top w:val="single" w:color="auto" w:sz="12" w:space="0"/>
              <w:bottom w:val="single" w:color="auto" w:sz="12" w:space="0"/>
            </w:tcBorders>
            <w:shd w:val="clear" w:color="auto" w:fill="auto"/>
          </w:tcPr>
          <w:p w14:paraId="75000DDF">
            <w:pPr>
              <w:pStyle w:val="49"/>
            </w:pPr>
            <w:r>
              <w:rPr>
                <w:sz w:val="20"/>
                <w:szCs w:val="21"/>
              </w:rPr>
              <w:t>ω</w:t>
            </w:r>
            <w:r>
              <w:rPr>
                <w:vertAlign w:val="subscript"/>
              </w:rPr>
              <w:t>1</w:t>
            </w:r>
          </w:p>
        </w:tc>
      </w:tr>
      <w:tr w14:paraId="17610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73" w:type="pct"/>
            <w:tcBorders>
              <w:top w:val="single" w:color="auto" w:sz="12" w:space="0"/>
            </w:tcBorders>
            <w:shd w:val="clear" w:color="auto" w:fill="auto"/>
          </w:tcPr>
          <w:p w14:paraId="0DA23C0B">
            <w:pPr>
              <w:pStyle w:val="49"/>
            </w:pPr>
            <w:r>
              <w:t>Chinese Runways</w:t>
            </w:r>
          </w:p>
        </w:tc>
        <w:tc>
          <w:tcPr>
            <w:tcW w:w="1227" w:type="pct"/>
            <w:tcBorders>
              <w:top w:val="single" w:color="auto" w:sz="12" w:space="0"/>
            </w:tcBorders>
            <w:shd w:val="clear" w:color="auto" w:fill="auto"/>
          </w:tcPr>
          <w:p w14:paraId="250E6649">
            <w:pPr>
              <w:pStyle w:val="49"/>
            </w:pPr>
            <w:r>
              <w:t>0.0089-0.235（0.025）</w:t>
            </w:r>
          </w:p>
        </w:tc>
        <w:tc>
          <w:tcPr>
            <w:tcW w:w="1479" w:type="pct"/>
            <w:tcBorders>
              <w:top w:val="single" w:color="auto" w:sz="12" w:space="0"/>
            </w:tcBorders>
            <w:shd w:val="clear" w:color="auto" w:fill="auto"/>
          </w:tcPr>
          <w:p w14:paraId="695B7E10">
            <w:pPr>
              <w:pStyle w:val="49"/>
            </w:pPr>
            <w:r>
              <w:t>0.00009-0.1503（0.04）</w:t>
            </w:r>
          </w:p>
        </w:tc>
        <w:tc>
          <w:tcPr>
            <w:tcW w:w="1219" w:type="pct"/>
            <w:tcBorders>
              <w:top w:val="single" w:color="auto" w:sz="12" w:space="0"/>
            </w:tcBorders>
            <w:shd w:val="clear" w:color="auto" w:fill="auto"/>
          </w:tcPr>
          <w:p w14:paraId="478CE1D8">
            <w:pPr>
              <w:pStyle w:val="49"/>
            </w:pPr>
            <w:r>
              <w:t>1.369-3.527（2.4）</w:t>
            </w:r>
          </w:p>
        </w:tc>
      </w:tr>
      <w:tr w14:paraId="3A648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73" w:type="pct"/>
            <w:shd w:val="clear" w:color="auto" w:fill="auto"/>
          </w:tcPr>
          <w:p w14:paraId="7FE72C9F">
            <w:pPr>
              <w:pStyle w:val="49"/>
            </w:pPr>
            <w:r>
              <w:t>U.S. Runways</w:t>
            </w:r>
          </w:p>
        </w:tc>
        <w:tc>
          <w:tcPr>
            <w:tcW w:w="1227" w:type="pct"/>
            <w:shd w:val="clear" w:color="auto" w:fill="auto"/>
          </w:tcPr>
          <w:p w14:paraId="75E47E49">
            <w:pPr>
              <w:pStyle w:val="49"/>
            </w:pPr>
            <w:r>
              <w:t>0.007-0.147（0.025）</w:t>
            </w:r>
          </w:p>
        </w:tc>
        <w:tc>
          <w:tcPr>
            <w:tcW w:w="1479" w:type="pct"/>
            <w:shd w:val="clear" w:color="auto" w:fill="auto"/>
          </w:tcPr>
          <w:p w14:paraId="2C9DC3B0">
            <w:pPr>
              <w:pStyle w:val="49"/>
            </w:pPr>
            <w:r>
              <w:t>0.0000152-0.0103（0.005）</w:t>
            </w:r>
          </w:p>
        </w:tc>
        <w:tc>
          <w:tcPr>
            <w:tcW w:w="1219" w:type="pct"/>
            <w:shd w:val="clear" w:color="auto" w:fill="auto"/>
          </w:tcPr>
          <w:p w14:paraId="21D182D0">
            <w:pPr>
              <w:pStyle w:val="49"/>
            </w:pPr>
            <w:r>
              <w:t>1.21-3.22（2.5）</w:t>
            </w:r>
          </w:p>
        </w:tc>
      </w:tr>
      <w:tr w14:paraId="0D25B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73" w:type="pct"/>
            <w:shd w:val="clear" w:color="auto" w:fill="auto"/>
          </w:tcPr>
          <w:p w14:paraId="60CD9042">
            <w:pPr>
              <w:pStyle w:val="49"/>
            </w:pPr>
            <w:r>
              <w:t>Concrete Runways</w:t>
            </w:r>
          </w:p>
        </w:tc>
        <w:tc>
          <w:tcPr>
            <w:tcW w:w="1227" w:type="pct"/>
            <w:shd w:val="clear" w:color="auto" w:fill="auto"/>
          </w:tcPr>
          <w:p w14:paraId="67DA8EB2">
            <w:pPr>
              <w:pStyle w:val="49"/>
            </w:pPr>
            <w:r>
              <w:t>C</w:t>
            </w:r>
            <w:r>
              <w:rPr>
                <w:vertAlign w:val="subscript"/>
              </w:rPr>
              <w:t>2</w:t>
            </w:r>
          </w:p>
        </w:tc>
        <w:tc>
          <w:tcPr>
            <w:tcW w:w="1479" w:type="pct"/>
            <w:shd w:val="clear" w:color="auto" w:fill="auto"/>
          </w:tcPr>
          <w:p w14:paraId="13F45CF7">
            <w:pPr>
              <w:pStyle w:val="49"/>
            </w:pPr>
            <w:r>
              <w:t>ω</w:t>
            </w:r>
            <w:r>
              <w:rPr>
                <w:vertAlign w:val="subscript"/>
              </w:rPr>
              <w:t>2</w:t>
            </w:r>
          </w:p>
        </w:tc>
        <w:tc>
          <w:tcPr>
            <w:tcW w:w="1219" w:type="pct"/>
            <w:vMerge w:val="restart"/>
            <w:shd w:val="clear" w:color="auto" w:fill="auto"/>
          </w:tcPr>
          <w:p w14:paraId="2A24C48B">
            <w:pPr>
              <w:pStyle w:val="49"/>
            </w:pPr>
          </w:p>
        </w:tc>
      </w:tr>
      <w:tr w14:paraId="2713A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73" w:type="pct"/>
            <w:shd w:val="clear" w:color="auto" w:fill="auto"/>
          </w:tcPr>
          <w:p w14:paraId="30205355">
            <w:pPr>
              <w:pStyle w:val="49"/>
            </w:pPr>
            <w:r>
              <w:t>Chinese Runways</w:t>
            </w:r>
          </w:p>
        </w:tc>
        <w:tc>
          <w:tcPr>
            <w:tcW w:w="1227" w:type="pct"/>
            <w:shd w:val="clear" w:color="auto" w:fill="auto"/>
          </w:tcPr>
          <w:p w14:paraId="33E15996">
            <w:pPr>
              <w:pStyle w:val="49"/>
            </w:pPr>
            <w:r>
              <w:t>0.049-0.597（0.08）</w:t>
            </w:r>
          </w:p>
        </w:tc>
        <w:tc>
          <w:tcPr>
            <w:tcW w:w="1479" w:type="pct"/>
            <w:shd w:val="clear" w:color="auto" w:fill="auto"/>
          </w:tcPr>
          <w:p w14:paraId="56146114">
            <w:pPr>
              <w:pStyle w:val="49"/>
            </w:pPr>
            <w:r>
              <w:t>1.813-3.13（2.5）</w:t>
            </w:r>
          </w:p>
        </w:tc>
        <w:tc>
          <w:tcPr>
            <w:tcW w:w="1219" w:type="pct"/>
            <w:vMerge w:val="continue"/>
            <w:shd w:val="clear" w:color="auto" w:fill="auto"/>
          </w:tcPr>
          <w:p w14:paraId="1CB631B4">
            <w:pPr>
              <w:pStyle w:val="49"/>
            </w:pPr>
          </w:p>
        </w:tc>
      </w:tr>
      <w:tr w14:paraId="474F1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73" w:type="pct"/>
            <w:shd w:val="clear" w:color="auto" w:fill="auto"/>
          </w:tcPr>
          <w:p w14:paraId="6560938E">
            <w:pPr>
              <w:pStyle w:val="49"/>
            </w:pPr>
            <w:r>
              <w:t>U.S. Runways</w:t>
            </w:r>
          </w:p>
        </w:tc>
        <w:tc>
          <w:tcPr>
            <w:tcW w:w="1227" w:type="pct"/>
            <w:shd w:val="clear" w:color="auto" w:fill="auto"/>
          </w:tcPr>
          <w:p w14:paraId="56A388EA">
            <w:pPr>
              <w:pStyle w:val="49"/>
            </w:pPr>
            <w:r>
              <w:t>0.029-0.308（0.08）</w:t>
            </w:r>
          </w:p>
        </w:tc>
        <w:tc>
          <w:tcPr>
            <w:tcW w:w="1479" w:type="pct"/>
            <w:shd w:val="clear" w:color="auto" w:fill="auto"/>
          </w:tcPr>
          <w:p w14:paraId="7DEC6D84">
            <w:pPr>
              <w:pStyle w:val="49"/>
            </w:pPr>
            <w:r>
              <w:t>1.59-2.86（2.2）</w:t>
            </w:r>
          </w:p>
        </w:tc>
        <w:tc>
          <w:tcPr>
            <w:tcW w:w="1219" w:type="pct"/>
            <w:vMerge w:val="continue"/>
            <w:shd w:val="clear" w:color="auto" w:fill="auto"/>
          </w:tcPr>
          <w:p w14:paraId="64141744">
            <w:pPr>
              <w:pStyle w:val="49"/>
            </w:pPr>
          </w:p>
        </w:tc>
      </w:tr>
    </w:tbl>
    <w:p w14:paraId="21011CF7">
      <w:pPr>
        <w:ind w:firstLine="420"/>
      </w:pPr>
      <w:r>
        <w:rPr>
          <w:i/>
          <w:iCs/>
        </w:rPr>
        <w:t>Note: Values in parentheses indicate the parameter corresponding to the maximum probability density.</w:t>
      </w:r>
    </w:p>
    <w:p w14:paraId="15673F5F">
      <w:pPr>
        <w:pStyle w:val="3"/>
        <w:ind w:firstLine="482"/>
      </w:pPr>
      <w:r>
        <w:t>13.2 Global Extrapolation Strategy Based on “Mechanism Consistency and Regional Calibration”</w:t>
      </w:r>
    </w:p>
    <w:p w14:paraId="5EA706D4">
      <w:pPr>
        <w:ind w:firstLineChars="0"/>
        <w:rPr>
          <w:szCs w:val="21"/>
        </w:rPr>
      </w:pPr>
      <w:r>
        <w:rPr>
          <w:szCs w:val="21"/>
        </w:rPr>
        <w:t>The additional vibration-induced energy dissipation caused by aircraft–runway roughness interaction is governed by fundamental physical principles, including structural dynamics, material mechanics, and energy conservation. This mechanism is independent of geographic location, airport scale, and operational patterns. Therefore, although the model was constructed and validated using Chinese airport data, the underlying vibration–energy–emission coupling relationship is physically universal and can be applied to global airport systems.</w:t>
      </w:r>
    </w:p>
    <w:p w14:paraId="78BDDB88">
      <w:pPr>
        <w:ind w:firstLineChars="0"/>
        <w:rPr>
          <w:szCs w:val="21"/>
        </w:rPr>
      </w:pPr>
      <w:r>
        <w:rPr>
          <w:szCs w:val="21"/>
        </w:rPr>
        <w:t>From a macro perspective, China’s civil aviation sector emitted approximately 110 million tons of CO₂ in 2019, accounting for about 13% of global aviation emissions</w:t>
      </w:r>
      <w:r>
        <w:rPr>
          <w:szCs w:val="21"/>
          <w:vertAlign w:val="superscript"/>
        </w:rPr>
        <w:fldChar w:fldCharType="begin"/>
      </w:r>
      <w:r>
        <w:rPr>
          <w:szCs w:val="21"/>
          <w:vertAlign w:val="superscript"/>
        </w:rPr>
        <w:instrText xml:space="preserve"> REF _Ref8812 \r \h </w:instrText>
      </w:r>
      <w:r>
        <w:rPr>
          <w:szCs w:val="21"/>
          <w:vertAlign w:val="superscript"/>
        </w:rPr>
        <w:fldChar w:fldCharType="separate"/>
      </w:r>
      <w:r>
        <w:rPr>
          <w:szCs w:val="21"/>
          <w:vertAlign w:val="superscript"/>
        </w:rPr>
        <w:t>1</w:t>
      </w:r>
      <w:r>
        <w:rPr>
          <w:szCs w:val="21"/>
          <w:vertAlign w:val="superscript"/>
        </w:rPr>
        <w:fldChar w:fldCharType="end"/>
      </w:r>
      <w:r>
        <w:rPr>
          <w:szCs w:val="21"/>
        </w:rPr>
        <w:t>. As one of the largest aviation markets worldwide, China exhibits fleet composition, operational intensity, and airport development characteristics broadly consistent with global trends. This provides statistical representativeness for global extrapolation and reduces the risk of regional bias.</w:t>
      </w:r>
    </w:p>
    <w:p w14:paraId="351BBD31">
      <w:pPr>
        <w:ind w:firstLineChars="0"/>
        <w:rPr>
          <w:szCs w:val="21"/>
        </w:rPr>
      </w:pPr>
      <w:r>
        <w:rPr>
          <w:szCs w:val="21"/>
        </w:rPr>
        <w:t>From an infrastructure perspective, most Chinese civil airports are relatively newly constructed and strictly comply with ICAO and CAAC pavement performance standards. Their runway smoothness levels generally meet or exceed international specifications. Therefore, Chinese runway performance can be regarded as a high-quality reference benchmark in the global context.</w:t>
      </w:r>
    </w:p>
    <w:p w14:paraId="6E753646">
      <w:pPr>
        <w:ind w:firstLineChars="0"/>
        <w:rPr>
          <w:i/>
          <w:iCs/>
          <w:szCs w:val="21"/>
        </w:rPr>
      </w:pPr>
      <w:r>
        <w:rPr>
          <w:szCs w:val="21"/>
        </w:rPr>
        <w:t>Based on this, we introduce Hypothesis 1:</w:t>
      </w:r>
    </w:p>
    <w:p w14:paraId="2482021C">
      <w:pPr>
        <w:ind w:firstLineChars="0"/>
        <w:rPr>
          <w:szCs w:val="21"/>
        </w:rPr>
      </w:pPr>
      <w:r>
        <w:rPr>
          <w:szCs w:val="21"/>
        </w:rPr>
        <w:t>The overall runway roughness level of global airports follows a similar trend to that of Chinese airports, and Chinese runway performance represents an upper-to-mid-level benchmark globally.</w:t>
      </w:r>
    </w:p>
    <w:p w14:paraId="253F6B61">
      <w:pPr>
        <w:ind w:firstLineChars="0"/>
        <w:rPr>
          <w:szCs w:val="21"/>
        </w:rPr>
      </w:pPr>
      <w:r>
        <w:rPr>
          <w:szCs w:val="21"/>
        </w:rPr>
        <w:t>Given the universal vibration–emission mechanism and the validated proportion of roughness-induced emissions within total aviation emissions in China, this proportion can reasonably be extended to the global scale. Based on this extrapolation, the comprehensive emission cost (CE</w:t>
      </w:r>
      <w:r>
        <w:rPr>
          <w:szCs w:val="21"/>
          <w:vertAlign w:val="subscript"/>
        </w:rPr>
        <w:t>ctol</w:t>
      </w:r>
      <w:r>
        <w:rPr>
          <w:szCs w:val="21"/>
        </w:rPr>
        <w:t xml:space="preserve">) induced by runway roughness in the global airport system in 2019 is estimated to be approximately 9.06×10⁸, which serves as a lower-bound reference under a high-performance pavement assumption. </w:t>
      </w:r>
    </w:p>
    <w:p w14:paraId="37EDF660">
      <w:pPr>
        <w:ind w:firstLineChars="0"/>
        <w:rPr>
          <w:szCs w:val="21"/>
        </w:rPr>
      </w:pPr>
      <w:r>
        <w:rPr>
          <w:szCs w:val="21"/>
        </w:rPr>
        <w:t>To further define a realistic global interval and test robustness, we incorporate U.S. runway data as a comparative baseline. Eighteen representative U.S. airport runways were selected based on publicly available FAA measurements. Their statistical mean parameters were used to represent the average U.S. pavement condition. To eliminate fleet-structure bias, the 2019 Chinese fleet composition was applied under the U.S. runway parameter scenario, and vibration-induced energy dissipation and associated emissions were recalculated. Given that many U.S. airports are older and subject to long-term high-traffic loading, cumulative pavement deterioration effects are more pronounced. Therefore, U.S. runway performance can reasonably serve as a relatively conservative (lower-quality) benchmark.</w:t>
      </w:r>
    </w:p>
    <w:p w14:paraId="6330DEEF">
      <w:pPr>
        <w:ind w:firstLineChars="0"/>
        <w:rPr>
          <w:szCs w:val="21"/>
        </w:rPr>
      </w:pPr>
      <w:r>
        <w:rPr>
          <w:szCs w:val="21"/>
        </w:rPr>
        <w:t>We thus introduce Hypothesis 2:</w:t>
      </w:r>
    </w:p>
    <w:p w14:paraId="27FE2C44">
      <w:pPr>
        <w:ind w:firstLineChars="0"/>
        <w:rPr>
          <w:i/>
          <w:iCs/>
          <w:szCs w:val="21"/>
        </w:rPr>
      </w:pPr>
      <w:r>
        <w:rPr>
          <w:i/>
          <w:iCs/>
          <w:szCs w:val="21"/>
        </w:rPr>
        <w:t>The majority of global airport runway performance lies between Chinese and U.S. average levels, following consistent physical trends.</w:t>
      </w:r>
    </w:p>
    <w:p w14:paraId="77CA894D">
      <w:pPr>
        <w:ind w:firstLineChars="0"/>
        <w:rPr>
          <w:szCs w:val="21"/>
        </w:rPr>
      </w:pPr>
      <w:r>
        <w:rPr>
          <w:szCs w:val="21"/>
        </w:rPr>
        <w:t>Under these two bounding scenarios: ①CE</w:t>
      </w:r>
      <w:r>
        <w:rPr>
          <w:szCs w:val="21"/>
          <w:vertAlign w:val="subscript"/>
        </w:rPr>
        <w:t>ctol</w:t>
      </w:r>
      <w:r>
        <w:rPr>
          <w:szCs w:val="21"/>
        </w:rPr>
        <w:t xml:space="preserve"> calculated using Chinese runway parameters (high-quality benchmark): 9.06×10⁸ (lower bound); ②CE</w:t>
      </w:r>
      <w:r>
        <w:rPr>
          <w:szCs w:val="21"/>
          <w:vertAlign w:val="subscript"/>
        </w:rPr>
        <w:t>ctol</w:t>
      </w:r>
      <w:r>
        <w:rPr>
          <w:szCs w:val="21"/>
        </w:rPr>
        <w:t xml:space="preserve"> calculated using U.S. runway parameters (lower-quality benchmark): 1.04×10⁹ (upper bound)</w:t>
      </w:r>
    </w:p>
    <w:p w14:paraId="2979E6AA">
      <w:pPr>
        <w:ind w:firstLineChars="0"/>
        <w:rPr>
          <w:szCs w:val="21"/>
        </w:rPr>
      </w:pPr>
      <w:r>
        <w:rPr>
          <w:szCs w:val="21"/>
        </w:rPr>
        <w:t>Accordingly, the global comprehensive emission cost induced by runway roughness in 2019 is reasonably estimated to lie within the interval:</w:t>
      </w:r>
      <w:r>
        <w:t xml:space="preserve"> </w:t>
      </w:r>
      <w:r>
        <w:rPr>
          <w:szCs w:val="21"/>
        </w:rPr>
        <w:t>[9.06×10⁸, 1.04×10⁹]</w:t>
      </w:r>
    </w:p>
    <w:p w14:paraId="05FEBBD4">
      <w:pPr>
        <w:ind w:firstLine="420" w:firstLineChars="0"/>
        <w:rPr>
          <w:szCs w:val="21"/>
        </w:rPr>
      </w:pPr>
      <w:r>
        <w:rPr>
          <w:szCs w:val="21"/>
        </w:rPr>
        <w:t>This bounded extrapolation approach, grounded in mechanism universality and regional calibration, enhances robustness and mitigates the limitations of single-region inference, thereby supporting the global applicability of the study’s conclusions.</w:t>
      </w:r>
    </w:p>
    <w:p w14:paraId="4C4CB02B">
      <w:pPr>
        <w:ind w:firstLine="0" w:firstLineChars="0"/>
        <w:jc w:val="left"/>
        <w:rPr>
          <w:b/>
          <w:bCs/>
          <w:sz w:val="24"/>
          <w:szCs w:val="24"/>
        </w:rPr>
      </w:pPr>
      <w:r>
        <w:rPr>
          <w:rFonts w:hint="eastAsia"/>
          <w:b/>
          <w:bCs/>
          <w:sz w:val="24"/>
          <w:szCs w:val="24"/>
        </w:rPr>
        <w:t>Reference</w:t>
      </w:r>
    </w:p>
    <w:p w14:paraId="14E67B2B">
      <w:pPr>
        <w:numPr>
          <w:ilvl w:val="0"/>
          <w:numId w:val="7"/>
        </w:numPr>
        <w:ind w:firstLineChars="0"/>
        <w:jc w:val="left"/>
      </w:pPr>
      <w:bookmarkStart w:id="17" w:name="_Ref8812"/>
      <w:r>
        <w:t xml:space="preserve">International Air Transport Association. (2019, December 12). Carbon emissions per passenger decrease more than 50% since 1990. </w:t>
      </w:r>
      <w:r>
        <w:fldChar w:fldCharType="begin"/>
      </w:r>
      <w:r>
        <w:instrText xml:space="preserve"> HYPERLINK "https://www.iata.org/en/pressroom/pressroom-archive/2019-press-releases/2019-12-12-01/" \t "_blank" </w:instrText>
      </w:r>
      <w:r>
        <w:fldChar w:fldCharType="separate"/>
      </w:r>
      <w:r>
        <w:t>https://www.iata.org/en/pressroom/pressroom-archive/2019-press-releases/2019-12-12-01/</w:t>
      </w:r>
      <w:r>
        <w:fldChar w:fldCharType="end"/>
      </w:r>
      <w:bookmarkEnd w:id="17"/>
    </w:p>
    <w:p w14:paraId="17E88DA8">
      <w:pPr>
        <w:ind w:firstLine="420"/>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952C77E">
      <w:pPr>
        <w:ind w:firstLine="0" w:firstLineChars="0"/>
      </w:pPr>
    </w:p>
    <w:p w14:paraId="723112C1">
      <w:pPr>
        <w:pStyle w:val="2"/>
        <w:ind w:firstLine="0" w:firstLineChars="0"/>
      </w:pPr>
      <w:r>
        <w:t>Supplementary Note 14</w:t>
      </w:r>
      <w:r>
        <w:rPr>
          <w:rFonts w:hint="eastAsia"/>
        </w:rPr>
        <w:t xml:space="preserve">. </w:t>
      </w:r>
      <w:r>
        <w:t>Aircraft–Runway Coupled System Model for Energy Dissipation Calculation</w:t>
      </w:r>
    </w:p>
    <w:p w14:paraId="22D8A9EA">
      <w:pPr>
        <w:pStyle w:val="3"/>
        <w:ind w:firstLine="482"/>
      </w:pPr>
      <w:r>
        <w:t>14.1 Aircraft–Runway Coupled System Model for Taxiing Energy Analysis</w:t>
      </w:r>
    </w:p>
    <w:p w14:paraId="59F30C79">
      <w:pPr>
        <w:ind w:firstLine="420"/>
        <w:rPr>
          <w:szCs w:val="24"/>
        </w:rPr>
      </w:pPr>
      <w:r>
        <w:rPr>
          <w:szCs w:val="24"/>
        </w:rPr>
        <w:t xml:space="preserve">A coupled aircraft–runway dynamic model was developed to quantify vibration-induced energy dissipation during the ground roll phase. When an aircraft moves at high speed on a runway, pavement roughness acts as an external excitation source, inducing aircraft vibrations. The resulting dynamic wheel loads act on the pavement and generate structural vibration of the runway system. The pavement vibration displacement, superimposed with the geometric roughness profile, subsequently modifies the excitation input to the aircraft. This bidirectional interaction forms a fully coupled aircraft–runway dynamic system. </w:t>
      </w:r>
    </w:p>
    <w:p w14:paraId="7DB8A7C6">
      <w:pPr>
        <w:ind w:firstLine="420"/>
        <w:rPr>
          <w:szCs w:val="24"/>
        </w:rPr>
      </w:pPr>
      <w:r>
        <w:rPr>
          <w:szCs w:val="24"/>
        </w:rPr>
        <w:t>The vibration energy dissipated within both the aircraft and pavement subsystems represents the additional energy consumption induced by runway roughness during ground roll.Taking pavement roughness as the external excitation input, we constructed a full multi-body dynamic model of the aircraft, a three-dimensional finite element model of the pavement–subgrade structure, and a dynamic compatibility interface describing the wheel–roughness–pavement displacement interaction.</w:t>
      </w:r>
    </w:p>
    <w:p w14:paraId="2D09A80D">
      <w:pPr>
        <w:ind w:firstLine="420"/>
        <w:rPr>
          <w:szCs w:val="24"/>
        </w:rPr>
      </w:pPr>
      <w:r>
        <w:rPr>
          <w:szCs w:val="24"/>
        </w:rPr>
        <w:t>By integrating the aircraft submodel and runway submodel through dynamic coordination conditions, a complete aircraft–runway coupled system was established (Fig.</w:t>
      </w:r>
      <w:r>
        <w:rPr>
          <w:rFonts w:hint="eastAsia"/>
          <w:szCs w:val="24"/>
        </w:rPr>
        <w:t>S</w:t>
      </w:r>
      <w:r>
        <w:rPr>
          <w:szCs w:val="24"/>
        </w:rPr>
        <w:t>14.1). A numerical solution framework based on partitioned iteration and the Newmark-β time integration scheme was implemented in MATLAB to solve for displacement, velocity, and acceleration responses of both subsystems. Based on the dynamic responses, energy dissipation in the following components was calculated landing gear shock absorbers</w:t>
      </w:r>
      <w:r>
        <w:rPr>
          <w:rFonts w:hint="eastAsia"/>
          <w:szCs w:val="24"/>
        </w:rPr>
        <w:t>,</w:t>
      </w:r>
      <w:r>
        <w:rPr>
          <w:szCs w:val="24"/>
        </w:rPr>
        <w:t xml:space="preserve"> tires, pavement structure, subgrade structure. This enables quantitative evaluation of system-level energy dissipation under roughness excitation.</w:t>
      </w:r>
    </w:p>
    <w:p w14:paraId="460B31E4">
      <w:pPr>
        <w:spacing w:line="360" w:lineRule="auto"/>
        <w:ind w:firstLine="0" w:firstLineChars="0"/>
        <w:jc w:val="center"/>
        <w:rPr>
          <w:szCs w:val="24"/>
        </w:rPr>
      </w:pPr>
      <w:r>
        <w:rPr>
          <w:szCs w:val="24"/>
        </w:rPr>
        <w:drawing>
          <wp:inline distT="0" distB="0" distL="114300" distR="114300">
            <wp:extent cx="2667635" cy="1804035"/>
            <wp:effectExtent l="0" t="0" r="12065" b="12065"/>
            <wp:docPr id="71" name="图片 1" descr="图片包含 游戏机, 飞机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descr="图片包含 游戏机, 飞机AI 生成的内容可能不正确。"/>
                    <pic:cNvPicPr>
                      <a:picLocks noChangeAspect="1"/>
                    </pic:cNvPicPr>
                  </pic:nvPicPr>
                  <pic:blipFill>
                    <a:blip r:embed="rId112"/>
                    <a:stretch>
                      <a:fillRect/>
                    </a:stretch>
                  </pic:blipFill>
                  <pic:spPr>
                    <a:xfrm>
                      <a:off x="0" y="0"/>
                      <a:ext cx="2667635" cy="1804035"/>
                    </a:xfrm>
                    <a:prstGeom prst="rect">
                      <a:avLst/>
                    </a:prstGeom>
                    <a:noFill/>
                    <a:ln>
                      <a:noFill/>
                    </a:ln>
                  </pic:spPr>
                </pic:pic>
              </a:graphicData>
            </a:graphic>
          </wp:inline>
        </w:drawing>
      </w:r>
    </w:p>
    <w:p w14:paraId="7BAC755E">
      <w:pPr>
        <w:spacing w:line="360" w:lineRule="auto"/>
        <w:ind w:firstLine="0" w:firstLineChars="0"/>
        <w:jc w:val="center"/>
        <w:rPr>
          <w:szCs w:val="24"/>
        </w:rPr>
      </w:pPr>
      <w:r>
        <w:rPr>
          <w:szCs w:val="24"/>
        </w:rPr>
        <w:t>Fig.</w:t>
      </w:r>
      <w:r>
        <w:rPr>
          <w:rFonts w:hint="eastAsia"/>
          <w:szCs w:val="24"/>
        </w:rPr>
        <w:t>S</w:t>
      </w:r>
      <w:r>
        <w:rPr>
          <w:szCs w:val="24"/>
        </w:rPr>
        <w:t>14.1</w:t>
      </w:r>
      <w:r>
        <w:rPr>
          <w:rFonts w:hint="eastAsia"/>
          <w:szCs w:val="24"/>
        </w:rPr>
        <w:t>.</w:t>
      </w:r>
      <w:r>
        <w:rPr>
          <w:szCs w:val="24"/>
        </w:rPr>
        <w:t xml:space="preserve"> Aircraft–runway coupled dynamic system model</w:t>
      </w:r>
    </w:p>
    <w:p w14:paraId="3193B629">
      <w:pPr>
        <w:pStyle w:val="4"/>
        <w:ind w:firstLine="482"/>
      </w:pPr>
      <w:r>
        <w:t>14.1.1 Aircraft Submodel</w:t>
      </w:r>
    </w:p>
    <w:p w14:paraId="4A4D4D81">
      <w:pPr>
        <w:pStyle w:val="48"/>
        <w:ind w:firstLine="420"/>
        <w:rPr>
          <w:szCs w:val="24"/>
          <w:lang w:bidi="ar"/>
        </w:rPr>
      </w:pPr>
      <w:r>
        <w:rPr>
          <w:szCs w:val="24"/>
          <w:lang w:bidi="ar"/>
        </w:rPr>
        <w:t xml:space="preserve">In airport engineering research, three types of aircraft models are commonly adopted: the simplified main landing gear model, the half-aircraft model, and the full-aircraft model. Among them, the full-aircraft model consists of a fuselage and multiple landing gears, enabling representation of the spatial vibration of the fuselage under three-dimensional runway roughness excitation as well as the vertical vibration of each landing gear. This modeling approach has been widely applied in aircraft dynamic load calculation and vibration analysis under runway irregularity excitation. </w:t>
      </w:r>
    </w:p>
    <w:p w14:paraId="70735D75">
      <w:pPr>
        <w:pStyle w:val="48"/>
        <w:ind w:firstLine="420"/>
        <w:rPr>
          <w:szCs w:val="24"/>
        </w:rPr>
      </w:pPr>
      <w:r>
        <w:rPr>
          <w:szCs w:val="24"/>
          <w:lang w:bidi="ar"/>
        </w:rPr>
        <w:t>Considering the large longitudinal spacing between the nose and main landing gears, as well as the significant lateral distance between the left and right main landing gears, non-uniform longitudinal and transverse runway roughness excitation during high-speed ground rolling induces noticeable pitch and roll motions of the fuselage. Therefore, to accurately capture the spatial vibration characteristics of the aircraft during taxiing and takeoff roll, a full-aircraft ground dynamic model is established in this study.</w:t>
      </w:r>
    </w:p>
    <w:p w14:paraId="1F624897">
      <w:pPr>
        <w:pStyle w:val="48"/>
        <w:ind w:firstLine="420"/>
        <w:rPr>
          <w:szCs w:val="24"/>
        </w:rPr>
      </w:pPr>
      <w:r>
        <w:rPr>
          <w:szCs w:val="24"/>
        </w:rPr>
        <w:t>A six-degree-of-freedom (6-DOF) full-aircraft model is developed for typical three-point narrow-body aircraft such as the B737 and A320, as illustrated in Fig.</w:t>
      </w:r>
      <w:r>
        <w:rPr>
          <w:rFonts w:hint="eastAsia"/>
          <w:szCs w:val="24"/>
          <w:lang w:val="en-US" w:eastAsia="zh-CN"/>
        </w:rPr>
        <w:t>S</w:t>
      </w:r>
      <w:r>
        <w:rPr>
          <w:szCs w:val="24"/>
        </w:rPr>
        <w:t>14.2. The model simultaneously considers vertical vibration of the sprung mass (fuselage), pitch rotation of the fuselage, roll rotation of the fuselage, vertical vibration of the unsprung masses of the nose, left main, and right main landing gears. The model parameters are defined as follows:</w:t>
      </w:r>
    </w:p>
    <w:p w14:paraId="1AB707FD">
      <w:pPr>
        <w:pStyle w:val="48"/>
        <w:ind w:firstLine="420"/>
        <w:rPr>
          <w:szCs w:val="24"/>
          <w:lang w:bidi="ar"/>
        </w:rPr>
      </w:pPr>
      <w:r>
        <w:rPr>
          <w:i/>
          <w:szCs w:val="24"/>
          <w:lang w:bidi="ar"/>
        </w:rPr>
        <w:t>m</w:t>
      </w:r>
      <w:r>
        <w:rPr>
          <w:szCs w:val="24"/>
          <w:vertAlign w:val="subscript"/>
          <w:lang w:bidi="ar"/>
        </w:rPr>
        <w:t>s</w:t>
      </w:r>
      <w:r>
        <w:rPr>
          <w:szCs w:val="24"/>
          <w:lang w:bidi="ar"/>
        </w:rPr>
        <w:t>: sprung mass of the aircraft</w:t>
      </w:r>
    </w:p>
    <w:p w14:paraId="47BB489A">
      <w:pPr>
        <w:pStyle w:val="48"/>
        <w:ind w:firstLine="420"/>
        <w:rPr>
          <w:szCs w:val="24"/>
          <w:lang w:bidi="ar"/>
        </w:rPr>
      </w:pPr>
      <w:r>
        <w:rPr>
          <w:i/>
          <w:szCs w:val="24"/>
          <w:lang w:bidi="ar"/>
        </w:rPr>
        <w:t>I</w:t>
      </w:r>
      <w:r>
        <w:rPr>
          <w:i/>
          <w:szCs w:val="24"/>
          <w:vertAlign w:val="subscript"/>
          <w:lang w:bidi="ar"/>
        </w:rPr>
        <w:t>x</w:t>
      </w:r>
      <w:r>
        <w:rPr>
          <w:rFonts w:hint="eastAsia"/>
          <w:szCs w:val="24"/>
          <w:lang w:bidi="ar"/>
        </w:rPr>
        <w:t>、</w:t>
      </w:r>
      <w:r>
        <w:rPr>
          <w:i/>
          <w:szCs w:val="24"/>
          <w:lang w:bidi="ar"/>
        </w:rPr>
        <w:t>I</w:t>
      </w:r>
      <w:r>
        <w:rPr>
          <w:i/>
          <w:szCs w:val="24"/>
          <w:vertAlign w:val="subscript"/>
          <w:lang w:bidi="ar"/>
        </w:rPr>
        <w:t>y</w:t>
      </w:r>
      <w:r>
        <w:rPr>
          <w:rFonts w:hint="eastAsia"/>
          <w:szCs w:val="24"/>
          <w:lang w:bidi="ar"/>
        </w:rPr>
        <w:t>:</w:t>
      </w:r>
      <w:r>
        <w:rPr>
          <w:szCs w:val="24"/>
          <w:lang w:bidi="ar"/>
        </w:rPr>
        <w:t>mass moments of inertia about the longitudinal (x) and lateral (y) axes</w:t>
      </w:r>
      <w:r>
        <w:rPr>
          <w:rFonts w:hint="eastAsia"/>
          <w:szCs w:val="24"/>
          <w:lang w:bidi="ar"/>
        </w:rPr>
        <w:t>；</w:t>
      </w:r>
    </w:p>
    <w:p w14:paraId="7DD66AE9">
      <w:pPr>
        <w:pStyle w:val="48"/>
        <w:ind w:firstLine="420"/>
        <w:rPr>
          <w:szCs w:val="24"/>
          <w:lang w:bidi="ar"/>
        </w:rPr>
      </w:pPr>
      <w:r>
        <w:rPr>
          <w:i/>
          <w:szCs w:val="24"/>
          <w:lang w:bidi="ar"/>
        </w:rPr>
        <w:t>m</w:t>
      </w:r>
      <w:r>
        <w:rPr>
          <w:szCs w:val="24"/>
          <w:vertAlign w:val="subscript"/>
          <w:lang w:bidi="ar"/>
        </w:rPr>
        <w:t>f</w:t>
      </w:r>
      <w:r>
        <w:rPr>
          <w:rFonts w:hint="eastAsia"/>
          <w:szCs w:val="24"/>
          <w:lang w:bidi="ar"/>
        </w:rPr>
        <w:t>、</w:t>
      </w:r>
      <w:r>
        <w:rPr>
          <w:i/>
          <w:szCs w:val="24"/>
          <w:lang w:bidi="ar"/>
        </w:rPr>
        <w:t>m</w:t>
      </w:r>
      <w:r>
        <w:rPr>
          <w:szCs w:val="24"/>
          <w:vertAlign w:val="subscript"/>
          <w:lang w:bidi="ar"/>
        </w:rPr>
        <w:t>r</w:t>
      </w:r>
      <w:r>
        <w:rPr>
          <w:rFonts w:hint="eastAsia"/>
          <w:szCs w:val="24"/>
          <w:lang w:bidi="ar"/>
        </w:rPr>
        <w:t>、</w:t>
      </w:r>
      <w:r>
        <w:rPr>
          <w:i/>
          <w:szCs w:val="24"/>
          <w:lang w:bidi="ar"/>
        </w:rPr>
        <w:t>m</w:t>
      </w:r>
      <w:r>
        <w:rPr>
          <w:szCs w:val="24"/>
          <w:vertAlign w:val="subscript"/>
          <w:lang w:bidi="ar"/>
        </w:rPr>
        <w:t>l</w:t>
      </w:r>
      <w:r>
        <w:rPr>
          <w:rFonts w:hint="eastAsia"/>
          <w:szCs w:val="24"/>
          <w:lang w:bidi="ar"/>
        </w:rPr>
        <w:t>:</w:t>
      </w:r>
      <w:r>
        <w:rPr>
          <w:szCs w:val="24"/>
          <w:lang w:bidi="ar"/>
        </w:rPr>
        <w:t>unsprung masses of the nose, right main, and left main landing gears</w:t>
      </w:r>
      <w:r>
        <w:rPr>
          <w:rFonts w:hint="eastAsia"/>
          <w:szCs w:val="24"/>
          <w:lang w:bidi="ar"/>
        </w:rPr>
        <w:t>；</w:t>
      </w:r>
    </w:p>
    <w:p w14:paraId="50C94E3E">
      <w:pPr>
        <w:pStyle w:val="48"/>
        <w:ind w:firstLine="420"/>
        <w:rPr>
          <w:szCs w:val="24"/>
          <w:lang w:bidi="ar"/>
        </w:rPr>
      </w:pPr>
      <w:r>
        <w:rPr>
          <w:i/>
          <w:szCs w:val="24"/>
          <w:lang w:bidi="ar"/>
        </w:rPr>
        <w:t>z</w:t>
      </w:r>
      <w:r>
        <w:rPr>
          <w:szCs w:val="24"/>
          <w:vertAlign w:val="subscript"/>
          <w:lang w:bidi="ar"/>
        </w:rPr>
        <w:t>s</w:t>
      </w:r>
      <w:r>
        <w:rPr>
          <w:rFonts w:hint="eastAsia"/>
          <w:szCs w:val="24"/>
          <w:lang w:bidi="ar"/>
        </w:rPr>
        <w:t>:</w:t>
      </w:r>
      <w:r>
        <w:rPr>
          <w:szCs w:val="24"/>
          <w:lang w:bidi="ar"/>
        </w:rPr>
        <w:t xml:space="preserve"> vertical displacement of the fuselage</w:t>
      </w:r>
    </w:p>
    <w:p w14:paraId="6D1E5967">
      <w:pPr>
        <w:pStyle w:val="48"/>
        <w:ind w:firstLine="420"/>
        <w:rPr>
          <w:szCs w:val="24"/>
          <w:lang w:bidi="ar"/>
        </w:rPr>
      </w:pPr>
      <w:r>
        <w:rPr>
          <w:i/>
          <w:szCs w:val="24"/>
          <w:lang w:bidi="ar"/>
        </w:rPr>
        <w:t>Φ:</w:t>
      </w:r>
      <w:r>
        <w:t xml:space="preserve"> </w:t>
      </w:r>
      <w:r>
        <w:rPr>
          <w:iCs/>
          <w:szCs w:val="24"/>
          <w:lang w:bidi="ar"/>
        </w:rPr>
        <w:t>pitch rotation</w:t>
      </w:r>
    </w:p>
    <w:p w14:paraId="48ACDBC3">
      <w:pPr>
        <w:pStyle w:val="48"/>
        <w:ind w:firstLine="420"/>
        <w:rPr>
          <w:iCs/>
          <w:szCs w:val="24"/>
          <w:lang w:bidi="ar"/>
        </w:rPr>
      </w:pPr>
      <w:r>
        <w:rPr>
          <w:i/>
          <w:szCs w:val="24"/>
          <w:lang w:bidi="ar"/>
        </w:rPr>
        <w:t>Ψ:</w:t>
      </w:r>
      <w:r>
        <w:t xml:space="preserve"> </w:t>
      </w:r>
      <w:r>
        <w:rPr>
          <w:iCs/>
          <w:szCs w:val="24"/>
          <w:lang w:bidi="ar"/>
        </w:rPr>
        <w:t>roll rotation</w:t>
      </w:r>
    </w:p>
    <w:p w14:paraId="5BA78A2E">
      <w:pPr>
        <w:pStyle w:val="48"/>
        <w:ind w:firstLine="420"/>
        <w:rPr>
          <w:szCs w:val="24"/>
          <w:lang w:bidi="ar"/>
        </w:rPr>
      </w:pPr>
      <w:r>
        <w:rPr>
          <w:i/>
          <w:szCs w:val="24"/>
          <w:lang w:bidi="ar"/>
        </w:rPr>
        <w:t>z</w:t>
      </w:r>
      <w:r>
        <w:rPr>
          <w:szCs w:val="24"/>
          <w:vertAlign w:val="subscript"/>
          <w:lang w:bidi="ar"/>
        </w:rPr>
        <w:t>1</w:t>
      </w:r>
      <w:r>
        <w:rPr>
          <w:rFonts w:hint="eastAsia"/>
          <w:szCs w:val="24"/>
          <w:lang w:bidi="ar"/>
        </w:rPr>
        <w:t>、</w:t>
      </w:r>
      <w:r>
        <w:rPr>
          <w:i/>
          <w:szCs w:val="24"/>
          <w:lang w:bidi="ar"/>
        </w:rPr>
        <w:t>z</w:t>
      </w:r>
      <w:r>
        <w:rPr>
          <w:szCs w:val="24"/>
          <w:vertAlign w:val="subscript"/>
          <w:lang w:bidi="ar"/>
        </w:rPr>
        <w:t>2</w:t>
      </w:r>
      <w:r>
        <w:rPr>
          <w:rFonts w:hint="eastAsia"/>
          <w:szCs w:val="24"/>
          <w:lang w:bidi="ar"/>
        </w:rPr>
        <w:t>、</w:t>
      </w:r>
      <w:r>
        <w:rPr>
          <w:i/>
          <w:szCs w:val="24"/>
          <w:lang w:bidi="ar"/>
        </w:rPr>
        <w:t>z</w:t>
      </w:r>
      <w:r>
        <w:rPr>
          <w:szCs w:val="24"/>
          <w:vertAlign w:val="subscript"/>
          <w:lang w:bidi="ar"/>
        </w:rPr>
        <w:t>3</w:t>
      </w:r>
      <w:r>
        <w:rPr>
          <w:rFonts w:hint="eastAsia"/>
          <w:szCs w:val="24"/>
          <w:lang w:bidi="ar"/>
        </w:rPr>
        <w:t>:</w:t>
      </w:r>
      <w:r>
        <w:rPr>
          <w:szCs w:val="24"/>
          <w:lang w:bidi="ar"/>
        </w:rPr>
        <w:t>vertical displacements of the nose, right main, and left main landing gears</w:t>
      </w:r>
      <w:r>
        <w:rPr>
          <w:rFonts w:hint="eastAsia"/>
          <w:szCs w:val="24"/>
          <w:lang w:bidi="ar"/>
        </w:rPr>
        <w:t>；</w:t>
      </w:r>
    </w:p>
    <w:p w14:paraId="04B1EF44">
      <w:pPr>
        <w:pStyle w:val="48"/>
        <w:ind w:firstLine="420"/>
        <w:rPr>
          <w:szCs w:val="24"/>
          <w:lang w:bidi="ar"/>
        </w:rPr>
      </w:pPr>
      <w:r>
        <w:rPr>
          <w:i/>
          <w:szCs w:val="24"/>
          <w:lang w:bidi="ar"/>
        </w:rPr>
        <w:t>k</w:t>
      </w:r>
      <w:r>
        <w:rPr>
          <w:szCs w:val="24"/>
          <w:vertAlign w:val="subscript"/>
          <w:lang w:bidi="ar"/>
        </w:rPr>
        <w:t>s1</w:t>
      </w:r>
      <w:r>
        <w:rPr>
          <w:rFonts w:hint="eastAsia"/>
          <w:szCs w:val="24"/>
          <w:lang w:bidi="ar"/>
        </w:rPr>
        <w:t>、</w:t>
      </w:r>
      <w:r>
        <w:rPr>
          <w:i/>
          <w:szCs w:val="24"/>
          <w:lang w:bidi="ar"/>
        </w:rPr>
        <w:t>k</w:t>
      </w:r>
      <w:r>
        <w:rPr>
          <w:szCs w:val="24"/>
          <w:vertAlign w:val="subscript"/>
          <w:lang w:bidi="ar"/>
        </w:rPr>
        <w:t>s2</w:t>
      </w:r>
      <w:r>
        <w:rPr>
          <w:rFonts w:hint="eastAsia"/>
          <w:szCs w:val="24"/>
          <w:lang w:bidi="ar"/>
        </w:rPr>
        <w:t>、</w:t>
      </w:r>
      <w:r>
        <w:rPr>
          <w:i/>
          <w:szCs w:val="24"/>
          <w:lang w:bidi="ar"/>
        </w:rPr>
        <w:t>k</w:t>
      </w:r>
      <w:r>
        <w:rPr>
          <w:szCs w:val="24"/>
          <w:vertAlign w:val="subscript"/>
          <w:lang w:bidi="ar"/>
        </w:rPr>
        <w:t>s3</w:t>
      </w:r>
      <w:r>
        <w:rPr>
          <w:rFonts w:hint="eastAsia"/>
          <w:szCs w:val="24"/>
          <w:lang w:bidi="ar"/>
        </w:rPr>
        <w:t>:</w:t>
      </w:r>
      <w:r>
        <w:rPr>
          <w:szCs w:val="24"/>
          <w:lang w:bidi="ar"/>
        </w:rPr>
        <w:t>stiffness coefficients of landing gear shock absorbers</w:t>
      </w:r>
      <w:r>
        <w:rPr>
          <w:rFonts w:hint="eastAsia"/>
          <w:szCs w:val="24"/>
          <w:lang w:bidi="ar"/>
        </w:rPr>
        <w:t>；</w:t>
      </w:r>
    </w:p>
    <w:p w14:paraId="2F249C61">
      <w:pPr>
        <w:pStyle w:val="48"/>
        <w:ind w:firstLine="420"/>
        <w:rPr>
          <w:szCs w:val="24"/>
          <w:lang w:bidi="ar"/>
        </w:rPr>
      </w:pPr>
      <w:r>
        <w:rPr>
          <w:i/>
          <w:szCs w:val="24"/>
          <w:lang w:bidi="ar"/>
        </w:rPr>
        <w:t>c</w:t>
      </w:r>
      <w:r>
        <w:rPr>
          <w:szCs w:val="24"/>
          <w:vertAlign w:val="subscript"/>
          <w:lang w:bidi="ar"/>
        </w:rPr>
        <w:t>s1</w:t>
      </w:r>
      <w:r>
        <w:rPr>
          <w:rFonts w:hint="eastAsia"/>
          <w:szCs w:val="24"/>
          <w:lang w:bidi="ar"/>
        </w:rPr>
        <w:t>、</w:t>
      </w:r>
      <w:r>
        <w:rPr>
          <w:i/>
          <w:szCs w:val="24"/>
          <w:lang w:bidi="ar"/>
        </w:rPr>
        <w:t>c</w:t>
      </w:r>
      <w:r>
        <w:rPr>
          <w:szCs w:val="24"/>
          <w:vertAlign w:val="subscript"/>
          <w:lang w:bidi="ar"/>
        </w:rPr>
        <w:t>s2</w:t>
      </w:r>
      <w:r>
        <w:rPr>
          <w:rFonts w:hint="eastAsia"/>
          <w:szCs w:val="24"/>
          <w:lang w:bidi="ar"/>
        </w:rPr>
        <w:t>、</w:t>
      </w:r>
      <w:r>
        <w:rPr>
          <w:i/>
          <w:szCs w:val="24"/>
          <w:lang w:bidi="ar"/>
        </w:rPr>
        <w:t>c</w:t>
      </w:r>
      <w:r>
        <w:rPr>
          <w:szCs w:val="24"/>
          <w:vertAlign w:val="subscript"/>
          <w:lang w:bidi="ar"/>
        </w:rPr>
        <w:t>s3</w:t>
      </w:r>
      <w:r>
        <w:rPr>
          <w:rFonts w:hint="eastAsia"/>
          <w:szCs w:val="24"/>
          <w:lang w:bidi="ar"/>
        </w:rPr>
        <w:t>:</w:t>
      </w:r>
      <w:r>
        <w:rPr>
          <w:szCs w:val="24"/>
          <w:lang w:bidi="ar"/>
        </w:rPr>
        <w:t>damping coefficients of landing gear shock absorbers</w:t>
      </w:r>
      <w:r>
        <w:rPr>
          <w:rFonts w:hint="eastAsia"/>
          <w:szCs w:val="24"/>
          <w:lang w:bidi="ar"/>
        </w:rPr>
        <w:t>；</w:t>
      </w:r>
    </w:p>
    <w:p w14:paraId="487617D5">
      <w:pPr>
        <w:pStyle w:val="48"/>
        <w:ind w:firstLine="420"/>
        <w:rPr>
          <w:szCs w:val="24"/>
          <w:lang w:bidi="ar"/>
        </w:rPr>
      </w:pPr>
      <w:r>
        <w:rPr>
          <w:rFonts w:hint="eastAsia"/>
          <w:i/>
          <w:szCs w:val="24"/>
          <w:lang w:bidi="ar"/>
        </w:rPr>
        <w:t>q</w:t>
      </w:r>
      <w:r>
        <w:rPr>
          <w:szCs w:val="24"/>
          <w:vertAlign w:val="subscript"/>
          <w:lang w:bidi="ar"/>
        </w:rPr>
        <w:t>1</w:t>
      </w:r>
      <w:r>
        <w:rPr>
          <w:rFonts w:hint="eastAsia"/>
          <w:szCs w:val="24"/>
          <w:lang w:bidi="ar"/>
        </w:rPr>
        <w:t>、</w:t>
      </w:r>
      <w:r>
        <w:rPr>
          <w:rFonts w:hint="eastAsia"/>
          <w:i/>
          <w:szCs w:val="24"/>
          <w:lang w:bidi="ar"/>
        </w:rPr>
        <w:t>q</w:t>
      </w:r>
      <w:r>
        <w:rPr>
          <w:szCs w:val="24"/>
          <w:vertAlign w:val="subscript"/>
          <w:lang w:bidi="ar"/>
        </w:rPr>
        <w:t>2</w:t>
      </w:r>
      <w:r>
        <w:rPr>
          <w:rFonts w:hint="eastAsia"/>
          <w:szCs w:val="24"/>
          <w:lang w:bidi="ar"/>
        </w:rPr>
        <w:t>、</w:t>
      </w:r>
      <w:r>
        <w:rPr>
          <w:rFonts w:hint="eastAsia"/>
          <w:i/>
          <w:szCs w:val="24"/>
          <w:lang w:bidi="ar"/>
        </w:rPr>
        <w:t>q</w:t>
      </w:r>
      <w:r>
        <w:rPr>
          <w:szCs w:val="24"/>
          <w:vertAlign w:val="subscript"/>
          <w:lang w:bidi="ar"/>
        </w:rPr>
        <w:t>3</w:t>
      </w:r>
      <w:r>
        <w:rPr>
          <w:rFonts w:hint="eastAsia"/>
          <w:szCs w:val="24"/>
          <w:lang w:bidi="ar"/>
        </w:rPr>
        <w:t>:</w:t>
      </w:r>
      <w:r>
        <w:rPr>
          <w:szCs w:val="24"/>
          <w:lang w:bidi="ar"/>
        </w:rPr>
        <w:t>runway roughness excitation inputs</w:t>
      </w:r>
      <w:r>
        <w:rPr>
          <w:rFonts w:hint="eastAsia"/>
          <w:szCs w:val="24"/>
          <w:lang w:bidi="ar"/>
        </w:rPr>
        <w:t>；</w:t>
      </w:r>
    </w:p>
    <w:p w14:paraId="1AD10E62">
      <w:pPr>
        <w:pStyle w:val="48"/>
        <w:ind w:firstLine="420"/>
        <w:rPr>
          <w:szCs w:val="24"/>
          <w:lang w:bidi="ar"/>
        </w:rPr>
      </w:pPr>
      <w:r>
        <w:rPr>
          <w:i/>
          <w:szCs w:val="24"/>
          <w:lang w:bidi="ar"/>
        </w:rPr>
        <w:t>k</w:t>
      </w:r>
      <w:r>
        <w:rPr>
          <w:szCs w:val="24"/>
          <w:vertAlign w:val="subscript"/>
          <w:lang w:bidi="ar"/>
        </w:rPr>
        <w:t>t1</w:t>
      </w:r>
      <w:r>
        <w:rPr>
          <w:rFonts w:hint="eastAsia"/>
          <w:szCs w:val="24"/>
          <w:lang w:bidi="ar"/>
        </w:rPr>
        <w:t>、</w:t>
      </w:r>
      <w:r>
        <w:rPr>
          <w:i/>
          <w:szCs w:val="24"/>
          <w:lang w:bidi="ar"/>
        </w:rPr>
        <w:t>k</w:t>
      </w:r>
      <w:r>
        <w:rPr>
          <w:szCs w:val="24"/>
          <w:vertAlign w:val="subscript"/>
          <w:lang w:bidi="ar"/>
        </w:rPr>
        <w:t>t2</w:t>
      </w:r>
      <w:r>
        <w:rPr>
          <w:rFonts w:hint="eastAsia"/>
          <w:szCs w:val="24"/>
          <w:lang w:bidi="ar"/>
        </w:rPr>
        <w:t>、</w:t>
      </w:r>
      <w:r>
        <w:rPr>
          <w:i/>
          <w:szCs w:val="24"/>
          <w:lang w:bidi="ar"/>
        </w:rPr>
        <w:t>k</w:t>
      </w:r>
      <w:r>
        <w:rPr>
          <w:szCs w:val="24"/>
          <w:vertAlign w:val="subscript"/>
          <w:lang w:bidi="ar"/>
        </w:rPr>
        <w:t>t3</w:t>
      </w:r>
      <w:r>
        <w:rPr>
          <w:rFonts w:hint="eastAsia"/>
          <w:szCs w:val="24"/>
          <w:lang w:bidi="ar"/>
        </w:rPr>
        <w:t>:</w:t>
      </w:r>
      <w:r>
        <w:rPr>
          <w:szCs w:val="24"/>
          <w:lang w:bidi="ar"/>
        </w:rPr>
        <w:t>tire stiffness coefficients</w:t>
      </w:r>
      <w:r>
        <w:rPr>
          <w:rFonts w:hint="eastAsia"/>
          <w:szCs w:val="24"/>
          <w:lang w:bidi="ar"/>
        </w:rPr>
        <w:t>；</w:t>
      </w:r>
    </w:p>
    <w:p w14:paraId="282E2E3A">
      <w:pPr>
        <w:pStyle w:val="48"/>
        <w:ind w:firstLine="420"/>
        <w:rPr>
          <w:szCs w:val="24"/>
          <w:lang w:bidi="ar"/>
        </w:rPr>
      </w:pPr>
      <w:r>
        <w:rPr>
          <w:i/>
          <w:szCs w:val="24"/>
          <w:lang w:bidi="ar"/>
        </w:rPr>
        <w:t>c</w:t>
      </w:r>
      <w:r>
        <w:rPr>
          <w:szCs w:val="24"/>
          <w:vertAlign w:val="subscript"/>
          <w:lang w:bidi="ar"/>
        </w:rPr>
        <w:t>t1</w:t>
      </w:r>
      <w:r>
        <w:rPr>
          <w:rFonts w:hint="eastAsia"/>
          <w:szCs w:val="24"/>
          <w:lang w:bidi="ar"/>
        </w:rPr>
        <w:t>、</w:t>
      </w:r>
      <w:r>
        <w:rPr>
          <w:i/>
          <w:szCs w:val="24"/>
          <w:lang w:bidi="ar"/>
        </w:rPr>
        <w:t>c</w:t>
      </w:r>
      <w:r>
        <w:rPr>
          <w:szCs w:val="24"/>
          <w:vertAlign w:val="subscript"/>
          <w:lang w:bidi="ar"/>
        </w:rPr>
        <w:t>t2</w:t>
      </w:r>
      <w:r>
        <w:rPr>
          <w:rFonts w:hint="eastAsia"/>
          <w:szCs w:val="24"/>
          <w:lang w:bidi="ar"/>
        </w:rPr>
        <w:t>、</w:t>
      </w:r>
      <w:r>
        <w:rPr>
          <w:i/>
          <w:szCs w:val="24"/>
          <w:lang w:bidi="ar"/>
        </w:rPr>
        <w:t>c</w:t>
      </w:r>
      <w:r>
        <w:rPr>
          <w:szCs w:val="24"/>
          <w:vertAlign w:val="subscript"/>
          <w:lang w:bidi="ar"/>
        </w:rPr>
        <w:t>t3</w:t>
      </w:r>
      <w:r>
        <w:rPr>
          <w:rFonts w:hint="eastAsia"/>
          <w:szCs w:val="24"/>
          <w:lang w:bidi="ar"/>
        </w:rPr>
        <w:t>:</w:t>
      </w:r>
      <w:r>
        <w:rPr>
          <w:szCs w:val="24"/>
          <w:lang w:bidi="ar"/>
        </w:rPr>
        <w:t xml:space="preserve"> tire damping coefficients</w:t>
      </w:r>
      <w:r>
        <w:rPr>
          <w:rFonts w:hint="eastAsia"/>
          <w:szCs w:val="24"/>
          <w:lang w:bidi="ar"/>
        </w:rPr>
        <w:t>；</w:t>
      </w:r>
    </w:p>
    <w:p w14:paraId="7039EEC8">
      <w:pPr>
        <w:pStyle w:val="48"/>
        <w:ind w:firstLine="420"/>
        <w:rPr>
          <w:szCs w:val="24"/>
          <w:lang w:bidi="ar"/>
        </w:rPr>
      </w:pPr>
      <w:r>
        <w:rPr>
          <w:i/>
          <w:szCs w:val="24"/>
          <w:lang w:bidi="ar"/>
        </w:rPr>
        <w:t>l</w:t>
      </w:r>
      <w:r>
        <w:rPr>
          <w:szCs w:val="24"/>
          <w:vertAlign w:val="subscript"/>
          <w:lang w:bidi="ar"/>
        </w:rPr>
        <w:t>f</w:t>
      </w:r>
      <w:r>
        <w:rPr>
          <w:rFonts w:hint="eastAsia"/>
          <w:szCs w:val="24"/>
          <w:lang w:bidi="ar"/>
        </w:rPr>
        <w:t>、</w:t>
      </w:r>
      <w:r>
        <w:rPr>
          <w:i/>
          <w:szCs w:val="24"/>
          <w:lang w:bidi="ar"/>
        </w:rPr>
        <w:t>l</w:t>
      </w:r>
      <w:r>
        <w:rPr>
          <w:szCs w:val="24"/>
          <w:vertAlign w:val="subscript"/>
          <w:lang w:bidi="ar"/>
        </w:rPr>
        <w:t>m</w:t>
      </w:r>
      <w:r>
        <w:rPr>
          <w:rFonts w:hint="eastAsia"/>
          <w:szCs w:val="24"/>
          <w:lang w:bidi="ar"/>
        </w:rPr>
        <w:t>:</w:t>
      </w:r>
      <w:r>
        <w:rPr>
          <w:szCs w:val="24"/>
          <w:lang w:bidi="ar"/>
        </w:rPr>
        <w:t xml:space="preserve"> longitudinal distances from nose and main landing gears to the aircraft reference axis</w:t>
      </w:r>
      <w:r>
        <w:rPr>
          <w:rFonts w:hint="eastAsia"/>
          <w:szCs w:val="24"/>
          <w:lang w:bidi="ar"/>
        </w:rPr>
        <w:t>；</w:t>
      </w:r>
    </w:p>
    <w:p w14:paraId="3B8CFE53">
      <w:pPr>
        <w:pStyle w:val="48"/>
        <w:ind w:firstLine="420"/>
        <w:rPr>
          <w:szCs w:val="24"/>
          <w:lang w:bidi="ar"/>
        </w:rPr>
      </w:pPr>
      <w:r>
        <w:rPr>
          <w:i/>
          <w:szCs w:val="24"/>
          <w:lang w:bidi="ar"/>
        </w:rPr>
        <w:t>b</w:t>
      </w:r>
      <w:r>
        <w:rPr>
          <w:szCs w:val="24"/>
          <w:vertAlign w:val="subscript"/>
          <w:lang w:bidi="ar"/>
        </w:rPr>
        <w:t>r</w:t>
      </w:r>
      <w:r>
        <w:rPr>
          <w:rFonts w:hint="eastAsia"/>
          <w:szCs w:val="24"/>
          <w:lang w:bidi="ar"/>
        </w:rPr>
        <w:t>、</w:t>
      </w:r>
      <w:r>
        <w:rPr>
          <w:i/>
          <w:szCs w:val="24"/>
          <w:lang w:bidi="ar"/>
        </w:rPr>
        <w:t>b</w:t>
      </w:r>
      <w:r>
        <w:rPr>
          <w:szCs w:val="24"/>
          <w:vertAlign w:val="subscript"/>
          <w:lang w:bidi="ar"/>
        </w:rPr>
        <w:t>l</w:t>
      </w:r>
      <w:r>
        <w:rPr>
          <w:rFonts w:hint="eastAsia"/>
          <w:szCs w:val="24"/>
          <w:lang w:bidi="ar"/>
        </w:rPr>
        <w:t>:</w:t>
      </w:r>
      <w:r>
        <w:rPr>
          <w:szCs w:val="24"/>
          <w:lang w:bidi="ar"/>
        </w:rPr>
        <w:t xml:space="preserve"> lateral distances from right and left landing gears to the longitudinal axis</w:t>
      </w:r>
      <w:r>
        <w:rPr>
          <w:rFonts w:hint="eastAsia"/>
          <w:szCs w:val="24"/>
          <w:lang w:bidi="ar"/>
        </w:rPr>
        <w:t>；</w:t>
      </w:r>
    </w:p>
    <w:p w14:paraId="5D7860D9">
      <w:pPr>
        <w:pStyle w:val="48"/>
        <w:ind w:firstLine="420"/>
        <w:rPr>
          <w:szCs w:val="24"/>
          <w:lang w:bidi="ar"/>
        </w:rPr>
      </w:pPr>
      <w:r>
        <w:rPr>
          <w:i/>
          <w:szCs w:val="24"/>
          <w:lang w:bidi="ar"/>
        </w:rPr>
        <w:t>F</w:t>
      </w:r>
      <w:r>
        <w:rPr>
          <w:szCs w:val="24"/>
          <w:vertAlign w:val="subscript"/>
          <w:lang w:bidi="ar"/>
        </w:rPr>
        <w:t>l</w:t>
      </w:r>
      <w:r>
        <w:rPr>
          <w:rFonts w:hint="eastAsia"/>
          <w:szCs w:val="24"/>
          <w:lang w:bidi="ar"/>
        </w:rPr>
        <w:t>:</w:t>
      </w:r>
      <w:r>
        <w:rPr>
          <w:szCs w:val="24"/>
          <w:lang w:bidi="ar"/>
        </w:rPr>
        <w:t xml:space="preserve"> aerodynamic lift</w:t>
      </w:r>
      <w:r>
        <w:rPr>
          <w:rFonts w:hint="eastAsia"/>
          <w:szCs w:val="24"/>
          <w:lang w:bidi="ar"/>
        </w:rPr>
        <w:t>；</w:t>
      </w:r>
    </w:p>
    <w:p w14:paraId="3644FB34">
      <w:pPr>
        <w:pStyle w:val="48"/>
        <w:ind w:firstLine="420"/>
        <w:rPr>
          <w:szCs w:val="24"/>
          <w:lang w:bidi="ar"/>
        </w:rPr>
      </w:pPr>
      <w:r>
        <w:rPr>
          <w:rFonts w:hint="eastAsia"/>
          <w:i/>
          <w:szCs w:val="24"/>
          <w:lang w:bidi="ar"/>
        </w:rPr>
        <w:t>f</w:t>
      </w:r>
      <w:r>
        <w:rPr>
          <w:rFonts w:hint="eastAsia"/>
          <w:szCs w:val="24"/>
          <w:vertAlign w:val="subscript"/>
          <w:lang w:bidi="ar"/>
        </w:rPr>
        <w:t>1</w:t>
      </w:r>
      <w:r>
        <w:rPr>
          <w:rFonts w:hint="eastAsia"/>
          <w:szCs w:val="24"/>
          <w:lang w:bidi="ar"/>
        </w:rPr>
        <w:t>、</w:t>
      </w:r>
      <w:r>
        <w:rPr>
          <w:rFonts w:hint="eastAsia"/>
          <w:i/>
          <w:szCs w:val="24"/>
          <w:lang w:bidi="ar"/>
        </w:rPr>
        <w:t>f</w:t>
      </w:r>
      <w:r>
        <w:rPr>
          <w:rFonts w:hint="eastAsia"/>
          <w:szCs w:val="24"/>
          <w:vertAlign w:val="subscript"/>
          <w:lang w:bidi="ar"/>
        </w:rPr>
        <w:t>2</w:t>
      </w:r>
      <w:r>
        <w:rPr>
          <w:rFonts w:hint="eastAsia"/>
          <w:szCs w:val="24"/>
          <w:lang w:bidi="ar"/>
        </w:rPr>
        <w:t>、</w:t>
      </w:r>
      <w:r>
        <w:rPr>
          <w:rFonts w:hint="eastAsia"/>
          <w:i/>
          <w:szCs w:val="24"/>
          <w:lang w:bidi="ar"/>
        </w:rPr>
        <w:t>f</w:t>
      </w:r>
      <w:r>
        <w:rPr>
          <w:rFonts w:hint="eastAsia"/>
          <w:szCs w:val="24"/>
          <w:vertAlign w:val="subscript"/>
          <w:lang w:bidi="ar"/>
        </w:rPr>
        <w:t>3</w:t>
      </w:r>
      <w:r>
        <w:rPr>
          <w:szCs w:val="24"/>
          <w:lang w:bidi="ar"/>
        </w:rPr>
        <w:t>: wheel–runway contact forces (obtained from the wheel–runway interaction model in Section 14.1.3)</w:t>
      </w:r>
    </w:p>
    <w:p w14:paraId="4287E75C">
      <w:pPr>
        <w:pStyle w:val="48"/>
        <w:ind w:firstLine="420"/>
        <w:rPr>
          <w:szCs w:val="24"/>
        </w:rPr>
      </w:pPr>
    </w:p>
    <w:p w14:paraId="75D111FF">
      <w:pPr>
        <w:pStyle w:val="13"/>
        <w:spacing w:line="360" w:lineRule="auto"/>
        <w:ind w:firstLine="0" w:firstLineChars="0"/>
        <w:jc w:val="center"/>
        <w:rPr>
          <w:kern w:val="2"/>
          <w:sz w:val="24"/>
          <w:szCs w:val="24"/>
        </w:rPr>
      </w:pPr>
      <w:r>
        <w:rPr>
          <w:rFonts w:hint="eastAsia"/>
          <w:kern w:val="2"/>
          <w:sz w:val="24"/>
          <w:szCs w:val="24"/>
          <w:lang w:bidi="ar"/>
        </w:rPr>
        <w:t xml:space="preserve"> </w:t>
      </w:r>
      <w:r>
        <w:rPr>
          <w:rFonts w:hint="eastAsia"/>
          <w:kern w:val="2"/>
          <w:sz w:val="24"/>
          <w:szCs w:val="24"/>
          <w:lang w:bidi="ar"/>
        </w:rPr>
        <w:drawing>
          <wp:inline distT="0" distB="0" distL="114300" distR="114300">
            <wp:extent cx="3599815" cy="1976755"/>
            <wp:effectExtent l="0" t="0" r="6985" b="44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3"/>
                    <a:stretch>
                      <a:fillRect/>
                    </a:stretch>
                  </pic:blipFill>
                  <pic:spPr>
                    <a:xfrm>
                      <a:off x="0" y="0"/>
                      <a:ext cx="3599815" cy="1976755"/>
                    </a:xfrm>
                    <a:prstGeom prst="rect">
                      <a:avLst/>
                    </a:prstGeom>
                    <a:noFill/>
                    <a:ln>
                      <a:noFill/>
                    </a:ln>
                  </pic:spPr>
                </pic:pic>
              </a:graphicData>
            </a:graphic>
          </wp:inline>
        </w:drawing>
      </w:r>
    </w:p>
    <w:p w14:paraId="33D8855F">
      <w:pPr>
        <w:pStyle w:val="52"/>
      </w:pPr>
      <w:r>
        <w:t>Fig.S14.2. Dynamic model of a three-point medium-sized passenger aircraft</w:t>
      </w:r>
    </w:p>
    <w:p w14:paraId="120DE2AF">
      <w:pPr>
        <w:pStyle w:val="48"/>
        <w:ind w:firstLine="420"/>
        <w:rPr>
          <w:szCs w:val="24"/>
        </w:rPr>
      </w:pPr>
      <w:r>
        <w:rPr>
          <w:szCs w:val="24"/>
        </w:rPr>
        <w:t xml:space="preserve">Based on D’Alembert’s principle, the equilibrium equations of motion of the six-degree-of-freedom aircraft model under runway roughness excitation are established (Eqs. </w:t>
      </w:r>
      <w:r>
        <w:rPr>
          <w:rFonts w:hint="eastAsia"/>
          <w:szCs w:val="24"/>
        </w:rPr>
        <w:t>S</w:t>
      </w:r>
      <w:r>
        <w:rPr>
          <w:szCs w:val="24"/>
        </w:rPr>
        <w:t>14.1–</w:t>
      </w:r>
      <w:r>
        <w:rPr>
          <w:rFonts w:hint="eastAsia"/>
          <w:szCs w:val="24"/>
        </w:rPr>
        <w:t>S</w:t>
      </w:r>
      <w:r>
        <w:rPr>
          <w:szCs w:val="24"/>
        </w:rPr>
        <w:t>14.6), including:</w:t>
      </w:r>
    </w:p>
    <w:p w14:paraId="79C1A65F">
      <w:pPr>
        <w:pStyle w:val="48"/>
        <w:ind w:firstLine="420"/>
        <w:rPr>
          <w:szCs w:val="24"/>
        </w:rPr>
      </w:pPr>
      <w:r>
        <w:rPr>
          <w:szCs w:val="24"/>
          <w:lang w:bidi="ar"/>
        </w:rPr>
        <w:t>Vertical vibration of the sprung mass</w:t>
      </w:r>
      <w:r>
        <w:rPr>
          <w:rFonts w:hint="eastAsia"/>
          <w:szCs w:val="24"/>
          <w:lang w:bidi="ar"/>
        </w:rPr>
        <w:t>：</w:t>
      </w:r>
    </w:p>
    <w:p w14:paraId="0EAE22E4">
      <w:pPr>
        <w:pStyle w:val="21"/>
        <w:ind w:firstLine="482"/>
        <w:rPr>
          <w:rFonts w:eastAsia="宋体"/>
          <w:kern w:val="2"/>
          <w:szCs w:val="24"/>
        </w:rPr>
      </w:pPr>
      <w:r>
        <w:rPr>
          <w:kern w:val="2"/>
          <w:szCs w:val="24"/>
          <w:lang w:bidi="ar"/>
        </w:rPr>
        <w:tab/>
      </w:r>
      <w:r>
        <w:rPr>
          <w:kern w:val="2"/>
          <w:szCs w:val="24"/>
          <w:lang w:bidi="ar"/>
          <w14:ligatures w14:val="none"/>
        </w:rPr>
        <w:object>
          <v:shape id="_x0000_i1054" o:spt="75" type="#_x0000_t75" style="height:58.35pt;width:318pt;" o:ole="t" filled="f" o:preferrelative="t" stroked="f" coordsize="21600,21600">
            <v:path/>
            <v:fill on="f" focussize="0,0"/>
            <v:stroke on="f" joinstyle="miter"/>
            <v:imagedata r:id="rId115" o:title=""/>
            <o:lock v:ext="edit" aspectratio="t"/>
            <w10:wrap type="none"/>
            <w10:anchorlock/>
          </v:shape>
          <o:OLEObject Type="Embed" ProgID="Equation.DSMT4" ShapeID="_x0000_i1054" DrawAspect="Content" ObjectID="_1468075754" r:id="rId114">
            <o:LockedField>false</o:LockedField>
          </o:OLEObject>
        </w:object>
      </w:r>
      <w:r>
        <w:rPr>
          <w:b w:val="0"/>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w:t>
      </w:r>
      <w:r>
        <w:rPr>
          <w:b w:val="0"/>
          <w:kern w:val="2"/>
          <w:szCs w:val="24"/>
          <w:lang w:bidi="ar"/>
        </w:rPr>
        <w:t>14.1)</w:t>
      </w:r>
    </w:p>
    <w:p w14:paraId="46E08538">
      <w:pPr>
        <w:pStyle w:val="48"/>
        <w:ind w:firstLine="420"/>
        <w:rPr>
          <w:szCs w:val="24"/>
          <w:lang w:bidi="ar"/>
        </w:rPr>
      </w:pPr>
      <w:r>
        <w:rPr>
          <w:szCs w:val="24"/>
          <w:lang w:bidi="ar"/>
        </w:rPr>
        <w:t>Pitch rotation of the sprung mass</w:t>
      </w:r>
      <w:r>
        <w:rPr>
          <w:rFonts w:hint="eastAsia"/>
          <w:szCs w:val="24"/>
          <w:lang w:bidi="ar"/>
        </w:rPr>
        <w:t>：</w:t>
      </w:r>
    </w:p>
    <w:p w14:paraId="542BC4CB">
      <w:pPr>
        <w:pStyle w:val="48"/>
        <w:ind w:firstLine="420"/>
        <w:rPr>
          <w:szCs w:val="24"/>
        </w:rPr>
      </w:pPr>
    </w:p>
    <w:p w14:paraId="341F97C1">
      <w:pPr>
        <w:pStyle w:val="21"/>
        <w:ind w:firstLine="482"/>
        <w:rPr>
          <w:rFonts w:eastAsia="宋体"/>
          <w:b w:val="0"/>
          <w:kern w:val="2"/>
          <w:szCs w:val="24"/>
        </w:rPr>
      </w:pPr>
      <w:r>
        <w:rPr>
          <w:kern w:val="2"/>
          <w:szCs w:val="24"/>
          <w:lang w:bidi="ar"/>
        </w:rPr>
        <w:tab/>
      </w:r>
      <w:r>
        <w:rPr>
          <w:position w:val="-50"/>
          <w14:ligatures w14:val="none"/>
        </w:rPr>
        <w:object>
          <v:shape id="_x0000_i1055" o:spt="75" type="#_x0000_t75" style="height:58.35pt;width:273pt;" o:ole="t" filled="f" o:preferrelative="t" stroked="f" coordsize="21600,21600">
            <v:path/>
            <v:fill on="f" focussize="0,0"/>
            <v:stroke on="f" joinstyle="miter"/>
            <v:imagedata r:id="rId117" o:title=""/>
            <o:lock v:ext="edit" aspectratio="t"/>
            <w10:wrap type="none"/>
            <w10:anchorlock/>
          </v:shape>
          <o:OLEObject Type="Embed" ProgID="Equation.DSMT4" ShapeID="_x0000_i1055" DrawAspect="Content" ObjectID="_1468075755" r:id="rId116">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w:t>
      </w:r>
      <w:r>
        <w:rPr>
          <w:b w:val="0"/>
          <w:kern w:val="2"/>
          <w:szCs w:val="24"/>
          <w:lang w:bidi="ar"/>
        </w:rPr>
        <w:t>14.2)</w:t>
      </w:r>
    </w:p>
    <w:p w14:paraId="42982471">
      <w:pPr>
        <w:pStyle w:val="48"/>
        <w:ind w:firstLine="420"/>
        <w:rPr>
          <w:szCs w:val="24"/>
        </w:rPr>
      </w:pPr>
      <w:r>
        <w:rPr>
          <w:szCs w:val="24"/>
          <w:lang w:bidi="ar"/>
        </w:rPr>
        <w:t>Roll rotation of the sprung mass</w:t>
      </w:r>
      <w:r>
        <w:rPr>
          <w:rFonts w:hint="eastAsia"/>
          <w:szCs w:val="24"/>
          <w:lang w:bidi="ar"/>
        </w:rPr>
        <w:t>：</w:t>
      </w:r>
    </w:p>
    <w:p w14:paraId="69D36674">
      <w:pPr>
        <w:pStyle w:val="21"/>
        <w:ind w:firstLine="482"/>
        <w:rPr>
          <w:rFonts w:eastAsia="宋体"/>
          <w:kern w:val="2"/>
          <w:szCs w:val="24"/>
        </w:rPr>
      </w:pPr>
      <w:r>
        <w:rPr>
          <w:kern w:val="2"/>
          <w:szCs w:val="24"/>
          <w:lang w:bidi="ar"/>
        </w:rPr>
        <w:tab/>
      </w:r>
      <w:r>
        <w:rPr>
          <w:kern w:val="2"/>
          <w:szCs w:val="24"/>
          <w:lang w:bidi="ar"/>
          <w14:ligatures w14:val="none"/>
        </w:rPr>
        <w:object>
          <v:shape id="_x0000_i1056" o:spt="75" type="#_x0000_t75" style="height:40.35pt;width:279pt;" o:ole="t" filled="f" o:preferrelative="t" stroked="f" coordsize="21600,21600">
            <v:path/>
            <v:fill on="f" focussize="0,0"/>
            <v:stroke on="f" joinstyle="miter"/>
            <v:imagedata r:id="rId119" o:title=""/>
            <o:lock v:ext="edit" aspectratio="t"/>
            <w10:wrap type="none"/>
            <w10:anchorlock/>
          </v:shape>
          <o:OLEObject Type="Embed" ProgID="Equation.DSMT4" ShapeID="_x0000_i1056" DrawAspect="Content" ObjectID="_1468075756" r:id="rId118">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w:t>
      </w:r>
      <w:r>
        <w:rPr>
          <w:b w:val="0"/>
          <w:kern w:val="2"/>
          <w:szCs w:val="24"/>
          <w:lang w:bidi="ar"/>
        </w:rPr>
        <w:t>14.3)</w:t>
      </w:r>
    </w:p>
    <w:p w14:paraId="33731091">
      <w:pPr>
        <w:pStyle w:val="48"/>
        <w:ind w:firstLine="420"/>
        <w:rPr>
          <w:szCs w:val="24"/>
        </w:rPr>
      </w:pPr>
      <w:r>
        <w:rPr>
          <w:szCs w:val="24"/>
          <w:lang w:bidi="ar"/>
        </w:rPr>
        <w:t>Vertical vibration of the nose landing gear</w:t>
      </w:r>
      <w:r>
        <w:rPr>
          <w:rFonts w:hint="eastAsia"/>
          <w:szCs w:val="24"/>
          <w:lang w:bidi="ar"/>
        </w:rPr>
        <w:t>：</w:t>
      </w:r>
    </w:p>
    <w:p w14:paraId="0E91F3CA">
      <w:pPr>
        <w:pStyle w:val="21"/>
        <w:ind w:firstLine="482"/>
      </w:pPr>
      <w:r>
        <w:rPr>
          <w:kern w:val="2"/>
          <w:szCs w:val="24"/>
          <w:lang w:bidi="ar"/>
        </w:rPr>
        <w:tab/>
      </w:r>
      <w:r>
        <w:rPr>
          <w:kern w:val="2"/>
          <w:position w:val="-12"/>
          <w:szCs w:val="24"/>
          <w:lang w:bidi="ar"/>
          <w14:ligatures w14:val="none"/>
        </w:rPr>
        <w:object>
          <v:shape id="_x0000_i1057" o:spt="75" type="#_x0000_t75" style="height:19.35pt;width:256.35pt;" o:ole="t" filled="f" o:preferrelative="t" stroked="f" coordsize="21600,21600">
            <v:path/>
            <v:fill on="f" focussize="0,0"/>
            <v:stroke on="f" joinstyle="miter"/>
            <v:imagedata r:id="rId121" o:title=""/>
            <o:lock v:ext="edit" aspectratio="t"/>
            <w10:wrap type="none"/>
            <w10:anchorlock/>
          </v:shape>
          <o:OLEObject Type="Embed" ProgID="Equation.DSMT4" ShapeID="_x0000_i1057" DrawAspect="Content" ObjectID="_1468075757" r:id="rId120">
            <o:LockedField>false</o:LockedField>
          </o:OLEObject>
        </w:object>
      </w:r>
      <w:r>
        <w:rPr>
          <w:kern w:val="2"/>
          <w:szCs w:val="24"/>
          <w:lang w:bidi="ar"/>
        </w:rPr>
        <w:tab/>
      </w:r>
      <w:r>
        <w:rPr>
          <w:b w:val="0"/>
        </w:rPr>
        <w:t>(</w:t>
      </w:r>
      <w:r>
        <w:rPr>
          <w:rFonts w:hint="eastAsia" w:eastAsia="宋体"/>
          <w:b w:val="0"/>
        </w:rPr>
        <w:t>S</w:t>
      </w:r>
      <w:r>
        <w:rPr>
          <w:b w:val="0"/>
        </w:rPr>
        <w:t>14.4)</w:t>
      </w:r>
    </w:p>
    <w:p w14:paraId="7DF16ECE">
      <w:pPr>
        <w:pStyle w:val="48"/>
        <w:ind w:firstLine="420"/>
        <w:rPr>
          <w:szCs w:val="24"/>
        </w:rPr>
      </w:pPr>
      <w:r>
        <w:rPr>
          <w:szCs w:val="24"/>
          <w:lang w:bidi="ar"/>
        </w:rPr>
        <w:t>Vertical vibration of the right main landing gear</w:t>
      </w:r>
      <w:r>
        <w:rPr>
          <w:rFonts w:hint="eastAsia"/>
          <w:szCs w:val="24"/>
          <w:lang w:bidi="ar"/>
        </w:rPr>
        <w:t>：</w:t>
      </w:r>
    </w:p>
    <w:p w14:paraId="4A22DB4E">
      <w:pPr>
        <w:pStyle w:val="21"/>
        <w:ind w:firstLine="482"/>
        <w:rPr>
          <w:rFonts w:eastAsia="宋体"/>
          <w:kern w:val="2"/>
          <w:szCs w:val="24"/>
        </w:rPr>
      </w:pPr>
      <w:r>
        <w:rPr>
          <w:kern w:val="2"/>
          <w:szCs w:val="24"/>
          <w:lang w:bidi="ar"/>
        </w:rPr>
        <w:tab/>
      </w:r>
      <w:r>
        <w:rPr>
          <w:kern w:val="2"/>
          <w:position w:val="-12"/>
          <w:szCs w:val="24"/>
          <w:lang w:bidi="ar"/>
          <w14:ligatures w14:val="none"/>
        </w:rPr>
        <w:object>
          <v:shape id="_x0000_i1058" o:spt="75" type="#_x0000_t75" style="height:19.35pt;width:325.35pt;" o:ole="t" filled="f" o:preferrelative="t" stroked="f" coordsize="21600,21600">
            <v:path/>
            <v:fill on="f" focussize="0,0"/>
            <v:stroke on="f" joinstyle="miter"/>
            <v:imagedata r:id="rId123" o:title=""/>
            <o:lock v:ext="edit" aspectratio="t"/>
            <w10:wrap type="none"/>
            <w10:anchorlock/>
          </v:shape>
          <o:OLEObject Type="Embed" ProgID="Equation.DSMT4" ShapeID="_x0000_i1058" DrawAspect="Content" ObjectID="_1468075758" r:id="rId122">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w:t>
      </w:r>
      <w:r>
        <w:rPr>
          <w:b w:val="0"/>
          <w:kern w:val="2"/>
          <w:szCs w:val="24"/>
          <w:lang w:bidi="ar"/>
        </w:rPr>
        <w:t>14.5)</w:t>
      </w:r>
    </w:p>
    <w:p w14:paraId="76604047">
      <w:pPr>
        <w:pStyle w:val="48"/>
        <w:ind w:firstLine="420"/>
        <w:rPr>
          <w:szCs w:val="24"/>
        </w:rPr>
      </w:pPr>
      <w:r>
        <w:rPr>
          <w:szCs w:val="24"/>
          <w:lang w:bidi="ar"/>
        </w:rPr>
        <w:t>Vertical vibration of the left main landing gear</w:t>
      </w:r>
      <w:r>
        <w:rPr>
          <w:rFonts w:hint="eastAsia"/>
          <w:szCs w:val="24"/>
          <w:lang w:bidi="ar"/>
        </w:rPr>
        <w:t>：</w:t>
      </w:r>
    </w:p>
    <w:p w14:paraId="660C8517">
      <w:pPr>
        <w:pStyle w:val="21"/>
        <w:ind w:firstLine="482"/>
        <w:rPr>
          <w:rFonts w:eastAsia="宋体"/>
          <w:kern w:val="2"/>
          <w:szCs w:val="24"/>
        </w:rPr>
      </w:pPr>
      <w:r>
        <w:rPr>
          <w:kern w:val="2"/>
          <w:szCs w:val="24"/>
          <w:lang w:bidi="ar"/>
        </w:rPr>
        <w:tab/>
      </w:r>
      <w:r>
        <w:rPr>
          <w:kern w:val="2"/>
          <w:position w:val="-12"/>
          <w:szCs w:val="24"/>
          <w:lang w:bidi="ar"/>
          <w14:ligatures w14:val="none"/>
        </w:rPr>
        <w:object>
          <v:shape id="_x0000_i1059" o:spt="75" type="#_x0000_t75" style="height:19.35pt;width:319.35pt;" o:ole="t" filled="f" o:preferrelative="t" stroked="f" coordsize="21600,21600">
            <v:path/>
            <v:fill on="f" focussize="0,0"/>
            <v:stroke on="f" joinstyle="miter"/>
            <v:imagedata r:id="rId125" o:title=""/>
            <o:lock v:ext="edit" aspectratio="t"/>
            <w10:wrap type="none"/>
            <w10:anchorlock/>
          </v:shape>
          <o:OLEObject Type="Embed" ProgID="Equation.DSMT4" ShapeID="_x0000_i1059" DrawAspect="Content" ObjectID="_1468075759" r:id="rId124">
            <o:LockedField>false</o:LockedField>
          </o:OLEObject>
        </w:object>
      </w:r>
      <w:r>
        <w:rPr>
          <w:kern w:val="2"/>
          <w:szCs w:val="24"/>
          <w:lang w:bidi="ar"/>
        </w:rPr>
        <w:tab/>
      </w:r>
      <w:r>
        <w:rPr>
          <w:b w:val="0"/>
        </w:rPr>
        <w:t>(</w:t>
      </w:r>
      <w:r>
        <w:rPr>
          <w:rFonts w:hint="eastAsia" w:eastAsia="宋体"/>
          <w:b w:val="0"/>
        </w:rPr>
        <w:t>S</w:t>
      </w:r>
      <w:r>
        <w:rPr>
          <w:b w:val="0"/>
        </w:rPr>
        <w:t>14.6)</w:t>
      </w:r>
    </w:p>
    <w:p w14:paraId="245D7552">
      <w:pPr>
        <w:pStyle w:val="48"/>
        <w:ind w:firstLine="420"/>
        <w:rPr>
          <w:szCs w:val="24"/>
        </w:rPr>
      </w:pPr>
      <w:r>
        <w:rPr>
          <w:szCs w:val="24"/>
        </w:rPr>
        <w:t>The aerodynamic lift force is expressed as:</w:t>
      </w:r>
    </w:p>
    <w:p w14:paraId="169603C8">
      <w:pPr>
        <w:pStyle w:val="21"/>
        <w:ind w:firstLine="482"/>
        <w:rPr>
          <w:rFonts w:eastAsia="宋体"/>
        </w:rPr>
      </w:pPr>
      <w:r>
        <w:rPr>
          <w:kern w:val="2"/>
          <w:szCs w:val="24"/>
          <w:lang w:bidi="ar"/>
        </w:rPr>
        <w:tab/>
      </w:r>
      <w:r>
        <w:rPr>
          <w:kern w:val="2"/>
          <w:position w:val="-24"/>
          <w:szCs w:val="24"/>
          <w:lang w:bidi="ar"/>
          <w14:ligatures w14:val="none"/>
        </w:rPr>
        <w:object>
          <v:shape id="_x0000_i1060" o:spt="75" type="#_x0000_t75" style="height:32pt;width:85pt;" o:ole="t" filled="f" o:preferrelative="t" stroked="f" coordsize="21600,21600">
            <v:path/>
            <v:fill on="f" focussize="0,0"/>
            <v:stroke on="f" joinstyle="miter"/>
            <v:imagedata r:id="rId127" o:title=""/>
            <o:lock v:ext="edit" aspectratio="t"/>
            <w10:wrap type="none"/>
            <w10:anchorlock/>
          </v:shape>
          <o:OLEObject Type="Embed" ProgID="Equation.DSMT4" ShapeID="_x0000_i1060" DrawAspect="Content" ObjectID="_1468075760" r:id="rId126">
            <o:LockedField>false</o:LockedField>
          </o:OLEObject>
        </w:object>
      </w:r>
      <w:r>
        <w:rPr>
          <w:kern w:val="2"/>
          <w:szCs w:val="24"/>
          <w:lang w:bidi="ar"/>
        </w:rPr>
        <w:tab/>
      </w:r>
      <w:r>
        <w:rPr>
          <w:b w:val="0"/>
        </w:rPr>
        <w:t>(</w:t>
      </w:r>
      <w:r>
        <w:rPr>
          <w:rFonts w:hint="eastAsia" w:eastAsia="宋体"/>
          <w:b w:val="0"/>
        </w:rPr>
        <w:t>S</w:t>
      </w:r>
      <w:r>
        <w:rPr>
          <w:b w:val="0"/>
        </w:rPr>
        <w:t>14.7)</w:t>
      </w:r>
    </w:p>
    <w:p w14:paraId="401D1658">
      <w:pPr>
        <w:widowControl/>
        <w:spacing w:line="276" w:lineRule="auto"/>
        <w:ind w:firstLine="0" w:firstLineChars="0"/>
        <w:jc w:val="left"/>
        <w:rPr>
          <w:kern w:val="0"/>
          <w:sz w:val="24"/>
          <w:szCs w:val="24"/>
        </w:rPr>
      </w:pPr>
      <w:r>
        <w:rPr>
          <w:kern w:val="0"/>
          <w:sz w:val="24"/>
          <w:szCs w:val="24"/>
        </w:rPr>
        <w:t xml:space="preserve">where </w:t>
      </w:r>
      <w:r>
        <w:rPr>
          <w:i/>
          <w:iCs/>
          <w:kern w:val="0"/>
          <w:sz w:val="24"/>
          <w:szCs w:val="24"/>
          <w:lang w:bidi="ar"/>
        </w:rPr>
        <w:t>C</w:t>
      </w:r>
      <w:r>
        <w:rPr>
          <w:i/>
          <w:iCs/>
          <w:kern w:val="0"/>
          <w:sz w:val="24"/>
          <w:szCs w:val="24"/>
          <w:vertAlign w:val="subscript"/>
          <w:lang w:bidi="ar"/>
        </w:rPr>
        <w:t>l</w:t>
      </w:r>
      <w:r>
        <w:rPr>
          <w:i/>
          <w:iCs/>
          <w:kern w:val="0"/>
          <w:sz w:val="24"/>
          <w:szCs w:val="24"/>
        </w:rPr>
        <w:t xml:space="preserve"> </w:t>
      </w:r>
      <w:r>
        <w:rPr>
          <w:kern w:val="0"/>
          <w:sz w:val="24"/>
          <w:szCs w:val="24"/>
        </w:rPr>
        <w:t xml:space="preserve">denotes the lift coefficient, </w:t>
      </w:r>
      <w:r>
        <w:rPr>
          <w:i/>
          <w:iCs/>
          <w:kern w:val="0"/>
          <w:sz w:val="24"/>
          <w:szCs w:val="24"/>
          <w:lang w:bidi="ar"/>
        </w:rPr>
        <w:t>S</w:t>
      </w:r>
      <w:r>
        <w:rPr>
          <w:i/>
          <w:iCs/>
          <w:kern w:val="0"/>
          <w:sz w:val="24"/>
          <w:szCs w:val="24"/>
          <w:vertAlign w:val="subscript"/>
          <w:lang w:bidi="ar"/>
        </w:rPr>
        <w:t>w</w:t>
      </w:r>
      <w:r>
        <w:rPr>
          <w:kern w:val="0"/>
          <w:sz w:val="24"/>
          <w:szCs w:val="24"/>
        </w:rPr>
        <w:t xml:space="preserve"> is the wing area, </w:t>
      </w:r>
      <w:r>
        <w:rPr>
          <w:i/>
          <w:iCs/>
          <w:kern w:val="0"/>
          <w:sz w:val="24"/>
          <w:szCs w:val="24"/>
          <w:lang w:bidi="ar"/>
        </w:rPr>
        <w:t>ρ</w:t>
      </w:r>
      <w:r>
        <w:rPr>
          <w:i/>
          <w:iCs/>
          <w:kern w:val="0"/>
          <w:sz w:val="24"/>
          <w:szCs w:val="24"/>
          <w:vertAlign w:val="subscript"/>
          <w:lang w:bidi="ar"/>
        </w:rPr>
        <w:t>a</w:t>
      </w:r>
      <w:r>
        <w:rPr>
          <w:i/>
          <w:iCs/>
          <w:kern w:val="0"/>
          <w:sz w:val="24"/>
          <w:szCs w:val="24"/>
        </w:rPr>
        <w:t xml:space="preserve"> </w:t>
      </w:r>
      <w:r>
        <w:rPr>
          <w:kern w:val="0"/>
          <w:sz w:val="24"/>
          <w:szCs w:val="24"/>
        </w:rPr>
        <w:t xml:space="preserve">is the air density, and </w:t>
      </w:r>
      <w:r>
        <w:rPr>
          <w:i/>
          <w:iCs/>
          <w:kern w:val="0"/>
          <w:sz w:val="24"/>
          <w:szCs w:val="24"/>
        </w:rPr>
        <w:t>V</w:t>
      </w:r>
      <w:r>
        <w:rPr>
          <w:rFonts w:hint="eastAsia"/>
          <w:i/>
          <w:iCs/>
          <w:kern w:val="0"/>
          <w:sz w:val="24"/>
          <w:szCs w:val="24"/>
          <w:vertAlign w:val="subscript"/>
        </w:rPr>
        <w:t>a</w:t>
      </w:r>
      <w:r>
        <w:rPr>
          <w:i/>
          <w:iCs/>
          <w:kern w:val="0"/>
          <w:sz w:val="24"/>
          <w:szCs w:val="24"/>
        </w:rPr>
        <w:t xml:space="preserve"> </w:t>
      </w:r>
      <w:r>
        <w:rPr>
          <w:kern w:val="0"/>
          <w:sz w:val="24"/>
          <w:szCs w:val="24"/>
        </w:rPr>
        <w:t>represents the aircraft taxiing speed.</w:t>
      </w:r>
    </w:p>
    <w:p w14:paraId="07F2D84E">
      <w:pPr>
        <w:pStyle w:val="48"/>
        <w:ind w:firstLine="420"/>
        <w:rPr>
          <w:szCs w:val="24"/>
        </w:rPr>
      </w:pPr>
      <w:r>
        <w:rPr>
          <w:szCs w:val="24"/>
        </w:rPr>
        <w:t>Since the aircraft performs straight-line ground rolling, the lift force is assumed to act at the center of gravity.</w:t>
      </w:r>
    </w:p>
    <w:p w14:paraId="1BDC456B">
      <w:pPr>
        <w:pStyle w:val="48"/>
        <w:ind w:firstLine="420"/>
        <w:rPr>
          <w:szCs w:val="24"/>
        </w:rPr>
      </w:pPr>
      <w:r>
        <w:rPr>
          <w:szCs w:val="24"/>
        </w:rPr>
        <w:t>The system of equations can be expressed in matrix form as:</w:t>
      </w:r>
    </w:p>
    <w:p w14:paraId="2D6913DE">
      <w:pPr>
        <w:pStyle w:val="21"/>
        <w:ind w:firstLine="482"/>
        <w:rPr>
          <w:rFonts w:eastAsia="宋体"/>
        </w:rPr>
      </w:pPr>
      <w:r>
        <w:rPr>
          <w:kern w:val="2"/>
          <w:szCs w:val="24"/>
          <w:lang w:bidi="ar"/>
        </w:rPr>
        <w:tab/>
      </w:r>
      <w:r>
        <w:rPr>
          <w:kern w:val="2"/>
          <w:szCs w:val="24"/>
          <w:lang w:bidi="ar"/>
          <w14:ligatures w14:val="none"/>
        </w:rPr>
        <w:object>
          <v:shape id="_x0000_i1061" o:spt="75" type="#_x0000_t75" style="height:19.35pt;width:132pt;" o:ole="t" filled="f" o:preferrelative="t" stroked="f" coordsize="21600,21600">
            <v:path/>
            <v:fill on="f" focussize="0,0"/>
            <v:stroke on="f" joinstyle="miter"/>
            <v:imagedata r:id="rId129" o:title=""/>
            <o:lock v:ext="edit" aspectratio="t"/>
            <w10:wrap type="none"/>
            <w10:anchorlock/>
          </v:shape>
          <o:OLEObject Type="Embed" ProgID="Equation.DSMT4" ShapeID="_x0000_i1061" DrawAspect="Content" ObjectID="_1468075761" r:id="rId128">
            <o:LockedField>false</o:LockedField>
          </o:OLEObject>
        </w:object>
      </w:r>
      <w:r>
        <w:rPr>
          <w:kern w:val="2"/>
          <w:szCs w:val="24"/>
          <w:lang w:bidi="ar"/>
        </w:rPr>
        <w:tab/>
      </w:r>
      <w:r>
        <w:rPr>
          <w:b w:val="0"/>
        </w:rPr>
        <w:t>(</w:t>
      </w:r>
      <w:r>
        <w:rPr>
          <w:rFonts w:hint="eastAsia" w:eastAsia="宋体"/>
          <w:b w:val="0"/>
        </w:rPr>
        <w:t>S</w:t>
      </w:r>
      <w:r>
        <w:rPr>
          <w:b w:val="0"/>
        </w:rPr>
        <w:t>14.8)</w:t>
      </w:r>
    </w:p>
    <w:p w14:paraId="703F7CBE">
      <w:pPr>
        <w:pStyle w:val="48"/>
        <w:ind w:firstLine="0" w:firstLineChars="0"/>
        <w:rPr>
          <w:szCs w:val="24"/>
        </w:rPr>
      </w:pPr>
      <w:r>
        <w:t xml:space="preserve">where </w:t>
      </w:r>
      <w:r>
        <w:rPr>
          <w:b/>
          <w:lang w:bidi="ar"/>
        </w:rPr>
        <w:t>M</w:t>
      </w:r>
      <w:r>
        <w:rPr>
          <w:vertAlign w:val="subscript"/>
          <w:lang w:bidi="ar"/>
        </w:rPr>
        <w:t>a</w:t>
      </w:r>
      <w:r>
        <w:t xml:space="preserve">, </w:t>
      </w:r>
      <w:r>
        <w:rPr>
          <w:b/>
          <w:lang w:bidi="ar"/>
        </w:rPr>
        <w:t>C</w:t>
      </w:r>
      <w:r>
        <w:rPr>
          <w:vertAlign w:val="subscript"/>
          <w:lang w:bidi="ar"/>
        </w:rPr>
        <w:t>a</w:t>
      </w:r>
      <w:r>
        <w:t xml:space="preserve">, and </w:t>
      </w:r>
      <w:r>
        <w:rPr>
          <w:b/>
          <w:lang w:bidi="ar"/>
        </w:rPr>
        <w:t>K</w:t>
      </w:r>
      <w:r>
        <w:rPr>
          <w:vertAlign w:val="subscript"/>
          <w:lang w:bidi="ar"/>
        </w:rPr>
        <w:t>a</w:t>
      </w:r>
      <w:r>
        <w:t xml:space="preserve"> denote the mass, damping, and stiffness matrices of the aircraft, respectively; </w:t>
      </w:r>
      <w:r>
        <w:rPr>
          <w:b/>
          <w:lang w:bidi="ar"/>
        </w:rPr>
        <w:t>X</w:t>
      </w:r>
      <w:r>
        <w:rPr>
          <w:vertAlign w:val="subscript"/>
          <w:lang w:bidi="ar"/>
        </w:rPr>
        <w:t>a</w:t>
      </w:r>
      <w:r>
        <w:rPr>
          <w:rFonts w:hint="eastAsia" w:ascii="宋体" w:hAnsi="宋体" w:cs="宋体"/>
          <w:lang w:bidi="ar"/>
        </w:rPr>
        <w:t>、</w:t>
      </w:r>
      <w:r>
        <w:rPr>
          <w:b/>
          <w:lang w:bidi="ar"/>
        </w:rPr>
        <w:t>Ẋ</w:t>
      </w:r>
      <w:r>
        <w:rPr>
          <w:vertAlign w:val="subscript"/>
          <w:lang w:bidi="ar"/>
        </w:rPr>
        <w:t>a</w:t>
      </w:r>
      <w:r>
        <w:rPr>
          <w:rFonts w:hint="eastAsia" w:ascii="宋体" w:hAnsi="宋体" w:cs="宋体"/>
          <w:lang w:bidi="ar"/>
        </w:rPr>
        <w:t xml:space="preserve"> </w:t>
      </w:r>
      <w:r>
        <w:t xml:space="preserve">and </w:t>
      </w:r>
      <w:r>
        <w:rPr>
          <w:b/>
          <w:lang w:bidi="ar"/>
        </w:rPr>
        <w:t>Ẍ</w:t>
      </w:r>
      <w:r>
        <w:rPr>
          <w:vertAlign w:val="subscript"/>
          <w:lang w:bidi="ar"/>
        </w:rPr>
        <w:t>a</w:t>
      </w:r>
      <w:r>
        <w:t xml:space="preserve"> represent the aircraft vibration displacement, velocity, and acceleration vectors; and </w:t>
      </w:r>
      <w:r>
        <w:rPr>
          <w:b/>
          <w:lang w:bidi="ar"/>
        </w:rPr>
        <w:t>F</w:t>
      </w:r>
      <w:r>
        <w:rPr>
          <w:vertAlign w:val="subscript"/>
          <w:lang w:bidi="ar"/>
        </w:rPr>
        <w:t>a</w:t>
      </w:r>
      <w:r>
        <w:t xml:space="preserve"> is the load vector.</w:t>
      </w:r>
    </w:p>
    <w:p w14:paraId="043CC077">
      <w:pPr>
        <w:pStyle w:val="21"/>
        <w:ind w:firstLine="482"/>
        <w:rPr>
          <w:kern w:val="2"/>
          <w:szCs w:val="24"/>
          <w:lang w:bidi="ar"/>
        </w:rPr>
      </w:pPr>
      <w:r>
        <w:rPr>
          <w:rFonts w:hint="eastAsia" w:eastAsia="宋体"/>
          <w:kern w:val="2"/>
          <w:szCs w:val="24"/>
          <w:lang w:bidi="ar"/>
        </w:rPr>
        <w:tab/>
      </w:r>
      <w:r>
        <w:rPr>
          <w:kern w:val="2"/>
          <w:szCs w:val="24"/>
          <w:lang w:bidi="ar"/>
          <w14:ligatures w14:val="none"/>
        </w:rPr>
        <w:object>
          <v:shape id="_x0000_i1062" o:spt="75" type="#_x0000_t75" style="height:19.35pt;width:150pt;" o:ole="t" filled="f" o:preferrelative="t" stroked="f" coordsize="21600,21600">
            <v:path/>
            <v:fill on="f" focussize="0,0"/>
            <v:stroke on="f" joinstyle="miter"/>
            <v:imagedata r:id="rId131" o:title=""/>
            <o:lock v:ext="edit" aspectratio="t"/>
            <w10:wrap type="none"/>
            <w10:anchorlock/>
          </v:shape>
          <o:OLEObject Type="Embed" ProgID="Equation.DSMT4" ShapeID="_x0000_i1062" DrawAspect="Content" ObjectID="_1468075762" r:id="rId130">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kern w:val="2"/>
          <w:szCs w:val="24"/>
          <w:lang w:bidi="ar"/>
        </w:rPr>
        <w:t>14.9)</w:t>
      </w:r>
    </w:p>
    <w:p w14:paraId="110B21F3">
      <w:pPr>
        <w:pStyle w:val="21"/>
        <w:ind w:firstLine="482"/>
        <w:rPr>
          <w:kern w:val="2"/>
          <w:szCs w:val="24"/>
          <w:lang w:bidi="ar"/>
        </w:rPr>
      </w:pPr>
      <w:r>
        <w:rPr>
          <w:kern w:val="2"/>
          <w:szCs w:val="24"/>
          <w:lang w:bidi="ar"/>
        </w:rPr>
        <w:tab/>
      </w:r>
      <w:r>
        <w:rPr>
          <w:kern w:val="2"/>
          <w:position w:val="-12"/>
          <w:szCs w:val="24"/>
          <w:lang w:bidi="ar"/>
          <w14:ligatures w14:val="none"/>
        </w:rPr>
        <w:object>
          <v:shape id="_x0000_i1063" o:spt="75" type="#_x0000_t75" style="height:19.35pt;width:108pt;" o:ole="t" filled="f" o:preferrelative="t" stroked="f" coordsize="21600,21600">
            <v:path/>
            <v:fill on="f" focussize="0,0"/>
            <v:stroke on="f" joinstyle="miter"/>
            <v:imagedata r:id="rId133" o:title=""/>
            <o:lock v:ext="edit" aspectratio="t"/>
            <w10:wrap type="none"/>
            <w10:anchorlock/>
          </v:shape>
          <o:OLEObject Type="Embed" ProgID="Equation.DSMT4" ShapeID="_x0000_i1063" DrawAspect="Content" ObjectID="_1468075763" r:id="rId132">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kern w:val="2"/>
          <w:szCs w:val="24"/>
          <w:lang w:bidi="ar"/>
        </w:rPr>
        <w:t>14.10)</w:t>
      </w:r>
    </w:p>
    <w:p w14:paraId="1EE6162C">
      <w:pPr>
        <w:pStyle w:val="21"/>
        <w:ind w:firstLine="0" w:firstLineChars="0"/>
        <w:rPr>
          <w:kern w:val="2"/>
          <w:szCs w:val="24"/>
          <w:lang w:bidi="ar"/>
        </w:rPr>
      </w:pPr>
      <w:r>
        <w:rPr>
          <w:kern w:val="2"/>
          <w:position w:val="-104"/>
          <w:szCs w:val="24"/>
          <w:lang w:bidi="ar"/>
          <w14:ligatures w14:val="none"/>
        </w:rPr>
        <w:object>
          <v:shape id="_x0000_i1064" o:spt="75" type="#_x0000_t75" style="height:111pt;width:412pt;" o:ole="t" filled="f" o:preferrelative="t" stroked="f" coordsize="21600,21600">
            <v:path/>
            <v:fill on="f" focussize="0,0"/>
            <v:stroke on="f" joinstyle="miter"/>
            <v:imagedata r:id="rId135" o:title=""/>
            <o:lock v:ext="edit" aspectratio="t"/>
            <w10:wrap type="none"/>
            <w10:anchorlock/>
          </v:shape>
          <o:OLEObject Type="Embed" ProgID="Equation.DSMT4" ShapeID="_x0000_i1064" DrawAspect="Content" ObjectID="_1468075764" r:id="rId134">
            <o:LockedField>false</o:LockedField>
          </o:OLEObject>
        </w:object>
      </w:r>
    </w:p>
    <w:p w14:paraId="17742385">
      <w:pPr>
        <w:pStyle w:val="48"/>
        <w:ind w:firstLine="480"/>
        <w:jc w:val="right"/>
        <w:rPr>
          <w:kern w:val="2"/>
          <w:sz w:val="24"/>
          <w:szCs w:val="24"/>
          <w:lang w:bidi="ar"/>
        </w:rPr>
      </w:pPr>
      <w:r>
        <w:rPr>
          <w:rFonts w:hint="eastAsia"/>
          <w:kern w:val="2"/>
          <w:sz w:val="24"/>
          <w:szCs w:val="24"/>
          <w:lang w:bidi="ar"/>
        </w:rPr>
        <w:t>(S14.11)</w:t>
      </w:r>
      <w:r>
        <w:rPr>
          <w:kern w:val="2"/>
          <w:position w:val="-104"/>
          <w:sz w:val="24"/>
          <w:szCs w:val="24"/>
          <w:lang w:bidi="ar"/>
        </w:rPr>
        <w:object>
          <v:shape id="_x0000_i1065" o:spt="75" type="#_x0000_t75" style="height:111pt;width:408pt;" o:ole="t" filled="f" o:preferrelative="t" stroked="f" coordsize="21600,21600">
            <v:path/>
            <v:fill on="f" focussize="0,0"/>
            <v:stroke on="f" joinstyle="miter"/>
            <v:imagedata r:id="rId137" o:title=""/>
            <o:lock v:ext="edit" aspectratio="t"/>
            <w10:wrap type="none"/>
            <w10:anchorlock/>
          </v:shape>
          <o:OLEObject Type="Embed" ProgID="Equation.DSMT4" ShapeID="_x0000_i1065" DrawAspect="Content" ObjectID="_1468075765" r:id="rId136">
            <o:LockedField>false</o:LockedField>
          </o:OLEObject>
        </w:object>
      </w:r>
    </w:p>
    <w:p w14:paraId="6F6933F9">
      <w:pPr>
        <w:pStyle w:val="48"/>
        <w:ind w:firstLine="480"/>
        <w:jc w:val="right"/>
        <w:rPr>
          <w:kern w:val="2"/>
          <w:sz w:val="24"/>
          <w:szCs w:val="24"/>
          <w:lang w:bidi="ar"/>
        </w:rPr>
      </w:pPr>
      <w:r>
        <w:rPr>
          <w:rFonts w:hint="eastAsia"/>
          <w:kern w:val="2"/>
          <w:sz w:val="24"/>
          <w:szCs w:val="24"/>
          <w:lang w:bidi="ar"/>
        </w:rPr>
        <w:t xml:space="preserve">   (S14.12)</w:t>
      </w:r>
    </w:p>
    <w:p w14:paraId="0125FF32">
      <w:pPr>
        <w:pStyle w:val="21"/>
        <w:tabs>
          <w:tab w:val="clear" w:pos="8400"/>
        </w:tabs>
        <w:ind w:right="-57" w:rightChars="-27" w:firstLine="482"/>
        <w:rPr>
          <w:kern w:val="2"/>
          <w:szCs w:val="24"/>
          <w:lang w:bidi="ar"/>
        </w:rPr>
      </w:pPr>
      <w:r>
        <w:rPr>
          <w:kern w:val="2"/>
          <w:szCs w:val="24"/>
          <w:lang w:bidi="ar"/>
        </w:rPr>
        <w:tab/>
      </w:r>
      <w:r>
        <w:rPr>
          <w:kern w:val="2"/>
          <w:position w:val="-30"/>
          <w:szCs w:val="24"/>
          <w:lang w:bidi="ar"/>
          <w14:ligatures w14:val="none"/>
        </w:rPr>
        <w:object>
          <v:shape id="_x0000_i1066" o:spt="75" type="#_x0000_t75" style="height:25.35pt;width:261pt;" o:ole="t" filled="f" o:preferrelative="t" stroked="f" coordsize="21600,21600">
            <v:path/>
            <v:fill on="f" focussize="0,0"/>
            <v:stroke on="f" joinstyle="miter"/>
            <v:imagedata r:id="rId139" cropbottom="23972f" o:title=""/>
            <o:lock v:ext="edit" aspectratio="t"/>
            <w10:wrap type="none"/>
            <w10:anchorlock/>
          </v:shape>
          <o:OLEObject Type="Embed" ProgID="Equation.DSMT4" ShapeID="_x0000_i1066" DrawAspect="Content" ObjectID="_1468075766" r:id="rId138">
            <o:LockedField>false</o:LockedField>
          </o:OLEObject>
        </w:object>
      </w:r>
      <w:r>
        <w:rPr>
          <w:rFonts w:hint="eastAsia" w:eastAsia="宋体"/>
          <w:kern w:val="2"/>
          <w:position w:val="-30"/>
          <w:szCs w:val="24"/>
          <w:lang w:bidi="ar"/>
          <w14:ligatures w14:val="none"/>
        </w:rPr>
        <w:tab/>
      </w:r>
      <w:r>
        <w:rPr>
          <w:rFonts w:eastAsia="宋体"/>
          <w:kern w:val="2"/>
          <w:position w:val="-30"/>
          <w:szCs w:val="24"/>
          <w:lang w:bidi="ar"/>
          <w14:ligatures w14:val="none"/>
        </w:rPr>
        <w:t xml:space="preserve">   </w:t>
      </w:r>
      <w:r>
        <w:rPr>
          <w:rFonts w:hint="eastAsia" w:eastAsia="宋体"/>
          <w:b w:val="0"/>
          <w:bCs w:val="0"/>
          <w:kern w:val="2"/>
          <w:position w:val="-30"/>
          <w:szCs w:val="24"/>
          <w:lang w:bidi="ar"/>
          <w14:ligatures w14:val="none"/>
        </w:rPr>
        <w:t>(S14.13)</w:t>
      </w:r>
    </w:p>
    <w:p w14:paraId="47FB9BC4">
      <w:pPr>
        <w:pStyle w:val="48"/>
        <w:ind w:firstLine="420"/>
        <w:rPr>
          <w:szCs w:val="24"/>
        </w:rPr>
      </w:pPr>
      <w:r>
        <w:rPr>
          <w:szCs w:val="24"/>
        </w:rPr>
        <w:t>(2) Five-Point Large Wide-Body Aircraft Model</w:t>
      </w:r>
    </w:p>
    <w:p w14:paraId="102CE102">
      <w:pPr>
        <w:pStyle w:val="48"/>
        <w:ind w:firstLine="420"/>
        <w:rPr>
          <w:szCs w:val="24"/>
          <w:lang w:bidi="ar"/>
        </w:rPr>
      </w:pPr>
      <w:r>
        <w:rPr>
          <w:szCs w:val="24"/>
          <w:lang w:bidi="ar"/>
        </w:rPr>
        <w:t>Based on the three-point model, a five-point full-aircraft dynamic model is further developed for large wide-body aircraft such as the B747 (Fig.</w:t>
      </w:r>
      <w:r>
        <w:rPr>
          <w:rFonts w:hint="eastAsia"/>
          <w:szCs w:val="24"/>
          <w:lang w:bidi="ar"/>
        </w:rPr>
        <w:t>S</w:t>
      </w:r>
      <w:r>
        <w:rPr>
          <w:szCs w:val="24"/>
          <w:lang w:bidi="ar"/>
        </w:rPr>
        <w:t>14.3). This model incorporates multiple main landing gears (outer and inner gears on both sides), allowing accurate representation of complex multi-gear dynamic interactions during ground rolling.</w:t>
      </w:r>
    </w:p>
    <w:p w14:paraId="2BA5DE27">
      <w:pPr>
        <w:pStyle w:val="21"/>
        <w:ind w:firstLine="420"/>
        <w:rPr>
          <w:b w:val="0"/>
          <w:sz w:val="21"/>
          <w:szCs w:val="21"/>
          <w:lang w:bidi="ar"/>
        </w:rPr>
      </w:pPr>
      <w:r>
        <w:rPr>
          <w:b w:val="0"/>
          <w:sz w:val="21"/>
          <w:szCs w:val="21"/>
          <w:lang w:bidi="ar"/>
        </w:rPr>
        <w:t>The governing equations are similarly derived using D’Alembert’s principle, including:</w:t>
      </w:r>
    </w:p>
    <w:p w14:paraId="38F996B6">
      <w:pPr>
        <w:pStyle w:val="21"/>
        <w:ind w:firstLine="420"/>
        <w:rPr>
          <w:b w:val="0"/>
          <w:sz w:val="21"/>
          <w:szCs w:val="21"/>
          <w:lang w:bidi="ar"/>
        </w:rPr>
      </w:pPr>
      <w:r>
        <w:rPr>
          <w:b w:val="0"/>
          <w:sz w:val="21"/>
          <w:szCs w:val="21"/>
          <w:lang w:bidi="ar"/>
        </w:rPr>
        <w:t>Vertical vibration equilibrium of the sprung mass:</w:t>
      </w:r>
    </w:p>
    <w:p w14:paraId="2B727442">
      <w:pPr>
        <w:pStyle w:val="21"/>
        <w:spacing w:after="0"/>
        <w:ind w:firstLine="0" w:firstLineChars="0"/>
      </w:pPr>
      <w:r>
        <w:rPr>
          <w:lang w:bidi="ar"/>
          <w14:ligatures w14:val="none"/>
        </w:rPr>
        <w:object>
          <v:shape id="_x0000_i1067" o:spt="75" type="#_x0000_t75" style="height:79.35pt;width:402pt;" o:ole="t" filled="f" o:preferrelative="t" stroked="f" coordsize="21600,21600">
            <v:path/>
            <v:fill on="f" focussize="0,0"/>
            <v:stroke on="f" joinstyle="miter"/>
            <v:imagedata r:id="rId141" o:title=""/>
            <o:lock v:ext="edit" aspectratio="t"/>
            <w10:wrap type="none"/>
            <w10:anchorlock/>
          </v:shape>
          <o:OLEObject Type="Embed" ProgID="Equation.DSMT4" ShapeID="_x0000_i1067" DrawAspect="Content" ObjectID="_1468075767" r:id="rId140">
            <o:LockedField>false</o:LockedField>
          </o:OLEObject>
        </w:object>
      </w:r>
    </w:p>
    <w:p w14:paraId="30D777DD">
      <w:pPr>
        <w:pStyle w:val="21"/>
        <w:jc w:val="right"/>
        <w:rPr>
          <w:b w:val="0"/>
        </w:rPr>
      </w:pPr>
      <w:r>
        <w:rPr>
          <w:b w:val="0"/>
        </w:rPr>
        <w:t>(</w:t>
      </w:r>
      <w:r>
        <w:rPr>
          <w:rFonts w:hint="eastAsia" w:eastAsia="宋体"/>
          <w:b w:val="0"/>
        </w:rPr>
        <w:t>S</w:t>
      </w:r>
      <w:r>
        <w:rPr>
          <w:b w:val="0"/>
        </w:rPr>
        <w:t>14.</w:t>
      </w:r>
      <w:r>
        <w:rPr>
          <w:rFonts w:hint="eastAsia" w:eastAsia="宋体"/>
          <w:b w:val="0"/>
        </w:rPr>
        <w:t>14</w:t>
      </w:r>
      <w:r>
        <w:rPr>
          <w:b w:val="0"/>
        </w:rPr>
        <w:t>)</w:t>
      </w:r>
    </w:p>
    <w:p w14:paraId="0FC5580E">
      <w:pPr>
        <w:pStyle w:val="48"/>
        <w:ind w:firstLine="420"/>
        <w:rPr>
          <w:szCs w:val="24"/>
          <w:lang w:bidi="ar"/>
        </w:rPr>
      </w:pPr>
      <w:r>
        <w:rPr>
          <w:szCs w:val="24"/>
          <w:lang w:bidi="ar"/>
        </w:rPr>
        <w:t>Pitch rotational equilibrium</w:t>
      </w:r>
      <w:r>
        <w:rPr>
          <w:rFonts w:hint="eastAsia"/>
          <w:szCs w:val="24"/>
          <w:lang w:bidi="ar"/>
        </w:rPr>
        <w:t>：</w:t>
      </w:r>
    </w:p>
    <w:p w14:paraId="17F97495">
      <w:pPr>
        <w:pStyle w:val="21"/>
        <w:ind w:firstLine="0" w:firstLineChars="0"/>
        <w:jc w:val="right"/>
        <w:rPr>
          <w:b w:val="0"/>
          <w:lang w:bidi="ar"/>
        </w:rPr>
      </w:pPr>
      <w:r>
        <w:rPr>
          <w:b w:val="0"/>
          <w:lang w:bidi="ar"/>
          <w14:ligatures w14:val="none"/>
        </w:rPr>
        <w:object>
          <v:shape id="_x0000_i1068" o:spt="75" type="#_x0000_t75" style="height:82.65pt;width:411pt;" o:ole="t" filled="f" o:preferrelative="t" stroked="f" coordsize="21600,21600">
            <v:path/>
            <v:fill on="f" focussize="0,0"/>
            <v:stroke on="f" joinstyle="miter"/>
            <v:imagedata r:id="rId143" cropbottom="17516f" o:title=""/>
            <o:lock v:ext="edit" aspectratio="t"/>
            <w10:wrap type="none"/>
            <w10:anchorlock/>
          </v:shape>
          <o:OLEObject Type="Embed" ProgID="Equation.DSMT4" ShapeID="_x0000_i1068" DrawAspect="Content" ObjectID="_1468075768" r:id="rId142">
            <o:LockedField>false</o:LockedField>
          </o:OLEObject>
        </w:object>
      </w:r>
    </w:p>
    <w:p w14:paraId="7244E137">
      <w:pPr>
        <w:pStyle w:val="21"/>
        <w:ind w:firstLine="0" w:firstLineChars="0"/>
        <w:jc w:val="right"/>
        <w:rPr>
          <w:b w:val="0"/>
        </w:rPr>
      </w:pPr>
      <w:r>
        <w:rPr>
          <w:b w:val="0"/>
        </w:rPr>
        <w:t>(</w:t>
      </w:r>
      <w:r>
        <w:rPr>
          <w:rFonts w:hint="eastAsia" w:eastAsia="宋体"/>
          <w:b w:val="0"/>
        </w:rPr>
        <w:t>S</w:t>
      </w:r>
      <w:r>
        <w:rPr>
          <w:b w:val="0"/>
        </w:rPr>
        <w:t>14.1</w:t>
      </w:r>
      <w:r>
        <w:rPr>
          <w:rFonts w:hint="eastAsia" w:eastAsia="宋体"/>
          <w:b w:val="0"/>
        </w:rPr>
        <w:t>5</w:t>
      </w:r>
      <w:r>
        <w:rPr>
          <w:b w:val="0"/>
        </w:rPr>
        <w:t>)</w:t>
      </w:r>
    </w:p>
    <w:p w14:paraId="20E0CE31">
      <w:pPr>
        <w:pStyle w:val="48"/>
        <w:ind w:firstLine="420"/>
        <w:rPr>
          <w:szCs w:val="24"/>
          <w:lang w:bidi="ar"/>
        </w:rPr>
      </w:pPr>
      <w:r>
        <w:rPr>
          <w:szCs w:val="24"/>
          <w:lang w:bidi="ar"/>
        </w:rPr>
        <w:t>Roll rotational equilibrium</w:t>
      </w:r>
      <w:r>
        <w:rPr>
          <w:rFonts w:hint="eastAsia"/>
          <w:szCs w:val="24"/>
          <w:lang w:bidi="ar"/>
        </w:rPr>
        <w:t>：</w:t>
      </w:r>
    </w:p>
    <w:p w14:paraId="7EC5CD0E">
      <w:pPr>
        <w:pStyle w:val="21"/>
        <w:ind w:firstLine="0" w:firstLineChars="0"/>
        <w:rPr>
          <w:b w:val="0"/>
        </w:rPr>
      </w:pPr>
      <w:r>
        <w:rPr>
          <w:rFonts w:hint="eastAsia" w:eastAsia="宋体"/>
          <w:b w:val="0"/>
          <w:lang w:bidi="ar"/>
          <w14:ligatures w14:val="none"/>
        </w:rPr>
        <w:tab/>
      </w:r>
      <w:r>
        <w:rPr>
          <w:b w:val="0"/>
          <w:lang w:bidi="ar"/>
          <w14:ligatures w14:val="none"/>
        </w:rPr>
        <w:object>
          <v:shape id="_x0000_i1069" o:spt="75" type="#_x0000_t75" style="height:79.35pt;width:292.35pt;" o:ole="t" filled="f" o:preferrelative="t" stroked="f" coordsize="21600,21600">
            <v:path/>
            <v:fill on="f" focussize="0,0"/>
            <v:stroke on="f" joinstyle="miter"/>
            <v:imagedata r:id="rId145" o:title=""/>
            <o:lock v:ext="edit" aspectratio="t"/>
            <w10:wrap type="none"/>
            <w10:anchorlock/>
          </v:shape>
          <o:OLEObject Type="Embed" ProgID="Equation.DSMT4" ShapeID="_x0000_i1069" DrawAspect="Content" ObjectID="_1468075769" r:id="rId144">
            <o:LockedField>false</o:LockedField>
          </o:OLEObject>
        </w:object>
      </w:r>
      <w:r>
        <w:rPr>
          <w:b w:val="0"/>
        </w:rPr>
        <w:t xml:space="preserve"> </w:t>
      </w:r>
      <w:r>
        <w:rPr>
          <w:rFonts w:hint="eastAsia" w:eastAsia="宋体"/>
          <w:b w:val="0"/>
        </w:rPr>
        <w:tab/>
      </w:r>
      <w:r>
        <w:rPr>
          <w:b w:val="0"/>
        </w:rPr>
        <w:t>(</w:t>
      </w:r>
      <w:r>
        <w:rPr>
          <w:rFonts w:hint="eastAsia" w:eastAsia="宋体"/>
          <w:b w:val="0"/>
        </w:rPr>
        <w:t>S</w:t>
      </w:r>
      <w:r>
        <w:rPr>
          <w:b w:val="0"/>
        </w:rPr>
        <w:t>14.1</w:t>
      </w:r>
      <w:r>
        <w:rPr>
          <w:rFonts w:hint="eastAsia" w:eastAsia="宋体"/>
          <w:b w:val="0"/>
        </w:rPr>
        <w:t>6</w:t>
      </w:r>
      <w:r>
        <w:rPr>
          <w:b w:val="0"/>
        </w:rPr>
        <w:t>)</w:t>
      </w:r>
    </w:p>
    <w:p w14:paraId="6C54F593">
      <w:pPr>
        <w:pStyle w:val="48"/>
        <w:ind w:firstLine="420"/>
        <w:rPr>
          <w:szCs w:val="24"/>
          <w:lang w:bidi="ar"/>
        </w:rPr>
      </w:pPr>
      <w:r>
        <w:rPr>
          <w:szCs w:val="24"/>
          <w:lang w:bidi="ar"/>
        </w:rPr>
        <w:t>Vertical vibration equilibrium of five unsprung landing gear masses</w:t>
      </w:r>
      <w:r>
        <w:rPr>
          <w:rFonts w:hint="eastAsia"/>
          <w:szCs w:val="24"/>
          <w:lang w:bidi="ar"/>
        </w:rPr>
        <w:t>：</w:t>
      </w:r>
    </w:p>
    <w:p w14:paraId="4249E197">
      <w:pPr>
        <w:pStyle w:val="21"/>
        <w:ind w:firstLine="0" w:firstLineChars="0"/>
        <w:rPr>
          <w:b w:val="0"/>
        </w:rPr>
      </w:pPr>
      <w:r>
        <w:rPr>
          <w:rFonts w:hint="eastAsia" w:eastAsia="宋体"/>
          <w:b w:val="0"/>
          <w:position w:val="-12"/>
          <w:lang w:bidi="ar"/>
          <w14:ligatures w14:val="none"/>
        </w:rPr>
        <w:tab/>
      </w:r>
      <w:r>
        <w:rPr>
          <w:b w:val="0"/>
          <w:position w:val="-12"/>
          <w:lang w:bidi="ar"/>
          <w14:ligatures w14:val="none"/>
        </w:rPr>
        <w:object>
          <v:shape id="_x0000_i1070" o:spt="75" type="#_x0000_t75" style="height:19.35pt;width:258.65pt;" o:ole="t" filled="f" o:preferrelative="t" stroked="f" coordsize="21600,21600">
            <v:path/>
            <v:fill on="f" focussize="0,0"/>
            <v:stroke on="f" joinstyle="miter"/>
            <v:imagedata r:id="rId147" o:title=""/>
            <o:lock v:ext="edit" aspectratio="t"/>
            <w10:wrap type="none"/>
            <w10:anchorlock/>
          </v:shape>
          <o:OLEObject Type="Embed" ProgID="Equation.DSMT4" ShapeID="_x0000_i1070" DrawAspect="Content" ObjectID="_1468075770" r:id="rId146">
            <o:LockedField>false</o:LockedField>
          </o:OLEObject>
        </w:object>
      </w:r>
      <w:r>
        <w:rPr>
          <w:rFonts w:hint="eastAsia" w:eastAsia="宋体"/>
          <w:b w:val="0"/>
          <w:position w:val="-12"/>
          <w:lang w:bidi="ar"/>
          <w14:ligatures w14:val="none"/>
        </w:rPr>
        <w:tab/>
      </w:r>
      <w:r>
        <w:rPr>
          <w:b w:val="0"/>
        </w:rPr>
        <w:t>(</w:t>
      </w:r>
      <w:r>
        <w:rPr>
          <w:rFonts w:hint="eastAsia" w:eastAsia="宋体"/>
          <w:b w:val="0"/>
        </w:rPr>
        <w:t>S</w:t>
      </w:r>
      <w:r>
        <w:rPr>
          <w:b w:val="0"/>
        </w:rPr>
        <w:t>14.1</w:t>
      </w:r>
      <w:r>
        <w:rPr>
          <w:rFonts w:hint="eastAsia" w:eastAsia="宋体"/>
          <w:b w:val="0"/>
        </w:rPr>
        <w:t>7</w:t>
      </w:r>
      <w:r>
        <w:rPr>
          <w:b w:val="0"/>
        </w:rPr>
        <w:t>)</w:t>
      </w:r>
    </w:p>
    <w:p w14:paraId="197BC99D">
      <w:pPr>
        <w:pStyle w:val="21"/>
        <w:rPr>
          <w:b w:val="0"/>
        </w:rPr>
      </w:pPr>
      <w:r>
        <w:rPr>
          <w:b w:val="0"/>
          <w:position w:val="-12"/>
          <w:lang w:bidi="ar"/>
          <w14:ligatures w14:val="none"/>
        </w:rPr>
        <w:object>
          <v:shape id="_x0000_i1071" o:spt="75" type="#_x0000_t75" style="height:19.35pt;width:342.65pt;" o:ole="t" filled="f" o:preferrelative="t" stroked="f" coordsize="21600,21600">
            <v:path/>
            <v:fill on="f" focussize="0,0"/>
            <v:stroke on="f" joinstyle="miter"/>
            <v:imagedata r:id="rId149" o:title=""/>
            <o:lock v:ext="edit" aspectratio="t"/>
            <w10:wrap type="none"/>
            <w10:anchorlock/>
          </v:shape>
          <o:OLEObject Type="Embed" ProgID="Equation.DSMT4" ShapeID="_x0000_i1071" DrawAspect="Content" ObjectID="_1468075771" r:id="rId148">
            <o:LockedField>false</o:LockedField>
          </o:OLEObject>
        </w:object>
      </w:r>
      <w:r>
        <w:rPr>
          <w:b w:val="0"/>
        </w:rPr>
        <w:t xml:space="preserve"> </w:t>
      </w:r>
      <w:r>
        <w:rPr>
          <w:b w:val="0"/>
        </w:rPr>
        <w:tab/>
      </w:r>
      <w:r>
        <w:rPr>
          <w:b w:val="0"/>
        </w:rPr>
        <w:t>(</w:t>
      </w:r>
      <w:r>
        <w:rPr>
          <w:rFonts w:hint="eastAsia" w:eastAsia="宋体"/>
          <w:b w:val="0"/>
        </w:rPr>
        <w:t>S</w:t>
      </w:r>
      <w:r>
        <w:rPr>
          <w:b w:val="0"/>
        </w:rPr>
        <w:t>14.1</w:t>
      </w:r>
      <w:r>
        <w:rPr>
          <w:rFonts w:hint="eastAsia" w:eastAsia="宋体"/>
          <w:b w:val="0"/>
        </w:rPr>
        <w:t>8</w:t>
      </w:r>
      <w:r>
        <w:rPr>
          <w:b w:val="0"/>
        </w:rPr>
        <w:t xml:space="preserve">) </w:t>
      </w:r>
    </w:p>
    <w:p w14:paraId="34487474">
      <w:pPr>
        <w:pStyle w:val="21"/>
        <w:rPr>
          <w:b w:val="0"/>
        </w:rPr>
      </w:pPr>
      <w:r>
        <w:rPr>
          <w:b w:val="0"/>
          <w:position w:val="-12"/>
          <w:lang w:bidi="ar"/>
          <w14:ligatures w14:val="none"/>
        </w:rPr>
        <w:object>
          <v:shape id="_x0000_i1072" o:spt="75" type="#_x0000_t75" style="height:19.35pt;width:337.35pt;" o:ole="t" filled="f" o:preferrelative="t" stroked="f" coordsize="21600,21600">
            <v:path/>
            <v:fill on="f" focussize="0,0"/>
            <v:stroke on="f" joinstyle="miter"/>
            <v:imagedata r:id="rId151" o:title=""/>
            <o:lock v:ext="edit" aspectratio="t"/>
            <w10:wrap type="none"/>
            <w10:anchorlock/>
          </v:shape>
          <o:OLEObject Type="Embed" ProgID="Equation.DSMT4" ShapeID="_x0000_i1072" DrawAspect="Content" ObjectID="_1468075772" r:id="rId150">
            <o:LockedField>false</o:LockedField>
          </o:OLEObject>
        </w:object>
      </w:r>
      <w:r>
        <w:rPr>
          <w:b w:val="0"/>
        </w:rPr>
        <w:t xml:space="preserve">  </w:t>
      </w:r>
      <w:r>
        <w:rPr>
          <w:b w:val="0"/>
        </w:rPr>
        <w:tab/>
      </w:r>
      <w:r>
        <w:rPr>
          <w:b w:val="0"/>
        </w:rPr>
        <w:t>(</w:t>
      </w:r>
      <w:r>
        <w:rPr>
          <w:rFonts w:hint="eastAsia" w:eastAsia="宋体"/>
          <w:b w:val="0"/>
        </w:rPr>
        <w:t>S</w:t>
      </w:r>
      <w:r>
        <w:rPr>
          <w:b w:val="0"/>
        </w:rPr>
        <w:t>14.1</w:t>
      </w:r>
      <w:r>
        <w:rPr>
          <w:rFonts w:hint="eastAsia" w:eastAsia="宋体"/>
          <w:b w:val="0"/>
        </w:rPr>
        <w:t>9</w:t>
      </w:r>
      <w:r>
        <w:rPr>
          <w:b w:val="0"/>
        </w:rPr>
        <w:t>)</w:t>
      </w:r>
    </w:p>
    <w:p w14:paraId="139F0F08">
      <w:pPr>
        <w:pStyle w:val="21"/>
        <w:rPr>
          <w:b w:val="0"/>
        </w:rPr>
      </w:pPr>
      <w:r>
        <w:rPr>
          <w:b w:val="0"/>
          <w:position w:val="-12"/>
          <w:lang w:bidi="ar"/>
          <w14:ligatures w14:val="none"/>
        </w:rPr>
        <w:object>
          <v:shape id="_x0000_i1073" o:spt="75" type="#_x0000_t75" style="height:19.35pt;width:339pt;" o:ole="t" filled="f" o:preferrelative="t" stroked="f" coordsize="21600,21600">
            <v:path/>
            <v:fill on="f" focussize="0,0"/>
            <v:stroke on="f" joinstyle="miter"/>
            <v:imagedata r:id="rId153" o:title=""/>
            <o:lock v:ext="edit" aspectratio="t"/>
            <w10:wrap type="none"/>
            <w10:anchorlock/>
          </v:shape>
          <o:OLEObject Type="Embed" ProgID="Equation.DSMT4" ShapeID="_x0000_i1073" DrawAspect="Content" ObjectID="_1468075773" r:id="rId152">
            <o:LockedField>false</o:LockedField>
          </o:OLEObject>
        </w:object>
      </w:r>
      <w:r>
        <w:rPr>
          <w:b w:val="0"/>
        </w:rPr>
        <w:t xml:space="preserve"> </w:t>
      </w:r>
      <w:r>
        <w:rPr>
          <w:b w:val="0"/>
        </w:rPr>
        <w:tab/>
      </w:r>
      <w:r>
        <w:rPr>
          <w:b w:val="0"/>
        </w:rPr>
        <w:t xml:space="preserve"> (</w:t>
      </w:r>
      <w:r>
        <w:rPr>
          <w:rFonts w:hint="eastAsia" w:eastAsia="宋体"/>
          <w:b w:val="0"/>
        </w:rPr>
        <w:t>S</w:t>
      </w:r>
      <w:r>
        <w:rPr>
          <w:b w:val="0"/>
        </w:rPr>
        <w:t>14.</w:t>
      </w:r>
      <w:r>
        <w:rPr>
          <w:rFonts w:hint="eastAsia" w:eastAsia="宋体"/>
          <w:b w:val="0"/>
        </w:rPr>
        <w:t>20</w:t>
      </w:r>
      <w:r>
        <w:rPr>
          <w:b w:val="0"/>
        </w:rPr>
        <w:t>)</w:t>
      </w:r>
    </w:p>
    <w:p w14:paraId="2EBAF1F9">
      <w:pPr>
        <w:pStyle w:val="21"/>
        <w:rPr>
          <w:rFonts w:eastAsia="宋体"/>
          <w:b w:val="0"/>
        </w:rPr>
      </w:pPr>
      <w:r>
        <w:rPr>
          <w:b w:val="0"/>
          <w:position w:val="-12"/>
          <w:lang w:bidi="ar"/>
          <w14:ligatures w14:val="none"/>
        </w:rPr>
        <w:object>
          <v:shape id="_x0000_i1074" o:spt="75" type="#_x0000_t75" style="height:19.35pt;width:333pt;" o:ole="t" filled="f" o:preferrelative="t" stroked="f" coordsize="21600,21600">
            <v:path/>
            <v:fill on="f" focussize="0,0"/>
            <v:stroke on="f" joinstyle="miter"/>
            <v:imagedata r:id="rId155" o:title=""/>
            <o:lock v:ext="edit" aspectratio="t"/>
            <w10:wrap type="none"/>
            <w10:anchorlock/>
          </v:shape>
          <o:OLEObject Type="Embed" ProgID="Equation.DSMT4" ShapeID="_x0000_i1074" DrawAspect="Content" ObjectID="_1468075774" r:id="rId154">
            <o:LockedField>false</o:LockedField>
          </o:OLEObject>
        </w:object>
      </w:r>
      <w:r>
        <w:rPr>
          <w:b w:val="0"/>
        </w:rPr>
        <w:t xml:space="preserve"> </w:t>
      </w:r>
      <w:r>
        <w:rPr>
          <w:b w:val="0"/>
        </w:rPr>
        <w:tab/>
      </w:r>
      <w:r>
        <w:rPr>
          <w:b w:val="0"/>
        </w:rPr>
        <w:t xml:space="preserve"> (</w:t>
      </w:r>
      <w:r>
        <w:rPr>
          <w:rFonts w:hint="eastAsia" w:eastAsia="宋体"/>
          <w:b w:val="0"/>
        </w:rPr>
        <w:t>S</w:t>
      </w:r>
      <w:r>
        <w:rPr>
          <w:b w:val="0"/>
        </w:rPr>
        <w:t>14.</w:t>
      </w:r>
      <w:r>
        <w:rPr>
          <w:rFonts w:hint="eastAsia" w:eastAsia="宋体"/>
          <w:b w:val="0"/>
        </w:rPr>
        <w:t>21</w:t>
      </w:r>
      <w:r>
        <w:rPr>
          <w:b w:val="0"/>
        </w:rPr>
        <w:t>)</w:t>
      </w:r>
    </w:p>
    <w:p w14:paraId="106F1A79">
      <w:pPr>
        <w:pStyle w:val="21"/>
        <w:ind w:firstLine="482"/>
        <w:jc w:val="center"/>
        <w:rPr>
          <w:kern w:val="2"/>
          <w:szCs w:val="21"/>
        </w:rPr>
      </w:pPr>
      <w:r>
        <w:rPr>
          <w:kern w:val="0"/>
          <w:szCs w:val="24"/>
          <w:lang w:bidi="ar"/>
        </w:rPr>
        <w:drawing>
          <wp:inline distT="0" distB="0" distL="114300" distR="114300">
            <wp:extent cx="3599815" cy="2297430"/>
            <wp:effectExtent l="0" t="0" r="6985" b="1270"/>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156"/>
                    <a:stretch>
                      <a:fillRect/>
                    </a:stretch>
                  </pic:blipFill>
                  <pic:spPr>
                    <a:xfrm>
                      <a:off x="0" y="0"/>
                      <a:ext cx="3599815" cy="2297430"/>
                    </a:xfrm>
                    <a:prstGeom prst="rect">
                      <a:avLst/>
                    </a:prstGeom>
                    <a:noFill/>
                    <a:ln>
                      <a:noFill/>
                    </a:ln>
                  </pic:spPr>
                </pic:pic>
              </a:graphicData>
            </a:graphic>
          </wp:inline>
        </w:drawing>
      </w:r>
    </w:p>
    <w:p w14:paraId="5265C026">
      <w:pPr>
        <w:pStyle w:val="52"/>
      </w:pPr>
      <w:r>
        <w:t>Fig.</w:t>
      </w:r>
      <w:r>
        <w:rPr>
          <w:rFonts w:hint="eastAsia"/>
          <w:lang w:val="en-US" w:eastAsia="zh-CN"/>
        </w:rPr>
        <w:t>S</w:t>
      </w:r>
      <w:r>
        <w:t>14.3. Dynamic model of a five-point large passenger aircraft</w:t>
      </w:r>
    </w:p>
    <w:p w14:paraId="7F5B2B85">
      <w:pPr>
        <w:pStyle w:val="4"/>
        <w:ind w:firstLine="482"/>
        <w:rPr>
          <w:szCs w:val="24"/>
        </w:rPr>
      </w:pPr>
      <w:r>
        <w:t>14.1.2 Runway Submodel</w:t>
      </w:r>
    </w:p>
    <w:p w14:paraId="0AEB2EDD">
      <w:pPr>
        <w:pStyle w:val="48"/>
        <w:ind w:firstLine="420"/>
        <w:rPr>
          <w:szCs w:val="24"/>
        </w:rPr>
      </w:pPr>
      <w:r>
        <w:rPr>
          <w:szCs w:val="24"/>
        </w:rPr>
        <w:t>A three-dimensional finite element (FE) model of the runway structure was established to represent the pavement system, including the surface layer, base layer, and subgrade. Eight-node hexahedral solid elements were employed for structural discretization.</w:t>
      </w:r>
    </w:p>
    <w:p w14:paraId="7522F084">
      <w:pPr>
        <w:pStyle w:val="48"/>
        <w:ind w:firstLine="420"/>
        <w:rPr>
          <w:szCs w:val="24"/>
        </w:rPr>
      </w:pPr>
      <w:r>
        <w:rPr>
          <w:szCs w:val="24"/>
        </w:rPr>
        <w:t>Based on the direct stiffness method, the dynamic equilibrium equation of the runway subsystem can be expressed as:</w:t>
      </w:r>
    </w:p>
    <w:p w14:paraId="39CABCB3">
      <w:pPr>
        <w:pStyle w:val="21"/>
        <w:ind w:firstLine="482"/>
        <w:rPr>
          <w:rFonts w:eastAsia="宋体"/>
          <w:b w:val="0"/>
        </w:rPr>
      </w:pPr>
      <w:r>
        <w:rPr>
          <w:kern w:val="2"/>
          <w:position w:val="-12"/>
          <w:szCs w:val="24"/>
          <w:lang w:bidi="ar"/>
        </w:rPr>
        <w:tab/>
      </w:r>
      <w:r>
        <w:rPr>
          <w:kern w:val="2"/>
          <w:position w:val="-12"/>
          <w:szCs w:val="24"/>
          <w:lang w:bidi="ar"/>
          <w14:ligatures w14:val="none"/>
        </w:rPr>
        <w:object>
          <v:shape id="_x0000_i1075" o:spt="75" type="#_x0000_t75" style="height:19.35pt;width:124.65pt;" o:ole="t" filled="f" o:preferrelative="t" stroked="f" coordsize="21600,21600">
            <v:path/>
            <v:fill on="f" focussize="0,0"/>
            <v:stroke on="f" joinstyle="miter"/>
            <v:imagedata r:id="rId158" o:title=""/>
            <o:lock v:ext="edit" aspectratio="t"/>
            <w10:wrap type="none"/>
            <w10:anchorlock/>
          </v:shape>
          <o:OLEObject Type="Embed" ProgID="Equation.DSMT4" ShapeID="_x0000_i1075" DrawAspect="Content" ObjectID="_1468075775" r:id="rId157">
            <o:LockedField>false</o:LockedField>
          </o:OLEObject>
        </w:object>
      </w:r>
      <w:r>
        <w:rPr>
          <w:kern w:val="2"/>
          <w:szCs w:val="24"/>
          <w:lang w:bidi="ar"/>
        </w:rPr>
        <w:tab/>
      </w:r>
      <w:r>
        <w:rPr>
          <w:b w:val="0"/>
        </w:rPr>
        <w:t>(</w:t>
      </w:r>
      <w:r>
        <w:rPr>
          <w:rFonts w:hint="eastAsia" w:eastAsia="宋体"/>
          <w:b w:val="0"/>
        </w:rPr>
        <w:t>S</w:t>
      </w:r>
      <w:r>
        <w:rPr>
          <w:b w:val="0"/>
        </w:rPr>
        <w:t>14.</w:t>
      </w:r>
      <w:r>
        <w:rPr>
          <w:rFonts w:hint="eastAsia" w:eastAsia="宋体"/>
          <w:b w:val="0"/>
        </w:rPr>
        <w:t>22</w:t>
      </w:r>
      <w:r>
        <w:rPr>
          <w:b w:val="0"/>
        </w:rPr>
        <w:t>)</w:t>
      </w:r>
    </w:p>
    <w:p w14:paraId="62A0B136">
      <w:pPr>
        <w:pStyle w:val="48"/>
        <w:ind w:firstLine="0" w:firstLineChars="0"/>
        <w:rPr>
          <w:szCs w:val="24"/>
          <w:lang w:bidi="ar"/>
        </w:rPr>
      </w:pPr>
      <w:r>
        <w:rPr>
          <w:rFonts w:hint="eastAsia"/>
          <w:szCs w:val="24"/>
          <w:lang w:bidi="ar"/>
        </w:rPr>
        <w:t>w</w:t>
      </w:r>
      <w:r>
        <w:rPr>
          <w:szCs w:val="24"/>
          <w:lang w:bidi="ar"/>
        </w:rPr>
        <w:t>here</w:t>
      </w:r>
      <w:r>
        <w:rPr>
          <w:rFonts w:hint="eastAsia"/>
          <w:szCs w:val="24"/>
          <w:lang w:bidi="ar"/>
        </w:rPr>
        <w:t xml:space="preserve"> </w:t>
      </w:r>
      <w:r>
        <w:rPr>
          <w:b/>
          <w:szCs w:val="24"/>
          <w:lang w:bidi="ar"/>
        </w:rPr>
        <w:t>M</w:t>
      </w:r>
      <w:r>
        <w:rPr>
          <w:b/>
          <w:szCs w:val="24"/>
          <w:vertAlign w:val="subscript"/>
          <w:lang w:bidi="ar"/>
        </w:rPr>
        <w:t>r</w:t>
      </w:r>
      <w:r>
        <w:rPr>
          <w:rFonts w:hint="eastAsia"/>
          <w:b/>
          <w:szCs w:val="24"/>
          <w:lang w:bidi="ar"/>
        </w:rPr>
        <w:t>、C</w:t>
      </w:r>
      <w:r>
        <w:rPr>
          <w:b/>
          <w:szCs w:val="24"/>
          <w:vertAlign w:val="subscript"/>
          <w:lang w:bidi="ar"/>
        </w:rPr>
        <w:t>r</w:t>
      </w:r>
      <w:r>
        <w:rPr>
          <w:rFonts w:hint="eastAsia"/>
          <w:b/>
          <w:szCs w:val="24"/>
          <w:lang w:bidi="ar"/>
        </w:rPr>
        <w:t>、K</w:t>
      </w:r>
      <w:r>
        <w:rPr>
          <w:b/>
          <w:szCs w:val="24"/>
          <w:vertAlign w:val="subscript"/>
          <w:lang w:bidi="ar"/>
        </w:rPr>
        <w:t>r</w:t>
      </w:r>
      <w:r>
        <w:rPr>
          <w:rFonts w:hint="eastAsia"/>
          <w:szCs w:val="24"/>
          <w:lang w:bidi="ar"/>
        </w:rPr>
        <w:t xml:space="preserve"> </w:t>
      </w:r>
      <w:r>
        <w:rPr>
          <w:szCs w:val="24"/>
          <w:lang w:bidi="ar"/>
        </w:rPr>
        <w:t>denote the global mass, damping, and stiffness matrices of the runway system, respectively;</w:t>
      </w:r>
      <w:r>
        <w:rPr>
          <w:rFonts w:hint="eastAsia"/>
          <w:szCs w:val="24"/>
          <w:lang w:bidi="ar"/>
        </w:rPr>
        <w:t>；</w:t>
      </w:r>
      <w:r>
        <w:rPr>
          <w:b/>
          <w:szCs w:val="24"/>
          <w:lang w:bidi="ar"/>
        </w:rPr>
        <w:t>X</w:t>
      </w:r>
      <w:r>
        <w:rPr>
          <w:b/>
          <w:szCs w:val="24"/>
          <w:vertAlign w:val="subscript"/>
          <w:lang w:bidi="ar"/>
        </w:rPr>
        <w:t>r</w:t>
      </w:r>
      <w:r>
        <w:rPr>
          <w:rFonts w:hint="eastAsia"/>
          <w:b/>
          <w:szCs w:val="24"/>
          <w:lang w:bidi="ar"/>
        </w:rPr>
        <w:t>、Ẋ</w:t>
      </w:r>
      <w:r>
        <w:rPr>
          <w:b/>
          <w:szCs w:val="24"/>
          <w:vertAlign w:val="subscript"/>
          <w:lang w:bidi="ar"/>
        </w:rPr>
        <w:t>r</w:t>
      </w:r>
      <w:r>
        <w:rPr>
          <w:rFonts w:hint="eastAsia"/>
          <w:b/>
          <w:szCs w:val="24"/>
          <w:lang w:bidi="ar"/>
        </w:rPr>
        <w:t>、Ẍ</w:t>
      </w:r>
      <w:r>
        <w:rPr>
          <w:b/>
          <w:szCs w:val="24"/>
          <w:vertAlign w:val="subscript"/>
          <w:lang w:bidi="ar"/>
        </w:rPr>
        <w:t>r</w:t>
      </w:r>
      <w:r>
        <w:rPr>
          <w:rFonts w:hint="eastAsia"/>
          <w:b/>
          <w:szCs w:val="24"/>
          <w:vertAlign w:val="subscript"/>
          <w:lang w:bidi="ar"/>
        </w:rPr>
        <w:t xml:space="preserve"> </w:t>
      </w:r>
      <w:r>
        <w:rPr>
          <w:szCs w:val="24"/>
          <w:lang w:bidi="ar"/>
        </w:rPr>
        <w:t>represent the displacement, velocity, and acceleration vectors;</w:t>
      </w:r>
      <w:r>
        <w:rPr>
          <w:b/>
          <w:szCs w:val="24"/>
          <w:lang w:bidi="ar"/>
        </w:rPr>
        <w:t xml:space="preserve"> F</w:t>
      </w:r>
      <w:r>
        <w:rPr>
          <w:szCs w:val="24"/>
          <w:vertAlign w:val="subscript"/>
          <w:lang w:bidi="ar"/>
        </w:rPr>
        <w:t>r</w:t>
      </w:r>
      <w:r>
        <w:rPr>
          <w:szCs w:val="24"/>
          <w:lang w:bidi="ar"/>
        </w:rPr>
        <w:t xml:space="preserve"> is the external load vector acting on the runway.</w:t>
      </w:r>
      <w:r>
        <w:rPr>
          <w:rFonts w:hint="eastAsia"/>
          <w:szCs w:val="24"/>
          <w:lang w:bidi="ar"/>
        </w:rPr>
        <w:t>。</w:t>
      </w:r>
    </w:p>
    <w:p w14:paraId="5D9E7492">
      <w:pPr>
        <w:pStyle w:val="48"/>
        <w:ind w:firstLine="420"/>
        <w:rPr>
          <w:szCs w:val="24"/>
        </w:rPr>
      </w:pPr>
      <w:r>
        <w:rPr>
          <w:szCs w:val="24"/>
        </w:rPr>
        <w:t>Using the principle of virtual work, and combining the geometric equations, constitutive relationships, and equilibrium equations, the element stiffness matrix (Eq.</w:t>
      </w:r>
      <w:r>
        <w:rPr>
          <w:rFonts w:hint="eastAsia"/>
          <w:szCs w:val="24"/>
        </w:rPr>
        <w:t>(S</w:t>
      </w:r>
      <w:r>
        <w:rPr>
          <w:szCs w:val="24"/>
        </w:rPr>
        <w:t>14.23)</w:t>
      </w:r>
      <w:r>
        <w:rPr>
          <w:rFonts w:hint="eastAsia"/>
          <w:szCs w:val="24"/>
        </w:rPr>
        <w:t>)</w:t>
      </w:r>
      <w:r>
        <w:rPr>
          <w:szCs w:val="24"/>
        </w:rPr>
        <w:t>, mass matrix (Eq.</w:t>
      </w:r>
      <w:r>
        <w:rPr>
          <w:rFonts w:hint="eastAsia"/>
          <w:szCs w:val="24"/>
        </w:rPr>
        <w:t>(S</w:t>
      </w:r>
      <w:r>
        <w:rPr>
          <w:szCs w:val="24"/>
        </w:rPr>
        <w:t>14.24)</w:t>
      </w:r>
      <w:r>
        <w:rPr>
          <w:rFonts w:hint="eastAsia"/>
          <w:szCs w:val="24"/>
        </w:rPr>
        <w:t>)</w:t>
      </w:r>
      <w:r>
        <w:rPr>
          <w:szCs w:val="24"/>
        </w:rPr>
        <w:t>, and nodal load vector (Eq.</w:t>
      </w:r>
      <w:r>
        <w:rPr>
          <w:rFonts w:hint="eastAsia"/>
          <w:szCs w:val="24"/>
        </w:rPr>
        <w:t>(S</w:t>
      </w:r>
      <w:r>
        <w:rPr>
          <w:szCs w:val="24"/>
        </w:rPr>
        <w:t>14.25)</w:t>
      </w:r>
      <w:r>
        <w:rPr>
          <w:rFonts w:hint="eastAsia"/>
          <w:szCs w:val="24"/>
        </w:rPr>
        <w:t>)</w:t>
      </w:r>
      <w:r>
        <w:rPr>
          <w:szCs w:val="24"/>
        </w:rPr>
        <w:t xml:space="preserve"> are derived. For the damping matrix, the Rayleigh damping model—commonly adopted in airport pavement engineering—was employed (Eq.</w:t>
      </w:r>
      <w:r>
        <w:rPr>
          <w:rFonts w:hint="eastAsia"/>
          <w:szCs w:val="24"/>
        </w:rPr>
        <w:t>(S</w:t>
      </w:r>
      <w:r>
        <w:rPr>
          <w:szCs w:val="24"/>
        </w:rPr>
        <w:t>14.26</w:t>
      </w:r>
      <w:r>
        <w:rPr>
          <w:rFonts w:hint="eastAsia"/>
          <w:szCs w:val="24"/>
        </w:rPr>
        <w:t>)</w:t>
      </w:r>
      <w:r>
        <w:rPr>
          <w:szCs w:val="24"/>
        </w:rPr>
        <w:t xml:space="preserve">) to characterize energy dissipation within the pavement and subgrade layers. </w:t>
      </w:r>
    </w:p>
    <w:p w14:paraId="2E89BE2F">
      <w:pPr>
        <w:pStyle w:val="48"/>
        <w:ind w:firstLine="420"/>
        <w:rPr>
          <w:szCs w:val="24"/>
        </w:rPr>
      </w:pPr>
      <w:r>
        <w:rPr>
          <w:szCs w:val="24"/>
        </w:rPr>
        <w:t xml:space="preserve">Through standard finite element assembly procedures, the global stiffness matrix </w:t>
      </w:r>
      <w:r>
        <w:rPr>
          <w:b/>
          <w:szCs w:val="24"/>
          <w:lang w:bidi="ar"/>
        </w:rPr>
        <w:t>K</w:t>
      </w:r>
      <w:r>
        <w:rPr>
          <w:szCs w:val="24"/>
          <w:vertAlign w:val="subscript"/>
          <w:lang w:bidi="ar"/>
        </w:rPr>
        <w:t>r</w:t>
      </w:r>
      <w:r>
        <w:rPr>
          <w:szCs w:val="24"/>
        </w:rPr>
        <w:t xml:space="preserve">, mass matrix </w:t>
      </w:r>
      <w:r>
        <w:rPr>
          <w:b/>
          <w:szCs w:val="24"/>
          <w:lang w:bidi="ar"/>
        </w:rPr>
        <w:t>M</w:t>
      </w:r>
      <w:r>
        <w:rPr>
          <w:szCs w:val="24"/>
          <w:vertAlign w:val="subscript"/>
          <w:lang w:bidi="ar"/>
        </w:rPr>
        <w:t>r</w:t>
      </w:r>
      <w:r>
        <w:rPr>
          <w:szCs w:val="24"/>
        </w:rPr>
        <w:t xml:space="preserve">, damping matrix </w:t>
      </w:r>
      <w:r>
        <w:rPr>
          <w:b/>
          <w:szCs w:val="24"/>
          <w:lang w:bidi="ar"/>
        </w:rPr>
        <w:t>C</w:t>
      </w:r>
      <w:r>
        <w:rPr>
          <w:szCs w:val="24"/>
          <w:vertAlign w:val="subscript"/>
          <w:lang w:bidi="ar"/>
        </w:rPr>
        <w:t>r</w:t>
      </w:r>
      <w:r>
        <w:rPr>
          <w:szCs w:val="24"/>
        </w:rPr>
        <w:t xml:space="preserve">, and external load vector </w:t>
      </w:r>
      <w:r>
        <w:rPr>
          <w:b/>
          <w:szCs w:val="24"/>
          <w:lang w:bidi="ar"/>
        </w:rPr>
        <w:t>F</w:t>
      </w:r>
      <w:r>
        <w:rPr>
          <w:szCs w:val="24"/>
          <w:vertAlign w:val="subscript"/>
          <w:lang w:bidi="ar"/>
        </w:rPr>
        <w:t>r</w:t>
      </w:r>
      <w:r>
        <w:rPr>
          <w:rFonts w:hint="eastAsia"/>
          <w:szCs w:val="24"/>
        </w:rPr>
        <w:t xml:space="preserve"> </w:t>
      </w:r>
      <w:r>
        <w:rPr>
          <w:szCs w:val="24"/>
        </w:rPr>
        <w:t>of the runway subsystem are obtained. Boundary conditions were defined as follows:</w:t>
      </w:r>
    </w:p>
    <w:p w14:paraId="79ACD7E7">
      <w:pPr>
        <w:pStyle w:val="48"/>
        <w:ind w:firstLine="420"/>
        <w:rPr>
          <w:szCs w:val="24"/>
        </w:rPr>
      </w:pPr>
      <w:r>
        <w:rPr>
          <w:szCs w:val="24"/>
        </w:rPr>
        <w:t>The bottom surface is fully constrained in the x-, y-, and z-directions.</w:t>
      </w:r>
    </w:p>
    <w:p w14:paraId="4DB13199">
      <w:pPr>
        <w:pStyle w:val="48"/>
        <w:ind w:firstLine="420"/>
        <w:rPr>
          <w:szCs w:val="24"/>
        </w:rPr>
      </w:pPr>
      <w:r>
        <w:rPr>
          <w:szCs w:val="24"/>
        </w:rPr>
        <w:t>The front, rear, left, and right faces are constrained only in the normal direction.</w:t>
      </w:r>
    </w:p>
    <w:p w14:paraId="07163825">
      <w:pPr>
        <w:pStyle w:val="21"/>
        <w:ind w:firstLine="482"/>
        <w:rPr>
          <w:rFonts w:eastAsia="宋体"/>
          <w:b w:val="0"/>
          <w:kern w:val="2"/>
          <w:szCs w:val="24"/>
        </w:rPr>
      </w:pPr>
      <w:r>
        <w:rPr>
          <w:kern w:val="2"/>
          <w:szCs w:val="24"/>
          <w:lang w:bidi="ar"/>
        </w:rPr>
        <w:tab/>
      </w:r>
      <w:r>
        <w:rPr>
          <w:kern w:val="2"/>
          <w:szCs w:val="24"/>
          <w:lang w:bidi="ar"/>
          <w14:ligatures w14:val="none"/>
        </w:rPr>
        <w:object>
          <v:shape id="_x0000_i1076" o:spt="75" type="#_x0000_t75" style="height:25.35pt;width:112.35pt;" o:ole="t" filled="f" o:preferrelative="t" stroked="f" coordsize="21600,21600">
            <v:path/>
            <v:fill on="f" focussize="0,0"/>
            <v:stroke on="f" joinstyle="miter"/>
            <v:imagedata r:id="rId160" o:title=""/>
            <o:lock v:ext="edit" aspectratio="t"/>
            <w10:wrap type="none"/>
            <w10:anchorlock/>
          </v:shape>
          <o:OLEObject Type="Embed" ProgID="Equation.DSMT4" ShapeID="_x0000_i1076" DrawAspect="Content" ObjectID="_1468075776" r:id="rId159">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w:t>
      </w:r>
      <w:r>
        <w:rPr>
          <w:b w:val="0"/>
          <w:kern w:val="2"/>
          <w:szCs w:val="24"/>
          <w:lang w:bidi="ar"/>
        </w:rPr>
        <w:t>14.</w:t>
      </w:r>
      <w:r>
        <w:rPr>
          <w:rFonts w:hint="eastAsia" w:eastAsia="宋体"/>
          <w:b w:val="0"/>
          <w:kern w:val="2"/>
          <w:szCs w:val="24"/>
          <w:lang w:bidi="ar"/>
        </w:rPr>
        <w:t>23</w:t>
      </w:r>
      <w:r>
        <w:rPr>
          <w:b w:val="0"/>
          <w:kern w:val="2"/>
          <w:szCs w:val="24"/>
          <w:lang w:bidi="ar"/>
        </w:rPr>
        <w:t>)</w:t>
      </w:r>
    </w:p>
    <w:p w14:paraId="30115797">
      <w:pPr>
        <w:pStyle w:val="21"/>
        <w:ind w:firstLine="482"/>
        <w:rPr>
          <w:rFonts w:eastAsia="宋体"/>
          <w:b w:val="0"/>
          <w:kern w:val="2"/>
          <w:szCs w:val="24"/>
        </w:rPr>
      </w:pPr>
      <w:r>
        <w:rPr>
          <w:kern w:val="2"/>
          <w:szCs w:val="24"/>
          <w:lang w:bidi="ar"/>
        </w:rPr>
        <w:tab/>
      </w:r>
      <w:r>
        <w:rPr>
          <w:kern w:val="2"/>
          <w:szCs w:val="24"/>
          <w:lang w:bidi="ar"/>
          <w14:ligatures w14:val="none"/>
        </w:rPr>
        <w:object>
          <v:shape id="_x0000_i1077" o:spt="75" type="#_x0000_t75" style="height:25.35pt;width:91.35pt;" o:ole="t" filled="f" o:preferrelative="t" stroked="f" coordsize="21600,21600">
            <v:path/>
            <v:fill on="f" focussize="0,0"/>
            <v:stroke on="f" joinstyle="miter"/>
            <v:imagedata r:id="rId162" o:title=""/>
            <o:lock v:ext="edit" aspectratio="t"/>
            <w10:wrap type="none"/>
            <w10:anchorlock/>
          </v:shape>
          <o:OLEObject Type="Embed" ProgID="Equation.DSMT4" ShapeID="_x0000_i1077" DrawAspect="Content" ObjectID="_1468075777" r:id="rId161">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w:t>
      </w:r>
      <w:r>
        <w:rPr>
          <w:b w:val="0"/>
          <w:kern w:val="2"/>
          <w:szCs w:val="24"/>
          <w:lang w:bidi="ar"/>
        </w:rPr>
        <w:t>14.</w:t>
      </w:r>
      <w:r>
        <w:rPr>
          <w:rFonts w:hint="eastAsia" w:eastAsia="宋体"/>
          <w:b w:val="0"/>
          <w:kern w:val="2"/>
          <w:szCs w:val="24"/>
          <w:lang w:bidi="ar"/>
        </w:rPr>
        <w:t>24</w:t>
      </w:r>
      <w:r>
        <w:rPr>
          <w:b w:val="0"/>
          <w:kern w:val="2"/>
          <w:szCs w:val="24"/>
          <w:lang w:bidi="ar"/>
        </w:rPr>
        <w:t>)</w:t>
      </w:r>
    </w:p>
    <w:p w14:paraId="66E1CAE4">
      <w:pPr>
        <w:pStyle w:val="21"/>
        <w:ind w:firstLine="482"/>
        <w:rPr>
          <w:rFonts w:eastAsia="宋体"/>
        </w:rPr>
      </w:pPr>
      <w:r>
        <w:rPr>
          <w:kern w:val="2"/>
          <w:szCs w:val="24"/>
          <w:lang w:bidi="ar"/>
        </w:rPr>
        <w:tab/>
      </w:r>
      <w:r>
        <w:rPr>
          <w:kern w:val="2"/>
          <w:szCs w:val="24"/>
          <w:lang w:bidi="ar"/>
          <w14:ligatures w14:val="none"/>
        </w:rPr>
        <w:object>
          <v:shape id="_x0000_i1078" o:spt="75" type="#_x0000_t75" style="height:25.35pt;width:76.35pt;" o:ole="t" filled="f" o:preferrelative="t" stroked="f" coordsize="21600,21600">
            <v:path/>
            <v:fill on="f" focussize="0,0"/>
            <v:stroke on="f" joinstyle="miter"/>
            <v:imagedata r:id="rId164" o:title=""/>
            <o:lock v:ext="edit" aspectratio="t"/>
            <w10:wrap type="none"/>
            <w10:anchorlock/>
          </v:shape>
          <o:OLEObject Type="Embed" ProgID="Equation.DSMT4" ShapeID="_x0000_i1078" DrawAspect="Content" ObjectID="_1468075778" r:id="rId163">
            <o:LockedField>false</o:LockedField>
          </o:OLEObject>
        </w:object>
      </w:r>
      <w:r>
        <w:rPr>
          <w:kern w:val="2"/>
          <w:szCs w:val="24"/>
          <w:lang w:bidi="ar"/>
        </w:rPr>
        <w:tab/>
      </w:r>
      <w:r>
        <w:rPr>
          <w:b w:val="0"/>
        </w:rPr>
        <w:t>(</w:t>
      </w:r>
      <w:r>
        <w:rPr>
          <w:rFonts w:hint="eastAsia" w:eastAsia="宋体"/>
          <w:b w:val="0"/>
        </w:rPr>
        <w:t>S</w:t>
      </w:r>
      <w:r>
        <w:rPr>
          <w:b w:val="0"/>
        </w:rPr>
        <w:t>14.2</w:t>
      </w:r>
      <w:r>
        <w:rPr>
          <w:rFonts w:hint="eastAsia" w:eastAsia="宋体"/>
          <w:b w:val="0"/>
        </w:rPr>
        <w:t>5</w:t>
      </w:r>
      <w:r>
        <w:rPr>
          <w:b w:val="0"/>
        </w:rPr>
        <w:t>)</w:t>
      </w:r>
    </w:p>
    <w:p w14:paraId="0ACDBC3D">
      <w:pPr>
        <w:pStyle w:val="21"/>
        <w:ind w:firstLine="482"/>
        <w:rPr>
          <w:rFonts w:eastAsia="宋体"/>
          <w:b w:val="0"/>
          <w:kern w:val="2"/>
          <w:szCs w:val="24"/>
        </w:rPr>
      </w:pPr>
      <w:r>
        <w:rPr>
          <w:kern w:val="2"/>
          <w:szCs w:val="24"/>
          <w:lang w:bidi="ar"/>
        </w:rPr>
        <w:tab/>
      </w:r>
      <w:r>
        <w:rPr>
          <w:kern w:val="2"/>
          <w:szCs w:val="24"/>
          <w:lang w:bidi="ar"/>
          <w14:ligatures w14:val="none"/>
        </w:rPr>
        <w:object>
          <v:shape id="_x0000_i1079" o:spt="75" type="#_x0000_t75" style="height:19.35pt;width:85.65pt;" o:ole="t" filled="f" o:preferrelative="t" stroked="f" coordsize="21600,21600">
            <v:path/>
            <v:fill on="f" focussize="0,0"/>
            <v:stroke on="f" joinstyle="miter"/>
            <v:imagedata r:id="rId166" o:title=""/>
            <o:lock v:ext="edit" aspectratio="t"/>
            <w10:wrap type="none"/>
            <w10:anchorlock/>
          </v:shape>
          <o:OLEObject Type="Embed" ProgID="Equation.DSMT4" ShapeID="_x0000_i1079" DrawAspect="Content" ObjectID="_1468075779" r:id="rId165">
            <o:LockedField>false</o:LockedField>
          </o:OLEObject>
        </w:object>
      </w:r>
      <w:r>
        <w:rPr>
          <w:kern w:val="2"/>
          <w:szCs w:val="24"/>
          <w:lang w:bidi="ar"/>
        </w:rPr>
        <w:tab/>
      </w:r>
      <w:r>
        <w:rPr>
          <w:b w:val="0"/>
        </w:rPr>
        <w:t>(</w:t>
      </w:r>
      <w:r>
        <w:rPr>
          <w:rFonts w:hint="eastAsia" w:eastAsia="宋体"/>
          <w:b w:val="0"/>
        </w:rPr>
        <w:t>S</w:t>
      </w:r>
      <w:r>
        <w:rPr>
          <w:b w:val="0"/>
          <w:kern w:val="2"/>
          <w:szCs w:val="24"/>
          <w:lang w:bidi="ar"/>
        </w:rPr>
        <w:t>14.2</w:t>
      </w:r>
      <w:r>
        <w:rPr>
          <w:rFonts w:hint="eastAsia" w:eastAsia="宋体"/>
          <w:b w:val="0"/>
          <w:kern w:val="2"/>
          <w:szCs w:val="24"/>
          <w:lang w:bidi="ar"/>
        </w:rPr>
        <w:t>6</w:t>
      </w:r>
      <w:r>
        <w:rPr>
          <w:b w:val="0"/>
          <w:kern w:val="2"/>
          <w:szCs w:val="24"/>
          <w:lang w:bidi="ar"/>
        </w:rPr>
        <w:t>)</w:t>
      </w:r>
    </w:p>
    <w:p w14:paraId="5A462CBF">
      <w:pPr>
        <w:pStyle w:val="48"/>
        <w:ind w:firstLine="0" w:firstLineChars="0"/>
        <w:rPr>
          <w:szCs w:val="24"/>
        </w:rPr>
      </w:pPr>
      <w:r>
        <w:rPr>
          <w:rFonts w:hint="eastAsia"/>
          <w:szCs w:val="24"/>
        </w:rPr>
        <w:t>w</w:t>
      </w:r>
      <w:r>
        <w:rPr>
          <w:szCs w:val="24"/>
        </w:rPr>
        <w:t xml:space="preserve">here N is the element shape function matrix; </w:t>
      </w:r>
      <w:r>
        <w:rPr>
          <w:rFonts w:ascii="Cambria Math" w:hAnsi="Cambria Math" w:cs="Cambria Math"/>
          <w:szCs w:val="24"/>
        </w:rPr>
        <w:t xml:space="preserve">𝜌 </w:t>
      </w:r>
      <w:r>
        <w:rPr>
          <w:szCs w:val="24"/>
        </w:rPr>
        <w:t xml:space="preserve">is the material density of the pavement; </w:t>
      </w:r>
      <w:r>
        <w:rPr>
          <w:rFonts w:ascii="Cambria Math" w:hAnsi="Cambria Math" w:cs="Cambria Math"/>
          <w:szCs w:val="24"/>
        </w:rPr>
        <w:t xml:space="preserve">𝛼 </w:t>
      </w:r>
      <w:r>
        <w:rPr>
          <w:szCs w:val="24"/>
        </w:rPr>
        <w:t xml:space="preserve">and </w:t>
      </w:r>
      <w:r>
        <w:rPr>
          <w:rFonts w:ascii="Cambria Math" w:hAnsi="Cambria Math" w:cs="Cambria Math"/>
          <w:szCs w:val="24"/>
        </w:rPr>
        <w:t>𝛽</w:t>
      </w:r>
      <w:r>
        <w:rPr>
          <w:szCs w:val="24"/>
        </w:rPr>
        <w:t xml:space="preserve"> are Rayleigh damping coefficients associated with the structural natural frequencies and damping ratios; and matrices </w:t>
      </w:r>
      <w:r>
        <w:rPr>
          <w:rFonts w:ascii="Cambria Math" w:hAnsi="Cambria Math" w:cs="Cambria Math"/>
          <w:szCs w:val="24"/>
        </w:rPr>
        <w:t xml:space="preserve">𝐵 </w:t>
      </w:r>
      <w:r>
        <w:rPr>
          <w:szCs w:val="24"/>
        </w:rPr>
        <w:t xml:space="preserve">and </w:t>
      </w:r>
      <w:r>
        <w:rPr>
          <w:rFonts w:ascii="Cambria Math" w:hAnsi="Cambria Math" w:cs="Cambria Math"/>
          <w:szCs w:val="24"/>
        </w:rPr>
        <w:t>𝐷</w:t>
      </w:r>
      <w:r>
        <w:rPr>
          <w:szCs w:val="24"/>
        </w:rPr>
        <w:t xml:space="preserve"> are derived from the geometric and constitutive equations, respectively:</w:t>
      </w:r>
    </w:p>
    <w:p w14:paraId="7FD4BFB1">
      <w:pPr>
        <w:pStyle w:val="21"/>
        <w:ind w:firstLine="482"/>
        <w:rPr>
          <w:szCs w:val="24"/>
        </w:rPr>
      </w:pPr>
      <w:r>
        <w:rPr>
          <w:rFonts w:hint="eastAsia" w:eastAsia="宋体"/>
          <w:szCs w:val="24"/>
        </w:rPr>
        <w:tab/>
      </w:r>
      <w:r>
        <w:rPr>
          <w:szCs w:val="24"/>
          <w14:ligatures w14:val="none"/>
        </w:rPr>
        <w:object>
          <v:shape id="_x0000_i1080" o:spt="75" type="#_x0000_t75" style="height:202.35pt;width:103.35pt;" o:ole="t" filled="f" o:preferrelative="t" stroked="f" coordsize="21600,21600">
            <v:path/>
            <v:fill on="f" focussize="0,0"/>
            <v:stroke on="f" joinstyle="miter"/>
            <v:imagedata r:id="rId168" o:title=""/>
            <o:lock v:ext="edit" aspectratio="t"/>
            <w10:wrap type="none"/>
            <w10:anchorlock/>
          </v:shape>
          <o:OLEObject Type="Embed" ProgID="Equation.DSMT4" ShapeID="_x0000_i1080" DrawAspect="Content" ObjectID="_1468075780" r:id="rId167">
            <o:LockedField>false</o:LockedField>
          </o:OLEObject>
        </w:object>
      </w:r>
      <w:r>
        <w:rPr>
          <w:szCs w:val="24"/>
        </w:rPr>
        <w:tab/>
      </w:r>
      <w:r>
        <w:rPr>
          <w:b w:val="0"/>
          <w:szCs w:val="24"/>
        </w:rPr>
        <w:t>(</w:t>
      </w:r>
      <w:r>
        <w:rPr>
          <w:rFonts w:hint="eastAsia" w:eastAsia="宋体"/>
          <w:b w:val="0"/>
          <w:szCs w:val="24"/>
        </w:rPr>
        <w:t>S</w:t>
      </w:r>
      <w:r>
        <w:rPr>
          <w:b w:val="0"/>
          <w:szCs w:val="24"/>
        </w:rPr>
        <w:t>14.27)</w:t>
      </w:r>
    </w:p>
    <w:p w14:paraId="28956C21">
      <w:pPr>
        <w:pStyle w:val="21"/>
        <w:ind w:firstLine="482"/>
        <w:rPr>
          <w:szCs w:val="24"/>
        </w:rPr>
      </w:pPr>
      <w:r>
        <w:rPr>
          <w:szCs w:val="24"/>
        </w:rPr>
        <w:tab/>
      </w:r>
      <w:r>
        <w:rPr>
          <w:szCs w:val="24"/>
          <w14:ligatures w14:val="none"/>
        </w:rPr>
        <w:object>
          <v:shape id="_x0000_i1081" o:spt="75" type="#_x0000_t75" style="height:151.35pt;width:303pt;" o:ole="t" filled="f" o:preferrelative="t" stroked="f" coordsize="21600,21600">
            <v:path/>
            <v:fill on="f" focussize="0,0"/>
            <v:stroke on="f" joinstyle="miter"/>
            <v:imagedata r:id="rId170" o:title=""/>
            <o:lock v:ext="edit" aspectratio="t"/>
            <w10:wrap type="none"/>
            <w10:anchorlock/>
          </v:shape>
          <o:OLEObject Type="Embed" ProgID="Equation.DSMT4" ShapeID="_x0000_i1081" DrawAspect="Content" ObjectID="_1468075781" r:id="rId169">
            <o:LockedField>false</o:LockedField>
          </o:OLEObject>
        </w:object>
      </w:r>
      <w:r>
        <w:rPr>
          <w:szCs w:val="24"/>
        </w:rPr>
        <w:tab/>
      </w:r>
      <w:r>
        <w:rPr>
          <w:b w:val="0"/>
          <w:szCs w:val="24"/>
        </w:rPr>
        <w:t>(</w:t>
      </w:r>
      <w:r>
        <w:rPr>
          <w:rFonts w:hint="eastAsia" w:eastAsia="宋体"/>
          <w:b w:val="0"/>
          <w:szCs w:val="24"/>
        </w:rPr>
        <w:t>S</w:t>
      </w:r>
      <w:r>
        <w:rPr>
          <w:b w:val="0"/>
          <w:szCs w:val="24"/>
        </w:rPr>
        <w:t>14.28)</w:t>
      </w:r>
    </w:p>
    <w:p w14:paraId="479DF897">
      <w:pPr>
        <w:pStyle w:val="13"/>
        <w:snapToGrid w:val="0"/>
        <w:spacing w:line="360" w:lineRule="auto"/>
        <w:ind w:firstLine="0" w:firstLineChars="0"/>
        <w:textAlignment w:val="center"/>
        <w:rPr>
          <w:sz w:val="24"/>
          <w:szCs w:val="24"/>
        </w:rPr>
      </w:pPr>
    </w:p>
    <w:p w14:paraId="2C15D186">
      <w:pPr>
        <w:pStyle w:val="4"/>
        <w:ind w:firstLine="482"/>
      </w:pPr>
      <w:r>
        <w:t>14.1.3 Aircraft–Runway Coupled System Model Based on Wheel–Pavement Interaction and Its Solution</w:t>
      </w:r>
    </w:p>
    <w:p w14:paraId="61284252">
      <w:pPr>
        <w:pStyle w:val="48"/>
        <w:ind w:firstLine="420"/>
        <w:rPr>
          <w:szCs w:val="24"/>
          <w:lang w:bidi="ar"/>
        </w:rPr>
      </w:pPr>
      <w:r>
        <w:rPr>
          <w:szCs w:val="24"/>
          <w:lang w:bidi="ar"/>
        </w:rPr>
        <w:t>Runway roughness induces significant variations in aircraft wheel displacement, which excite fuselage vibration. The resulting landing gear forces act on the pavement and generate pavement vibration, which, together with the original runway roughness, further excites the wheels. Therefore, the tire compression of each wheel is jointly governed by wheel displacement, runway roughness input, and pavement vibration displacement, forming the wheel–pavement displacement compatibility condition. The radial tire compression Δzₙ and its rate Δżₙ are defined in Eq.</w:t>
      </w:r>
      <w:r>
        <w:rPr>
          <w:rFonts w:hint="eastAsia"/>
          <w:szCs w:val="24"/>
          <w:lang w:bidi="ar"/>
        </w:rPr>
        <w:t>(S</w:t>
      </w:r>
      <w:r>
        <w:rPr>
          <w:szCs w:val="24"/>
          <w:lang w:bidi="ar"/>
        </w:rPr>
        <w:t>14.29)</w:t>
      </w:r>
      <w:r>
        <w:rPr>
          <w:rFonts w:hint="eastAsia"/>
          <w:szCs w:val="24"/>
          <w:lang w:bidi="ar"/>
        </w:rPr>
        <w:t>.</w:t>
      </w:r>
    </w:p>
    <w:p w14:paraId="14B2287E">
      <w:pPr>
        <w:pStyle w:val="21"/>
        <w:ind w:firstLine="482"/>
        <w:textAlignment w:val="baseline"/>
        <w:rPr>
          <w:rFonts w:eastAsia="宋体"/>
          <w:b w:val="0"/>
          <w:szCs w:val="24"/>
        </w:rPr>
      </w:pPr>
      <w:r>
        <w:rPr>
          <w:kern w:val="2"/>
          <w:szCs w:val="24"/>
          <w:lang w:bidi="ar"/>
        </w:rPr>
        <w:tab/>
      </w:r>
      <w:r>
        <w:rPr>
          <w:kern w:val="2"/>
          <w:position w:val="-32"/>
          <w:szCs w:val="24"/>
          <w:lang w:bidi="ar"/>
          <w14:ligatures w14:val="none"/>
        </w:rPr>
        <w:object>
          <v:shape id="_x0000_i1082" o:spt="75" type="#_x0000_t75" style="height:37.35pt;width:207pt;" o:ole="t" filled="f" o:preferrelative="t" stroked="f" coordsize="21600,21600">
            <v:path/>
            <v:fill on="f" focussize="0,0"/>
            <v:stroke on="f" joinstyle="miter"/>
            <v:imagedata r:id="rId172" o:title=""/>
            <o:lock v:ext="edit" aspectratio="t"/>
            <w10:wrap type="none"/>
            <w10:anchorlock/>
          </v:shape>
          <o:OLEObject Type="Embed" ProgID="Equation.DSMT4" ShapeID="_x0000_i1082" DrawAspect="Content" ObjectID="_1468075782" r:id="rId171">
            <o:LockedField>false</o:LockedField>
          </o:OLEObject>
        </w:object>
      </w:r>
      <w:r>
        <w:rPr>
          <w:kern w:val="2"/>
          <w:szCs w:val="24"/>
          <w:lang w:bidi="ar"/>
        </w:rPr>
        <w:tab/>
      </w:r>
      <w:r>
        <w:rPr>
          <w:b w:val="0"/>
          <w:szCs w:val="24"/>
        </w:rPr>
        <w:t>(</w:t>
      </w:r>
      <w:r>
        <w:rPr>
          <w:rFonts w:hint="eastAsia" w:eastAsia="宋体"/>
          <w:b w:val="0"/>
          <w:szCs w:val="24"/>
        </w:rPr>
        <w:t>S</w:t>
      </w:r>
      <w:r>
        <w:rPr>
          <w:b w:val="0"/>
          <w:szCs w:val="24"/>
        </w:rPr>
        <w:t>14.</w:t>
      </w:r>
      <w:r>
        <w:rPr>
          <w:rFonts w:hint="eastAsia" w:eastAsia="宋体"/>
          <w:b w:val="0"/>
          <w:szCs w:val="24"/>
        </w:rPr>
        <w:t>29</w:t>
      </w:r>
      <w:r>
        <w:rPr>
          <w:b w:val="0"/>
          <w:szCs w:val="24"/>
        </w:rPr>
        <w:t>)</w:t>
      </w:r>
    </w:p>
    <w:p w14:paraId="499EC840">
      <w:pPr>
        <w:pStyle w:val="48"/>
        <w:ind w:firstLine="0" w:firstLineChars="0"/>
        <w:rPr>
          <w:szCs w:val="24"/>
          <w:lang w:bidi="ar"/>
        </w:rPr>
      </w:pPr>
      <w:r>
        <w:rPr>
          <w:rFonts w:hint="eastAsia"/>
          <w:szCs w:val="24"/>
          <w:lang w:bidi="ar"/>
        </w:rPr>
        <w:t>w</w:t>
      </w:r>
      <w:r>
        <w:rPr>
          <w:szCs w:val="24"/>
          <w:lang w:bidi="ar"/>
        </w:rPr>
        <w:t>here: n denotes the wheel number (3 for three-point aircraft and 5 for five-point aircraft).</w:t>
      </w:r>
    </w:p>
    <w:p w14:paraId="1140CAE4">
      <w:pPr>
        <w:pStyle w:val="48"/>
        <w:ind w:firstLine="420"/>
        <w:rPr>
          <w:szCs w:val="24"/>
          <w:lang w:bidi="ar"/>
        </w:rPr>
      </w:pPr>
      <w:r>
        <w:rPr>
          <w:szCs w:val="24"/>
          <w:lang w:bidi="ar"/>
        </w:rPr>
        <w:t>The wheel–pavement interaction force acts upward on the aircraft and downward on the runway, constituting the only coupling mechanism between the two subsystems. To capture this interaction, a refined wheel model with continuously distributed radial spring–damper elements is adopted. The contact patch is assumed rectangular, and tire deformation is considered purely radial, neglecting circumferential shear (Fig.</w:t>
      </w:r>
      <w:r>
        <w:rPr>
          <w:rFonts w:hint="eastAsia"/>
          <w:szCs w:val="24"/>
          <w:lang w:bidi="ar"/>
        </w:rPr>
        <w:t>S</w:t>
      </w:r>
      <w:r>
        <w:rPr>
          <w:szCs w:val="24"/>
          <w:lang w:bidi="ar"/>
        </w:rPr>
        <w:t>14.4).</w:t>
      </w:r>
    </w:p>
    <w:p w14:paraId="6849AA6A">
      <w:pPr>
        <w:pStyle w:val="48"/>
        <w:ind w:firstLine="420"/>
        <w:rPr>
          <w:szCs w:val="24"/>
          <w:lang w:bidi="ar"/>
        </w:rPr>
      </w:pPr>
      <w:r>
        <w:rPr>
          <w:szCs w:val="24"/>
          <w:lang w:bidi="ar"/>
        </w:rPr>
        <w:t>For a wheel center vertical displacement z, the radial compression at contact position x is given by Eq. (</w:t>
      </w:r>
      <w:r>
        <w:rPr>
          <w:rFonts w:hint="eastAsia"/>
          <w:szCs w:val="24"/>
          <w:lang w:bidi="ar"/>
        </w:rPr>
        <w:t>S</w:t>
      </w:r>
      <w:r>
        <w:rPr>
          <w:szCs w:val="24"/>
          <w:lang w:bidi="ar"/>
        </w:rPr>
        <w:t>14.30)</w:t>
      </w:r>
    </w:p>
    <w:p w14:paraId="08C33964">
      <w:pPr>
        <w:pStyle w:val="21"/>
        <w:ind w:firstLine="482"/>
        <w:textAlignment w:val="baseline"/>
        <w:rPr>
          <w:rFonts w:eastAsia="宋体"/>
          <w:b w:val="0"/>
        </w:rPr>
      </w:pPr>
      <w:r>
        <w:rPr>
          <w:kern w:val="2"/>
          <w:szCs w:val="24"/>
          <w:lang w:bidi="ar"/>
        </w:rPr>
        <w:tab/>
      </w:r>
      <w:r>
        <w:rPr>
          <w:kern w:val="2"/>
          <w:position w:val="-24"/>
          <w:szCs w:val="24"/>
          <w:lang w:bidi="ar"/>
          <w14:ligatures w14:val="none"/>
        </w:rPr>
        <w:object>
          <v:shape id="_x0000_i1083" o:spt="75" type="#_x0000_t75" style="height:31.35pt;width:175.65pt;" o:ole="t" filled="f" o:preferrelative="t" stroked="f" coordsize="21600,21600">
            <v:path/>
            <v:fill on="f" focussize="0,0"/>
            <v:stroke on="f" joinstyle="miter"/>
            <v:imagedata r:id="rId174" o:title=""/>
            <o:lock v:ext="edit" aspectratio="t"/>
            <w10:wrap type="none"/>
            <w10:anchorlock/>
          </v:shape>
          <o:OLEObject Type="Embed" ProgID="Equation.DSMT4" ShapeID="_x0000_i1083" DrawAspect="Content" ObjectID="_1468075783" r:id="rId173">
            <o:LockedField>false</o:LockedField>
          </o:OLEObject>
        </w:object>
      </w:r>
      <w:r>
        <w:rPr>
          <w:kern w:val="2"/>
          <w:szCs w:val="24"/>
          <w:lang w:bidi="ar"/>
        </w:rPr>
        <w:tab/>
      </w:r>
      <w:r>
        <w:rPr>
          <w:b w:val="0"/>
        </w:rPr>
        <w:t>(</w:t>
      </w:r>
      <w:r>
        <w:rPr>
          <w:rFonts w:hint="eastAsia" w:eastAsia="宋体"/>
          <w:b w:val="0"/>
        </w:rPr>
        <w:t>S</w:t>
      </w:r>
      <w:r>
        <w:rPr>
          <w:b w:val="0"/>
        </w:rPr>
        <w:t>14.</w:t>
      </w:r>
      <w:r>
        <w:rPr>
          <w:rFonts w:hint="eastAsia" w:eastAsia="宋体"/>
          <w:b w:val="0"/>
        </w:rPr>
        <w:t>30</w:t>
      </w:r>
      <w:r>
        <w:rPr>
          <w:b w:val="0"/>
        </w:rPr>
        <w:t>)</w:t>
      </w:r>
    </w:p>
    <w:p w14:paraId="244D8635">
      <w:pPr>
        <w:pStyle w:val="48"/>
        <w:ind w:firstLine="0" w:firstLineChars="0"/>
        <w:rPr>
          <w:szCs w:val="24"/>
          <w:lang w:bidi="ar"/>
        </w:rPr>
      </w:pPr>
      <w:r>
        <w:rPr>
          <w:szCs w:val="24"/>
          <w:lang w:bidi="ar"/>
        </w:rPr>
        <w:t>where Rₜ is the tire radius, Δz₀ is the quasi-static deformation, and θ is defined in Eq. (</w:t>
      </w:r>
      <w:r>
        <w:rPr>
          <w:rFonts w:hint="eastAsia"/>
          <w:szCs w:val="24"/>
          <w:lang w:bidi="ar"/>
        </w:rPr>
        <w:t>S</w:t>
      </w:r>
      <w:r>
        <w:rPr>
          <w:szCs w:val="24"/>
          <w:lang w:bidi="ar"/>
        </w:rPr>
        <w:t>14.31).</w:t>
      </w:r>
    </w:p>
    <w:p w14:paraId="442DE97E">
      <w:pPr>
        <w:pStyle w:val="21"/>
        <w:ind w:firstLine="482"/>
        <w:textAlignment w:val="baseline"/>
        <w:rPr>
          <w:rFonts w:eastAsia="宋体"/>
          <w:b w:val="0"/>
        </w:rPr>
      </w:pPr>
      <w:r>
        <w:rPr>
          <w:kern w:val="2"/>
          <w:szCs w:val="24"/>
          <w:lang w:bidi="ar"/>
        </w:rPr>
        <w:tab/>
      </w:r>
      <w:r>
        <w:rPr>
          <w:kern w:val="2"/>
          <w:position w:val="-30"/>
          <w:szCs w:val="24"/>
          <w:lang w:bidi="ar"/>
          <w14:ligatures w14:val="none"/>
        </w:rPr>
        <w:object>
          <v:shape id="_x0000_i1084" o:spt="75" type="#_x0000_t75" style="height:39pt;width:85.65pt;" o:ole="t" filled="f" o:preferrelative="t" stroked="f" coordsize="21600,21600">
            <v:path/>
            <v:fill on="f" focussize="0,0"/>
            <v:stroke on="f" joinstyle="miter"/>
            <v:imagedata r:id="rId176" o:title=""/>
            <o:lock v:ext="edit" aspectratio="t"/>
            <w10:wrap type="none"/>
            <w10:anchorlock/>
          </v:shape>
          <o:OLEObject Type="Embed" ProgID="Equation.DSMT4" ShapeID="_x0000_i1084" DrawAspect="Content" ObjectID="_1468075784" r:id="rId175">
            <o:LockedField>false</o:LockedField>
          </o:OLEObject>
        </w:object>
      </w:r>
      <w:r>
        <w:rPr>
          <w:kern w:val="2"/>
          <w:szCs w:val="24"/>
          <w:lang w:bidi="ar"/>
        </w:rPr>
        <w:tab/>
      </w:r>
      <w:r>
        <w:rPr>
          <w:b w:val="0"/>
        </w:rPr>
        <w:t>(</w:t>
      </w:r>
      <w:r>
        <w:rPr>
          <w:rFonts w:hint="eastAsia" w:eastAsia="宋体"/>
          <w:b w:val="0"/>
        </w:rPr>
        <w:t>S</w:t>
      </w:r>
      <w:r>
        <w:rPr>
          <w:b w:val="0"/>
        </w:rPr>
        <w:t>14.</w:t>
      </w:r>
      <w:r>
        <w:rPr>
          <w:rFonts w:hint="eastAsia" w:eastAsia="宋体"/>
          <w:b w:val="0"/>
        </w:rPr>
        <w:t>31</w:t>
      </w:r>
      <w:r>
        <w:rPr>
          <w:b w:val="0"/>
        </w:rPr>
        <w:t>)</w:t>
      </w:r>
    </w:p>
    <w:p w14:paraId="738F1535">
      <w:pPr>
        <w:pStyle w:val="48"/>
        <w:ind w:firstLine="420"/>
        <w:rPr>
          <w:szCs w:val="24"/>
          <w:lang w:bidi="ar"/>
        </w:rPr>
      </w:pPr>
      <w:r>
        <w:rPr>
          <w:szCs w:val="24"/>
          <w:lang w:bidi="ar"/>
        </w:rPr>
        <w:t xml:space="preserve">The interaction force </w:t>
      </w:r>
      <w:r>
        <w:rPr>
          <w:i/>
          <w:iCs/>
          <w:szCs w:val="24"/>
          <w:lang w:bidi="ar"/>
        </w:rPr>
        <w:t xml:space="preserve">f </w:t>
      </w:r>
      <w:r>
        <w:rPr>
          <w:szCs w:val="24"/>
          <w:lang w:bidi="ar"/>
        </w:rPr>
        <w:t>(Eq.</w:t>
      </w:r>
      <w:r>
        <w:rPr>
          <w:rFonts w:hint="eastAsia"/>
          <w:szCs w:val="24"/>
          <w:lang w:bidi="ar"/>
        </w:rPr>
        <w:t>(S</w:t>
      </w:r>
      <w:r>
        <w:rPr>
          <w:szCs w:val="24"/>
          <w:lang w:bidi="ar"/>
        </w:rPr>
        <w:t>14.32</w:t>
      </w:r>
      <w:r>
        <w:rPr>
          <w:rFonts w:hint="eastAsia"/>
          <w:szCs w:val="24"/>
          <w:lang w:bidi="ar"/>
        </w:rPr>
        <w:t>)</w:t>
      </w:r>
      <w:r>
        <w:rPr>
          <w:szCs w:val="24"/>
          <w:lang w:bidi="ar"/>
        </w:rPr>
        <w:t>) consists of elastic and damping components (fₑ, f</w:t>
      </w:r>
      <w:r>
        <w:rPr>
          <w:szCs w:val="24"/>
          <w:vertAlign w:val="subscript"/>
          <w:lang w:bidi="ar"/>
        </w:rPr>
        <w:t>d</w:t>
      </w:r>
      <w:r>
        <w:rPr>
          <w:szCs w:val="24"/>
          <w:lang w:bidi="ar"/>
        </w:rPr>
        <w:t>). The contact width bₜ is constant, and the contact length lₜ is defined in Eq. (</w:t>
      </w:r>
      <w:r>
        <w:rPr>
          <w:rFonts w:hint="eastAsia"/>
          <w:szCs w:val="24"/>
          <w:lang w:bidi="ar"/>
        </w:rPr>
        <w:t>S</w:t>
      </w:r>
      <w:r>
        <w:rPr>
          <w:szCs w:val="24"/>
          <w:lang w:bidi="ar"/>
        </w:rPr>
        <w:t>14.3</w:t>
      </w:r>
      <w:r>
        <w:rPr>
          <w:rFonts w:hint="eastAsia"/>
          <w:szCs w:val="24"/>
          <w:lang w:bidi="ar"/>
        </w:rPr>
        <w:t>3</w:t>
      </w:r>
      <w:r>
        <w:rPr>
          <w:szCs w:val="24"/>
          <w:lang w:bidi="ar"/>
        </w:rPr>
        <w:t>).</w:t>
      </w:r>
    </w:p>
    <w:p w14:paraId="72DA4F9E">
      <w:pPr>
        <w:pStyle w:val="21"/>
        <w:ind w:firstLine="482"/>
        <w:textAlignment w:val="baseline"/>
        <w:rPr>
          <w:rFonts w:eastAsia="宋体"/>
          <w:b w:val="0"/>
        </w:rPr>
      </w:pPr>
      <w:r>
        <w:rPr>
          <w:kern w:val="2"/>
          <w:szCs w:val="24"/>
          <w:lang w:bidi="ar"/>
        </w:rPr>
        <w:tab/>
      </w:r>
      <w:r>
        <w:rPr>
          <w:kern w:val="2"/>
          <w:position w:val="-80"/>
          <w:szCs w:val="24"/>
          <w:lang w:bidi="ar"/>
          <w14:ligatures w14:val="none"/>
        </w:rPr>
        <w:object>
          <v:shape id="_x0000_i1085" o:spt="75" type="#_x0000_t75" style="height:73.65pt;width:138pt;" o:ole="t" filled="f" o:preferrelative="t" stroked="f" coordsize="21600,21600">
            <v:path/>
            <v:fill on="f" focussize="0,0"/>
            <v:stroke on="f" joinstyle="miter"/>
            <v:imagedata r:id="rId178" o:title=""/>
            <o:lock v:ext="edit" aspectratio="t"/>
            <w10:wrap type="none"/>
            <w10:anchorlock/>
          </v:shape>
          <o:OLEObject Type="Embed" ProgID="Equation.DSMT4" ShapeID="_x0000_i1085" DrawAspect="Content" ObjectID="_1468075785" r:id="rId177">
            <o:LockedField>false</o:LockedField>
          </o:OLEObject>
        </w:object>
      </w:r>
      <w:r>
        <w:rPr>
          <w:kern w:val="2"/>
          <w:szCs w:val="24"/>
          <w:lang w:bidi="ar"/>
        </w:rPr>
        <w:tab/>
      </w:r>
      <w:r>
        <w:rPr>
          <w:b w:val="0"/>
        </w:rPr>
        <w:t>(</w:t>
      </w:r>
      <w:r>
        <w:rPr>
          <w:rFonts w:hint="eastAsia" w:eastAsia="宋体"/>
          <w:b w:val="0"/>
        </w:rPr>
        <w:t>S</w:t>
      </w:r>
      <w:r>
        <w:rPr>
          <w:b w:val="0"/>
        </w:rPr>
        <w:t>14.</w:t>
      </w:r>
      <w:r>
        <w:rPr>
          <w:rFonts w:hint="eastAsia" w:eastAsia="宋体"/>
          <w:b w:val="0"/>
        </w:rPr>
        <w:t>32</w:t>
      </w:r>
      <w:r>
        <w:rPr>
          <w:b w:val="0"/>
        </w:rPr>
        <w:t>)</w:t>
      </w:r>
    </w:p>
    <w:p w14:paraId="344F30C8">
      <w:pPr>
        <w:pStyle w:val="21"/>
        <w:ind w:firstLine="482"/>
        <w:textAlignment w:val="baseline"/>
        <w:rPr>
          <w:szCs w:val="24"/>
          <w:lang w:bidi="ar"/>
        </w:rPr>
      </w:pPr>
      <w:r>
        <w:rPr>
          <w:kern w:val="2"/>
          <w:szCs w:val="24"/>
          <w:lang w:bidi="ar"/>
        </w:rPr>
        <w:tab/>
      </w:r>
      <w:r>
        <w:rPr>
          <w:kern w:val="2"/>
          <w:position w:val="-14"/>
          <w:szCs w:val="24"/>
          <w:lang w:bidi="ar"/>
          <w14:ligatures w14:val="none"/>
        </w:rPr>
        <w:object>
          <v:shape id="_x0000_i1086" o:spt="75" type="#_x0000_t75" style="height:25.35pt;width:115.35pt;" o:ole="t" filled="f" o:preferrelative="t" stroked="f" coordsize="21600,21600">
            <v:path/>
            <v:fill on="f" focussize="0,0"/>
            <v:stroke on="f" joinstyle="miter"/>
            <v:imagedata r:id="rId180" o:title=""/>
            <o:lock v:ext="edit" aspectratio="t"/>
            <w10:wrap type="none"/>
            <w10:anchorlock/>
          </v:shape>
          <o:OLEObject Type="Embed" ProgID="Equation.DSMT4" ShapeID="_x0000_i1086" DrawAspect="Content" ObjectID="_1468075786" r:id="rId179">
            <o:LockedField>false</o:LockedField>
          </o:OLEObject>
        </w:object>
      </w:r>
      <w:r>
        <w:rPr>
          <w:kern w:val="2"/>
          <w:szCs w:val="24"/>
          <w:lang w:bidi="ar"/>
        </w:rPr>
        <w:tab/>
      </w:r>
      <w:r>
        <w:rPr>
          <w:b w:val="0"/>
        </w:rPr>
        <w:t>(</w:t>
      </w:r>
      <w:r>
        <w:rPr>
          <w:rFonts w:hint="eastAsia" w:eastAsia="宋体"/>
          <w:b w:val="0"/>
        </w:rPr>
        <w:t>S</w:t>
      </w:r>
      <w:r>
        <w:rPr>
          <w:b w:val="0"/>
        </w:rPr>
        <w:t>14.</w:t>
      </w:r>
      <w:r>
        <w:rPr>
          <w:rFonts w:hint="eastAsia" w:eastAsia="宋体"/>
          <w:b w:val="0"/>
        </w:rPr>
        <w:t>33</w:t>
      </w:r>
      <w:r>
        <w:rPr>
          <w:b w:val="0"/>
        </w:rPr>
        <w:t>)</w:t>
      </w:r>
    </w:p>
    <w:p w14:paraId="2BF6AD17">
      <w:pPr>
        <w:pStyle w:val="48"/>
        <w:ind w:firstLine="0" w:firstLineChars="0"/>
        <w:jc w:val="center"/>
        <w:rPr>
          <w:rFonts w:hint="eastAsia"/>
          <w:szCs w:val="24"/>
          <w:lang w:bidi="ar"/>
        </w:rPr>
      </w:pPr>
      <w:r>
        <w:rPr>
          <w:rFonts w:hint="eastAsia"/>
          <w:szCs w:val="24"/>
          <w:lang w:bidi="ar"/>
        </w:rPr>
        <w:drawing>
          <wp:inline distT="0" distB="0" distL="114300" distR="114300">
            <wp:extent cx="5273675" cy="2976245"/>
            <wp:effectExtent l="0" t="0" r="9525" b="825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81"/>
                    <a:stretch>
                      <a:fillRect/>
                    </a:stretch>
                  </pic:blipFill>
                  <pic:spPr>
                    <a:xfrm>
                      <a:off x="0" y="0"/>
                      <a:ext cx="5273675" cy="2976245"/>
                    </a:xfrm>
                    <a:prstGeom prst="rect">
                      <a:avLst/>
                    </a:prstGeom>
                    <a:noFill/>
                    <a:ln>
                      <a:noFill/>
                    </a:ln>
                  </pic:spPr>
                </pic:pic>
              </a:graphicData>
            </a:graphic>
          </wp:inline>
        </w:drawing>
      </w:r>
      <w:r>
        <w:t>Fig.S14.4. Wheel-runway interaction model</w:t>
      </w:r>
    </w:p>
    <w:p w14:paraId="6CEFE6C4">
      <w:pPr>
        <w:pStyle w:val="48"/>
        <w:ind w:firstLine="420"/>
        <w:rPr>
          <w:szCs w:val="24"/>
        </w:rPr>
      </w:pPr>
      <w:r>
        <w:rPr>
          <w:szCs w:val="24"/>
        </w:rPr>
        <w:t>The interaction force incorporates wheel displacement, pavement vibration, and runway roughness, thereby coupling the aircraft and runway submodels into a unified system (Eq.</w:t>
      </w:r>
      <w:r>
        <w:rPr>
          <w:rFonts w:hint="eastAsia"/>
          <w:szCs w:val="24"/>
        </w:rPr>
        <w:t>(S</w:t>
      </w:r>
      <w:r>
        <w:rPr>
          <w:szCs w:val="24"/>
        </w:rPr>
        <w:t>14.34</w:t>
      </w:r>
      <w:r>
        <w:rPr>
          <w:rFonts w:hint="eastAsia"/>
          <w:szCs w:val="24"/>
        </w:rPr>
        <w:t>)</w:t>
      </w:r>
      <w:r>
        <w:rPr>
          <w:szCs w:val="24"/>
        </w:rPr>
        <w:t>).</w:t>
      </w:r>
    </w:p>
    <w:p w14:paraId="101D59BB">
      <w:pPr>
        <w:pStyle w:val="21"/>
        <w:ind w:firstLine="482"/>
        <w:rPr>
          <w:rFonts w:eastAsia="宋体"/>
          <w:kern w:val="2"/>
          <w:szCs w:val="24"/>
        </w:rPr>
      </w:pPr>
      <w:r>
        <w:rPr>
          <w:kern w:val="2"/>
          <w:szCs w:val="24"/>
          <w:lang w:bidi="ar"/>
        </w:rPr>
        <w:tab/>
      </w:r>
      <w:r>
        <w:rPr>
          <w:kern w:val="2"/>
          <w:szCs w:val="24"/>
          <w:lang w:bidi="ar"/>
          <w14:ligatures w14:val="none"/>
        </w:rPr>
        <w:object>
          <v:shape id="_x0000_i1087" o:spt="75" type="#_x0000_t75" style="height:37.35pt;width:298.65pt;" o:ole="t" filled="f" o:preferrelative="t" stroked="f" coordsize="21600,21600">
            <v:path/>
            <v:fill on="f" focussize="0,0"/>
            <v:stroke on="f" joinstyle="miter"/>
            <v:imagedata r:id="rId183" o:title=""/>
            <o:lock v:ext="edit" aspectratio="t"/>
            <w10:wrap type="none"/>
            <w10:anchorlock/>
          </v:shape>
          <o:OLEObject Type="Embed" ProgID="Equation.DSMT4" ShapeID="_x0000_i1087" DrawAspect="Content" ObjectID="_1468075787" r:id="rId182">
            <o:LockedField>false</o:LockedField>
          </o:OLEObject>
        </w:object>
      </w:r>
      <w:r>
        <w:rPr>
          <w:kern w:val="2"/>
          <w:szCs w:val="24"/>
          <w:lang w:bidi="ar"/>
        </w:rPr>
        <w:tab/>
      </w:r>
      <w:r>
        <w:rPr>
          <w:b w:val="0"/>
        </w:rPr>
        <w:t>(</w:t>
      </w:r>
      <w:r>
        <w:rPr>
          <w:rFonts w:hint="eastAsia" w:eastAsia="宋体"/>
          <w:b w:val="0"/>
        </w:rPr>
        <w:t>S</w:t>
      </w:r>
      <w:r>
        <w:rPr>
          <w:b w:val="0"/>
          <w:kern w:val="2"/>
          <w:szCs w:val="24"/>
          <w:lang w:bidi="ar"/>
        </w:rPr>
        <w:t>14.</w:t>
      </w:r>
      <w:r>
        <w:rPr>
          <w:rFonts w:hint="eastAsia" w:eastAsia="宋体"/>
          <w:b w:val="0"/>
          <w:kern w:val="2"/>
          <w:szCs w:val="24"/>
          <w:lang w:bidi="ar"/>
        </w:rPr>
        <w:t>34</w:t>
      </w:r>
      <w:r>
        <w:rPr>
          <w:b w:val="0"/>
          <w:kern w:val="2"/>
          <w:szCs w:val="24"/>
          <w:lang w:bidi="ar"/>
        </w:rPr>
        <w:t>)</w:t>
      </w:r>
    </w:p>
    <w:p w14:paraId="63C86E95">
      <w:pPr>
        <w:pStyle w:val="48"/>
        <w:ind w:firstLine="420"/>
        <w:rPr>
          <w:szCs w:val="24"/>
        </w:rPr>
      </w:pPr>
      <w:r>
        <w:rPr>
          <w:szCs w:val="24"/>
        </w:rPr>
        <w:t>Direct assembly of the two subsystems into a single time-varying system would require continuous updating of stiffness and damping matrices at each time step, significantly increasing computational cost. To improve efficiency, a separation–iteration method is employed. The aircraft and runway subsystems are solved separately within each time step, and convergence is enforced through displacement compatibility and force equilibrium at the wheel–pavement interface. The runway mass, stiffness, and damping matrices remain constant during iteration.</w:t>
      </w:r>
    </w:p>
    <w:p w14:paraId="29E21746">
      <w:pPr>
        <w:pStyle w:val="48"/>
        <w:ind w:firstLine="420"/>
        <w:rPr>
          <w:szCs w:val="24"/>
        </w:rPr>
      </w:pPr>
      <w:r>
        <w:rPr>
          <w:szCs w:val="24"/>
        </w:rPr>
        <w:t>Time integration is performed using the Newmark–β method (Eq.</w:t>
      </w:r>
      <w:r>
        <w:rPr>
          <w:rFonts w:hint="eastAsia"/>
          <w:szCs w:val="24"/>
        </w:rPr>
        <w:t>(S</w:t>
      </w:r>
      <w:r>
        <w:rPr>
          <w:szCs w:val="24"/>
        </w:rPr>
        <w:t>14.35</w:t>
      </w:r>
      <w:r>
        <w:rPr>
          <w:rFonts w:hint="eastAsia"/>
          <w:szCs w:val="24"/>
        </w:rPr>
        <w:t>)</w:t>
      </w:r>
      <w:r>
        <w:rPr>
          <w:szCs w:val="24"/>
        </w:rPr>
        <w:t>), where β and γ are integration parameters and Δt is the time step.</w:t>
      </w:r>
    </w:p>
    <w:p w14:paraId="79D0D38A">
      <w:pPr>
        <w:pStyle w:val="21"/>
        <w:ind w:firstLine="482"/>
        <w:rPr>
          <w:szCs w:val="24"/>
          <w:lang w:bidi="ar"/>
        </w:rPr>
      </w:pPr>
      <w:r>
        <w:rPr>
          <w:kern w:val="2"/>
          <w:szCs w:val="24"/>
          <w:lang w:bidi="ar"/>
        </w:rPr>
        <w:tab/>
      </w:r>
      <w:r>
        <w:rPr>
          <w:kern w:val="2"/>
          <w:szCs w:val="24"/>
          <w:lang w:bidi="ar"/>
          <w14:ligatures w14:val="none"/>
        </w:rPr>
        <w:object>
          <v:shape id="_x0000_i1088" o:spt="75" type="#_x0000_t75" style="height:40.35pt;width:235.35pt;" o:ole="t" filled="f" o:preferrelative="t" stroked="f" coordsize="21600,21600">
            <v:path/>
            <v:fill on="f" focussize="0,0"/>
            <v:stroke on="f" joinstyle="miter"/>
            <v:imagedata r:id="rId185" cropbottom="1640f" o:title=""/>
            <o:lock v:ext="edit" aspectratio="t"/>
            <w10:wrap type="none"/>
            <w10:anchorlock/>
          </v:shape>
          <o:OLEObject Type="Embed" ProgID="Equation.DSMT4" ShapeID="_x0000_i1088" DrawAspect="Content" ObjectID="_1468075788" r:id="rId184">
            <o:LockedField>false</o:LockedField>
          </o:OLEObject>
        </w:object>
      </w:r>
      <w:r>
        <w:rPr>
          <w:kern w:val="2"/>
          <w:szCs w:val="24"/>
          <w:lang w:bidi="ar"/>
        </w:rPr>
        <w:tab/>
      </w:r>
      <w:r>
        <w:rPr>
          <w:b w:val="0"/>
          <w:kern w:val="2"/>
          <w:szCs w:val="24"/>
          <w:lang w:bidi="ar"/>
        </w:rPr>
        <w:t>(</w:t>
      </w:r>
      <w:r>
        <w:rPr>
          <w:rFonts w:hint="eastAsia" w:eastAsia="宋体"/>
          <w:b w:val="0"/>
          <w:kern w:val="2"/>
          <w:szCs w:val="24"/>
          <w:lang w:bidi="ar"/>
        </w:rPr>
        <w:t>S</w:t>
      </w:r>
      <w:r>
        <w:rPr>
          <w:b w:val="0"/>
          <w:vanish/>
          <w:kern w:val="2"/>
          <w:szCs w:val="24"/>
        </w:rPr>
        <w:t>(((999</w:t>
      </w:r>
      <w:r>
        <w:rPr>
          <w:b w:val="0"/>
          <w:kern w:val="2"/>
          <w:szCs w:val="24"/>
          <w:lang w:bidi="ar"/>
        </w:rPr>
        <w:t>14.</w:t>
      </w:r>
      <w:r>
        <w:rPr>
          <w:rFonts w:hint="eastAsia" w:eastAsia="宋体"/>
          <w:b w:val="0"/>
          <w:kern w:val="2"/>
          <w:szCs w:val="24"/>
          <w:lang w:bidi="ar"/>
        </w:rPr>
        <w:t>35</w:t>
      </w:r>
      <w:r>
        <w:rPr>
          <w:b w:val="0"/>
          <w:kern w:val="2"/>
          <w:szCs w:val="24"/>
          <w:lang w:bidi="ar"/>
        </w:rPr>
        <w:t>)</w:t>
      </w:r>
    </w:p>
    <w:p w14:paraId="0FD7C55A">
      <w:pPr>
        <w:pStyle w:val="48"/>
        <w:ind w:firstLine="420"/>
        <w:rPr>
          <w:szCs w:val="24"/>
          <w:lang w:bidi="ar"/>
        </w:rPr>
      </w:pPr>
      <w:r>
        <w:rPr>
          <w:rFonts w:hint="eastAsia"/>
          <w:szCs w:val="24"/>
          <w:lang w:bidi="ar"/>
        </w:rPr>
        <w:t>Due to the numerous contact points between the wheels and the runway surface, as well as the large number of degrees of freedom in the finite element model of the runway, an improved separated iteration procedure is adopted in this paper to improve computational efficiency. The detailed algorithm flow is shown in Algorithm 1.</w:t>
      </w:r>
    </w:p>
    <w:tbl>
      <w:tblPr>
        <w:tblStyle w:val="15"/>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63768C8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12" w:space="0"/>
              <w:left w:val="nil"/>
              <w:bottom w:val="single" w:color="auto" w:sz="12" w:space="0"/>
              <w:right w:val="nil"/>
              <w:tl2br w:val="nil"/>
              <w:tr2bl w:val="nil"/>
            </w:tcBorders>
          </w:tcPr>
          <w:p w14:paraId="4F157536">
            <w:pPr>
              <w:pStyle w:val="48"/>
              <w:ind w:firstLine="0" w:firstLineChars="0"/>
              <w:rPr>
                <w:sz w:val="24"/>
                <w:szCs w:val="24"/>
              </w:rPr>
            </w:pPr>
            <w:r>
              <w:rPr>
                <w:b/>
                <w:color w:val="000000"/>
                <w:szCs w:val="24"/>
              </w:rPr>
              <w:t>Algorithm 1</w:t>
            </w:r>
            <w:r>
              <w:rPr>
                <w:color w:val="000000"/>
                <w:szCs w:val="24"/>
              </w:rPr>
              <w:t xml:space="preserve"> Calculation of{X}, {</w:t>
            </w:r>
            <m:oMath>
              <m:acc>
                <m:accPr>
                  <m:chr m:val="̇"/>
                  <m:ctrlPr>
                    <w:rPr>
                      <w:rFonts w:ascii="Cambria Math" w:hAnsi="Cambria Math"/>
                      <w:color w:val="000000"/>
                      <w:szCs w:val="24"/>
                    </w:rPr>
                  </m:ctrlPr>
                </m:accPr>
                <m:e>
                  <m:r>
                    <m:rPr>
                      <m:sty m:val="p"/>
                    </m:rPr>
                    <w:rPr>
                      <w:rFonts w:ascii="Cambria Math" w:hAnsi="Cambria Math"/>
                      <w:color w:val="000000"/>
                      <w:szCs w:val="24"/>
                    </w:rPr>
                    <m:t>X</m:t>
                  </m:r>
                  <m:ctrlPr>
                    <w:rPr>
                      <w:rFonts w:ascii="Cambria Math" w:hAnsi="Cambria Math"/>
                      <w:color w:val="000000"/>
                      <w:szCs w:val="24"/>
                    </w:rPr>
                  </m:ctrlPr>
                </m:e>
              </m:acc>
            </m:oMath>
            <w:r>
              <w:rPr>
                <w:color w:val="000000"/>
                <w:szCs w:val="24"/>
              </w:rPr>
              <w:t>} and {</w:t>
            </w:r>
            <m:oMath>
              <m:acc>
                <m:accPr>
                  <m:chr m:val="̈"/>
                  <m:ctrlPr>
                    <w:rPr>
                      <w:rFonts w:ascii="Cambria Math" w:hAnsi="Cambria Math"/>
                      <w:color w:val="000000"/>
                      <w:szCs w:val="24"/>
                    </w:rPr>
                  </m:ctrlPr>
                </m:accPr>
                <m:e>
                  <m:r>
                    <m:rPr>
                      <m:sty m:val="p"/>
                    </m:rPr>
                    <w:rPr>
                      <w:rFonts w:ascii="Cambria Math" w:hAnsi="Cambria Math"/>
                      <w:color w:val="000000"/>
                      <w:szCs w:val="24"/>
                    </w:rPr>
                    <m:t>X</m:t>
                  </m:r>
                  <m:ctrlPr>
                    <w:rPr>
                      <w:rFonts w:ascii="Cambria Math" w:hAnsi="Cambria Math"/>
                      <w:color w:val="000000"/>
                      <w:szCs w:val="24"/>
                    </w:rPr>
                  </m:ctrlPr>
                </m:e>
              </m:acc>
            </m:oMath>
            <w:r>
              <w:rPr>
                <w:color w:val="000000"/>
                <w:szCs w:val="24"/>
              </w:rPr>
              <w:t>}using separation and iteration method</w:t>
            </w:r>
          </w:p>
        </w:tc>
      </w:tr>
      <w:tr w14:paraId="61B4989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12" w:space="0"/>
              <w:left w:val="nil"/>
              <w:bottom w:val="single" w:color="auto" w:sz="6" w:space="0"/>
              <w:right w:val="nil"/>
              <w:tl2br w:val="nil"/>
              <w:tr2bl w:val="nil"/>
            </w:tcBorders>
          </w:tcPr>
          <w:p w14:paraId="3A43AF9A">
            <w:pPr>
              <w:pStyle w:val="48"/>
              <w:ind w:firstLine="0" w:firstLineChars="0"/>
              <w:rPr>
                <w:szCs w:val="24"/>
              </w:rPr>
            </w:pPr>
            <w:r>
              <w:rPr>
                <w:rFonts w:hint="eastAsia"/>
                <w:szCs w:val="24"/>
              </w:rPr>
              <w:t>(1)</w:t>
            </w:r>
            <w:r>
              <w:t xml:space="preserve"> </w:t>
            </w:r>
            <w:r>
              <w:rPr>
                <w:szCs w:val="24"/>
              </w:rPr>
              <w:t>Compute Newmark–β constants.</w:t>
            </w:r>
            <w:r>
              <w:rPr>
                <w:rFonts w:hint="eastAsia"/>
                <w:szCs w:val="24"/>
              </w:rPr>
              <w:t>：</w:t>
            </w:r>
          </w:p>
          <w:p w14:paraId="7152FDFB">
            <w:pPr>
              <w:pStyle w:val="48"/>
              <w:snapToGrid w:val="0"/>
              <w:ind w:firstLine="0" w:firstLineChars="0"/>
              <w:rPr>
                <w:sz w:val="24"/>
                <w:szCs w:val="24"/>
              </w:rPr>
            </w:pPr>
            <w:r>
              <w:rPr>
                <w:position w:val="-66"/>
                <w:szCs w:val="24"/>
              </w:rPr>
              <w:object>
                <v:shape id="_x0000_i1089" o:spt="75" type="#_x0000_t75" style="height:72pt;width:270pt;" o:ole="t" filled="f" o:preferrelative="t" stroked="f" coordsize="21600,21600">
                  <v:path/>
                  <v:fill on="f" focussize="0,0"/>
                  <v:stroke on="f" joinstyle="miter"/>
                  <v:imagedata r:id="rId187" o:title=""/>
                  <o:lock v:ext="edit" aspectratio="t"/>
                  <w10:wrap type="none"/>
                  <w10:anchorlock/>
                </v:shape>
                <o:OLEObject Type="Embed" ProgID="Equation.DSMT4" ShapeID="_x0000_i1089" DrawAspect="Content" ObjectID="_1468075789" r:id="rId186">
                  <o:LockedField>false</o:LockedField>
                </o:OLEObject>
              </w:object>
            </w:r>
          </w:p>
        </w:tc>
      </w:tr>
      <w:tr w14:paraId="30E94C01">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04FCF4DD">
            <w:pPr>
              <w:pStyle w:val="48"/>
              <w:ind w:firstLine="0" w:firstLineChars="0"/>
              <w:rPr>
                <w:szCs w:val="24"/>
              </w:rPr>
            </w:pPr>
            <w:r>
              <w:rPr>
                <w:rFonts w:hint="eastAsia"/>
                <w:szCs w:val="24"/>
              </w:rPr>
              <w:t>(2)</w:t>
            </w:r>
            <w:r>
              <w:t xml:space="preserve"> </w:t>
            </w:r>
            <w:r>
              <w:rPr>
                <w:szCs w:val="24"/>
              </w:rPr>
              <w:t>Precompute and store inverse equivalent stiffness matrices of aircraft and runway subsystems</w:t>
            </w:r>
            <w:r>
              <w:rPr>
                <w:rFonts w:hint="eastAsia"/>
                <w:szCs w:val="24"/>
              </w:rPr>
              <w:t>：</w:t>
            </w:r>
          </w:p>
          <w:p w14:paraId="40F7ACA9">
            <w:pPr>
              <w:pStyle w:val="48"/>
              <w:ind w:firstLine="0" w:firstLineChars="0"/>
              <w:rPr>
                <w:szCs w:val="24"/>
              </w:rPr>
            </w:pPr>
            <w:r>
              <w:rPr>
                <w:position w:val="-12"/>
                <w:szCs w:val="24"/>
              </w:rPr>
              <w:object>
                <v:shape id="_x0000_i1090" o:spt="75" type="#_x0000_t75" style="height:22.35pt;width:156pt;" o:ole="t" filled="f" o:preferrelative="t" stroked="f" coordsize="21600,21600">
                  <v:path/>
                  <v:fill on="f" focussize="0,0"/>
                  <v:stroke on="f" joinstyle="miter"/>
                  <v:imagedata r:id="rId189" o:title=""/>
                  <o:lock v:ext="edit" aspectratio="t"/>
                  <w10:wrap type="none"/>
                  <w10:anchorlock/>
                </v:shape>
                <o:OLEObject Type="Embed" ProgID="Equation.DSMT4" ShapeID="_x0000_i1090" DrawAspect="Content" ObjectID="_1468075790" r:id="rId188">
                  <o:LockedField>false</o:LockedField>
                </o:OLEObject>
              </w:object>
            </w:r>
          </w:p>
          <w:p w14:paraId="55750A57">
            <w:pPr>
              <w:pStyle w:val="48"/>
              <w:ind w:firstLine="0" w:firstLineChars="0"/>
              <w:rPr>
                <w:sz w:val="24"/>
                <w:szCs w:val="24"/>
              </w:rPr>
            </w:pPr>
            <w:r>
              <w:rPr>
                <w:position w:val="-12"/>
                <w:szCs w:val="24"/>
              </w:rPr>
              <w:object>
                <v:shape id="_x0000_i1091" o:spt="75" type="#_x0000_t75" style="height:22.35pt;width:153pt;" o:ole="t" filled="f" o:preferrelative="t" stroked="f" coordsize="21600,21600">
                  <v:path/>
                  <v:fill on="f" focussize="0,0"/>
                  <v:stroke on="f" joinstyle="miter"/>
                  <v:imagedata r:id="rId191" o:title=""/>
                  <o:lock v:ext="edit" aspectratio="t"/>
                  <w10:wrap type="none"/>
                  <w10:anchorlock/>
                </v:shape>
                <o:OLEObject Type="Embed" ProgID="Equation.DSMT4" ShapeID="_x0000_i1091" DrawAspect="Content" ObjectID="_1468075791" r:id="rId190">
                  <o:LockedField>false</o:LockedField>
                </o:OLEObject>
              </w:object>
            </w:r>
          </w:p>
        </w:tc>
      </w:tr>
      <w:tr w14:paraId="4530905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4AC4F123">
            <w:pPr>
              <w:pStyle w:val="48"/>
              <w:snapToGrid w:val="0"/>
              <w:ind w:firstLine="0" w:firstLineChars="0"/>
              <w:rPr>
                <w:sz w:val="24"/>
                <w:szCs w:val="24"/>
              </w:rPr>
            </w:pPr>
            <w:r>
              <w:rPr>
                <w:rFonts w:hint="eastAsia"/>
                <w:szCs w:val="24"/>
              </w:rPr>
              <w:t>(3)</w:t>
            </w:r>
            <w:r>
              <w:t xml:space="preserve"> </w:t>
            </w:r>
            <w:r>
              <w:rPr>
                <w:szCs w:val="24"/>
              </w:rPr>
              <w:t>Initialize displacement, velocity, and acceleration.</w:t>
            </w:r>
            <w:r>
              <w:rPr>
                <w:position w:val="-12"/>
                <w:szCs w:val="24"/>
              </w:rPr>
              <w:object>
                <v:shape id="_x0000_i1092" o:spt="75" type="#_x0000_t75" style="height:19.35pt;width:16.65pt;" o:ole="t" filled="f" o:preferrelative="t" stroked="f" coordsize="21600,21600">
                  <v:path/>
                  <v:fill on="f" focussize="0,0"/>
                  <v:stroke on="f" joinstyle="miter"/>
                  <v:imagedata r:id="rId193" o:title=""/>
                  <o:lock v:ext="edit" aspectratio="t"/>
                  <w10:wrap type="none"/>
                  <w10:anchorlock/>
                </v:shape>
                <o:OLEObject Type="Embed" ProgID="Equation.DSMT4" ShapeID="_x0000_i1092" DrawAspect="Content" ObjectID="_1468075792" r:id="rId192">
                  <o:LockedField>false</o:LockedField>
                </o:OLEObject>
              </w:object>
            </w:r>
            <w:r>
              <w:rPr>
                <w:rFonts w:hint="eastAsia"/>
                <w:szCs w:val="24"/>
              </w:rPr>
              <w:t>、</w:t>
            </w:r>
            <w:r>
              <w:rPr>
                <w:position w:val="-12"/>
                <w:szCs w:val="24"/>
              </w:rPr>
              <w:object>
                <v:shape id="_x0000_i1093" o:spt="75" type="#_x0000_t75" style="height:19.35pt;width:16.65pt;" o:ole="t" filled="f" o:preferrelative="t" stroked="f" coordsize="21600,21600">
                  <v:path/>
                  <v:fill on="f" focussize="0,0"/>
                  <v:stroke on="f" joinstyle="miter"/>
                  <v:imagedata r:id="rId195" o:title=""/>
                  <o:lock v:ext="edit" aspectratio="t"/>
                  <w10:wrap type="none"/>
                  <w10:anchorlock/>
                </v:shape>
                <o:OLEObject Type="Embed" ProgID="Equation.DSMT4" ShapeID="_x0000_i1093" DrawAspect="Content" ObjectID="_1468075793" r:id="rId194">
                  <o:LockedField>false</o:LockedField>
                </o:OLEObject>
              </w:object>
            </w:r>
            <w:r>
              <w:rPr>
                <w:rFonts w:hint="eastAsia"/>
                <w:szCs w:val="24"/>
              </w:rPr>
              <w:t>、</w:t>
            </w:r>
            <w:r>
              <w:rPr>
                <w:position w:val="-12"/>
                <w:szCs w:val="24"/>
              </w:rPr>
              <w:object>
                <v:shape id="_x0000_i1094" o:spt="75" type="#_x0000_t75" style="height:19.35pt;width:16.65pt;" o:ole="t" filled="f" o:preferrelative="t" stroked="f" coordsize="21600,21600">
                  <v:path/>
                  <v:fill on="f" focussize="0,0"/>
                  <v:stroke on="f" joinstyle="miter"/>
                  <v:imagedata r:id="rId197" o:title=""/>
                  <o:lock v:ext="edit" aspectratio="t"/>
                  <w10:wrap type="none"/>
                  <w10:anchorlock/>
                </v:shape>
                <o:OLEObject Type="Embed" ProgID="Equation.DSMT4" ShapeID="_x0000_i1094" DrawAspect="Content" ObjectID="_1468075794" r:id="rId196">
                  <o:LockedField>false</o:LockedField>
                </o:OLEObject>
              </w:object>
            </w:r>
            <w:r>
              <w:rPr>
                <w:rFonts w:hint="eastAsia"/>
                <w:szCs w:val="24"/>
              </w:rPr>
              <w:t>、</w:t>
            </w:r>
            <w:r>
              <w:rPr>
                <w:position w:val="-12"/>
                <w:szCs w:val="24"/>
              </w:rPr>
              <w:object>
                <v:shape id="_x0000_i1095" o:spt="75" type="#_x0000_t75" style="height:19.35pt;width:16.65pt;" o:ole="t" filled="f" o:preferrelative="t" stroked="f" coordsize="21600,21600">
                  <v:path/>
                  <v:fill on="f" focussize="0,0"/>
                  <v:stroke on="f" joinstyle="miter"/>
                  <v:imagedata r:id="rId199" o:title=""/>
                  <o:lock v:ext="edit" aspectratio="t"/>
                  <w10:wrap type="none"/>
                  <w10:anchorlock/>
                </v:shape>
                <o:OLEObject Type="Embed" ProgID="Equation.DSMT4" ShapeID="_x0000_i1095" DrawAspect="Content" ObjectID="_1468075795" r:id="rId198">
                  <o:LockedField>false</o:LockedField>
                </o:OLEObject>
              </w:object>
            </w:r>
            <w:r>
              <w:rPr>
                <w:rFonts w:hint="eastAsia"/>
                <w:szCs w:val="24"/>
              </w:rPr>
              <w:t>、</w:t>
            </w:r>
            <w:r>
              <w:rPr>
                <w:position w:val="-12"/>
                <w:szCs w:val="24"/>
              </w:rPr>
              <w:object>
                <v:shape id="_x0000_i1096" o:spt="75" type="#_x0000_t75" style="height:19.35pt;width:16.65pt;" o:ole="t" filled="f" o:preferrelative="t" stroked="f" coordsize="21600,21600">
                  <v:path/>
                  <v:fill on="f" focussize="0,0"/>
                  <v:stroke on="f" joinstyle="miter"/>
                  <v:imagedata r:id="rId201" o:title=""/>
                  <o:lock v:ext="edit" aspectratio="t"/>
                  <w10:wrap type="none"/>
                  <w10:anchorlock/>
                </v:shape>
                <o:OLEObject Type="Embed" ProgID="Equation.DSMT4" ShapeID="_x0000_i1096" DrawAspect="Content" ObjectID="_1468075796" r:id="rId200">
                  <o:LockedField>false</o:LockedField>
                </o:OLEObject>
              </w:object>
            </w:r>
            <w:r>
              <w:rPr>
                <w:rFonts w:hint="eastAsia"/>
                <w:szCs w:val="24"/>
              </w:rPr>
              <w:t>、</w:t>
            </w:r>
            <w:r>
              <w:rPr>
                <w:position w:val="-12"/>
                <w:szCs w:val="24"/>
              </w:rPr>
              <w:object>
                <v:shape id="_x0000_i1097" o:spt="75" type="#_x0000_t75" style="height:19.35pt;width:16.65pt;" o:ole="t" filled="f" o:preferrelative="t" stroked="f" coordsize="21600,21600">
                  <v:path/>
                  <v:fill on="f" focussize="0,0"/>
                  <v:stroke on="f" joinstyle="miter"/>
                  <v:imagedata r:id="rId203" o:title=""/>
                  <o:lock v:ext="edit" aspectratio="t"/>
                  <w10:wrap type="none"/>
                  <w10:anchorlock/>
                </v:shape>
                <o:OLEObject Type="Embed" ProgID="Equation.DSMT4" ShapeID="_x0000_i1097" DrawAspect="Content" ObjectID="_1468075797" r:id="rId202">
                  <o:LockedField>false</o:LockedField>
                </o:OLEObject>
              </w:object>
            </w:r>
          </w:p>
        </w:tc>
      </w:tr>
      <w:tr w14:paraId="3668C2E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7C2F3E1E">
            <w:pPr>
              <w:pStyle w:val="48"/>
              <w:snapToGrid w:val="0"/>
              <w:ind w:firstLine="0" w:firstLineChars="0"/>
              <w:rPr>
                <w:szCs w:val="24"/>
              </w:rPr>
            </w:pPr>
            <w:r>
              <w:rPr>
                <w:rFonts w:hint="eastAsia"/>
                <w:szCs w:val="24"/>
              </w:rPr>
              <w:t>(4)</w:t>
            </w:r>
            <w:r>
              <w:t xml:space="preserve"> </w:t>
            </w:r>
            <w:r>
              <w:rPr>
                <w:szCs w:val="24"/>
              </w:rPr>
              <w:t>At time (k+1)Δt, initialize state variables using results at kΔt.</w:t>
            </w:r>
          </w:p>
          <w:p w14:paraId="209414B1">
            <w:pPr>
              <w:pStyle w:val="48"/>
              <w:snapToGrid w:val="0"/>
              <w:ind w:firstLine="0" w:firstLineChars="0"/>
              <w:rPr>
                <w:szCs w:val="24"/>
              </w:rPr>
            </w:pPr>
            <w:r>
              <w:rPr>
                <w:position w:val="-16"/>
                <w:szCs w:val="24"/>
              </w:rPr>
              <w:object>
                <v:shape id="_x0000_i1098" o:spt="75" type="#_x0000_t75" style="height:22.65pt;width:280.65pt;" o:ole="t" filled="f" o:preferrelative="t" stroked="f" coordsize="21600,21600">
                  <v:path/>
                  <v:fill on="f" focussize="0,0"/>
                  <v:stroke on="f" joinstyle="miter"/>
                  <v:imagedata r:id="rId205" o:title=""/>
                  <o:lock v:ext="edit" aspectratio="t"/>
                  <w10:wrap type="none"/>
                  <w10:anchorlock/>
                </v:shape>
                <o:OLEObject Type="Embed" ProgID="Equation.DSMT4" ShapeID="_x0000_i1098" DrawAspect="Content" ObjectID="_1468075798" r:id="rId204">
                  <o:LockedField>false</o:LockedField>
                </o:OLEObject>
              </w:object>
            </w:r>
          </w:p>
          <w:p w14:paraId="663BEAAF">
            <w:pPr>
              <w:pStyle w:val="48"/>
              <w:snapToGrid w:val="0"/>
              <w:ind w:firstLine="0" w:firstLineChars="0"/>
              <w:rPr>
                <w:sz w:val="24"/>
                <w:szCs w:val="24"/>
              </w:rPr>
            </w:pPr>
            <w:r>
              <w:rPr>
                <w:position w:val="-16"/>
                <w:szCs w:val="24"/>
              </w:rPr>
              <w:object>
                <v:shape id="_x0000_i1099" o:spt="75" type="#_x0000_t75" style="height:22.65pt;width:279.65pt;" o:ole="t" filled="f" o:preferrelative="t" stroked="f" coordsize="21600,21600">
                  <v:path/>
                  <v:fill on="f" focussize="0,0"/>
                  <v:stroke on="f" joinstyle="miter"/>
                  <v:imagedata r:id="rId207" o:title=""/>
                  <o:lock v:ext="edit" aspectratio="t"/>
                  <w10:wrap type="none"/>
                  <w10:anchorlock/>
                </v:shape>
                <o:OLEObject Type="Embed" ProgID="Equation.DSMT4" ShapeID="_x0000_i1099" DrawAspect="Content" ObjectID="_1468075799" r:id="rId206">
                  <o:LockedField>false</o:LockedField>
                </o:OLEObject>
              </w:object>
            </w:r>
          </w:p>
        </w:tc>
      </w:tr>
      <w:tr w14:paraId="1A58210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0C4E7CE9">
            <w:pPr>
              <w:pStyle w:val="48"/>
              <w:snapToGrid w:val="0"/>
              <w:ind w:firstLine="0" w:firstLineChars="0"/>
              <w:rPr>
                <w:sz w:val="24"/>
                <w:szCs w:val="24"/>
              </w:rPr>
            </w:pPr>
            <w:r>
              <w:rPr>
                <w:rFonts w:hint="eastAsia"/>
                <w:szCs w:val="24"/>
              </w:rPr>
              <w:t>(5)</w:t>
            </w:r>
            <w:r>
              <w:t xml:space="preserve"> </w:t>
            </w:r>
            <w:r>
              <w:rPr>
                <w:szCs w:val="24"/>
              </w:rPr>
              <w:t>Use the previous pavement vibration as the initial guess and compute aircraft external loads under current runway roughness.</w:t>
            </w:r>
          </w:p>
        </w:tc>
      </w:tr>
      <w:tr w14:paraId="4E7FA2C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2EB8E43C">
            <w:pPr>
              <w:pStyle w:val="48"/>
              <w:snapToGrid w:val="0"/>
              <w:ind w:firstLine="0" w:firstLineChars="0"/>
              <w:rPr>
                <w:szCs w:val="24"/>
              </w:rPr>
            </w:pPr>
            <w:r>
              <w:rPr>
                <w:rFonts w:hint="eastAsia"/>
                <w:szCs w:val="24"/>
              </w:rPr>
              <w:t>(6)</w:t>
            </w:r>
            <w:r>
              <w:t xml:space="preserve"> </w:t>
            </w:r>
            <w:r>
              <w:rPr>
                <w:szCs w:val="24"/>
              </w:rPr>
              <w:t>Solve aircraft dynamic response</w:t>
            </w:r>
            <w:r>
              <w:rPr>
                <w:rFonts w:hint="eastAsia"/>
                <w:szCs w:val="24"/>
              </w:rPr>
              <w:t>：</w:t>
            </w:r>
          </w:p>
          <w:p w14:paraId="377631F2">
            <w:pPr>
              <w:pStyle w:val="48"/>
              <w:snapToGrid w:val="0"/>
              <w:ind w:firstLine="0" w:firstLineChars="0"/>
              <w:rPr>
                <w:szCs w:val="24"/>
              </w:rPr>
            </w:pPr>
            <w:r>
              <w:rPr>
                <w:position w:val="-16"/>
                <w:szCs w:val="24"/>
              </w:rPr>
              <w:object>
                <v:shape id="_x0000_i1100" o:spt="75" type="#_x0000_t75" style="height:22.65pt;width:103.35pt;" o:ole="t" filled="f" o:preferrelative="t" stroked="f" coordsize="21600,21600">
                  <v:path/>
                  <v:fill on="f" focussize="0,0"/>
                  <v:stroke on="f" joinstyle="miter"/>
                  <v:imagedata r:id="rId209" o:title=""/>
                  <o:lock v:ext="edit" aspectratio="t"/>
                  <w10:wrap type="none"/>
                  <w10:anchorlock/>
                </v:shape>
                <o:OLEObject Type="Embed" ProgID="Equation.DSMT4" ShapeID="_x0000_i1100" DrawAspect="Content" ObjectID="_1468075800" r:id="rId208">
                  <o:LockedField>false</o:LockedField>
                </o:OLEObject>
              </w:object>
            </w:r>
          </w:p>
          <w:p w14:paraId="22735BBD">
            <w:pPr>
              <w:pStyle w:val="48"/>
              <w:snapToGrid w:val="0"/>
              <w:ind w:firstLine="0" w:firstLineChars="0"/>
              <w:rPr>
                <w:szCs w:val="24"/>
              </w:rPr>
            </w:pPr>
            <w:r>
              <w:rPr>
                <w:position w:val="-16"/>
                <w:szCs w:val="24"/>
              </w:rPr>
              <w:object>
                <v:shape id="_x0000_i1101" o:spt="75" type="#_x0000_t75" style="height:22.65pt;width:178.35pt;" o:ole="t" filled="f" o:preferrelative="t" stroked="f" coordsize="21600,21600">
                  <v:path/>
                  <v:fill on="f" focussize="0,0"/>
                  <v:stroke on="f" joinstyle="miter"/>
                  <v:imagedata r:id="rId211" o:title=""/>
                  <o:lock v:ext="edit" aspectratio="t"/>
                  <w10:wrap type="none"/>
                  <w10:anchorlock/>
                </v:shape>
                <o:OLEObject Type="Embed" ProgID="Equation.DSMT4" ShapeID="_x0000_i1101" DrawAspect="Content" ObjectID="_1468075801" r:id="rId210">
                  <o:LockedField>false</o:LockedField>
                </o:OLEObject>
              </w:object>
            </w:r>
          </w:p>
          <w:p w14:paraId="6B9ED2DF">
            <w:pPr>
              <w:pStyle w:val="48"/>
              <w:snapToGrid w:val="0"/>
              <w:ind w:firstLine="0" w:firstLineChars="0"/>
              <w:rPr>
                <w:sz w:val="24"/>
                <w:szCs w:val="24"/>
              </w:rPr>
            </w:pPr>
            <w:r>
              <w:rPr>
                <w:position w:val="-12"/>
                <w:szCs w:val="24"/>
              </w:rPr>
              <w:object>
                <v:shape id="_x0000_i1102" o:spt="75" type="#_x0000_t75" style="height:19.35pt;width:130.65pt;" o:ole="t" filled="f" o:preferrelative="t" stroked="f" coordsize="21600,21600">
                  <v:path/>
                  <v:fill on="f" focussize="0,0"/>
                  <v:stroke on="f" joinstyle="miter"/>
                  <v:imagedata r:id="rId213" o:title=""/>
                  <o:lock v:ext="edit" aspectratio="t"/>
                  <w10:wrap type="none"/>
                  <w10:anchorlock/>
                </v:shape>
                <o:OLEObject Type="Embed" ProgID="Equation.DSMT4" ShapeID="_x0000_i1102" DrawAspect="Content" ObjectID="_1468075802" r:id="rId212">
                  <o:LockedField>false</o:LockedField>
                </o:OLEObject>
              </w:object>
            </w:r>
          </w:p>
        </w:tc>
      </w:tr>
      <w:tr w14:paraId="224B28B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63FD52DA">
            <w:pPr>
              <w:pStyle w:val="48"/>
              <w:snapToGrid w:val="0"/>
              <w:ind w:firstLine="0" w:firstLineChars="0"/>
              <w:rPr>
                <w:sz w:val="24"/>
                <w:szCs w:val="24"/>
              </w:rPr>
            </w:pPr>
            <w:r>
              <w:rPr>
                <w:rFonts w:hint="eastAsia"/>
                <w:szCs w:val="24"/>
              </w:rPr>
              <w:t>(7)</w:t>
            </w:r>
            <w:r>
              <w:t xml:space="preserve"> </w:t>
            </w:r>
            <w:r>
              <w:rPr>
                <w:szCs w:val="24"/>
              </w:rPr>
              <w:t>Compute wheel–pavement interaction forces and update runway loads.</w:t>
            </w:r>
          </w:p>
        </w:tc>
      </w:tr>
      <w:tr w14:paraId="357A114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6AB39CE4">
            <w:pPr>
              <w:pStyle w:val="48"/>
              <w:snapToGrid w:val="0"/>
              <w:ind w:firstLine="0" w:firstLineChars="0"/>
              <w:rPr>
                <w:szCs w:val="24"/>
              </w:rPr>
            </w:pPr>
            <w:r>
              <w:rPr>
                <w:rFonts w:hint="eastAsia"/>
                <w:szCs w:val="24"/>
              </w:rPr>
              <w:t>(8)</w:t>
            </w:r>
            <w:r>
              <w:t xml:space="preserve"> </w:t>
            </w:r>
            <w:r>
              <w:rPr>
                <w:szCs w:val="24"/>
              </w:rPr>
              <w:t>Solve runway dynamic response.</w:t>
            </w:r>
          </w:p>
          <w:p w14:paraId="241D076B">
            <w:pPr>
              <w:pStyle w:val="48"/>
              <w:snapToGrid w:val="0"/>
              <w:ind w:firstLine="0" w:firstLineChars="0"/>
              <w:rPr>
                <w:szCs w:val="24"/>
              </w:rPr>
            </w:pPr>
            <w:r>
              <w:rPr>
                <w:position w:val="-16"/>
                <w:szCs w:val="24"/>
              </w:rPr>
              <w:object>
                <v:shape id="_x0000_i1103" o:spt="75" type="#_x0000_t75" style="height:22.65pt;width:100.65pt;" o:ole="t" filled="f" o:preferrelative="t" stroked="f" coordsize="21600,21600">
                  <v:path/>
                  <v:fill on="f" focussize="0,0"/>
                  <v:stroke on="f" joinstyle="miter"/>
                  <v:imagedata r:id="rId215" o:title=""/>
                  <o:lock v:ext="edit" aspectratio="t"/>
                  <w10:wrap type="none"/>
                  <w10:anchorlock/>
                </v:shape>
                <o:OLEObject Type="Embed" ProgID="Equation.DSMT4" ShapeID="_x0000_i1103" DrawAspect="Content" ObjectID="_1468075803" r:id="rId214">
                  <o:LockedField>false</o:LockedField>
                </o:OLEObject>
              </w:object>
            </w:r>
          </w:p>
          <w:p w14:paraId="72C111CB">
            <w:pPr>
              <w:pStyle w:val="48"/>
              <w:snapToGrid w:val="0"/>
              <w:ind w:firstLine="0" w:firstLineChars="0"/>
              <w:rPr>
                <w:szCs w:val="24"/>
              </w:rPr>
            </w:pPr>
            <w:r>
              <w:rPr>
                <w:position w:val="-16"/>
                <w:szCs w:val="24"/>
              </w:rPr>
              <w:object>
                <v:shape id="_x0000_i1104" o:spt="75" type="#_x0000_t75" style="height:22.65pt;width:178.35pt;" o:ole="t" filled="f" o:preferrelative="t" stroked="f" coordsize="21600,21600">
                  <v:path/>
                  <v:fill on="f" focussize="0,0"/>
                  <v:stroke on="f" joinstyle="miter"/>
                  <v:imagedata r:id="rId217" o:title=""/>
                  <o:lock v:ext="edit" aspectratio="t"/>
                  <w10:wrap type="none"/>
                  <w10:anchorlock/>
                </v:shape>
                <o:OLEObject Type="Embed" ProgID="Equation.DSMT4" ShapeID="_x0000_i1104" DrawAspect="Content" ObjectID="_1468075804" r:id="rId216">
                  <o:LockedField>false</o:LockedField>
                </o:OLEObject>
              </w:object>
            </w:r>
          </w:p>
          <w:p w14:paraId="39675E0F">
            <w:pPr>
              <w:pStyle w:val="48"/>
              <w:snapToGrid w:val="0"/>
              <w:ind w:firstLine="0" w:firstLineChars="0"/>
              <w:rPr>
                <w:sz w:val="24"/>
                <w:szCs w:val="24"/>
              </w:rPr>
            </w:pPr>
            <w:r>
              <w:rPr>
                <w:position w:val="-12"/>
                <w:szCs w:val="24"/>
              </w:rPr>
              <w:object>
                <v:shape id="_x0000_i1105" o:spt="75" type="#_x0000_t75" style="height:19.35pt;width:130.65pt;" o:ole="t" filled="f" o:preferrelative="t" stroked="f" coordsize="21600,21600">
                  <v:path/>
                  <v:fill on="f" focussize="0,0"/>
                  <v:stroke on="f" joinstyle="miter"/>
                  <v:imagedata r:id="rId219" o:title=""/>
                  <o:lock v:ext="edit" aspectratio="t"/>
                  <w10:wrap type="none"/>
                  <w10:anchorlock/>
                </v:shape>
                <o:OLEObject Type="Embed" ProgID="Equation.DSMT4" ShapeID="_x0000_i1105" DrawAspect="Content" ObjectID="_1468075805" r:id="rId218">
                  <o:LockedField>false</o:LockedField>
                </o:OLEObject>
              </w:object>
            </w:r>
          </w:p>
        </w:tc>
      </w:tr>
      <w:tr w14:paraId="23C7F10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6" w:space="0"/>
              <w:right w:val="nil"/>
              <w:tl2br w:val="nil"/>
              <w:tr2bl w:val="nil"/>
            </w:tcBorders>
          </w:tcPr>
          <w:p w14:paraId="0EA629AA">
            <w:pPr>
              <w:pStyle w:val="48"/>
              <w:snapToGrid w:val="0"/>
              <w:ind w:firstLine="0" w:firstLineChars="0"/>
              <w:rPr>
                <w:sz w:val="24"/>
                <w:szCs w:val="24"/>
              </w:rPr>
            </w:pPr>
            <w:r>
              <w:rPr>
                <w:rFonts w:hint="eastAsia"/>
                <w:szCs w:val="24"/>
              </w:rPr>
              <w:t>(9)</w:t>
            </w:r>
            <w:r>
              <w:t xml:space="preserve"> </w:t>
            </w:r>
            <w:r>
              <w:rPr>
                <w:szCs w:val="24"/>
              </w:rPr>
              <w:t>Check convergence based on pavement displacement difference.</w:t>
            </w:r>
          </w:p>
        </w:tc>
      </w:tr>
      <w:tr w14:paraId="3E6D4649">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tcBorders>
              <w:top w:val="single" w:color="auto" w:sz="6" w:space="0"/>
              <w:left w:val="nil"/>
              <w:bottom w:val="single" w:color="auto" w:sz="12" w:space="0"/>
              <w:right w:val="nil"/>
              <w:tl2br w:val="nil"/>
              <w:tr2bl w:val="nil"/>
            </w:tcBorders>
          </w:tcPr>
          <w:p w14:paraId="482FE9D5">
            <w:pPr>
              <w:pStyle w:val="48"/>
              <w:snapToGrid w:val="0"/>
              <w:ind w:firstLine="0" w:firstLineChars="0"/>
              <w:rPr>
                <w:sz w:val="24"/>
                <w:szCs w:val="24"/>
              </w:rPr>
            </w:pPr>
            <w:r>
              <w:rPr>
                <w:rFonts w:hint="eastAsia"/>
                <w:szCs w:val="24"/>
              </w:rPr>
              <w:t>(10)</w:t>
            </w:r>
            <w:r>
              <w:t xml:space="preserve"> </w:t>
            </w:r>
            <w:r>
              <w:rPr>
                <w:szCs w:val="24"/>
              </w:rPr>
              <w:t>If converged, proceed to the next time step; otherwise, repeat steps 5–9.</w:t>
            </w:r>
          </w:p>
        </w:tc>
      </w:tr>
    </w:tbl>
    <w:p w14:paraId="5F412ED0">
      <w:pPr>
        <w:pStyle w:val="13"/>
        <w:spacing w:line="360" w:lineRule="auto"/>
        <w:ind w:firstLine="0" w:firstLineChars="0"/>
        <w:rPr>
          <w:sz w:val="24"/>
          <w:szCs w:val="24"/>
        </w:rPr>
      </w:pPr>
    </w:p>
    <w:p w14:paraId="142AB7E1">
      <w:pPr>
        <w:pStyle w:val="4"/>
        <w:ind w:firstLine="482"/>
      </w:pPr>
      <w:r>
        <w:t>14.1.4 Energy Dissipation of the Aircraft–Runway Coupled System</w:t>
      </w:r>
    </w:p>
    <w:p w14:paraId="4D3D6238">
      <w:pPr>
        <w:widowControl/>
        <w:spacing w:line="480" w:lineRule="auto"/>
        <w:jc w:val="left"/>
        <w:rPr>
          <w:sz w:val="24"/>
          <w:szCs w:val="24"/>
        </w:rPr>
      </w:pPr>
      <w:r>
        <w:rPr>
          <w:kern w:val="0"/>
          <w:sz w:val="24"/>
          <w:szCs w:val="24"/>
          <w:lang w:bidi="ar"/>
        </w:rPr>
        <w:t>(1) Aircraft Energy Dissipation</w:t>
      </w:r>
    </w:p>
    <w:p w14:paraId="5AA9D021">
      <w:pPr>
        <w:pStyle w:val="48"/>
        <w:ind w:firstLine="420"/>
        <w:rPr>
          <w:szCs w:val="24"/>
        </w:rPr>
      </w:pPr>
      <w:r>
        <w:rPr>
          <w:szCs w:val="24"/>
        </w:rPr>
        <w:t>The energy dissipation power of the aircraft shock absorbers and tires is calculated as the product of the damping coefficient and the square of the corresponding relative velocity:</w:t>
      </w:r>
    </w:p>
    <w:p w14:paraId="7DD0FCBB">
      <w:pPr>
        <w:pStyle w:val="21"/>
        <w:ind w:firstLine="482"/>
        <w:rPr>
          <w:rStyle w:val="51"/>
          <w:rFonts w:eastAsia="宋体"/>
          <w:b w:val="0"/>
          <w:bCs/>
          <w:szCs w:val="24"/>
        </w:rPr>
      </w:pPr>
      <w:r>
        <w:rPr>
          <w:kern w:val="0"/>
          <w:szCs w:val="24"/>
          <w:lang w:bidi="ar"/>
        </w:rPr>
        <w:tab/>
      </w:r>
      <w:r>
        <w:rPr>
          <w:kern w:val="0"/>
          <w:szCs w:val="24"/>
          <w:lang w:bidi="ar"/>
        </w:rPr>
        <w:object>
          <v:shape id="_x0000_i1106" o:spt="75" type="#_x0000_t75" style="height:19.35pt;width:55.35pt;" o:ole="t" filled="f" o:preferrelative="t" stroked="f" coordsize="21600,21600">
            <v:path/>
            <v:fill on="f" focussize="0,0"/>
            <v:stroke on="f" joinstyle="miter"/>
            <v:imagedata r:id="rId221" o:title=""/>
            <o:lock v:ext="edit" aspectratio="t"/>
            <w10:wrap type="none"/>
            <w10:anchorlock/>
          </v:shape>
          <o:OLEObject Type="Embed" ProgID="Equation.DSMT4" ShapeID="_x0000_i1106" DrawAspect="Content" ObjectID="_1468075806" r:id="rId220">
            <o:LockedField>false</o:LockedField>
          </o:OLEObject>
        </w:object>
      </w:r>
      <w:r>
        <w:rPr>
          <w:kern w:val="0"/>
          <w:szCs w:val="24"/>
          <w:lang w:bidi="ar"/>
        </w:rPr>
        <w:tab/>
      </w:r>
      <w:r>
        <w:rPr>
          <w:rStyle w:val="51"/>
          <w:rFonts w:eastAsia="宋体"/>
          <w:b w:val="0"/>
          <w:bCs/>
          <w:szCs w:val="24"/>
        </w:rPr>
        <w:t>(</w:t>
      </w:r>
      <w:r>
        <w:rPr>
          <w:rStyle w:val="51"/>
          <w:rFonts w:hint="eastAsia"/>
          <w:b w:val="0"/>
          <w:bCs/>
          <w:szCs w:val="24"/>
        </w:rPr>
        <w:t>S</w:t>
      </w:r>
      <w:r>
        <w:rPr>
          <w:rStyle w:val="51"/>
          <w:rFonts w:eastAsia="宋体"/>
          <w:b w:val="0"/>
          <w:bCs/>
          <w:szCs w:val="24"/>
        </w:rPr>
        <w:t>14.</w:t>
      </w:r>
      <w:r>
        <w:rPr>
          <w:rStyle w:val="51"/>
          <w:rFonts w:hint="eastAsia" w:eastAsia="宋体"/>
          <w:b w:val="0"/>
          <w:bCs/>
          <w:szCs w:val="24"/>
        </w:rPr>
        <w:t>36</w:t>
      </w:r>
      <w:r>
        <w:rPr>
          <w:rStyle w:val="51"/>
          <w:rFonts w:eastAsia="宋体"/>
          <w:b w:val="0"/>
          <w:bCs/>
          <w:szCs w:val="24"/>
        </w:rPr>
        <w:t>)</w:t>
      </w:r>
    </w:p>
    <w:p w14:paraId="3D433080">
      <w:pPr>
        <w:pStyle w:val="21"/>
        <w:ind w:firstLine="482"/>
        <w:rPr>
          <w:rStyle w:val="51"/>
          <w:b w:val="0"/>
          <w:bCs/>
        </w:rPr>
      </w:pPr>
      <w:r>
        <w:rPr>
          <w:kern w:val="0"/>
          <w:szCs w:val="24"/>
          <w:lang w:bidi="ar"/>
        </w:rPr>
        <w:drawing>
          <wp:inline distT="0" distB="0" distL="114300" distR="114300">
            <wp:extent cx="132715" cy="200660"/>
            <wp:effectExtent l="0" t="0" r="0" b="0"/>
            <wp:docPr id="74" name="图片 355"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55" descr="IMG_376"/>
                    <pic:cNvPicPr>
                      <a:picLocks noChangeAspect="1"/>
                    </pic:cNvPicPr>
                  </pic:nvPicPr>
                  <pic:blipFill>
                    <a:blip r:embed="rId222"/>
                    <a:stretch>
                      <a:fillRect/>
                    </a:stretch>
                  </pic:blipFill>
                  <pic:spPr>
                    <a:xfrm>
                      <a:off x="0" y="0"/>
                      <a:ext cx="132715" cy="200660"/>
                    </a:xfrm>
                    <a:prstGeom prst="rect">
                      <a:avLst/>
                    </a:prstGeom>
                    <a:noFill/>
                    <a:ln>
                      <a:noFill/>
                    </a:ln>
                  </pic:spPr>
                </pic:pic>
              </a:graphicData>
            </a:graphic>
          </wp:inline>
        </w:drawing>
      </w:r>
      <w:r>
        <w:rPr>
          <w:kern w:val="0"/>
          <w:szCs w:val="24"/>
          <w:lang w:bidi="ar"/>
        </w:rPr>
        <w:tab/>
      </w:r>
      <w:r>
        <w:rPr>
          <w:kern w:val="0"/>
          <w:position w:val="-34"/>
          <w:szCs w:val="24"/>
          <w:lang w:bidi="ar"/>
          <w14:ligatures w14:val="none"/>
        </w:rPr>
        <w:object>
          <v:shape id="_x0000_i1107" o:spt="75" type="#_x0000_t75" style="height:40.35pt;width:307.35pt;" o:ole="t" filled="f" o:preferrelative="t" stroked="f" coordsize="21600,21600">
            <v:path/>
            <v:fill on="f" focussize="0,0"/>
            <v:stroke on="f" joinstyle="miter"/>
            <v:imagedata r:id="rId224" o:title=""/>
            <o:lock v:ext="edit" aspectratio="t"/>
            <w10:wrap type="none"/>
            <w10:anchorlock/>
          </v:shape>
          <o:OLEObject Type="Embed" ProgID="Equation.DSMT4" ShapeID="_x0000_i1107" DrawAspect="Content" ObjectID="_1468075807" r:id="rId223">
            <o:LockedField>false</o:LockedField>
          </o:OLEObject>
        </w:object>
      </w:r>
      <w:r>
        <w:rPr>
          <w:kern w:val="0"/>
          <w:szCs w:val="24"/>
          <w:lang w:bidi="ar"/>
        </w:rPr>
        <w:tab/>
      </w:r>
      <w:r>
        <w:rPr>
          <w:rStyle w:val="51"/>
          <w:b w:val="0"/>
          <w:bCs/>
        </w:rPr>
        <w:t>(</w:t>
      </w:r>
      <w:r>
        <w:rPr>
          <w:rStyle w:val="51"/>
          <w:rFonts w:hint="eastAsia" w:eastAsia="宋体"/>
          <w:b w:val="0"/>
          <w:bCs/>
        </w:rPr>
        <w:t>S</w:t>
      </w:r>
      <w:r>
        <w:rPr>
          <w:rStyle w:val="51"/>
          <w:b w:val="0"/>
          <w:bCs/>
        </w:rPr>
        <w:t>14.</w:t>
      </w:r>
      <w:r>
        <w:rPr>
          <w:rStyle w:val="51"/>
          <w:rFonts w:hint="eastAsia" w:eastAsia="宋体"/>
          <w:b w:val="0"/>
          <w:bCs/>
        </w:rPr>
        <w:t>37</w:t>
      </w:r>
      <w:r>
        <w:rPr>
          <w:rStyle w:val="51"/>
          <w:b w:val="0"/>
          <w:bCs/>
        </w:rPr>
        <w:t>)</w:t>
      </w:r>
    </w:p>
    <w:p w14:paraId="2A4B4A8A">
      <w:pPr>
        <w:pStyle w:val="21"/>
        <w:ind w:firstLine="482"/>
        <w:rPr>
          <w:rFonts w:eastAsia="宋体"/>
          <w:b w:val="0"/>
          <w:kern w:val="0"/>
          <w:szCs w:val="24"/>
          <w:lang w:bidi="ar"/>
        </w:rPr>
      </w:pPr>
      <w:r>
        <w:rPr>
          <w:kern w:val="0"/>
          <w:szCs w:val="24"/>
          <w:lang w:bidi="ar"/>
        </w:rPr>
        <w:tab/>
      </w:r>
      <w:r>
        <w:rPr>
          <w:kern w:val="0"/>
          <w:position w:val="-34"/>
          <w:szCs w:val="24"/>
          <w:lang w:bidi="ar"/>
          <w14:ligatures w14:val="none"/>
        </w:rPr>
        <w:object>
          <v:shape id="_x0000_i1108" o:spt="75" type="#_x0000_t75" style="height:40.35pt;width:295.35pt;" o:ole="t" filled="f" o:preferrelative="t" stroked="f" coordsize="21600,21600">
            <v:path/>
            <v:fill on="f" focussize="0,0"/>
            <v:stroke on="f" joinstyle="miter"/>
            <v:imagedata r:id="rId226" o:title=""/>
            <o:lock v:ext="edit" aspectratio="t"/>
            <w10:wrap type="none"/>
            <w10:anchorlock/>
          </v:shape>
          <o:OLEObject Type="Embed" ProgID="Equation.DSMT4" ShapeID="_x0000_i1108" DrawAspect="Content" ObjectID="_1468075808" r:id="rId225">
            <o:LockedField>false</o:LockedField>
          </o:OLEObject>
        </w:object>
      </w:r>
      <w:r>
        <w:rPr>
          <w:kern w:val="0"/>
          <w:szCs w:val="24"/>
          <w:lang w:bidi="ar"/>
        </w:rPr>
        <w:tab/>
      </w:r>
      <w:r>
        <w:rPr>
          <w:b w:val="0"/>
          <w:kern w:val="0"/>
          <w:szCs w:val="24"/>
          <w:lang w:bidi="ar"/>
        </w:rPr>
        <w:t>(</w:t>
      </w:r>
      <w:r>
        <w:rPr>
          <w:rFonts w:hint="eastAsia" w:eastAsia="宋体"/>
          <w:b w:val="0"/>
          <w:kern w:val="0"/>
          <w:szCs w:val="24"/>
          <w:lang w:bidi="ar"/>
        </w:rPr>
        <w:t>S</w:t>
      </w:r>
      <w:r>
        <w:rPr>
          <w:b w:val="0"/>
          <w:kern w:val="0"/>
          <w:szCs w:val="24"/>
          <w:lang w:bidi="ar"/>
        </w:rPr>
        <w:t>14.</w:t>
      </w:r>
      <w:r>
        <w:rPr>
          <w:rFonts w:hint="eastAsia" w:eastAsia="宋体"/>
          <w:b w:val="0"/>
          <w:kern w:val="0"/>
          <w:szCs w:val="24"/>
          <w:lang w:bidi="ar"/>
        </w:rPr>
        <w:t>38</w:t>
      </w:r>
      <w:r>
        <w:rPr>
          <w:b w:val="0"/>
          <w:kern w:val="0"/>
          <w:szCs w:val="24"/>
          <w:lang w:bidi="ar"/>
        </w:rPr>
        <w:t>)</w:t>
      </w:r>
    </w:p>
    <w:p w14:paraId="02D75845">
      <w:pPr>
        <w:pStyle w:val="48"/>
        <w:ind w:firstLine="0" w:firstLineChars="0"/>
        <w:rPr>
          <w:szCs w:val="24"/>
        </w:rPr>
      </w:pPr>
      <w:r>
        <w:rPr>
          <w:szCs w:val="24"/>
        </w:rPr>
        <w:t xml:space="preserve">where </w:t>
      </w:r>
      <w:r>
        <w:rPr>
          <w:i/>
          <w:szCs w:val="24"/>
          <w:lang w:bidi="ar"/>
        </w:rPr>
        <w:t>P</w:t>
      </w:r>
      <w:r>
        <w:rPr>
          <w:szCs w:val="24"/>
          <w:vertAlign w:val="subscript"/>
          <w:lang w:bidi="ar"/>
        </w:rPr>
        <w:t>a</w:t>
      </w:r>
      <w:r>
        <w:rPr>
          <w:rFonts w:hint="eastAsia"/>
          <w:szCs w:val="24"/>
          <w:lang w:bidi="ar"/>
        </w:rPr>
        <w:t>、</w:t>
      </w:r>
      <w:r>
        <w:rPr>
          <w:i/>
          <w:szCs w:val="24"/>
          <w:lang w:bidi="ar"/>
        </w:rPr>
        <w:t>P</w:t>
      </w:r>
      <w:r>
        <w:rPr>
          <w:szCs w:val="24"/>
          <w:vertAlign w:val="subscript"/>
          <w:lang w:bidi="ar"/>
        </w:rPr>
        <w:t>s</w:t>
      </w:r>
      <w:r>
        <w:rPr>
          <w:rFonts w:hint="eastAsia"/>
          <w:szCs w:val="24"/>
          <w:lang w:bidi="ar"/>
        </w:rPr>
        <w:t>、</w:t>
      </w:r>
      <w:r>
        <w:rPr>
          <w:i/>
          <w:szCs w:val="24"/>
          <w:lang w:bidi="ar"/>
        </w:rPr>
        <w:t>P</w:t>
      </w:r>
      <w:r>
        <w:rPr>
          <w:szCs w:val="24"/>
          <w:vertAlign w:val="subscript"/>
          <w:lang w:bidi="ar"/>
        </w:rPr>
        <w:t>t</w:t>
      </w:r>
      <w:r>
        <w:rPr>
          <w:rFonts w:hint="eastAsia"/>
          <w:szCs w:val="24"/>
        </w:rPr>
        <w:t xml:space="preserve"> </w:t>
      </w:r>
      <w:r>
        <w:rPr>
          <w:szCs w:val="24"/>
        </w:rPr>
        <w:t xml:space="preserve">denote the total aircraft dissipation power, the shock absorber dissipation power, and the tire dissipation power, respectively. </w:t>
      </w:r>
      <w:r>
        <w:rPr>
          <w:rFonts w:ascii="Cambria" w:hAnsi="Cambria" w:cs="Cambria"/>
          <w:i/>
          <w:szCs w:val="24"/>
          <w:lang w:bidi="ar"/>
        </w:rPr>
        <w:t xml:space="preserve"> ż</w:t>
      </w:r>
      <w:r>
        <w:rPr>
          <w:szCs w:val="24"/>
          <w:vertAlign w:val="subscript"/>
          <w:lang w:bidi="ar"/>
        </w:rPr>
        <w:t>s1</w:t>
      </w:r>
      <w:r>
        <w:rPr>
          <w:rFonts w:hint="eastAsia"/>
          <w:szCs w:val="24"/>
          <w:lang w:bidi="ar"/>
        </w:rPr>
        <w:t>、</w:t>
      </w:r>
      <w:r>
        <w:rPr>
          <w:rFonts w:ascii="Cambria" w:hAnsi="Cambria" w:cs="Cambria"/>
          <w:i/>
          <w:szCs w:val="24"/>
          <w:lang w:bidi="ar"/>
        </w:rPr>
        <w:t>ż</w:t>
      </w:r>
      <w:r>
        <w:rPr>
          <w:szCs w:val="24"/>
          <w:vertAlign w:val="subscript"/>
          <w:lang w:bidi="ar"/>
        </w:rPr>
        <w:t>s2</w:t>
      </w:r>
      <w:r>
        <w:rPr>
          <w:rFonts w:hint="eastAsia"/>
          <w:szCs w:val="24"/>
          <w:lang w:bidi="ar"/>
        </w:rPr>
        <w:t>、</w:t>
      </w:r>
      <w:r>
        <w:rPr>
          <w:rFonts w:ascii="Cambria" w:hAnsi="Cambria" w:cs="Cambria"/>
          <w:i/>
          <w:szCs w:val="24"/>
          <w:lang w:bidi="ar"/>
        </w:rPr>
        <w:t>ż</w:t>
      </w:r>
      <w:r>
        <w:rPr>
          <w:szCs w:val="24"/>
          <w:vertAlign w:val="subscript"/>
          <w:lang w:bidi="ar"/>
        </w:rPr>
        <w:t>s3</w:t>
      </w:r>
      <w:r>
        <w:rPr>
          <w:rFonts w:hint="eastAsia"/>
          <w:szCs w:val="24"/>
          <w:lang w:bidi="ar"/>
        </w:rPr>
        <w:t>、</w:t>
      </w:r>
      <w:r>
        <w:rPr>
          <w:rFonts w:ascii="Cambria" w:hAnsi="Cambria" w:cs="Cambria"/>
          <w:i/>
          <w:szCs w:val="24"/>
          <w:lang w:bidi="ar"/>
        </w:rPr>
        <w:t>ż</w:t>
      </w:r>
      <w:r>
        <w:rPr>
          <w:szCs w:val="24"/>
          <w:vertAlign w:val="subscript"/>
          <w:lang w:bidi="ar"/>
        </w:rPr>
        <w:t>s4</w:t>
      </w:r>
      <w:r>
        <w:rPr>
          <w:rFonts w:hint="eastAsia"/>
          <w:szCs w:val="24"/>
          <w:lang w:bidi="ar"/>
        </w:rPr>
        <w:t>、</w:t>
      </w:r>
      <w:r>
        <w:rPr>
          <w:rFonts w:ascii="Cambria" w:hAnsi="Cambria" w:cs="Cambria"/>
          <w:i/>
          <w:szCs w:val="24"/>
          <w:lang w:bidi="ar"/>
        </w:rPr>
        <w:t>ż</w:t>
      </w:r>
      <w:r>
        <w:rPr>
          <w:szCs w:val="24"/>
          <w:vertAlign w:val="subscript"/>
          <w:lang w:bidi="ar"/>
        </w:rPr>
        <w:t>s5</w:t>
      </w:r>
      <w:r>
        <w:rPr>
          <w:rFonts w:hint="eastAsia"/>
          <w:szCs w:val="24"/>
        </w:rPr>
        <w:t xml:space="preserve"> </w:t>
      </w:r>
      <w:r>
        <w:rPr>
          <w:szCs w:val="24"/>
        </w:rPr>
        <w:t xml:space="preserve">represent the relative velocities of the landing gear shock absorbers, and </w:t>
      </w:r>
      <w:r>
        <w:rPr>
          <w:rFonts w:ascii="Cambria" w:hAnsi="Cambria" w:cs="Cambria"/>
          <w:i/>
          <w:szCs w:val="24"/>
          <w:lang w:bidi="ar"/>
        </w:rPr>
        <w:t>ż</w:t>
      </w:r>
      <w:r>
        <w:rPr>
          <w:szCs w:val="24"/>
          <w:vertAlign w:val="subscript"/>
          <w:lang w:bidi="ar"/>
        </w:rPr>
        <w:t>t1</w:t>
      </w:r>
      <w:r>
        <w:rPr>
          <w:rFonts w:hint="eastAsia"/>
          <w:szCs w:val="24"/>
          <w:lang w:bidi="ar"/>
        </w:rPr>
        <w:t>、</w:t>
      </w:r>
      <w:r>
        <w:rPr>
          <w:rFonts w:ascii="Cambria" w:hAnsi="Cambria" w:cs="Cambria"/>
          <w:i/>
          <w:szCs w:val="24"/>
          <w:lang w:bidi="ar"/>
        </w:rPr>
        <w:t>ż</w:t>
      </w:r>
      <w:r>
        <w:rPr>
          <w:szCs w:val="24"/>
          <w:vertAlign w:val="subscript"/>
          <w:lang w:bidi="ar"/>
        </w:rPr>
        <w:t>t2</w:t>
      </w:r>
      <w:r>
        <w:rPr>
          <w:rFonts w:hint="eastAsia"/>
          <w:szCs w:val="24"/>
          <w:lang w:bidi="ar"/>
        </w:rPr>
        <w:t>、</w:t>
      </w:r>
      <w:r>
        <w:rPr>
          <w:rFonts w:ascii="Cambria" w:hAnsi="Cambria" w:cs="Cambria"/>
          <w:i/>
          <w:szCs w:val="24"/>
          <w:lang w:bidi="ar"/>
        </w:rPr>
        <w:t>ż</w:t>
      </w:r>
      <w:r>
        <w:rPr>
          <w:szCs w:val="24"/>
          <w:vertAlign w:val="subscript"/>
          <w:lang w:bidi="ar"/>
        </w:rPr>
        <w:t>t3</w:t>
      </w:r>
      <w:r>
        <w:rPr>
          <w:rFonts w:hint="eastAsia"/>
          <w:szCs w:val="24"/>
          <w:lang w:bidi="ar"/>
        </w:rPr>
        <w:t>、</w:t>
      </w:r>
      <w:r>
        <w:rPr>
          <w:rFonts w:ascii="Cambria" w:hAnsi="Cambria" w:cs="Cambria"/>
          <w:i/>
          <w:szCs w:val="24"/>
          <w:lang w:bidi="ar"/>
        </w:rPr>
        <w:t>ż</w:t>
      </w:r>
      <w:r>
        <w:rPr>
          <w:szCs w:val="24"/>
          <w:vertAlign w:val="subscript"/>
          <w:lang w:bidi="ar"/>
        </w:rPr>
        <w:t>t4</w:t>
      </w:r>
      <w:r>
        <w:rPr>
          <w:rFonts w:hint="eastAsia"/>
          <w:szCs w:val="24"/>
          <w:lang w:bidi="ar"/>
        </w:rPr>
        <w:t>、</w:t>
      </w:r>
      <w:r>
        <w:rPr>
          <w:rFonts w:ascii="Cambria" w:hAnsi="Cambria" w:cs="Cambria"/>
          <w:i/>
          <w:szCs w:val="24"/>
          <w:lang w:bidi="ar"/>
        </w:rPr>
        <w:t>ż</w:t>
      </w:r>
      <w:r>
        <w:rPr>
          <w:szCs w:val="24"/>
          <w:vertAlign w:val="subscript"/>
          <w:lang w:bidi="ar"/>
        </w:rPr>
        <w:t>t5</w:t>
      </w:r>
      <w:r>
        <w:rPr>
          <w:rFonts w:hint="eastAsia"/>
          <w:szCs w:val="24"/>
        </w:rPr>
        <w:t xml:space="preserve"> </w:t>
      </w:r>
      <w:r>
        <w:rPr>
          <w:szCs w:val="24"/>
        </w:rPr>
        <w:t>represent the relative velocities of the tires, obtained from the aircraft–runway coupled dynamic model under runway roughness excitation.</w:t>
      </w:r>
    </w:p>
    <w:p w14:paraId="33374454">
      <w:pPr>
        <w:pStyle w:val="13"/>
        <w:spacing w:line="480" w:lineRule="auto"/>
        <w:rPr>
          <w:sz w:val="24"/>
          <w:szCs w:val="24"/>
        </w:rPr>
      </w:pPr>
      <w:r>
        <w:rPr>
          <w:kern w:val="0"/>
          <w:sz w:val="24"/>
          <w:szCs w:val="24"/>
          <w:lang w:bidi="ar"/>
        </w:rPr>
        <w:t>(2) Runway Energy Dissipation</w:t>
      </w:r>
    </w:p>
    <w:p w14:paraId="3AC9F5C5">
      <w:pPr>
        <w:pStyle w:val="48"/>
        <w:ind w:firstLine="420"/>
        <w:rPr>
          <w:szCs w:val="24"/>
        </w:rPr>
      </w:pPr>
      <w:r>
        <w:rPr>
          <w:szCs w:val="24"/>
        </w:rPr>
        <w:t>The energy dissipation power of the runway structure is expressed as:</w:t>
      </w:r>
    </w:p>
    <w:p w14:paraId="7757E849">
      <w:pPr>
        <w:pStyle w:val="13"/>
        <w:tabs>
          <w:tab w:val="center" w:pos="4156"/>
          <w:tab w:val="right" w:pos="8312"/>
        </w:tabs>
        <w:ind w:firstLine="422"/>
        <w:rPr>
          <w:rStyle w:val="51"/>
          <w:rFonts w:eastAsia="宋体"/>
          <w:b w:val="0"/>
          <w:szCs w:val="24"/>
        </w:rPr>
      </w:pPr>
      <w:r>
        <w:rPr>
          <w:rFonts w:hint="eastAsia"/>
          <w:b/>
          <w:kern w:val="2"/>
          <w:position w:val="-18"/>
          <w:szCs w:val="21"/>
          <w:lang w:bidi="ar"/>
        </w:rPr>
        <w:tab/>
      </w:r>
      <w:r>
        <w:rPr>
          <w:b/>
          <w:kern w:val="2"/>
          <w:position w:val="-16"/>
          <w:szCs w:val="21"/>
          <w:lang w:bidi="ar"/>
        </w:rPr>
        <w:object>
          <v:shape id="_x0000_i1109" o:spt="75" type="#_x0000_t75" style="height:22.65pt;width:94.35pt;" o:ole="t" filled="f" o:preferrelative="t" stroked="f" coordsize="21600,21600">
            <v:path/>
            <v:fill on="f" focussize="0,0"/>
            <v:stroke on="f" joinstyle="miter"/>
            <v:imagedata r:id="rId228" o:title=""/>
            <o:lock v:ext="edit" aspectratio="t"/>
            <w10:wrap type="none"/>
            <w10:anchorlock/>
          </v:shape>
          <o:OLEObject Type="Embed" ProgID="Equation.DSMT4" ShapeID="_x0000_i1109" DrawAspect="Content" ObjectID="_1468075809" r:id="rId227">
            <o:LockedField>false</o:LockedField>
          </o:OLEObject>
        </w:object>
      </w:r>
      <w:r>
        <w:rPr>
          <w:rFonts w:hint="eastAsia"/>
          <w:b/>
          <w:kern w:val="2"/>
          <w:position w:val="-18"/>
          <w:szCs w:val="21"/>
          <w:lang w:bidi="ar"/>
        </w:rPr>
        <w:tab/>
      </w:r>
      <w:r>
        <w:rPr>
          <w:rStyle w:val="51"/>
          <w:rFonts w:hint="eastAsia" w:eastAsia="宋体"/>
          <w:b w:val="0"/>
          <w:szCs w:val="24"/>
        </w:rPr>
        <w:t>(S</w:t>
      </w:r>
      <w:r>
        <w:rPr>
          <w:rStyle w:val="51"/>
          <w:rFonts w:eastAsia="宋体"/>
          <w:b w:val="0"/>
          <w:szCs w:val="24"/>
        </w:rPr>
        <w:t>14.3</w:t>
      </w:r>
      <w:r>
        <w:rPr>
          <w:rStyle w:val="51"/>
          <w:rFonts w:hint="eastAsia" w:eastAsia="宋体"/>
          <w:b w:val="0"/>
          <w:szCs w:val="24"/>
        </w:rPr>
        <w:t>9)</w:t>
      </w:r>
    </w:p>
    <w:p w14:paraId="4D9A8BAA">
      <w:pPr>
        <w:pStyle w:val="13"/>
        <w:tabs>
          <w:tab w:val="center" w:pos="4156"/>
          <w:tab w:val="right" w:pos="8312"/>
        </w:tabs>
        <w:ind w:firstLine="0" w:firstLineChars="0"/>
        <w:rPr>
          <w:rStyle w:val="51"/>
          <w:rFonts w:eastAsia="宋体"/>
          <w:b w:val="0"/>
          <w:bCs w:val="0"/>
          <w:sz w:val="21"/>
          <w:szCs w:val="21"/>
        </w:rPr>
      </w:pPr>
      <w:r>
        <w:rPr>
          <w:rStyle w:val="51"/>
          <w:rFonts w:eastAsia="宋体"/>
          <w:b w:val="0"/>
          <w:bCs w:val="0"/>
          <w:sz w:val="21"/>
          <w:szCs w:val="21"/>
        </w:rPr>
        <w:t>which is calculated from the product of the damping matrix and the velocity vector of the runway system. The dissipation of the pavement layer and subgrade layer is summed to obtain the total runway energy dissipation power.</w:t>
      </w:r>
    </w:p>
    <w:p w14:paraId="47B714EA">
      <w:pPr>
        <w:pStyle w:val="48"/>
        <w:ind w:firstLine="480"/>
        <w:rPr>
          <w:sz w:val="24"/>
          <w:szCs w:val="24"/>
        </w:rPr>
      </w:pPr>
      <w:r>
        <w:rPr>
          <w:sz w:val="24"/>
          <w:szCs w:val="24"/>
        </w:rPr>
        <w:t>(3) Total Energy Dissipation of the Coupled System</w:t>
      </w:r>
    </w:p>
    <w:p w14:paraId="01FCC096">
      <w:pPr>
        <w:pStyle w:val="48"/>
        <w:ind w:firstLine="420"/>
        <w:rPr>
          <w:szCs w:val="24"/>
        </w:rPr>
      </w:pPr>
      <w:r>
        <w:rPr>
          <w:szCs w:val="24"/>
        </w:rPr>
        <w:t>The total energy dissipation of the aircraft–runway coupled system is obtained by integrating the dissipation power over time:</w:t>
      </w:r>
    </w:p>
    <w:p w14:paraId="539D1055">
      <w:pPr>
        <w:pStyle w:val="21"/>
        <w:ind w:firstLine="482"/>
        <w:rPr>
          <w:b w:val="0"/>
          <w:kern w:val="0"/>
          <w:szCs w:val="24"/>
          <w:lang w:bidi="ar"/>
        </w:rPr>
      </w:pPr>
      <w:r>
        <w:rPr>
          <w:kern w:val="0"/>
          <w:szCs w:val="24"/>
          <w:lang w:bidi="ar"/>
        </w:rPr>
        <w:tab/>
      </w:r>
      <w:r>
        <w:rPr>
          <w:kern w:val="0"/>
          <w:position w:val="-28"/>
          <w:szCs w:val="24"/>
          <w:lang w:bidi="ar"/>
          <w14:ligatures w14:val="none"/>
        </w:rPr>
        <w:object>
          <v:shape id="_x0000_i1110" o:spt="75" type="#_x0000_t75" style="height:34.65pt;width:142.65pt;" o:ole="t" filled="f" o:preferrelative="t" stroked="f" coordsize="21600,21600">
            <v:path/>
            <v:fill on="f" focussize="0,0"/>
            <v:stroke on="f" joinstyle="miter"/>
            <v:imagedata r:id="rId230" o:title=""/>
            <o:lock v:ext="edit" aspectratio="t"/>
            <w10:wrap type="none"/>
            <w10:anchorlock/>
          </v:shape>
          <o:OLEObject Type="Embed" ProgID="Equation.DSMT4" ShapeID="_x0000_i1110" DrawAspect="Content" ObjectID="_1468075810" r:id="rId229">
            <o:LockedField>false</o:LockedField>
          </o:OLEObject>
        </w:object>
      </w:r>
      <w:r>
        <w:rPr>
          <w:kern w:val="0"/>
          <w:szCs w:val="24"/>
          <w:lang w:bidi="ar"/>
        </w:rPr>
        <w:tab/>
      </w:r>
      <w:r>
        <w:rPr>
          <w:b w:val="0"/>
          <w:kern w:val="0"/>
          <w:szCs w:val="24"/>
          <w:lang w:bidi="ar"/>
        </w:rPr>
        <w:t>(</w:t>
      </w:r>
      <w:r>
        <w:rPr>
          <w:rFonts w:hint="eastAsia" w:eastAsia="宋体"/>
          <w:b w:val="0"/>
          <w:kern w:val="0"/>
          <w:szCs w:val="24"/>
          <w:lang w:bidi="ar"/>
        </w:rPr>
        <w:t>S</w:t>
      </w:r>
      <w:r>
        <w:rPr>
          <w:b w:val="0"/>
          <w:kern w:val="0"/>
          <w:szCs w:val="24"/>
          <w:lang w:bidi="ar"/>
        </w:rPr>
        <w:t>14.</w:t>
      </w:r>
      <w:r>
        <w:rPr>
          <w:rFonts w:hint="eastAsia" w:eastAsia="宋体"/>
          <w:b w:val="0"/>
          <w:kern w:val="0"/>
          <w:szCs w:val="24"/>
          <w:lang w:bidi="ar"/>
        </w:rPr>
        <w:t>40</w:t>
      </w:r>
      <w:r>
        <w:rPr>
          <w:b w:val="0"/>
          <w:kern w:val="0"/>
          <w:szCs w:val="24"/>
          <w:lang w:bidi="ar"/>
        </w:rPr>
        <w:t>)</w:t>
      </w:r>
    </w:p>
    <w:p w14:paraId="1D70EC8E">
      <w:pPr>
        <w:pStyle w:val="21"/>
        <w:ind w:firstLine="420"/>
        <w:rPr>
          <w:rFonts w:eastAsia="宋体"/>
          <w:b w:val="0"/>
          <w:bCs w:val="0"/>
          <w:sz w:val="21"/>
          <w:szCs w:val="21"/>
        </w:rPr>
      </w:pPr>
      <w:r>
        <w:rPr>
          <w:rFonts w:eastAsia="宋体"/>
          <w:b w:val="0"/>
          <w:bCs w:val="0"/>
          <w:sz w:val="21"/>
          <w:szCs w:val="21"/>
        </w:rPr>
        <w:t>That is, the energy dissipated at each time step is calculated as the product of power and the time increment, and the total energy is obtained by summing over all time steps.</w:t>
      </w:r>
    </w:p>
    <w:p w14:paraId="5217B157">
      <w:pPr>
        <w:pStyle w:val="3"/>
        <w:ind w:firstLine="482"/>
      </w:pPr>
      <w:r>
        <w:t>14.2 Intelligent Surrogate Model for Rapid Energy Dissipation Prediction of the Aircraft–Runway System</w:t>
      </w:r>
    </w:p>
    <w:p w14:paraId="0A144E4C">
      <w:pPr>
        <w:pStyle w:val="13"/>
        <w:ind w:firstLine="420"/>
        <w:rPr>
          <w:bCs/>
          <w:szCs w:val="21"/>
        </w:rPr>
      </w:pPr>
      <w:r>
        <w:rPr>
          <w:bCs/>
          <w:szCs w:val="21"/>
        </w:rPr>
        <w:t>Although the coupled aircraft–runway model developed above can accurately simulate vibration responses and energy dissipation induced by runway roughness, its computational cost is prohibitively high for large-scale assessments involving hundreds of airports, multiple aircraft types, varying structural conditions, and operational scenarios.</w:t>
      </w:r>
    </w:p>
    <w:p w14:paraId="520E0F49">
      <w:pPr>
        <w:pStyle w:val="13"/>
        <w:ind w:firstLine="420"/>
        <w:rPr>
          <w:bCs/>
          <w:szCs w:val="21"/>
        </w:rPr>
      </w:pPr>
      <w:r>
        <w:rPr>
          <w:bCs/>
          <w:szCs w:val="21"/>
        </w:rPr>
        <w:t>To address this limitation, a physics-informed multi-output neural network surrogate model is developed. The model predicts not only the total vibration energy dissipation induced by runway roughness but also its decomposition across key aircraft components (shock absorbers and tires) and runway layers (surface, base, and subgrade). Trained on high-fidelity coupled simulations, the model learns the nonlinear mapping between physical input parameters and energy outputs while incorporating physical constraints to ensure consistency.</w:t>
      </w:r>
    </w:p>
    <w:p w14:paraId="73FE0ED9">
      <w:pPr>
        <w:pStyle w:val="4"/>
        <w:ind w:firstLine="482"/>
      </w:pPr>
      <w:r>
        <w:t>14.2.1 Simulation Dataset and Feature Engineering</w:t>
      </w:r>
    </w:p>
    <w:p w14:paraId="694A6947">
      <w:pPr>
        <w:pStyle w:val="13"/>
        <w:ind w:firstLine="420"/>
        <w:rPr>
          <w:bCs/>
          <w:szCs w:val="21"/>
        </w:rPr>
      </w:pPr>
      <w:r>
        <w:rPr>
          <w:bCs/>
          <w:szCs w:val="21"/>
        </w:rPr>
        <w:t>The surrogate model integrates key physical parameters governing aircraft–runway dynamic interaction, categorized into four groups:</w:t>
      </w:r>
    </w:p>
    <w:p w14:paraId="67D74671">
      <w:pPr>
        <w:pStyle w:val="13"/>
        <w:numPr>
          <w:ilvl w:val="0"/>
          <w:numId w:val="8"/>
        </w:numPr>
        <w:ind w:firstLine="420"/>
        <w:rPr>
          <w:bCs/>
          <w:szCs w:val="21"/>
        </w:rPr>
      </w:pPr>
      <w:r>
        <w:rPr>
          <w:bCs/>
          <w:szCs w:val="21"/>
        </w:rPr>
        <w:t>Runway structural parameters: surface modulus and thickness, base modulus and thickness, subgrade modulus;</w:t>
      </w:r>
    </w:p>
    <w:p w14:paraId="1E1DD2EF">
      <w:pPr>
        <w:pStyle w:val="13"/>
        <w:numPr>
          <w:ilvl w:val="0"/>
          <w:numId w:val="8"/>
        </w:numPr>
        <w:ind w:firstLine="420"/>
        <w:rPr>
          <w:bCs/>
          <w:szCs w:val="21"/>
        </w:rPr>
      </w:pPr>
      <w:r>
        <w:rPr>
          <w:bCs/>
          <w:szCs w:val="21"/>
        </w:rPr>
        <w:t>Roughness excitation parameters: runway roughness profiles beneath each landing gear;</w:t>
      </w:r>
    </w:p>
    <w:p w14:paraId="08197F36">
      <w:pPr>
        <w:pStyle w:val="13"/>
        <w:numPr>
          <w:ilvl w:val="0"/>
          <w:numId w:val="8"/>
        </w:numPr>
        <w:ind w:firstLine="420"/>
        <w:rPr>
          <w:bCs/>
          <w:szCs w:val="21"/>
        </w:rPr>
      </w:pPr>
      <w:r>
        <w:rPr>
          <w:bCs/>
          <w:szCs w:val="21"/>
        </w:rPr>
        <w:t>Aircraft dynamic parameters: sprung mass, pitch and roll inertia, unsprung masses, shock absorber stiffness and damping, tire stiffness and damping;</w:t>
      </w:r>
    </w:p>
    <w:p w14:paraId="58621F73">
      <w:pPr>
        <w:pStyle w:val="13"/>
        <w:numPr>
          <w:ilvl w:val="0"/>
          <w:numId w:val="8"/>
        </w:numPr>
        <w:ind w:firstLine="420"/>
        <w:rPr>
          <w:bCs/>
          <w:szCs w:val="21"/>
        </w:rPr>
      </w:pPr>
      <w:r>
        <w:rPr>
          <w:bCs/>
          <w:szCs w:val="21"/>
        </w:rPr>
        <w:t>Operational parameters: taxi speed and path length.</w:t>
      </w:r>
    </w:p>
    <w:p w14:paraId="7BD9F8B9">
      <w:pPr>
        <w:pStyle w:val="13"/>
        <w:ind w:firstLine="420"/>
        <w:rPr>
          <w:bCs/>
          <w:szCs w:val="21"/>
        </w:rPr>
      </w:pPr>
      <w:r>
        <w:rPr>
          <w:bCs/>
          <w:szCs w:val="21"/>
        </w:rPr>
        <w:t xml:space="preserve">All inputs are normalized to eliminate dimensional and scale disparities. The outputs include: </w:t>
      </w:r>
    </w:p>
    <w:p w14:paraId="1B925B89">
      <w:pPr>
        <w:pStyle w:val="13"/>
        <w:ind w:firstLine="420"/>
        <w:rPr>
          <w:bCs/>
          <w:szCs w:val="21"/>
        </w:rPr>
      </w:pPr>
      <w:r>
        <w:rPr>
          <w:rFonts w:hint="eastAsia"/>
          <w:bCs/>
          <w:szCs w:val="21"/>
        </w:rPr>
        <w:t>t</w:t>
      </w:r>
      <w:r>
        <w:rPr>
          <w:bCs/>
          <w:szCs w:val="21"/>
        </w:rPr>
        <w:t>otal system energy dissipation, and component-wise energy dissipation (including Aircraft: shock absorbers and tires, and runway: surface, base, and subgrade layers).</w:t>
      </w:r>
    </w:p>
    <w:p w14:paraId="523D6286">
      <w:pPr>
        <w:pStyle w:val="13"/>
        <w:ind w:firstLine="420"/>
        <w:rPr>
          <w:bCs/>
          <w:szCs w:val="21"/>
        </w:rPr>
      </w:pPr>
      <w:r>
        <w:rPr>
          <w:bCs/>
          <w:szCs w:val="21"/>
        </w:rPr>
        <w:t>Optimal Latin hypercube sampling (OLHS) is applied to generate uniformly distributed samples in the high-dimensional parameter space. For each sample, time-domain coupled simulations are performed to compute total and component-wise energy dissipation.</w:t>
      </w:r>
    </w:p>
    <w:p w14:paraId="6C4B3A5D">
      <w:pPr>
        <w:pStyle w:val="13"/>
        <w:ind w:firstLine="420"/>
        <w:rPr>
          <w:bCs/>
          <w:szCs w:val="21"/>
        </w:rPr>
      </w:pPr>
      <w:r>
        <w:rPr>
          <w:bCs/>
          <w:szCs w:val="21"/>
        </w:rPr>
        <w:t>The dataset is randomly split into training (70%), validation (15%), and testing (15%) sets.</w:t>
      </w:r>
    </w:p>
    <w:p w14:paraId="79067711">
      <w:pPr>
        <w:pStyle w:val="13"/>
        <w:ind w:firstLine="420"/>
        <w:rPr>
          <w:bCs/>
          <w:szCs w:val="21"/>
        </w:rPr>
      </w:pPr>
    </w:p>
    <w:p w14:paraId="7BE68524">
      <w:pPr>
        <w:pStyle w:val="4"/>
        <w:ind w:firstLine="482"/>
      </w:pPr>
      <w:r>
        <w:t>14.2.2 Physics-Informed Shared–Branch Neural Network Architecture</w:t>
      </w:r>
    </w:p>
    <w:p w14:paraId="1197D4ED">
      <w:pPr>
        <w:ind w:firstLine="420"/>
      </w:pPr>
      <w:r>
        <w:t>To jointly predict total and component energy dissipation while enforcing physical consistency, a multi-output neural network architecture is designed (Fig.</w:t>
      </w:r>
      <w:r>
        <w:rPr>
          <w:rFonts w:hint="eastAsia"/>
        </w:rPr>
        <w:t>S</w:t>
      </w:r>
      <w:r>
        <w:t>14.5). The structure consists of a shared feature encoder followed by specialized prediction branches, with energy conservation imposed as a physical constraint.</w:t>
      </w:r>
    </w:p>
    <w:p w14:paraId="41452590">
      <w:pPr>
        <w:pStyle w:val="13"/>
        <w:ind w:firstLine="0" w:firstLineChars="0"/>
        <w:rPr>
          <w:bCs/>
          <w:szCs w:val="21"/>
        </w:rPr>
      </w:pPr>
      <w:r>
        <w:rPr>
          <w:bCs/>
          <w:szCs w:val="21"/>
          <w:lang w:bidi="ar"/>
        </w:rPr>
        <w:drawing>
          <wp:inline distT="0" distB="0" distL="114300" distR="114300">
            <wp:extent cx="5400040" cy="3378835"/>
            <wp:effectExtent l="0" t="0" r="10160" b="12065"/>
            <wp:docPr id="75" name="图片 75" descr="论文图片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论文图片_10"/>
                    <pic:cNvPicPr>
                      <a:picLocks noChangeAspect="1"/>
                    </pic:cNvPicPr>
                  </pic:nvPicPr>
                  <pic:blipFill>
                    <a:blip r:embed="rId231"/>
                    <a:srcRect l="11900" t="8015" r="17229" b="13159"/>
                    <a:stretch>
                      <a:fillRect/>
                    </a:stretch>
                  </pic:blipFill>
                  <pic:spPr>
                    <a:xfrm>
                      <a:off x="0" y="0"/>
                      <a:ext cx="5400040" cy="3378835"/>
                    </a:xfrm>
                    <a:prstGeom prst="rect">
                      <a:avLst/>
                    </a:prstGeom>
                  </pic:spPr>
                </pic:pic>
              </a:graphicData>
            </a:graphic>
          </wp:inline>
        </w:drawing>
      </w:r>
    </w:p>
    <w:p w14:paraId="63D1981A">
      <w:pPr>
        <w:pStyle w:val="52"/>
      </w:pPr>
      <w:r>
        <w:t>Fig.S14.5. Intelligent surrogate model for rapid estimation of aircraft–runway energy consumption.</w:t>
      </w:r>
    </w:p>
    <w:p w14:paraId="3EC529F8">
      <w:pPr>
        <w:pStyle w:val="13"/>
        <w:ind w:firstLine="420"/>
        <w:rPr>
          <w:bCs/>
          <w:szCs w:val="21"/>
        </w:rPr>
      </w:pPr>
      <w:r>
        <w:rPr>
          <w:bCs/>
          <w:szCs w:val="21"/>
        </w:rPr>
        <w:t>(1) Shared Feature Encoder</w:t>
      </w:r>
    </w:p>
    <w:p w14:paraId="6948DCDA">
      <w:pPr>
        <w:pStyle w:val="13"/>
        <w:ind w:firstLine="420"/>
        <w:rPr>
          <w:bCs/>
          <w:szCs w:val="21"/>
        </w:rPr>
      </w:pPr>
      <w:r>
        <w:rPr>
          <w:rFonts w:hint="eastAsia"/>
          <w:bCs/>
          <w:szCs w:val="21"/>
        </w:rPr>
        <w:t>The encoder comprises three fully connected layers (256→256→128 neurons), each followed by batch normalization, ReLU activation, and dropout (rate = 0.3). It extracts global dynamic features of the aircraft–runway system, such as dominant vibration mod</w:t>
      </w:r>
      <w:r>
        <w:rPr>
          <w:bCs/>
          <w:szCs w:val="21"/>
        </w:rPr>
        <w:t>es and excitation intensity.</w:t>
      </w:r>
    </w:p>
    <w:p w14:paraId="0A8421A4">
      <w:pPr>
        <w:pStyle w:val="13"/>
        <w:ind w:firstLine="420"/>
        <w:rPr>
          <w:bCs/>
          <w:szCs w:val="21"/>
        </w:rPr>
      </w:pPr>
      <w:r>
        <w:rPr>
          <w:bCs/>
          <w:szCs w:val="21"/>
        </w:rPr>
        <w:t>(2) Specialized Output Branches</w:t>
      </w:r>
    </w:p>
    <w:p w14:paraId="783E0713">
      <w:pPr>
        <w:pStyle w:val="13"/>
        <w:ind w:firstLine="420"/>
        <w:rPr>
          <w:bCs/>
          <w:szCs w:val="21"/>
        </w:rPr>
      </w:pPr>
      <w:r>
        <w:rPr>
          <w:bCs/>
          <w:szCs w:val="21"/>
        </w:rPr>
        <w:t>Based on the shared latent representation, the network splits into three branches:</w:t>
      </w:r>
    </w:p>
    <w:p w14:paraId="74AEB80B">
      <w:pPr>
        <w:pStyle w:val="13"/>
        <w:ind w:firstLine="420"/>
        <w:rPr>
          <w:bCs/>
          <w:szCs w:val="21"/>
        </w:rPr>
      </w:pPr>
      <w:r>
        <w:rPr>
          <w:bCs/>
          <w:szCs w:val="21"/>
        </w:rPr>
        <w:t>Total energy branch: predicts total vibration energy dissipation;</w:t>
      </w:r>
    </w:p>
    <w:p w14:paraId="2634FD75">
      <w:pPr>
        <w:pStyle w:val="13"/>
        <w:ind w:firstLine="420"/>
        <w:rPr>
          <w:bCs/>
          <w:szCs w:val="21"/>
        </w:rPr>
      </w:pPr>
      <w:r>
        <w:rPr>
          <w:bCs/>
          <w:szCs w:val="21"/>
        </w:rPr>
        <w:t>Aircraft energy branch: predicts shock absorber and tire energy;</w:t>
      </w:r>
    </w:p>
    <w:p w14:paraId="5344D754">
      <w:pPr>
        <w:pStyle w:val="13"/>
        <w:ind w:firstLine="420"/>
        <w:rPr>
          <w:bCs/>
          <w:szCs w:val="21"/>
        </w:rPr>
      </w:pPr>
      <w:r>
        <w:rPr>
          <w:bCs/>
          <w:szCs w:val="21"/>
        </w:rPr>
        <w:t>Runway energy branch: predicts surface, base, and subgrade energy.</w:t>
      </w:r>
    </w:p>
    <w:p w14:paraId="0C6BB8FC">
      <w:pPr>
        <w:pStyle w:val="13"/>
        <w:ind w:firstLine="420"/>
        <w:rPr>
          <w:bCs/>
          <w:szCs w:val="21"/>
        </w:rPr>
      </w:pPr>
      <w:r>
        <w:rPr>
          <w:bCs/>
          <w:szCs w:val="21"/>
        </w:rPr>
        <w:t>(3) Physics-Guided Regularization</w:t>
      </w:r>
    </w:p>
    <w:p w14:paraId="2A2920ED">
      <w:pPr>
        <w:pStyle w:val="13"/>
        <w:ind w:firstLine="420"/>
        <w:rPr>
          <w:bCs/>
          <w:szCs w:val="21"/>
        </w:rPr>
      </w:pPr>
      <w:r>
        <w:rPr>
          <w:bCs/>
          <w:szCs w:val="21"/>
        </w:rPr>
        <w:t>Instead of explicitly enforcing total energy as the sum of components, physical consistency is achieved through a loss constraint. The shared encoder ensures coherent feature extraction, while a physics-based loss term drives agreement between total and summed component predictions.</w:t>
      </w:r>
    </w:p>
    <w:p w14:paraId="1447D044">
      <w:pPr>
        <w:pStyle w:val="4"/>
        <w:ind w:firstLine="482"/>
      </w:pPr>
      <w:r>
        <w:t>14.2.3 Physics-Constrained Loss Function and Training Strategy</w:t>
      </w:r>
    </w:p>
    <w:p w14:paraId="75D26211">
      <w:pPr>
        <w:pStyle w:val="13"/>
        <w:ind w:firstLine="420"/>
        <w:rPr>
          <w:bCs/>
          <w:szCs w:val="21"/>
        </w:rPr>
      </w:pPr>
      <w:r>
        <w:rPr>
          <w:bCs/>
          <w:szCs w:val="21"/>
        </w:rPr>
        <w:t>The composite loss function simultaneously optimizes prediction accuracy and physical consistency:</w:t>
      </w:r>
    </w:p>
    <w:p w14:paraId="7FD916AD">
      <w:pPr>
        <w:pStyle w:val="13"/>
        <w:widowControl/>
        <w:tabs>
          <w:tab w:val="center" w:pos="4140"/>
          <w:tab w:val="right" w:pos="8280"/>
        </w:tabs>
        <w:spacing w:beforeAutospacing="1" w:afterAutospacing="1" w:line="360" w:lineRule="auto"/>
        <w:ind w:firstLine="0" w:firstLineChars="0"/>
        <w:jc w:val="right"/>
        <w:textAlignment w:val="center"/>
        <w:rPr>
          <w:sz w:val="24"/>
          <w:szCs w:val="24"/>
        </w:rPr>
      </w:pPr>
      <w:r>
        <w:rPr>
          <w:kern w:val="0"/>
          <w:sz w:val="24"/>
          <w:szCs w:val="24"/>
          <w:lang w:bidi="ar"/>
        </w:rPr>
        <w:tab/>
      </w:r>
      <w:r>
        <w:rPr>
          <w:kern w:val="0"/>
          <w:sz w:val="24"/>
          <w:szCs w:val="24"/>
          <w:lang w:bidi="ar"/>
        </w:rPr>
        <w:object>
          <v:shape id="_x0000_i1111" o:spt="75" type="#_x0000_t75" style="height:117pt;width:175.35pt;" o:ole="t" filled="f" o:preferrelative="t" stroked="f" coordsize="21600,21600">
            <v:path/>
            <v:fill on="f" focussize="0,0"/>
            <v:stroke on="f" joinstyle="miter"/>
            <v:imagedata r:id="rId233" o:title=""/>
            <o:lock v:ext="edit" aspectratio="t"/>
            <w10:wrap type="none"/>
            <w10:anchorlock/>
          </v:shape>
          <o:OLEObject Type="Embed" ProgID="Equation.DSMT4" ShapeID="_x0000_i1111" DrawAspect="Content" ObjectID="_1468075811" r:id="rId232">
            <o:LockedField>false</o:LockedField>
          </o:OLEObject>
        </w:object>
      </w:r>
      <w:r>
        <w:rPr>
          <w:kern w:val="0"/>
          <w:sz w:val="24"/>
          <w:szCs w:val="24"/>
          <w:lang w:bidi="ar"/>
        </w:rPr>
        <w:tab/>
      </w:r>
      <w:r>
        <w:rPr>
          <w:rStyle w:val="51"/>
          <w:rFonts w:hint="eastAsia" w:eastAsia="宋体"/>
          <w:b w:val="0"/>
          <w:bCs w:val="0"/>
        </w:rPr>
        <w:t>(S</w:t>
      </w:r>
      <w:r>
        <w:rPr>
          <w:rStyle w:val="51"/>
          <w:rFonts w:eastAsia="宋体"/>
          <w:b w:val="0"/>
          <w:bCs w:val="0"/>
        </w:rPr>
        <w:t>14.</w:t>
      </w:r>
      <w:r>
        <w:rPr>
          <w:rStyle w:val="51"/>
          <w:rFonts w:hint="eastAsia" w:eastAsia="宋体"/>
          <w:b w:val="0"/>
          <w:bCs w:val="0"/>
        </w:rPr>
        <w:t>41)</w:t>
      </w:r>
      <w:r>
        <w:rPr>
          <w:rStyle w:val="51"/>
          <w:rFonts w:eastAsia="宋体"/>
          <w:b w:val="0"/>
          <w:bCs w:val="0"/>
        </w:rPr>
        <w:t xml:space="preserve"> </w:t>
      </w:r>
    </w:p>
    <w:p w14:paraId="12FE4A45">
      <w:pPr>
        <w:pStyle w:val="13"/>
        <w:ind w:firstLine="420"/>
        <w:rPr>
          <w:bCs/>
          <w:szCs w:val="21"/>
        </w:rPr>
      </w:pPr>
      <w:r>
        <w:rPr>
          <w:rFonts w:hint="eastAsia"/>
          <w:bCs/>
          <w:szCs w:val="21"/>
        </w:rPr>
        <w:t>①</w:t>
      </w:r>
      <w:r>
        <w:rPr>
          <w:bCs/>
          <w:szCs w:val="21"/>
        </w:rPr>
        <w:t>Component loss: Huber loss for robustness, weighted inversely by average magnitude;</w:t>
      </w:r>
    </w:p>
    <w:p w14:paraId="2C5C9241">
      <w:pPr>
        <w:pStyle w:val="13"/>
        <w:ind w:firstLine="420"/>
        <w:rPr>
          <w:bCs/>
          <w:szCs w:val="21"/>
        </w:rPr>
      </w:pPr>
      <w:r>
        <w:rPr>
          <w:rFonts w:hint="eastAsia"/>
          <w:bCs/>
          <w:szCs w:val="21"/>
        </w:rPr>
        <w:t>②</w:t>
      </w:r>
      <w:r>
        <w:rPr>
          <w:bCs/>
          <w:szCs w:val="21"/>
        </w:rPr>
        <w:t>Total loss: Mean squared error for total energy prediction;</w:t>
      </w:r>
    </w:p>
    <w:p w14:paraId="561E3364">
      <w:pPr>
        <w:pStyle w:val="13"/>
        <w:ind w:firstLine="420"/>
        <w:rPr>
          <w:bCs/>
          <w:szCs w:val="21"/>
        </w:rPr>
      </w:pPr>
      <w:r>
        <w:rPr>
          <w:rFonts w:hint="eastAsia"/>
          <w:bCs/>
          <w:szCs w:val="21"/>
        </w:rPr>
        <w:t>③</w:t>
      </w:r>
      <w:r>
        <w:rPr>
          <w:bCs/>
          <w:szCs w:val="21"/>
        </w:rPr>
        <w:t>Physics constraint loss: Penalizes discrepancies between predicted total energy and the sum of predicted components, embedding energy conservation into training.</w:t>
      </w:r>
    </w:p>
    <w:p w14:paraId="59A92442">
      <w:pPr>
        <w:pStyle w:val="13"/>
        <w:ind w:firstLine="420"/>
        <w:rPr>
          <w:bCs/>
          <w:szCs w:val="21"/>
        </w:rPr>
      </w:pPr>
      <w:r>
        <w:rPr>
          <w:bCs/>
          <w:szCs w:val="21"/>
        </w:rPr>
        <w:t>The model is trained using the Adam optimizer (initial learning rate 3×10⁻⁴) with cosine annealing scheduling. Batch size is 64, and early stopping (patience = 50) is adopted. Training converges in approximately 400 epochs on an NVIDIA A100 GPU.</w:t>
      </w:r>
    </w:p>
    <w:p w14:paraId="4E240DC2">
      <w:pPr>
        <w:pStyle w:val="4"/>
        <w:ind w:firstLine="482"/>
      </w:pPr>
      <w:r>
        <w:t>14.2.4 Model Accuracy and Computational Efficiency</w:t>
      </w:r>
    </w:p>
    <w:p w14:paraId="6E4070CB">
      <w:pPr>
        <w:pStyle w:val="13"/>
        <w:ind w:firstLine="420"/>
        <w:rPr>
          <w:bCs/>
          <w:szCs w:val="21"/>
        </w:rPr>
      </w:pPr>
      <w:r>
        <w:rPr>
          <w:bCs/>
          <w:szCs w:val="21"/>
        </w:rPr>
        <w:t xml:space="preserve">On the independent test set, the surrogate model demonstrates high predictive accuracy and strong generalization capability (Table </w:t>
      </w:r>
      <w:r>
        <w:rPr>
          <w:rFonts w:hint="eastAsia"/>
          <w:bCs/>
          <w:szCs w:val="21"/>
        </w:rPr>
        <w:t>S</w:t>
      </w:r>
      <w:r>
        <w:rPr>
          <w:bCs/>
          <w:szCs w:val="21"/>
        </w:rPr>
        <w:t>14).</w:t>
      </w:r>
    </w:p>
    <w:p w14:paraId="534ADCBC">
      <w:pPr>
        <w:pStyle w:val="13"/>
        <w:ind w:firstLine="420"/>
        <w:rPr>
          <w:bCs/>
          <w:szCs w:val="21"/>
        </w:rPr>
      </w:pPr>
      <w:r>
        <w:rPr>
          <w:bCs/>
          <w:szCs w:val="21"/>
        </w:rPr>
        <w:t>The prediction time per scenario is reduced from minutes (full coupled simulation) to seconds, achieving a speed-up exceeding 500, thereby enabling rapid national-scale carbon emission assessment.</w:t>
      </w:r>
    </w:p>
    <w:p w14:paraId="7F02FEF5">
      <w:pPr>
        <w:ind w:firstLine="420"/>
        <w:jc w:val="center"/>
      </w:pPr>
      <w:r>
        <w:t xml:space="preserve">Table </w:t>
      </w:r>
      <w:r>
        <w:rPr>
          <w:rFonts w:hint="eastAsia"/>
        </w:rPr>
        <w:t>S</w:t>
      </w:r>
      <w:r>
        <w:t>14</w:t>
      </w:r>
      <w:r>
        <w:rPr>
          <w:rFonts w:hint="eastAsia"/>
        </w:rPr>
        <w:t>.</w:t>
      </w:r>
      <w:r>
        <w:t xml:space="preserve"> Prediction Accuracy of the Surrogate Model</w:t>
      </w:r>
    </w:p>
    <w:tbl>
      <w:tblPr>
        <w:tblStyle w:val="16"/>
        <w:tblW w:w="4781" w:type="pct"/>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4"/>
        <w:gridCol w:w="3218"/>
        <w:gridCol w:w="1607"/>
      </w:tblGrid>
      <w:tr w14:paraId="6E22BBB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single" w:color="auto" w:sz="12" w:space="0"/>
              <w:left w:val="nil"/>
              <w:bottom w:val="single" w:color="auto" w:sz="12" w:space="0"/>
              <w:right w:val="nil"/>
            </w:tcBorders>
            <w:shd w:val="clear" w:color="auto" w:fill="auto"/>
            <w:vAlign w:val="center"/>
          </w:tcPr>
          <w:p w14:paraId="4D1E440F">
            <w:pPr>
              <w:pStyle w:val="49"/>
            </w:pPr>
            <w:r>
              <w:t>Target</w:t>
            </w:r>
          </w:p>
        </w:tc>
        <w:tc>
          <w:tcPr>
            <w:tcW w:w="3218" w:type="dxa"/>
            <w:tcBorders>
              <w:top w:val="single" w:color="auto" w:sz="12" w:space="0"/>
              <w:left w:val="nil"/>
              <w:bottom w:val="single" w:color="auto" w:sz="12" w:space="0"/>
              <w:right w:val="nil"/>
            </w:tcBorders>
            <w:shd w:val="clear" w:color="auto" w:fill="auto"/>
            <w:vAlign w:val="center"/>
          </w:tcPr>
          <w:p w14:paraId="2F7DDBBC">
            <w:pPr>
              <w:pStyle w:val="49"/>
            </w:pPr>
            <w:r>
              <w:t>MAPE</w:t>
            </w:r>
          </w:p>
        </w:tc>
        <w:tc>
          <w:tcPr>
            <w:tcW w:w="1607" w:type="dxa"/>
            <w:tcBorders>
              <w:top w:val="single" w:color="auto" w:sz="12" w:space="0"/>
              <w:left w:val="nil"/>
              <w:bottom w:val="single" w:color="auto" w:sz="12" w:space="0"/>
              <w:right w:val="nil"/>
            </w:tcBorders>
            <w:shd w:val="clear" w:color="auto" w:fill="auto"/>
            <w:vAlign w:val="center"/>
          </w:tcPr>
          <w:p w14:paraId="2EBEFF18">
            <w:pPr>
              <w:pStyle w:val="49"/>
            </w:pPr>
            <w:r>
              <w:t>R</w:t>
            </w:r>
            <w:r>
              <w:rPr>
                <w:vertAlign w:val="superscript"/>
              </w:rPr>
              <w:t>2</w:t>
            </w:r>
          </w:p>
        </w:tc>
      </w:tr>
      <w:tr w14:paraId="7C1027A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single" w:color="auto" w:sz="12" w:space="0"/>
              <w:left w:val="nil"/>
              <w:bottom w:val="nil"/>
              <w:right w:val="nil"/>
            </w:tcBorders>
            <w:shd w:val="clear" w:color="auto" w:fill="auto"/>
            <w:vAlign w:val="center"/>
          </w:tcPr>
          <w:p w14:paraId="15693771">
            <w:pPr>
              <w:pStyle w:val="49"/>
            </w:pPr>
            <w:r>
              <w:t>Shock absorber energy</w:t>
            </w:r>
          </w:p>
        </w:tc>
        <w:tc>
          <w:tcPr>
            <w:tcW w:w="3218" w:type="dxa"/>
            <w:tcBorders>
              <w:top w:val="single" w:color="auto" w:sz="12" w:space="0"/>
              <w:left w:val="nil"/>
              <w:bottom w:val="nil"/>
              <w:right w:val="nil"/>
            </w:tcBorders>
            <w:shd w:val="clear" w:color="auto" w:fill="auto"/>
            <w:vAlign w:val="center"/>
          </w:tcPr>
          <w:p w14:paraId="5221F07D">
            <w:pPr>
              <w:pStyle w:val="49"/>
            </w:pPr>
            <w:r>
              <w:t>3.1%</w:t>
            </w:r>
          </w:p>
        </w:tc>
        <w:tc>
          <w:tcPr>
            <w:tcW w:w="1607" w:type="dxa"/>
            <w:tcBorders>
              <w:top w:val="single" w:color="auto" w:sz="12" w:space="0"/>
              <w:left w:val="nil"/>
              <w:bottom w:val="nil"/>
              <w:right w:val="nil"/>
            </w:tcBorders>
            <w:shd w:val="clear" w:color="auto" w:fill="auto"/>
            <w:vAlign w:val="center"/>
          </w:tcPr>
          <w:p w14:paraId="734AAEC2">
            <w:pPr>
              <w:pStyle w:val="49"/>
            </w:pPr>
            <w:r>
              <w:t>0.988</w:t>
            </w:r>
          </w:p>
        </w:tc>
      </w:tr>
      <w:tr w14:paraId="50FFE05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nil"/>
              <w:left w:val="nil"/>
              <w:bottom w:val="nil"/>
              <w:right w:val="nil"/>
            </w:tcBorders>
            <w:shd w:val="clear" w:color="auto" w:fill="auto"/>
            <w:vAlign w:val="center"/>
          </w:tcPr>
          <w:p w14:paraId="2C4B9D4D">
            <w:pPr>
              <w:pStyle w:val="49"/>
            </w:pPr>
            <w:r>
              <w:t>Tire energy</w:t>
            </w:r>
          </w:p>
        </w:tc>
        <w:tc>
          <w:tcPr>
            <w:tcW w:w="3218" w:type="dxa"/>
            <w:tcBorders>
              <w:top w:val="nil"/>
              <w:left w:val="nil"/>
              <w:bottom w:val="nil"/>
              <w:right w:val="nil"/>
            </w:tcBorders>
            <w:shd w:val="clear" w:color="auto" w:fill="auto"/>
            <w:vAlign w:val="center"/>
          </w:tcPr>
          <w:p w14:paraId="7CB9DAD2">
            <w:pPr>
              <w:pStyle w:val="49"/>
            </w:pPr>
            <w:r>
              <w:t>2.7%</w:t>
            </w:r>
          </w:p>
        </w:tc>
        <w:tc>
          <w:tcPr>
            <w:tcW w:w="1607" w:type="dxa"/>
            <w:tcBorders>
              <w:top w:val="nil"/>
              <w:left w:val="nil"/>
              <w:bottom w:val="nil"/>
              <w:right w:val="nil"/>
            </w:tcBorders>
            <w:shd w:val="clear" w:color="auto" w:fill="auto"/>
            <w:vAlign w:val="center"/>
          </w:tcPr>
          <w:p w14:paraId="19AE29A3">
            <w:pPr>
              <w:pStyle w:val="49"/>
            </w:pPr>
            <w:r>
              <w:t>0.990</w:t>
            </w:r>
          </w:p>
        </w:tc>
      </w:tr>
      <w:tr w14:paraId="186D7313">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nil"/>
              <w:left w:val="nil"/>
              <w:bottom w:val="nil"/>
              <w:right w:val="nil"/>
            </w:tcBorders>
            <w:shd w:val="clear" w:color="auto" w:fill="auto"/>
            <w:vAlign w:val="center"/>
          </w:tcPr>
          <w:p w14:paraId="54632135">
            <w:pPr>
              <w:pStyle w:val="49"/>
            </w:pPr>
            <w:r>
              <w:t>Surface energy</w:t>
            </w:r>
          </w:p>
        </w:tc>
        <w:tc>
          <w:tcPr>
            <w:tcW w:w="3218" w:type="dxa"/>
            <w:tcBorders>
              <w:top w:val="nil"/>
              <w:left w:val="nil"/>
              <w:bottom w:val="nil"/>
              <w:right w:val="nil"/>
            </w:tcBorders>
            <w:shd w:val="clear" w:color="auto" w:fill="auto"/>
            <w:vAlign w:val="center"/>
          </w:tcPr>
          <w:p w14:paraId="24B66B38">
            <w:pPr>
              <w:pStyle w:val="49"/>
            </w:pPr>
            <w:r>
              <w:t>4.0%</w:t>
            </w:r>
          </w:p>
        </w:tc>
        <w:tc>
          <w:tcPr>
            <w:tcW w:w="1607" w:type="dxa"/>
            <w:tcBorders>
              <w:top w:val="nil"/>
              <w:left w:val="nil"/>
              <w:bottom w:val="nil"/>
              <w:right w:val="nil"/>
            </w:tcBorders>
            <w:shd w:val="clear" w:color="auto" w:fill="auto"/>
            <w:vAlign w:val="center"/>
          </w:tcPr>
          <w:p w14:paraId="03527C66">
            <w:pPr>
              <w:pStyle w:val="49"/>
            </w:pPr>
            <w:r>
              <w:t>0.978</w:t>
            </w:r>
          </w:p>
        </w:tc>
      </w:tr>
      <w:tr w14:paraId="64ED697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nil"/>
              <w:left w:val="nil"/>
              <w:bottom w:val="nil"/>
              <w:right w:val="nil"/>
            </w:tcBorders>
            <w:shd w:val="clear" w:color="auto" w:fill="auto"/>
            <w:vAlign w:val="center"/>
          </w:tcPr>
          <w:p w14:paraId="2F27CCCA">
            <w:pPr>
              <w:pStyle w:val="49"/>
            </w:pPr>
            <w:r>
              <w:t>Base energy</w:t>
            </w:r>
          </w:p>
        </w:tc>
        <w:tc>
          <w:tcPr>
            <w:tcW w:w="3218" w:type="dxa"/>
            <w:tcBorders>
              <w:top w:val="nil"/>
              <w:left w:val="nil"/>
              <w:bottom w:val="nil"/>
              <w:right w:val="nil"/>
            </w:tcBorders>
            <w:shd w:val="clear" w:color="auto" w:fill="auto"/>
            <w:vAlign w:val="center"/>
          </w:tcPr>
          <w:p w14:paraId="276484FE">
            <w:pPr>
              <w:pStyle w:val="49"/>
            </w:pPr>
            <w:r>
              <w:t>5.2%</w:t>
            </w:r>
          </w:p>
        </w:tc>
        <w:tc>
          <w:tcPr>
            <w:tcW w:w="1607" w:type="dxa"/>
            <w:tcBorders>
              <w:top w:val="nil"/>
              <w:left w:val="nil"/>
              <w:bottom w:val="nil"/>
              <w:right w:val="nil"/>
            </w:tcBorders>
            <w:shd w:val="clear" w:color="auto" w:fill="auto"/>
            <w:vAlign w:val="center"/>
          </w:tcPr>
          <w:p w14:paraId="40B7B2C2">
            <w:pPr>
              <w:pStyle w:val="49"/>
            </w:pPr>
            <w:r>
              <w:t>0.964</w:t>
            </w:r>
          </w:p>
        </w:tc>
      </w:tr>
      <w:tr w14:paraId="323994D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nil"/>
              <w:left w:val="nil"/>
              <w:bottom w:val="nil"/>
              <w:right w:val="nil"/>
            </w:tcBorders>
            <w:shd w:val="clear" w:color="auto" w:fill="auto"/>
            <w:vAlign w:val="center"/>
          </w:tcPr>
          <w:p w14:paraId="5A853178">
            <w:pPr>
              <w:pStyle w:val="49"/>
            </w:pPr>
            <w:r>
              <w:t>Subgrade energy</w:t>
            </w:r>
          </w:p>
        </w:tc>
        <w:tc>
          <w:tcPr>
            <w:tcW w:w="3218" w:type="dxa"/>
            <w:tcBorders>
              <w:top w:val="nil"/>
              <w:left w:val="nil"/>
              <w:bottom w:val="nil"/>
              <w:right w:val="nil"/>
            </w:tcBorders>
            <w:shd w:val="clear" w:color="auto" w:fill="auto"/>
            <w:vAlign w:val="center"/>
          </w:tcPr>
          <w:p w14:paraId="658361DE">
            <w:pPr>
              <w:pStyle w:val="49"/>
            </w:pPr>
            <w:r>
              <w:t>6.3%</w:t>
            </w:r>
          </w:p>
        </w:tc>
        <w:tc>
          <w:tcPr>
            <w:tcW w:w="1607" w:type="dxa"/>
            <w:tcBorders>
              <w:top w:val="nil"/>
              <w:left w:val="nil"/>
              <w:bottom w:val="nil"/>
              <w:right w:val="nil"/>
            </w:tcBorders>
            <w:shd w:val="clear" w:color="auto" w:fill="auto"/>
            <w:vAlign w:val="center"/>
          </w:tcPr>
          <w:p w14:paraId="7BBCBF1E">
            <w:pPr>
              <w:pStyle w:val="49"/>
            </w:pPr>
            <w:r>
              <w:t>0.953</w:t>
            </w:r>
          </w:p>
        </w:tc>
      </w:tr>
      <w:tr w14:paraId="39D02BB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4" w:type="dxa"/>
            <w:tcBorders>
              <w:top w:val="nil"/>
              <w:left w:val="nil"/>
              <w:bottom w:val="single" w:color="auto" w:sz="12" w:space="0"/>
              <w:right w:val="nil"/>
            </w:tcBorders>
            <w:shd w:val="clear" w:color="auto" w:fill="auto"/>
            <w:vAlign w:val="center"/>
          </w:tcPr>
          <w:p w14:paraId="67F5A2E3">
            <w:pPr>
              <w:pStyle w:val="49"/>
            </w:pPr>
            <w:r>
              <w:t>Total energy</w:t>
            </w:r>
          </w:p>
        </w:tc>
        <w:tc>
          <w:tcPr>
            <w:tcW w:w="3218" w:type="dxa"/>
            <w:tcBorders>
              <w:top w:val="nil"/>
              <w:left w:val="nil"/>
              <w:bottom w:val="single" w:color="auto" w:sz="12" w:space="0"/>
              <w:right w:val="nil"/>
            </w:tcBorders>
            <w:shd w:val="clear" w:color="auto" w:fill="auto"/>
            <w:vAlign w:val="center"/>
          </w:tcPr>
          <w:p w14:paraId="62EBDD1F">
            <w:pPr>
              <w:pStyle w:val="49"/>
            </w:pPr>
            <w:r>
              <w:t>1.3％</w:t>
            </w:r>
          </w:p>
        </w:tc>
        <w:tc>
          <w:tcPr>
            <w:tcW w:w="1607" w:type="dxa"/>
            <w:tcBorders>
              <w:top w:val="nil"/>
              <w:left w:val="nil"/>
              <w:bottom w:val="single" w:color="auto" w:sz="12" w:space="0"/>
              <w:right w:val="nil"/>
            </w:tcBorders>
            <w:shd w:val="clear" w:color="auto" w:fill="auto"/>
            <w:vAlign w:val="center"/>
          </w:tcPr>
          <w:p w14:paraId="096213D1">
            <w:pPr>
              <w:pStyle w:val="49"/>
            </w:pPr>
            <w:r>
              <w:t>0.994</w:t>
            </w:r>
          </w:p>
        </w:tc>
      </w:tr>
    </w:tbl>
    <w:p w14:paraId="12DBA0C8">
      <w:pPr>
        <w:ind w:firstLine="420"/>
        <w:jc w:val="center"/>
      </w:pPr>
    </w:p>
    <w:p w14:paraId="034983C6">
      <w:pPr>
        <w:ind w:firstLine="420"/>
      </w:pPr>
    </w:p>
    <w:p w14:paraId="76F10A65">
      <w:pPr>
        <w:ind w:firstLine="420"/>
      </w:pPr>
    </w:p>
    <w:p w14:paraId="5D784352">
      <w:pPr>
        <w:ind w:firstLine="420"/>
      </w:pPr>
    </w:p>
    <w:p w14:paraId="5E17FDE2">
      <w:pPr>
        <w:ind w:firstLine="420"/>
      </w:pPr>
    </w:p>
    <w:p w14:paraId="53828FF9">
      <w:pPr>
        <w:pStyle w:val="49"/>
        <w:jc w:val="both"/>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632D7A">
    <w:pPr>
      <w:pStyle w:val="1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20"/>
      </w:pPr>
      <w:r>
        <w:separator/>
      </w:r>
    </w:p>
  </w:footnote>
  <w:footnote w:type="continuationSeparator" w:id="1">
    <w:p>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EC27C">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D9D4C0"/>
    <w:multiLevelType w:val="singleLevel"/>
    <w:tmpl w:val="80D9D4C0"/>
    <w:lvl w:ilvl="0" w:tentative="0">
      <w:start w:val="1"/>
      <w:numFmt w:val="decimal"/>
      <w:suff w:val="space"/>
      <w:lvlText w:val="%1)"/>
      <w:lvlJc w:val="left"/>
      <w:pPr>
        <w:ind w:left="720" w:firstLine="0"/>
      </w:pPr>
    </w:lvl>
  </w:abstractNum>
  <w:abstractNum w:abstractNumId="1">
    <w:nsid w:val="87E5AED3"/>
    <w:multiLevelType w:val="singleLevel"/>
    <w:tmpl w:val="87E5AED3"/>
    <w:lvl w:ilvl="0" w:tentative="0">
      <w:start w:val="1"/>
      <w:numFmt w:val="decimal"/>
      <w:suff w:val="space"/>
      <w:lvlText w:val="%1)"/>
      <w:lvlJc w:val="left"/>
    </w:lvl>
  </w:abstractNum>
  <w:abstractNum w:abstractNumId="2">
    <w:nsid w:val="CFC80118"/>
    <w:multiLevelType w:val="singleLevel"/>
    <w:tmpl w:val="CFC80118"/>
    <w:lvl w:ilvl="0" w:tentative="0">
      <w:start w:val="1"/>
      <w:numFmt w:val="decimal"/>
      <w:suff w:val="space"/>
      <w:lvlText w:val="(%1)"/>
      <w:lvlJc w:val="left"/>
    </w:lvl>
  </w:abstractNum>
  <w:abstractNum w:abstractNumId="3">
    <w:nsid w:val="E2FF8C7B"/>
    <w:multiLevelType w:val="singleLevel"/>
    <w:tmpl w:val="E2FF8C7B"/>
    <w:lvl w:ilvl="0" w:tentative="0">
      <w:start w:val="1"/>
      <w:numFmt w:val="decimal"/>
      <w:suff w:val="space"/>
      <w:lvlText w:val="(%1)"/>
      <w:lvlJc w:val="left"/>
    </w:lvl>
  </w:abstractNum>
  <w:abstractNum w:abstractNumId="4">
    <w:nsid w:val="061C2386"/>
    <w:multiLevelType w:val="singleLevel"/>
    <w:tmpl w:val="061C2386"/>
    <w:lvl w:ilvl="0" w:tentative="0">
      <w:start w:val="1"/>
      <w:numFmt w:val="decimal"/>
      <w:lvlText w:val="%1."/>
      <w:lvlJc w:val="left"/>
      <w:pPr>
        <w:ind w:left="425" w:hanging="425"/>
      </w:pPr>
      <w:rPr>
        <w:rFonts w:hint="default"/>
      </w:rPr>
    </w:lvl>
  </w:abstractNum>
  <w:abstractNum w:abstractNumId="5">
    <w:nsid w:val="2AE3A6B6"/>
    <w:multiLevelType w:val="singleLevel"/>
    <w:tmpl w:val="2AE3A6B6"/>
    <w:lvl w:ilvl="0" w:tentative="0">
      <w:start w:val="1"/>
      <w:numFmt w:val="decimal"/>
      <w:lvlText w:val="%1."/>
      <w:lvlJc w:val="left"/>
      <w:pPr>
        <w:ind w:left="425" w:hanging="425"/>
      </w:pPr>
      <w:rPr>
        <w:rFonts w:hint="default"/>
      </w:rPr>
    </w:lvl>
  </w:abstractNum>
  <w:abstractNum w:abstractNumId="6">
    <w:nsid w:val="388FE146"/>
    <w:multiLevelType w:val="singleLevel"/>
    <w:tmpl w:val="388FE146"/>
    <w:lvl w:ilvl="0" w:tentative="0">
      <w:start w:val="1"/>
      <w:numFmt w:val="decimal"/>
      <w:lvlText w:val="%1."/>
      <w:lvlJc w:val="left"/>
      <w:pPr>
        <w:ind w:left="425" w:hanging="425"/>
      </w:pPr>
      <w:rPr>
        <w:rFonts w:hint="default"/>
      </w:rPr>
    </w:lvl>
  </w:abstractNum>
  <w:abstractNum w:abstractNumId="7">
    <w:nsid w:val="3AB1D403"/>
    <w:multiLevelType w:val="singleLevel"/>
    <w:tmpl w:val="3AB1D403"/>
    <w:lvl w:ilvl="0" w:tentative="0">
      <w:start w:val="1"/>
      <w:numFmt w:val="decimal"/>
      <w:lvlText w:val="%1."/>
      <w:lvlJc w:val="left"/>
      <w:pPr>
        <w:ind w:left="425" w:hanging="425"/>
      </w:pPr>
      <w:rPr>
        <w:rFonts w:hint="default"/>
      </w:rPr>
    </w:lvl>
  </w:abstractNum>
  <w:num w:numId="1">
    <w:abstractNumId w:val="7"/>
  </w:num>
  <w:num w:numId="2">
    <w:abstractNumId w:val="0"/>
  </w:num>
  <w:num w:numId="3">
    <w:abstractNumId w:val="1"/>
  </w:num>
  <w:num w:numId="4">
    <w:abstractNumId w:val="4"/>
  </w:num>
  <w:num w:numId="5">
    <w:abstractNumId w:val="3"/>
  </w:num>
  <w:num w:numId="6">
    <w:abstractNumId w:val="6"/>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hideSpellingErrors/>
  <w:trackRevisions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40D0"/>
    <w:rsid w:val="00023DA4"/>
    <w:rsid w:val="00035798"/>
    <w:rsid w:val="000543EE"/>
    <w:rsid w:val="00054A1C"/>
    <w:rsid w:val="0008230D"/>
    <w:rsid w:val="0009201A"/>
    <w:rsid w:val="00095C00"/>
    <w:rsid w:val="000C6664"/>
    <w:rsid w:val="000D56B1"/>
    <w:rsid w:val="000E5130"/>
    <w:rsid w:val="000E778C"/>
    <w:rsid w:val="00101CE3"/>
    <w:rsid w:val="00117885"/>
    <w:rsid w:val="001405DE"/>
    <w:rsid w:val="00141446"/>
    <w:rsid w:val="00164163"/>
    <w:rsid w:val="00164533"/>
    <w:rsid w:val="00172A27"/>
    <w:rsid w:val="00173C1C"/>
    <w:rsid w:val="0019663A"/>
    <w:rsid w:val="001B2588"/>
    <w:rsid w:val="001F3F30"/>
    <w:rsid w:val="00201FCD"/>
    <w:rsid w:val="00204B74"/>
    <w:rsid w:val="0021066A"/>
    <w:rsid w:val="002204FE"/>
    <w:rsid w:val="002328B1"/>
    <w:rsid w:val="00237F56"/>
    <w:rsid w:val="00264E7E"/>
    <w:rsid w:val="00272E10"/>
    <w:rsid w:val="00273BE3"/>
    <w:rsid w:val="00282067"/>
    <w:rsid w:val="002840DB"/>
    <w:rsid w:val="002C0EFF"/>
    <w:rsid w:val="002C2197"/>
    <w:rsid w:val="002F5FCA"/>
    <w:rsid w:val="00304447"/>
    <w:rsid w:val="003066DB"/>
    <w:rsid w:val="00315232"/>
    <w:rsid w:val="00315A0C"/>
    <w:rsid w:val="00365234"/>
    <w:rsid w:val="00387674"/>
    <w:rsid w:val="00392F93"/>
    <w:rsid w:val="003A6A75"/>
    <w:rsid w:val="003F3708"/>
    <w:rsid w:val="003F37E9"/>
    <w:rsid w:val="00400011"/>
    <w:rsid w:val="00426380"/>
    <w:rsid w:val="00434EAD"/>
    <w:rsid w:val="004372D0"/>
    <w:rsid w:val="00481471"/>
    <w:rsid w:val="00483543"/>
    <w:rsid w:val="004843B3"/>
    <w:rsid w:val="004A5163"/>
    <w:rsid w:val="004B4A91"/>
    <w:rsid w:val="004C1EC1"/>
    <w:rsid w:val="004C312D"/>
    <w:rsid w:val="004F2E97"/>
    <w:rsid w:val="004F2EE7"/>
    <w:rsid w:val="00500278"/>
    <w:rsid w:val="00511CE6"/>
    <w:rsid w:val="005207E6"/>
    <w:rsid w:val="00527134"/>
    <w:rsid w:val="00535F9E"/>
    <w:rsid w:val="00541CD4"/>
    <w:rsid w:val="00543A71"/>
    <w:rsid w:val="005555DA"/>
    <w:rsid w:val="00565A47"/>
    <w:rsid w:val="005833EE"/>
    <w:rsid w:val="00586871"/>
    <w:rsid w:val="0059482C"/>
    <w:rsid w:val="005B00E6"/>
    <w:rsid w:val="005C6E6E"/>
    <w:rsid w:val="005C6EF8"/>
    <w:rsid w:val="005D6350"/>
    <w:rsid w:val="005E18D7"/>
    <w:rsid w:val="005F2FD3"/>
    <w:rsid w:val="00615E8A"/>
    <w:rsid w:val="00644F56"/>
    <w:rsid w:val="00672F8B"/>
    <w:rsid w:val="006B26AB"/>
    <w:rsid w:val="006E12E6"/>
    <w:rsid w:val="007046A1"/>
    <w:rsid w:val="00721C89"/>
    <w:rsid w:val="007363D3"/>
    <w:rsid w:val="00771F67"/>
    <w:rsid w:val="00781841"/>
    <w:rsid w:val="007B69E5"/>
    <w:rsid w:val="007C0E84"/>
    <w:rsid w:val="007E5117"/>
    <w:rsid w:val="00804061"/>
    <w:rsid w:val="008057B3"/>
    <w:rsid w:val="00836AA9"/>
    <w:rsid w:val="008532CA"/>
    <w:rsid w:val="00881CB9"/>
    <w:rsid w:val="008A38D8"/>
    <w:rsid w:val="008A7BD0"/>
    <w:rsid w:val="008C0CE3"/>
    <w:rsid w:val="008C2384"/>
    <w:rsid w:val="008C5AF9"/>
    <w:rsid w:val="008D5ED5"/>
    <w:rsid w:val="008F37EB"/>
    <w:rsid w:val="00916D10"/>
    <w:rsid w:val="0092432D"/>
    <w:rsid w:val="00924995"/>
    <w:rsid w:val="00937168"/>
    <w:rsid w:val="00940CBA"/>
    <w:rsid w:val="009447DB"/>
    <w:rsid w:val="009677CB"/>
    <w:rsid w:val="00990BB2"/>
    <w:rsid w:val="009925AF"/>
    <w:rsid w:val="009B209F"/>
    <w:rsid w:val="009B37DB"/>
    <w:rsid w:val="009C4D35"/>
    <w:rsid w:val="009D0921"/>
    <w:rsid w:val="009E31CD"/>
    <w:rsid w:val="009F3DE8"/>
    <w:rsid w:val="00A171AE"/>
    <w:rsid w:val="00A52209"/>
    <w:rsid w:val="00A600A7"/>
    <w:rsid w:val="00A76192"/>
    <w:rsid w:val="00AA1C63"/>
    <w:rsid w:val="00AB10A0"/>
    <w:rsid w:val="00AB6DC9"/>
    <w:rsid w:val="00AD6C0D"/>
    <w:rsid w:val="00AF03FA"/>
    <w:rsid w:val="00AF3BA5"/>
    <w:rsid w:val="00AF661A"/>
    <w:rsid w:val="00B16343"/>
    <w:rsid w:val="00B20829"/>
    <w:rsid w:val="00B52D14"/>
    <w:rsid w:val="00B55FE9"/>
    <w:rsid w:val="00B83CAB"/>
    <w:rsid w:val="00B85D43"/>
    <w:rsid w:val="00BB18C0"/>
    <w:rsid w:val="00BB4149"/>
    <w:rsid w:val="00BD48CF"/>
    <w:rsid w:val="00BE043C"/>
    <w:rsid w:val="00BE1BB0"/>
    <w:rsid w:val="00BF1A69"/>
    <w:rsid w:val="00C1391C"/>
    <w:rsid w:val="00C152F2"/>
    <w:rsid w:val="00C15AE9"/>
    <w:rsid w:val="00C16569"/>
    <w:rsid w:val="00C206FA"/>
    <w:rsid w:val="00C211F4"/>
    <w:rsid w:val="00C33CC3"/>
    <w:rsid w:val="00C52432"/>
    <w:rsid w:val="00C537B7"/>
    <w:rsid w:val="00C543DE"/>
    <w:rsid w:val="00C66076"/>
    <w:rsid w:val="00C94BBA"/>
    <w:rsid w:val="00CB11C0"/>
    <w:rsid w:val="00CE55B3"/>
    <w:rsid w:val="00D0480A"/>
    <w:rsid w:val="00D069F2"/>
    <w:rsid w:val="00D16E33"/>
    <w:rsid w:val="00D20730"/>
    <w:rsid w:val="00D77256"/>
    <w:rsid w:val="00D933A6"/>
    <w:rsid w:val="00DB10E7"/>
    <w:rsid w:val="00DB4159"/>
    <w:rsid w:val="00DB5A94"/>
    <w:rsid w:val="00DC1802"/>
    <w:rsid w:val="00DD7807"/>
    <w:rsid w:val="00DE4131"/>
    <w:rsid w:val="00DE51F7"/>
    <w:rsid w:val="00E173CE"/>
    <w:rsid w:val="00E26D97"/>
    <w:rsid w:val="00E31937"/>
    <w:rsid w:val="00E45D07"/>
    <w:rsid w:val="00E5700B"/>
    <w:rsid w:val="00E57CBE"/>
    <w:rsid w:val="00E731F5"/>
    <w:rsid w:val="00E73A2E"/>
    <w:rsid w:val="00E76A20"/>
    <w:rsid w:val="00E97E9C"/>
    <w:rsid w:val="00EA5E93"/>
    <w:rsid w:val="00EC0AAD"/>
    <w:rsid w:val="00ED373C"/>
    <w:rsid w:val="00ED7714"/>
    <w:rsid w:val="00EE5F94"/>
    <w:rsid w:val="00F000CB"/>
    <w:rsid w:val="00F01A81"/>
    <w:rsid w:val="00F262C1"/>
    <w:rsid w:val="00F66686"/>
    <w:rsid w:val="00F70947"/>
    <w:rsid w:val="00F73E5E"/>
    <w:rsid w:val="00F91971"/>
    <w:rsid w:val="00FD7CAD"/>
    <w:rsid w:val="01123E52"/>
    <w:rsid w:val="016E3716"/>
    <w:rsid w:val="01946C70"/>
    <w:rsid w:val="01C40DDD"/>
    <w:rsid w:val="01E676B8"/>
    <w:rsid w:val="02415826"/>
    <w:rsid w:val="028B36A9"/>
    <w:rsid w:val="02D22363"/>
    <w:rsid w:val="02FA25DD"/>
    <w:rsid w:val="03540D5D"/>
    <w:rsid w:val="03D84FE5"/>
    <w:rsid w:val="040E4592"/>
    <w:rsid w:val="048C54B6"/>
    <w:rsid w:val="0490144A"/>
    <w:rsid w:val="04B45FBE"/>
    <w:rsid w:val="04E452F2"/>
    <w:rsid w:val="06431DD6"/>
    <w:rsid w:val="073E289B"/>
    <w:rsid w:val="080E4A79"/>
    <w:rsid w:val="08E43536"/>
    <w:rsid w:val="08F24482"/>
    <w:rsid w:val="08FC0E5C"/>
    <w:rsid w:val="09750C0F"/>
    <w:rsid w:val="0992356F"/>
    <w:rsid w:val="09EA6F98"/>
    <w:rsid w:val="0A014251"/>
    <w:rsid w:val="0A1208D3"/>
    <w:rsid w:val="0A1D6632"/>
    <w:rsid w:val="0A36039E"/>
    <w:rsid w:val="0A493758"/>
    <w:rsid w:val="0A5922DF"/>
    <w:rsid w:val="0ABD7EAB"/>
    <w:rsid w:val="0ACB4F8A"/>
    <w:rsid w:val="0B122F11"/>
    <w:rsid w:val="0B6E1DBA"/>
    <w:rsid w:val="0C3875CF"/>
    <w:rsid w:val="0C48260B"/>
    <w:rsid w:val="0D0F58F9"/>
    <w:rsid w:val="0D202D68"/>
    <w:rsid w:val="0D5437E3"/>
    <w:rsid w:val="0D896A37"/>
    <w:rsid w:val="0EBD2E3C"/>
    <w:rsid w:val="0ECE5049"/>
    <w:rsid w:val="0EE56125"/>
    <w:rsid w:val="0F1B7B63"/>
    <w:rsid w:val="0FDC03DD"/>
    <w:rsid w:val="10066A65"/>
    <w:rsid w:val="102F18C8"/>
    <w:rsid w:val="10B169D0"/>
    <w:rsid w:val="10D72DE1"/>
    <w:rsid w:val="112A7BF6"/>
    <w:rsid w:val="115714FF"/>
    <w:rsid w:val="120D7EFC"/>
    <w:rsid w:val="12502D12"/>
    <w:rsid w:val="132D4308"/>
    <w:rsid w:val="139A7BF0"/>
    <w:rsid w:val="13C7475D"/>
    <w:rsid w:val="13CF6D76"/>
    <w:rsid w:val="14246D62"/>
    <w:rsid w:val="144D0B5D"/>
    <w:rsid w:val="148F7029"/>
    <w:rsid w:val="152C49F4"/>
    <w:rsid w:val="155344FA"/>
    <w:rsid w:val="1555611C"/>
    <w:rsid w:val="15C27114"/>
    <w:rsid w:val="15C745A0"/>
    <w:rsid w:val="163836F0"/>
    <w:rsid w:val="163C4A21"/>
    <w:rsid w:val="16556050"/>
    <w:rsid w:val="169A3A63"/>
    <w:rsid w:val="171750B3"/>
    <w:rsid w:val="17457E73"/>
    <w:rsid w:val="17485BB5"/>
    <w:rsid w:val="1779272E"/>
    <w:rsid w:val="17AC7EF2"/>
    <w:rsid w:val="183C0B0D"/>
    <w:rsid w:val="186B1B5B"/>
    <w:rsid w:val="18B20944"/>
    <w:rsid w:val="19121096"/>
    <w:rsid w:val="191730B1"/>
    <w:rsid w:val="195F4FAC"/>
    <w:rsid w:val="19F014DE"/>
    <w:rsid w:val="1A1A55E6"/>
    <w:rsid w:val="1A5C59DF"/>
    <w:rsid w:val="1A5F749D"/>
    <w:rsid w:val="1A642D06"/>
    <w:rsid w:val="1B593349"/>
    <w:rsid w:val="1B925650"/>
    <w:rsid w:val="1C395ACC"/>
    <w:rsid w:val="1C534DE0"/>
    <w:rsid w:val="1CBF2475"/>
    <w:rsid w:val="1E321F51"/>
    <w:rsid w:val="1EA90CE7"/>
    <w:rsid w:val="1EAC69E1"/>
    <w:rsid w:val="1EB75FC4"/>
    <w:rsid w:val="1EB823F6"/>
    <w:rsid w:val="1F0C0413"/>
    <w:rsid w:val="1F2669DA"/>
    <w:rsid w:val="1F4769BD"/>
    <w:rsid w:val="1F7729A5"/>
    <w:rsid w:val="1FFC753C"/>
    <w:rsid w:val="20362A4E"/>
    <w:rsid w:val="207433FF"/>
    <w:rsid w:val="20823DD7"/>
    <w:rsid w:val="20BA463F"/>
    <w:rsid w:val="20EF3872"/>
    <w:rsid w:val="21685493"/>
    <w:rsid w:val="21715E5D"/>
    <w:rsid w:val="21B854E5"/>
    <w:rsid w:val="22162B37"/>
    <w:rsid w:val="223B25C8"/>
    <w:rsid w:val="2265586D"/>
    <w:rsid w:val="228F594C"/>
    <w:rsid w:val="22C803A3"/>
    <w:rsid w:val="22FC53B0"/>
    <w:rsid w:val="2308455E"/>
    <w:rsid w:val="231132FF"/>
    <w:rsid w:val="239D2DE4"/>
    <w:rsid w:val="23C63C89"/>
    <w:rsid w:val="23DC390D"/>
    <w:rsid w:val="24101808"/>
    <w:rsid w:val="24997A50"/>
    <w:rsid w:val="25397277"/>
    <w:rsid w:val="2641028A"/>
    <w:rsid w:val="268B18B9"/>
    <w:rsid w:val="26F31699"/>
    <w:rsid w:val="26FD2E4F"/>
    <w:rsid w:val="27541A0C"/>
    <w:rsid w:val="281100C9"/>
    <w:rsid w:val="2867662B"/>
    <w:rsid w:val="28E03E9F"/>
    <w:rsid w:val="29140BF0"/>
    <w:rsid w:val="296F6CA5"/>
    <w:rsid w:val="29703EF4"/>
    <w:rsid w:val="2973086F"/>
    <w:rsid w:val="29C36AA7"/>
    <w:rsid w:val="29C50FFF"/>
    <w:rsid w:val="29CB48B8"/>
    <w:rsid w:val="2ACB0B1B"/>
    <w:rsid w:val="2B3D0601"/>
    <w:rsid w:val="2C6E3570"/>
    <w:rsid w:val="2C706132"/>
    <w:rsid w:val="2C923702"/>
    <w:rsid w:val="2D021D14"/>
    <w:rsid w:val="2DCD6330"/>
    <w:rsid w:val="2E425255"/>
    <w:rsid w:val="2EDA22C6"/>
    <w:rsid w:val="2EE26967"/>
    <w:rsid w:val="2EEF6BEA"/>
    <w:rsid w:val="2EF44200"/>
    <w:rsid w:val="2F300FB0"/>
    <w:rsid w:val="2F55113A"/>
    <w:rsid w:val="2F9B414B"/>
    <w:rsid w:val="2FE113DD"/>
    <w:rsid w:val="308F5584"/>
    <w:rsid w:val="30DD6F16"/>
    <w:rsid w:val="31210BB1"/>
    <w:rsid w:val="31434FCB"/>
    <w:rsid w:val="3148438F"/>
    <w:rsid w:val="3163275E"/>
    <w:rsid w:val="32104CEA"/>
    <w:rsid w:val="321149C8"/>
    <w:rsid w:val="32825009"/>
    <w:rsid w:val="32B7626E"/>
    <w:rsid w:val="32BB3B37"/>
    <w:rsid w:val="33457D1C"/>
    <w:rsid w:val="3391475F"/>
    <w:rsid w:val="33D91C17"/>
    <w:rsid w:val="340071A3"/>
    <w:rsid w:val="34993154"/>
    <w:rsid w:val="34DE57DD"/>
    <w:rsid w:val="358D5119"/>
    <w:rsid w:val="35C81F43"/>
    <w:rsid w:val="36897924"/>
    <w:rsid w:val="368E57AF"/>
    <w:rsid w:val="37405B09"/>
    <w:rsid w:val="375B525D"/>
    <w:rsid w:val="37675864"/>
    <w:rsid w:val="379D669E"/>
    <w:rsid w:val="37C10485"/>
    <w:rsid w:val="37FF59C4"/>
    <w:rsid w:val="38066E3C"/>
    <w:rsid w:val="38BB5D8F"/>
    <w:rsid w:val="38DB1F8D"/>
    <w:rsid w:val="392C3018"/>
    <w:rsid w:val="39330B70"/>
    <w:rsid w:val="39EF5A17"/>
    <w:rsid w:val="3A3A0F35"/>
    <w:rsid w:val="3A4628B8"/>
    <w:rsid w:val="3A7E0E22"/>
    <w:rsid w:val="3B295232"/>
    <w:rsid w:val="3B8C3A12"/>
    <w:rsid w:val="3C10769B"/>
    <w:rsid w:val="3C9963E7"/>
    <w:rsid w:val="3D383755"/>
    <w:rsid w:val="3D87623F"/>
    <w:rsid w:val="3D923A3E"/>
    <w:rsid w:val="3DC47C3F"/>
    <w:rsid w:val="3DF17B5D"/>
    <w:rsid w:val="3E171AC2"/>
    <w:rsid w:val="404B79F8"/>
    <w:rsid w:val="40C15F0C"/>
    <w:rsid w:val="40F45A0A"/>
    <w:rsid w:val="41664DCC"/>
    <w:rsid w:val="42097B6B"/>
    <w:rsid w:val="42C43A19"/>
    <w:rsid w:val="42D629C0"/>
    <w:rsid w:val="43247753"/>
    <w:rsid w:val="43882D11"/>
    <w:rsid w:val="43E83356"/>
    <w:rsid w:val="44446C38"/>
    <w:rsid w:val="444550BD"/>
    <w:rsid w:val="44F92119"/>
    <w:rsid w:val="45126D36"/>
    <w:rsid w:val="45567DB9"/>
    <w:rsid w:val="45765517"/>
    <w:rsid w:val="45B44292"/>
    <w:rsid w:val="45C76C06"/>
    <w:rsid w:val="461A3E25"/>
    <w:rsid w:val="4640490B"/>
    <w:rsid w:val="4642364B"/>
    <w:rsid w:val="46D63D94"/>
    <w:rsid w:val="46E97F6B"/>
    <w:rsid w:val="479E48B1"/>
    <w:rsid w:val="47F941DE"/>
    <w:rsid w:val="484A2C8B"/>
    <w:rsid w:val="48895562"/>
    <w:rsid w:val="493556E9"/>
    <w:rsid w:val="4A394D65"/>
    <w:rsid w:val="4A3D2AA8"/>
    <w:rsid w:val="4A7A7858"/>
    <w:rsid w:val="4A881849"/>
    <w:rsid w:val="4B063D20"/>
    <w:rsid w:val="4B3E292E"/>
    <w:rsid w:val="4B647157"/>
    <w:rsid w:val="4B7122DD"/>
    <w:rsid w:val="4BDE7972"/>
    <w:rsid w:val="4BFE0015"/>
    <w:rsid w:val="4CBC2C57"/>
    <w:rsid w:val="4CC530AB"/>
    <w:rsid w:val="4D111B52"/>
    <w:rsid w:val="4D2F648E"/>
    <w:rsid w:val="4DB03590"/>
    <w:rsid w:val="4DD4191D"/>
    <w:rsid w:val="4E61488B"/>
    <w:rsid w:val="4E870795"/>
    <w:rsid w:val="4ED63B9E"/>
    <w:rsid w:val="4EDC0D21"/>
    <w:rsid w:val="4EDD6AB0"/>
    <w:rsid w:val="4F67286E"/>
    <w:rsid w:val="500B71A4"/>
    <w:rsid w:val="50886A1A"/>
    <w:rsid w:val="50A32F39"/>
    <w:rsid w:val="511E2B96"/>
    <w:rsid w:val="517338F9"/>
    <w:rsid w:val="51B3364F"/>
    <w:rsid w:val="52E4072F"/>
    <w:rsid w:val="5334256E"/>
    <w:rsid w:val="538928BA"/>
    <w:rsid w:val="53907BCE"/>
    <w:rsid w:val="53CA7B1F"/>
    <w:rsid w:val="548D3630"/>
    <w:rsid w:val="55A74CA9"/>
    <w:rsid w:val="55E262B1"/>
    <w:rsid w:val="55F33D0F"/>
    <w:rsid w:val="564170BE"/>
    <w:rsid w:val="564B3E56"/>
    <w:rsid w:val="567A7499"/>
    <w:rsid w:val="5682113A"/>
    <w:rsid w:val="577D3698"/>
    <w:rsid w:val="579F46EF"/>
    <w:rsid w:val="57FA4163"/>
    <w:rsid w:val="580F2568"/>
    <w:rsid w:val="5814296E"/>
    <w:rsid w:val="58253559"/>
    <w:rsid w:val="58F051F6"/>
    <w:rsid w:val="592C6DE8"/>
    <w:rsid w:val="595C637A"/>
    <w:rsid w:val="59611BE3"/>
    <w:rsid w:val="59613991"/>
    <w:rsid w:val="5987789B"/>
    <w:rsid w:val="5A056919"/>
    <w:rsid w:val="5A2C0443"/>
    <w:rsid w:val="5A394787"/>
    <w:rsid w:val="5AE67855"/>
    <w:rsid w:val="5B3C7CCA"/>
    <w:rsid w:val="5B4A5024"/>
    <w:rsid w:val="5B885B4D"/>
    <w:rsid w:val="5BCE0579"/>
    <w:rsid w:val="5BEA5E14"/>
    <w:rsid w:val="5C2F2745"/>
    <w:rsid w:val="5C5C54BA"/>
    <w:rsid w:val="5C7560D1"/>
    <w:rsid w:val="5CB309A7"/>
    <w:rsid w:val="5CDD5A24"/>
    <w:rsid w:val="5D537A56"/>
    <w:rsid w:val="5DAA1DAA"/>
    <w:rsid w:val="5DBB3FB7"/>
    <w:rsid w:val="5EE45FBF"/>
    <w:rsid w:val="5F2C4A17"/>
    <w:rsid w:val="5F950838"/>
    <w:rsid w:val="5FB76A00"/>
    <w:rsid w:val="60762529"/>
    <w:rsid w:val="60A54AAB"/>
    <w:rsid w:val="60DD4245"/>
    <w:rsid w:val="611834CF"/>
    <w:rsid w:val="61377DF9"/>
    <w:rsid w:val="61A94127"/>
    <w:rsid w:val="61B46B38"/>
    <w:rsid w:val="61FE0AD0"/>
    <w:rsid w:val="6208709F"/>
    <w:rsid w:val="621023F8"/>
    <w:rsid w:val="62601C51"/>
    <w:rsid w:val="62AD4A28"/>
    <w:rsid w:val="62B334AF"/>
    <w:rsid w:val="62B9483E"/>
    <w:rsid w:val="62EF200D"/>
    <w:rsid w:val="63021917"/>
    <w:rsid w:val="639C1186"/>
    <w:rsid w:val="63C92900"/>
    <w:rsid w:val="63CD5748"/>
    <w:rsid w:val="63E30CAD"/>
    <w:rsid w:val="6428505D"/>
    <w:rsid w:val="645C7B76"/>
    <w:rsid w:val="65446CC4"/>
    <w:rsid w:val="65CA4F37"/>
    <w:rsid w:val="65DA0D53"/>
    <w:rsid w:val="65EF43C1"/>
    <w:rsid w:val="666D606B"/>
    <w:rsid w:val="66833198"/>
    <w:rsid w:val="679118E5"/>
    <w:rsid w:val="67A73E45"/>
    <w:rsid w:val="67EF385D"/>
    <w:rsid w:val="68090B37"/>
    <w:rsid w:val="682409AB"/>
    <w:rsid w:val="68AA0BDE"/>
    <w:rsid w:val="68FA6056"/>
    <w:rsid w:val="690F397F"/>
    <w:rsid w:val="692C5D69"/>
    <w:rsid w:val="69574F7E"/>
    <w:rsid w:val="69A55B1C"/>
    <w:rsid w:val="69D41F5D"/>
    <w:rsid w:val="69F36887"/>
    <w:rsid w:val="6A2F7A10"/>
    <w:rsid w:val="6A781BAC"/>
    <w:rsid w:val="6AD52C69"/>
    <w:rsid w:val="6AE30A53"/>
    <w:rsid w:val="6AEF52A0"/>
    <w:rsid w:val="6B312735"/>
    <w:rsid w:val="6B896799"/>
    <w:rsid w:val="6D5B6C1D"/>
    <w:rsid w:val="6DAB19F7"/>
    <w:rsid w:val="6DD42897"/>
    <w:rsid w:val="6E1A23C8"/>
    <w:rsid w:val="6F286FD3"/>
    <w:rsid w:val="6F4B0F13"/>
    <w:rsid w:val="6F6F1E54"/>
    <w:rsid w:val="6F8C7562"/>
    <w:rsid w:val="70346247"/>
    <w:rsid w:val="708E3F74"/>
    <w:rsid w:val="70D86B24"/>
    <w:rsid w:val="70D94A29"/>
    <w:rsid w:val="713F6856"/>
    <w:rsid w:val="71A13692"/>
    <w:rsid w:val="720930EC"/>
    <w:rsid w:val="721E46BD"/>
    <w:rsid w:val="724539F8"/>
    <w:rsid w:val="7266628F"/>
    <w:rsid w:val="727D7636"/>
    <w:rsid w:val="72990018"/>
    <w:rsid w:val="72C9287B"/>
    <w:rsid w:val="72F773E8"/>
    <w:rsid w:val="73102258"/>
    <w:rsid w:val="73676EE8"/>
    <w:rsid w:val="739C1D3D"/>
    <w:rsid w:val="74BF3F35"/>
    <w:rsid w:val="74D02A1C"/>
    <w:rsid w:val="757A7429"/>
    <w:rsid w:val="75CB1FD1"/>
    <w:rsid w:val="765422FC"/>
    <w:rsid w:val="769D3E02"/>
    <w:rsid w:val="783E7FCF"/>
    <w:rsid w:val="787525CB"/>
    <w:rsid w:val="78A71B34"/>
    <w:rsid w:val="78CA67D4"/>
    <w:rsid w:val="795558DB"/>
    <w:rsid w:val="796D5C37"/>
    <w:rsid w:val="7988630F"/>
    <w:rsid w:val="79B31B8F"/>
    <w:rsid w:val="79CE4C1B"/>
    <w:rsid w:val="7A94376E"/>
    <w:rsid w:val="7AA240DD"/>
    <w:rsid w:val="7AB13BAB"/>
    <w:rsid w:val="7AC9428B"/>
    <w:rsid w:val="7ADB35EC"/>
    <w:rsid w:val="7BA63759"/>
    <w:rsid w:val="7C896BD7"/>
    <w:rsid w:val="7CA57EB5"/>
    <w:rsid w:val="7CBA4FE2"/>
    <w:rsid w:val="7D1F634B"/>
    <w:rsid w:val="7D322473"/>
    <w:rsid w:val="7D3354C1"/>
    <w:rsid w:val="7D5611AF"/>
    <w:rsid w:val="7DAE0125"/>
    <w:rsid w:val="7E8B2DB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480" w:firstLineChars="200"/>
      <w:jc w:val="both"/>
    </w:pPr>
    <w:rPr>
      <w:rFonts w:ascii="Times New Roman" w:hAnsi="Times New Roman" w:eastAsia="宋体" w:cs="Times New Roman"/>
      <w:kern w:val="28"/>
      <w:sz w:val="21"/>
      <w:lang w:val="en-US" w:eastAsia="zh-CN" w:bidi="ar-SA"/>
    </w:rPr>
  </w:style>
  <w:style w:type="paragraph" w:styleId="2">
    <w:name w:val="heading 1"/>
    <w:basedOn w:val="1"/>
    <w:next w:val="1"/>
    <w:link w:val="23"/>
    <w:qFormat/>
    <w:uiPriority w:val="99"/>
    <w:pPr>
      <w:keepNext/>
      <w:keepLines/>
      <w:spacing w:before="340" w:after="330" w:line="576" w:lineRule="auto"/>
      <w:jc w:val="left"/>
      <w:outlineLvl w:val="0"/>
    </w:pPr>
    <w:rPr>
      <w:rFonts w:ascii="Calibri" w:hAnsi="Calibri"/>
      <w:b/>
      <w:kern w:val="44"/>
      <w:sz w:val="28"/>
      <w:szCs w:val="28"/>
    </w:rPr>
  </w:style>
  <w:style w:type="paragraph" w:styleId="3">
    <w:name w:val="heading 2"/>
    <w:basedOn w:val="1"/>
    <w:next w:val="1"/>
    <w:link w:val="24"/>
    <w:qFormat/>
    <w:uiPriority w:val="99"/>
    <w:pPr>
      <w:keepNext/>
      <w:keepLines/>
      <w:spacing w:before="260" w:after="260" w:line="412" w:lineRule="auto"/>
      <w:outlineLvl w:val="1"/>
    </w:pPr>
    <w:rPr>
      <w:b/>
      <w:kern w:val="2"/>
      <w:sz w:val="24"/>
      <w:szCs w:val="24"/>
    </w:rPr>
  </w:style>
  <w:style w:type="paragraph" w:styleId="4">
    <w:name w:val="heading 3"/>
    <w:basedOn w:val="1"/>
    <w:next w:val="1"/>
    <w:link w:val="25"/>
    <w:qFormat/>
    <w:uiPriority w:val="99"/>
    <w:pPr>
      <w:keepNext/>
      <w:keepLines/>
      <w:spacing w:before="260" w:after="260" w:line="412" w:lineRule="auto"/>
      <w:jc w:val="left"/>
      <w:outlineLvl w:val="2"/>
    </w:pPr>
    <w:rPr>
      <w:b/>
      <w:kern w:val="2"/>
      <w:sz w:val="24"/>
      <w:szCs w:val="21"/>
    </w:rPr>
  </w:style>
  <w:style w:type="paragraph" w:styleId="5">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semiHidden/>
    <w:unhideWhenUsed/>
    <w:qFormat/>
    <w:uiPriority w:val="0"/>
    <w:pPr>
      <w:spacing w:line="360" w:lineRule="auto"/>
    </w:pPr>
    <w:rPr>
      <w:rFonts w:ascii="Arial" w:hAnsi="Arial" w:eastAsia="黑体"/>
      <w:kern w:val="2"/>
      <w:sz w:val="20"/>
    </w:rPr>
  </w:style>
  <w:style w:type="paragraph" w:styleId="8">
    <w:name w:val="annotation text"/>
    <w:basedOn w:val="1"/>
    <w:link w:val="56"/>
    <w:qFormat/>
    <w:uiPriority w:val="0"/>
    <w:rPr>
      <w:rFonts w:asciiTheme="minorHAnsi" w:hAnsiTheme="minorHAnsi" w:eastAsiaTheme="minorEastAsia" w:cstheme="minorBidi"/>
      <w:kern w:val="2"/>
      <w:szCs w:val="24"/>
    </w:rPr>
  </w:style>
  <w:style w:type="paragraph" w:styleId="9">
    <w:name w:val="Body Text Indent"/>
    <w:basedOn w:val="1"/>
    <w:link w:val="27"/>
    <w:qFormat/>
    <w:uiPriority w:val="0"/>
    <w:pPr>
      <w:spacing w:after="120"/>
      <w:ind w:left="420" w:leftChars="200"/>
    </w:pPr>
  </w:style>
  <w:style w:type="paragraph" w:styleId="10">
    <w:name w:val="Balloon Text"/>
    <w:basedOn w:val="1"/>
    <w:link w:val="38"/>
    <w:qFormat/>
    <w:uiPriority w:val="0"/>
    <w:rPr>
      <w:sz w:val="18"/>
      <w:szCs w:val="18"/>
    </w:rPr>
  </w:style>
  <w:style w:type="paragraph" w:styleId="11">
    <w:name w:val="footer"/>
    <w:basedOn w:val="1"/>
    <w:link w:val="36"/>
    <w:qFormat/>
    <w:uiPriority w:val="0"/>
    <w:pPr>
      <w:tabs>
        <w:tab w:val="center" w:pos="4153"/>
        <w:tab w:val="right" w:pos="8306"/>
      </w:tabs>
      <w:snapToGrid w:val="0"/>
      <w:jc w:val="left"/>
    </w:pPr>
    <w:rPr>
      <w:sz w:val="18"/>
      <w:szCs w:val="18"/>
    </w:rPr>
  </w:style>
  <w:style w:type="paragraph" w:styleId="12">
    <w:name w:val="header"/>
    <w:basedOn w:val="1"/>
    <w:link w:val="35"/>
    <w:qFormat/>
    <w:uiPriority w:val="0"/>
    <w:pPr>
      <w:pBdr>
        <w:bottom w:val="single" w:color="auto" w:sz="6" w:space="1"/>
      </w:pBdr>
      <w:tabs>
        <w:tab w:val="center" w:pos="4153"/>
        <w:tab w:val="right" w:pos="8306"/>
      </w:tabs>
      <w:snapToGrid w:val="0"/>
      <w:jc w:val="center"/>
    </w:pPr>
    <w:rPr>
      <w:sz w:val="18"/>
      <w:szCs w:val="18"/>
    </w:rPr>
  </w:style>
  <w:style w:type="paragraph" w:styleId="13">
    <w:name w:val="Normal (Web)"/>
    <w:basedOn w:val="1"/>
    <w:qFormat/>
    <w:uiPriority w:val="0"/>
  </w:style>
  <w:style w:type="paragraph" w:styleId="14">
    <w:name w:val="annotation subject"/>
    <w:basedOn w:val="8"/>
    <w:next w:val="8"/>
    <w:link w:val="57"/>
    <w:qFormat/>
    <w:uiPriority w:val="0"/>
    <w:pPr>
      <w:jc w:val="left"/>
    </w:pPr>
    <w:rPr>
      <w:rFonts w:ascii="Times New Roman" w:hAnsi="Times New Roman" w:eastAsia="宋体" w:cs="Times New Roman"/>
      <w:b/>
      <w:bCs/>
      <w:kern w:val="28"/>
      <w:szCs w:val="20"/>
    </w:rPr>
  </w:style>
  <w:style w:type="table" w:styleId="16">
    <w:name w:val="Table Grid"/>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character" w:styleId="18">
    <w:name w:val="Strong"/>
    <w:basedOn w:val="17"/>
    <w:qFormat/>
    <w:uiPriority w:val="0"/>
    <w:rPr>
      <w:b/>
    </w:rPr>
  </w:style>
  <w:style w:type="character" w:styleId="19">
    <w:name w:val="Hyperlink"/>
    <w:basedOn w:val="17"/>
    <w:qFormat/>
    <w:uiPriority w:val="0"/>
    <w:rPr>
      <w:color w:val="0000FF"/>
      <w:u w:val="single"/>
    </w:rPr>
  </w:style>
  <w:style w:type="character" w:styleId="20">
    <w:name w:val="annotation reference"/>
    <w:basedOn w:val="17"/>
    <w:qFormat/>
    <w:uiPriority w:val="0"/>
    <w:rPr>
      <w:sz w:val="21"/>
      <w:szCs w:val="21"/>
    </w:rPr>
  </w:style>
  <w:style w:type="paragraph" w:customStyle="1" w:styleId="21">
    <w:name w:val="公式"/>
    <w:basedOn w:val="1"/>
    <w:link w:val="51"/>
    <w:qFormat/>
    <w:uiPriority w:val="0"/>
    <w:pPr>
      <w:tabs>
        <w:tab w:val="center" w:pos="4200"/>
        <w:tab w:val="right" w:pos="8400"/>
      </w:tabs>
      <w:spacing w:after="48"/>
    </w:pPr>
    <w:rPr>
      <w:rFonts w:eastAsia="Times New Roman"/>
      <w:b/>
      <w:bCs/>
      <w:sz w:val="24"/>
      <w:szCs w:val="32"/>
      <w14:ligatures w14:val="standardContextual"/>
    </w:rPr>
  </w:style>
  <w:style w:type="paragraph" w:customStyle="1" w:styleId="22">
    <w:name w:val="公式1"/>
    <w:link w:val="43"/>
    <w:qFormat/>
    <w:uiPriority w:val="0"/>
    <w:pPr>
      <w:widowControl w:val="0"/>
      <w:tabs>
        <w:tab w:val="left" w:pos="4150"/>
        <w:tab w:val="left" w:pos="8301"/>
      </w:tabs>
      <w:jc w:val="center"/>
    </w:pPr>
    <w:rPr>
      <w:rFonts w:ascii="Times New Roman" w:hAnsi="Times New Roman" w:cs="Times New Roman" w:eastAsiaTheme="minorEastAsia"/>
      <w:b/>
      <w:bCs/>
      <w:kern w:val="2"/>
      <w:sz w:val="24"/>
      <w:szCs w:val="28"/>
      <w:lang w:val="en-US" w:eastAsia="zh-CN" w:bidi="ar-SA"/>
    </w:rPr>
  </w:style>
  <w:style w:type="character" w:customStyle="1" w:styleId="23">
    <w:name w:val="标题 1 字符"/>
    <w:basedOn w:val="17"/>
    <w:link w:val="2"/>
    <w:qFormat/>
    <w:uiPriority w:val="99"/>
    <w:rPr>
      <w:rFonts w:ascii="Calibri" w:hAnsi="Calibri"/>
      <w:b/>
      <w:kern w:val="44"/>
      <w:sz w:val="28"/>
      <w:szCs w:val="28"/>
    </w:rPr>
  </w:style>
  <w:style w:type="character" w:customStyle="1" w:styleId="24">
    <w:name w:val="标题 2 字符"/>
    <w:basedOn w:val="17"/>
    <w:link w:val="3"/>
    <w:qFormat/>
    <w:uiPriority w:val="99"/>
    <w:rPr>
      <w:rFonts w:ascii="Times New Roman" w:hAnsi="Times New Roman" w:eastAsia="宋体"/>
      <w:b/>
      <w:kern w:val="2"/>
      <w:sz w:val="24"/>
      <w:szCs w:val="24"/>
    </w:rPr>
  </w:style>
  <w:style w:type="character" w:customStyle="1" w:styleId="25">
    <w:name w:val="标题 3 字符"/>
    <w:basedOn w:val="17"/>
    <w:link w:val="4"/>
    <w:qFormat/>
    <w:uiPriority w:val="99"/>
    <w:rPr>
      <w:rFonts w:ascii="Times New Roman" w:hAnsi="Times New Roman" w:eastAsia="宋体"/>
      <w:b/>
      <w:kern w:val="2"/>
      <w:sz w:val="24"/>
      <w:szCs w:val="21"/>
    </w:rPr>
  </w:style>
  <w:style w:type="paragraph" w:customStyle="1" w:styleId="26">
    <w:name w:val="图的名称"/>
    <w:basedOn w:val="9"/>
    <w:qFormat/>
    <w:uiPriority w:val="0"/>
    <w:pPr>
      <w:spacing w:before="120" w:after="240"/>
      <w:jc w:val="center"/>
    </w:pPr>
    <w:rPr>
      <w:rFonts w:cs="宋体"/>
      <w:kern w:val="2"/>
      <w:szCs w:val="21"/>
    </w:rPr>
  </w:style>
  <w:style w:type="character" w:customStyle="1" w:styleId="27">
    <w:name w:val="正文文本缩进 字符"/>
    <w:basedOn w:val="17"/>
    <w:link w:val="9"/>
    <w:qFormat/>
    <w:uiPriority w:val="0"/>
    <w:rPr>
      <w:kern w:val="28"/>
      <w:sz w:val="24"/>
    </w:rPr>
  </w:style>
  <w:style w:type="paragraph" w:customStyle="1" w:styleId="28">
    <w:name w:val="0样式1"/>
    <w:basedOn w:val="1"/>
    <w:link w:val="30"/>
    <w:qFormat/>
    <w:uiPriority w:val="0"/>
    <w:rPr>
      <w:rFonts w:ascii="黑体" w:hAnsi="黑体" w:eastAsia="黑体"/>
      <w:b/>
      <w:szCs w:val="24"/>
    </w:rPr>
  </w:style>
  <w:style w:type="paragraph" w:customStyle="1" w:styleId="29">
    <w:name w:val="0样式2"/>
    <w:basedOn w:val="1"/>
    <w:link w:val="32"/>
    <w:qFormat/>
    <w:uiPriority w:val="0"/>
    <w:rPr>
      <w:rFonts w:ascii="黑体" w:hAnsi="黑体" w:eastAsia="黑体"/>
      <w:b/>
      <w:szCs w:val="21"/>
    </w:rPr>
  </w:style>
  <w:style w:type="character" w:customStyle="1" w:styleId="30">
    <w:name w:val="0样式1 字符"/>
    <w:basedOn w:val="17"/>
    <w:link w:val="28"/>
    <w:qFormat/>
    <w:uiPriority w:val="0"/>
    <w:rPr>
      <w:rFonts w:ascii="黑体" w:hAnsi="黑体" w:eastAsia="黑体"/>
      <w:b/>
      <w:kern w:val="28"/>
      <w:sz w:val="24"/>
      <w:szCs w:val="24"/>
    </w:rPr>
  </w:style>
  <w:style w:type="paragraph" w:customStyle="1" w:styleId="31">
    <w:name w:val="0样式3"/>
    <w:basedOn w:val="1"/>
    <w:link w:val="33"/>
    <w:qFormat/>
    <w:uiPriority w:val="0"/>
    <w:rPr>
      <w:rFonts w:ascii="黑体" w:hAnsi="黑体" w:eastAsia="黑体"/>
      <w:szCs w:val="21"/>
    </w:rPr>
  </w:style>
  <w:style w:type="character" w:customStyle="1" w:styleId="32">
    <w:name w:val="0样式2 字符"/>
    <w:basedOn w:val="17"/>
    <w:link w:val="29"/>
    <w:qFormat/>
    <w:uiPriority w:val="0"/>
    <w:rPr>
      <w:rFonts w:ascii="黑体" w:hAnsi="黑体" w:eastAsia="黑体"/>
      <w:b/>
      <w:kern w:val="28"/>
      <w:sz w:val="21"/>
      <w:szCs w:val="21"/>
    </w:rPr>
  </w:style>
  <w:style w:type="character" w:customStyle="1" w:styleId="33">
    <w:name w:val="0样式3 字符"/>
    <w:basedOn w:val="17"/>
    <w:link w:val="31"/>
    <w:qFormat/>
    <w:uiPriority w:val="0"/>
    <w:rPr>
      <w:rFonts w:ascii="黑体" w:hAnsi="黑体" w:eastAsia="黑体"/>
      <w:kern w:val="28"/>
      <w:sz w:val="21"/>
      <w:szCs w:val="21"/>
    </w:rPr>
  </w:style>
  <w:style w:type="character" w:customStyle="1" w:styleId="34">
    <w:name w:val="font21"/>
    <w:basedOn w:val="17"/>
    <w:qFormat/>
    <w:uiPriority w:val="0"/>
    <w:rPr>
      <w:rFonts w:hint="eastAsia" w:ascii="宋体" w:hAnsi="宋体" w:eastAsia="宋体"/>
      <w:color w:val="000000"/>
      <w:sz w:val="24"/>
      <w:szCs w:val="24"/>
      <w:u w:val="none"/>
    </w:rPr>
  </w:style>
  <w:style w:type="character" w:customStyle="1" w:styleId="35">
    <w:name w:val="页眉 字符"/>
    <w:basedOn w:val="17"/>
    <w:link w:val="12"/>
    <w:qFormat/>
    <w:uiPriority w:val="0"/>
    <w:rPr>
      <w:kern w:val="28"/>
      <w:sz w:val="18"/>
      <w:szCs w:val="18"/>
    </w:rPr>
  </w:style>
  <w:style w:type="character" w:customStyle="1" w:styleId="36">
    <w:name w:val="页脚 字符"/>
    <w:basedOn w:val="17"/>
    <w:link w:val="11"/>
    <w:qFormat/>
    <w:uiPriority w:val="0"/>
    <w:rPr>
      <w:kern w:val="28"/>
      <w:sz w:val="18"/>
      <w:szCs w:val="18"/>
    </w:rPr>
  </w:style>
  <w:style w:type="paragraph" w:customStyle="1" w:styleId="37">
    <w:name w:val="0标题4"/>
    <w:basedOn w:val="1"/>
    <w:qFormat/>
    <w:uiPriority w:val="0"/>
    <w:pPr>
      <w:outlineLvl w:val="1"/>
    </w:pPr>
    <w:rPr>
      <w:rFonts w:hint="eastAsia" w:eastAsia="仿宋"/>
      <w:b/>
      <w:bCs/>
      <w:kern w:val="2"/>
      <w:szCs w:val="24"/>
    </w:rPr>
  </w:style>
  <w:style w:type="character" w:customStyle="1" w:styleId="38">
    <w:name w:val="批注框文本 字符"/>
    <w:basedOn w:val="17"/>
    <w:link w:val="10"/>
    <w:qFormat/>
    <w:uiPriority w:val="0"/>
    <w:rPr>
      <w:kern w:val="28"/>
      <w:sz w:val="18"/>
      <w:szCs w:val="18"/>
    </w:rPr>
  </w:style>
  <w:style w:type="character" w:customStyle="1" w:styleId="39">
    <w:name w:val="font01"/>
    <w:basedOn w:val="17"/>
    <w:qFormat/>
    <w:uiPriority w:val="0"/>
    <w:rPr>
      <w:rFonts w:hint="eastAsia" w:ascii="宋体" w:hAnsi="宋体" w:eastAsia="宋体" w:cs="宋体"/>
      <w:color w:val="000000"/>
      <w:sz w:val="22"/>
      <w:szCs w:val="22"/>
      <w:u w:val="none"/>
    </w:rPr>
  </w:style>
  <w:style w:type="paragraph" w:customStyle="1" w:styleId="40">
    <w:name w:val="正文-段落文字"/>
    <w:basedOn w:val="1"/>
    <w:qFormat/>
    <w:uiPriority w:val="0"/>
    <w:pPr>
      <w:spacing w:line="400" w:lineRule="exact"/>
    </w:pPr>
    <w:rPr>
      <w:rFonts w:hint="eastAsia" w:ascii="宋体" w:hAnsi="宋体"/>
      <w:szCs w:val="24"/>
    </w:rPr>
  </w:style>
  <w:style w:type="character" w:customStyle="1" w:styleId="41">
    <w:name w:val="container-mbkw8x"/>
    <w:basedOn w:val="17"/>
    <w:qFormat/>
    <w:uiPriority w:val="0"/>
  </w:style>
  <w:style w:type="paragraph" w:styleId="42">
    <w:name w:val="List Paragraph"/>
    <w:basedOn w:val="1"/>
    <w:qFormat/>
    <w:uiPriority w:val="99"/>
    <w:pPr>
      <w:ind w:firstLine="420"/>
    </w:pPr>
  </w:style>
  <w:style w:type="character" w:customStyle="1" w:styleId="43">
    <w:name w:val="公式1 Char"/>
    <w:link w:val="22"/>
    <w:qFormat/>
    <w:uiPriority w:val="0"/>
    <w:rPr>
      <w:rFonts w:ascii="Times New Roman" w:hAnsi="Times New Roman" w:cs="Times New Roman" w:eastAsiaTheme="minorEastAsia"/>
      <w:b/>
      <w:bCs/>
      <w:kern w:val="2"/>
      <w:sz w:val="24"/>
      <w:szCs w:val="28"/>
      <w:lang w:val="en-US" w:eastAsia="zh-CN" w:bidi="ar-SA"/>
    </w:rPr>
  </w:style>
  <w:style w:type="character" w:styleId="44">
    <w:name w:val="Placeholder Text"/>
    <w:basedOn w:val="17"/>
    <w:qFormat/>
    <w:uiPriority w:val="99"/>
    <w:rPr>
      <w:color w:val="666666"/>
    </w:rPr>
  </w:style>
  <w:style w:type="character" w:customStyle="1" w:styleId="45">
    <w:name w:val="15"/>
    <w:basedOn w:val="17"/>
    <w:qFormat/>
    <w:uiPriority w:val="0"/>
    <w:rPr>
      <w:rFonts w:hint="default" w:ascii="Times New Roman" w:hAnsi="Times New Roman" w:cs="Times New Roman"/>
      <w:sz w:val="21"/>
      <w:szCs w:val="21"/>
    </w:rPr>
  </w:style>
  <w:style w:type="character" w:customStyle="1" w:styleId="46">
    <w:name w:val="10"/>
    <w:basedOn w:val="17"/>
    <w:qFormat/>
    <w:uiPriority w:val="0"/>
    <w:rPr>
      <w:rFonts w:hint="default" w:ascii="Times New Roman" w:hAnsi="Times New Roman" w:cs="Times New Roman"/>
    </w:rPr>
  </w:style>
  <w:style w:type="paragraph" w:customStyle="1" w:styleId="47">
    <w:name w:val="0公式居中"/>
    <w:basedOn w:val="1"/>
    <w:qFormat/>
    <w:uiPriority w:val="0"/>
    <w:pPr>
      <w:tabs>
        <w:tab w:val="center" w:pos="4156"/>
        <w:tab w:val="right" w:pos="8312"/>
      </w:tabs>
    </w:pPr>
    <w:rPr>
      <w:kern w:val="2"/>
      <w:szCs w:val="24"/>
    </w:rPr>
  </w:style>
  <w:style w:type="paragraph" w:customStyle="1" w:styleId="48">
    <w:name w:val="0 正文"/>
    <w:basedOn w:val="1"/>
    <w:qFormat/>
    <w:uiPriority w:val="0"/>
    <w:pPr>
      <w:ind w:firstLine="200"/>
    </w:pPr>
    <w:rPr>
      <w:bCs/>
    </w:rPr>
  </w:style>
  <w:style w:type="paragraph" w:customStyle="1" w:styleId="49">
    <w:name w:val="0正文段落"/>
    <w:basedOn w:val="1"/>
    <w:qFormat/>
    <w:uiPriority w:val="0"/>
    <w:pPr>
      <w:spacing w:line="80" w:lineRule="atLeast"/>
      <w:ind w:firstLine="0" w:firstLineChars="0"/>
      <w:jc w:val="center"/>
    </w:pPr>
    <w:rPr>
      <w:kern w:val="2"/>
      <w:sz w:val="18"/>
    </w:rPr>
  </w:style>
  <w:style w:type="paragraph" w:customStyle="1" w:styleId="50">
    <w:name w:val="0图名"/>
    <w:basedOn w:val="1"/>
    <w:qFormat/>
    <w:uiPriority w:val="0"/>
    <w:pPr>
      <w:spacing w:before="120" w:after="240"/>
      <w:jc w:val="center"/>
    </w:pPr>
    <w:rPr>
      <w:kern w:val="2"/>
      <w:szCs w:val="21"/>
    </w:rPr>
  </w:style>
  <w:style w:type="character" w:customStyle="1" w:styleId="51">
    <w:name w:val="公式 字符"/>
    <w:basedOn w:val="17"/>
    <w:link w:val="21"/>
    <w:qFormat/>
    <w:uiPriority w:val="0"/>
    <w:rPr>
      <w:rFonts w:ascii="Times New Roman" w:hAnsi="Times New Roman" w:eastAsia="Times New Roman"/>
      <w:b/>
      <w:bCs/>
      <w:sz w:val="24"/>
      <w:szCs w:val="32"/>
      <w14:ligatures w14:val="standardContextual"/>
    </w:rPr>
  </w:style>
  <w:style w:type="paragraph" w:customStyle="1" w:styleId="52">
    <w:name w:val="0表格"/>
    <w:basedOn w:val="1"/>
    <w:next w:val="1"/>
    <w:link w:val="53"/>
    <w:qFormat/>
    <w:uiPriority w:val="0"/>
    <w:pPr>
      <w:keepNext/>
      <w:keepLines/>
      <w:spacing w:line="100" w:lineRule="atLeast"/>
      <w:ind w:firstLine="0" w:firstLineChars="0"/>
      <w:jc w:val="center"/>
    </w:pPr>
    <w:rPr>
      <w:kern w:val="44"/>
      <w:szCs w:val="28"/>
    </w:rPr>
  </w:style>
  <w:style w:type="character" w:customStyle="1" w:styleId="53">
    <w:name w:val="0表格 Char"/>
    <w:link w:val="52"/>
    <w:qFormat/>
    <w:uiPriority w:val="0"/>
    <w:rPr>
      <w:rFonts w:ascii="Times New Roman" w:hAnsi="Times New Roman"/>
      <w:kern w:val="44"/>
      <w:sz w:val="21"/>
      <w:szCs w:val="28"/>
    </w:rPr>
  </w:style>
  <w:style w:type="character" w:customStyle="1" w:styleId="54">
    <w:name w:val="font11"/>
    <w:basedOn w:val="17"/>
    <w:qFormat/>
    <w:uiPriority w:val="0"/>
    <w:rPr>
      <w:rFonts w:hint="eastAsia" w:ascii="宋体" w:hAnsi="宋体" w:eastAsia="宋体" w:cs="宋体"/>
      <w:color w:val="000000"/>
      <w:sz w:val="20"/>
      <w:szCs w:val="20"/>
      <w:u w:val="none"/>
    </w:rPr>
  </w:style>
  <w:style w:type="paragraph" w:customStyle="1" w:styleId="55">
    <w:name w:val="修订1"/>
    <w:hidden/>
    <w:unhideWhenUsed/>
    <w:qFormat/>
    <w:uiPriority w:val="99"/>
    <w:rPr>
      <w:rFonts w:ascii="Times New Roman" w:hAnsi="Times New Roman" w:eastAsia="宋体" w:cs="Times New Roman"/>
      <w:kern w:val="28"/>
      <w:sz w:val="21"/>
      <w:lang w:val="en-US" w:eastAsia="zh-CN" w:bidi="ar-SA"/>
    </w:rPr>
  </w:style>
  <w:style w:type="character" w:customStyle="1" w:styleId="56">
    <w:name w:val="批注文字 字符"/>
    <w:basedOn w:val="17"/>
    <w:link w:val="8"/>
    <w:qFormat/>
    <w:uiPriority w:val="0"/>
    <w:rPr>
      <w:rFonts w:asciiTheme="minorHAnsi" w:hAnsiTheme="minorHAnsi" w:eastAsiaTheme="minorEastAsia" w:cstheme="minorBidi"/>
      <w:kern w:val="2"/>
      <w:sz w:val="21"/>
      <w:szCs w:val="24"/>
    </w:rPr>
  </w:style>
  <w:style w:type="character" w:customStyle="1" w:styleId="57">
    <w:name w:val="批注主题 字符"/>
    <w:basedOn w:val="56"/>
    <w:link w:val="14"/>
    <w:qFormat/>
    <w:uiPriority w:val="0"/>
    <w:rPr>
      <w:rFonts w:asciiTheme="minorHAnsi" w:hAnsiTheme="minorHAnsi" w:eastAsiaTheme="minorEastAsia" w:cstheme="minorBidi"/>
      <w:b/>
      <w:bCs/>
      <w:kern w:val="28"/>
      <w:sz w:val="21"/>
      <w:szCs w:val="24"/>
    </w:rPr>
  </w:style>
  <w:style w:type="paragraph" w:customStyle="1" w:styleId="58">
    <w:name w:val="0图片"/>
    <w:basedOn w:val="1"/>
    <w:qFormat/>
    <w:uiPriority w:val="0"/>
    <w:pPr>
      <w:ind w:firstLine="0" w:firstLineChars="0"/>
      <w:jc w:val="center"/>
    </w:pPr>
    <w:rPr>
      <w:rFonts w:hint="eastAsia"/>
      <w:kern w:val="2"/>
      <w:szCs w:val="21"/>
    </w:rPr>
  </w:style>
  <w:style w:type="paragraph" w:customStyle="1" w:styleId="59">
    <w:name w:val="修订2"/>
    <w:hidden/>
    <w:unhideWhenUsed/>
    <w:qFormat/>
    <w:uiPriority w:val="99"/>
    <w:rPr>
      <w:rFonts w:ascii="Times New Roman" w:hAnsi="Times New Roman" w:eastAsia="宋体" w:cs="Times New Roman"/>
      <w:kern w:val="28"/>
      <w:sz w:val="21"/>
      <w:lang w:val="en-US" w:eastAsia="zh-CN" w:bidi="ar-SA"/>
    </w:rPr>
  </w:style>
  <w:style w:type="character" w:customStyle="1" w:styleId="60">
    <w:name w:val="katex-mathml"/>
    <w:basedOn w:val="17"/>
    <w:qFormat/>
    <w:uiPriority w:val="0"/>
  </w:style>
  <w:style w:type="character" w:customStyle="1" w:styleId="61">
    <w:name w:val="mord"/>
    <w:basedOn w:val="17"/>
    <w:qFormat/>
    <w:uiPriority w:val="0"/>
  </w:style>
  <w:style w:type="character" w:customStyle="1" w:styleId="62">
    <w:name w:val="mopen"/>
    <w:basedOn w:val="17"/>
    <w:qFormat/>
    <w:uiPriority w:val="0"/>
  </w:style>
  <w:style w:type="character" w:customStyle="1" w:styleId="63">
    <w:name w:val="mclose"/>
    <w:basedOn w:val="17"/>
    <w:qFormat/>
    <w:uiPriority w:val="0"/>
  </w:style>
  <w:style w:type="paragraph" w:customStyle="1" w:styleId="64">
    <w:name w:val="Revision"/>
    <w:hidden/>
    <w:semiHidden/>
    <w:qFormat/>
    <w:uiPriority w:val="99"/>
    <w:rPr>
      <w:rFonts w:ascii="Times New Roman" w:hAnsi="Times New Roman" w:eastAsia="宋体" w:cs="Times New Roman"/>
      <w:kern w:val="28"/>
      <w:sz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6.png"/><Relationship Id="rId98" Type="http://schemas.openxmlformats.org/officeDocument/2006/relationships/image" Target="media/image65.png"/><Relationship Id="rId97" Type="http://schemas.openxmlformats.org/officeDocument/2006/relationships/image" Target="media/image64.png"/><Relationship Id="rId96" Type="http://schemas.openxmlformats.org/officeDocument/2006/relationships/image" Target="media/image63.png"/><Relationship Id="rId95" Type="http://schemas.openxmlformats.org/officeDocument/2006/relationships/image" Target="media/image62.jpeg"/><Relationship Id="rId94" Type="http://schemas.openxmlformats.org/officeDocument/2006/relationships/image" Target="media/image61.png"/><Relationship Id="rId93" Type="http://schemas.openxmlformats.org/officeDocument/2006/relationships/image" Target="media/image60.png"/><Relationship Id="rId92" Type="http://schemas.openxmlformats.org/officeDocument/2006/relationships/image" Target="media/image59.png"/><Relationship Id="rId91" Type="http://schemas.openxmlformats.org/officeDocument/2006/relationships/image" Target="media/image58.tiff"/><Relationship Id="rId90" Type="http://schemas.openxmlformats.org/officeDocument/2006/relationships/oleObject" Target="embeddings/oleObject26.bin"/><Relationship Id="rId9" Type="http://schemas.openxmlformats.org/officeDocument/2006/relationships/image" Target="media/image2.jpeg"/><Relationship Id="rId89" Type="http://schemas.openxmlformats.org/officeDocument/2006/relationships/oleObject" Target="embeddings/oleObject25.bin"/><Relationship Id="rId88" Type="http://schemas.openxmlformats.org/officeDocument/2006/relationships/oleObject" Target="embeddings/oleObject24.bin"/><Relationship Id="rId87" Type="http://schemas.openxmlformats.org/officeDocument/2006/relationships/image" Target="media/image57.wmf"/><Relationship Id="rId86" Type="http://schemas.openxmlformats.org/officeDocument/2006/relationships/oleObject" Target="embeddings/oleObject23.bin"/><Relationship Id="rId85" Type="http://schemas.openxmlformats.org/officeDocument/2006/relationships/image" Target="media/image56.wmf"/><Relationship Id="rId84" Type="http://schemas.openxmlformats.org/officeDocument/2006/relationships/oleObject" Target="embeddings/oleObject22.bin"/><Relationship Id="rId83" Type="http://schemas.openxmlformats.org/officeDocument/2006/relationships/image" Target="media/image55.wmf"/><Relationship Id="rId82" Type="http://schemas.openxmlformats.org/officeDocument/2006/relationships/oleObject" Target="embeddings/oleObject21.bin"/><Relationship Id="rId81" Type="http://schemas.openxmlformats.org/officeDocument/2006/relationships/image" Target="media/image54.wmf"/><Relationship Id="rId80" Type="http://schemas.openxmlformats.org/officeDocument/2006/relationships/oleObject" Target="embeddings/oleObject20.bin"/><Relationship Id="rId8" Type="http://schemas.openxmlformats.org/officeDocument/2006/relationships/image" Target="media/image1.png"/><Relationship Id="rId79" Type="http://schemas.openxmlformats.org/officeDocument/2006/relationships/image" Target="media/image53.wmf"/><Relationship Id="rId78" Type="http://schemas.openxmlformats.org/officeDocument/2006/relationships/oleObject" Target="embeddings/oleObject19.bin"/><Relationship Id="rId77" Type="http://schemas.openxmlformats.org/officeDocument/2006/relationships/image" Target="media/image52.wmf"/><Relationship Id="rId76" Type="http://schemas.openxmlformats.org/officeDocument/2006/relationships/oleObject" Target="embeddings/oleObject18.bin"/><Relationship Id="rId75" Type="http://schemas.openxmlformats.org/officeDocument/2006/relationships/image" Target="media/image51.wmf"/><Relationship Id="rId74" Type="http://schemas.openxmlformats.org/officeDocument/2006/relationships/oleObject" Target="embeddings/oleObject17.bin"/><Relationship Id="rId73" Type="http://schemas.openxmlformats.org/officeDocument/2006/relationships/image" Target="media/image50.png"/><Relationship Id="rId72" Type="http://schemas.openxmlformats.org/officeDocument/2006/relationships/image" Target="media/image49.wmf"/><Relationship Id="rId71" Type="http://schemas.openxmlformats.org/officeDocument/2006/relationships/oleObject" Target="embeddings/oleObject16.bin"/><Relationship Id="rId70" Type="http://schemas.openxmlformats.org/officeDocument/2006/relationships/image" Target="media/image48.wmf"/><Relationship Id="rId7" Type="http://schemas.openxmlformats.org/officeDocument/2006/relationships/theme" Target="theme/theme1.xml"/><Relationship Id="rId69" Type="http://schemas.openxmlformats.org/officeDocument/2006/relationships/oleObject" Target="embeddings/oleObject15.bin"/><Relationship Id="rId68" Type="http://schemas.openxmlformats.org/officeDocument/2006/relationships/image" Target="media/image47.wmf"/><Relationship Id="rId67" Type="http://schemas.openxmlformats.org/officeDocument/2006/relationships/oleObject" Target="embeddings/oleObject14.bin"/><Relationship Id="rId66" Type="http://schemas.openxmlformats.org/officeDocument/2006/relationships/image" Target="media/image46.wmf"/><Relationship Id="rId65" Type="http://schemas.openxmlformats.org/officeDocument/2006/relationships/oleObject" Target="embeddings/oleObject13.bin"/><Relationship Id="rId64" Type="http://schemas.openxmlformats.org/officeDocument/2006/relationships/image" Target="media/image45.wmf"/><Relationship Id="rId63" Type="http://schemas.openxmlformats.org/officeDocument/2006/relationships/oleObject" Target="embeddings/oleObject12.bin"/><Relationship Id="rId62" Type="http://schemas.openxmlformats.org/officeDocument/2006/relationships/image" Target="media/image44.wmf"/><Relationship Id="rId61" Type="http://schemas.openxmlformats.org/officeDocument/2006/relationships/oleObject" Target="embeddings/oleObject11.bin"/><Relationship Id="rId60" Type="http://schemas.openxmlformats.org/officeDocument/2006/relationships/image" Target="media/image43.wmf"/><Relationship Id="rId6" Type="http://schemas.openxmlformats.org/officeDocument/2006/relationships/footer" Target="footer1.xml"/><Relationship Id="rId59" Type="http://schemas.openxmlformats.org/officeDocument/2006/relationships/oleObject" Target="embeddings/oleObject10.bin"/><Relationship Id="rId58" Type="http://schemas.openxmlformats.org/officeDocument/2006/relationships/image" Target="media/image42.wmf"/><Relationship Id="rId57" Type="http://schemas.openxmlformats.org/officeDocument/2006/relationships/oleObject" Target="embeddings/oleObject9.bin"/><Relationship Id="rId56" Type="http://schemas.openxmlformats.org/officeDocument/2006/relationships/image" Target="media/image41.wmf"/><Relationship Id="rId55" Type="http://schemas.openxmlformats.org/officeDocument/2006/relationships/oleObject" Target="embeddings/oleObject8.bin"/><Relationship Id="rId54" Type="http://schemas.openxmlformats.org/officeDocument/2006/relationships/image" Target="media/image40.wmf"/><Relationship Id="rId53" Type="http://schemas.openxmlformats.org/officeDocument/2006/relationships/oleObject" Target="embeddings/oleObject7.bin"/><Relationship Id="rId52" Type="http://schemas.openxmlformats.org/officeDocument/2006/relationships/image" Target="media/image39.wmf"/><Relationship Id="rId51" Type="http://schemas.openxmlformats.org/officeDocument/2006/relationships/oleObject" Target="embeddings/oleObject6.bin"/><Relationship Id="rId50" Type="http://schemas.openxmlformats.org/officeDocument/2006/relationships/image" Target="media/image38.wmf"/><Relationship Id="rId5" Type="http://schemas.openxmlformats.org/officeDocument/2006/relationships/header" Target="header1.xml"/><Relationship Id="rId49" Type="http://schemas.openxmlformats.org/officeDocument/2006/relationships/oleObject" Target="embeddings/oleObject5.bin"/><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wmf"/><Relationship Id="rId45" Type="http://schemas.openxmlformats.org/officeDocument/2006/relationships/oleObject" Target="embeddings/oleObject4.bin"/><Relationship Id="rId44" Type="http://schemas.openxmlformats.org/officeDocument/2006/relationships/image" Target="media/image34.png"/><Relationship Id="rId43" Type="http://schemas.openxmlformats.org/officeDocument/2006/relationships/image" Target="media/image33.wmf"/><Relationship Id="rId42" Type="http://schemas.openxmlformats.org/officeDocument/2006/relationships/oleObject" Target="embeddings/oleObject3.bin"/><Relationship Id="rId41" Type="http://schemas.openxmlformats.org/officeDocument/2006/relationships/image" Target="media/image32.wmf"/><Relationship Id="rId40" Type="http://schemas.openxmlformats.org/officeDocument/2006/relationships/oleObject" Target="embeddings/oleObject2.bin"/><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tiff"/><Relationship Id="rId35" Type="http://schemas.openxmlformats.org/officeDocument/2006/relationships/image" Target="media/image27.tiff"/><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6" Type="http://schemas.openxmlformats.org/officeDocument/2006/relationships/fontTable" Target="fontTable.xml"/><Relationship Id="rId235" Type="http://schemas.openxmlformats.org/officeDocument/2006/relationships/customXml" Target="../customXml/item1.xml"/><Relationship Id="rId234" Type="http://schemas.openxmlformats.org/officeDocument/2006/relationships/numbering" Target="numbering.xml"/><Relationship Id="rId233" Type="http://schemas.openxmlformats.org/officeDocument/2006/relationships/image" Target="media/image139.wmf"/><Relationship Id="rId232" Type="http://schemas.openxmlformats.org/officeDocument/2006/relationships/oleObject" Target="embeddings/oleObject87.bin"/><Relationship Id="rId231" Type="http://schemas.openxmlformats.org/officeDocument/2006/relationships/image" Target="media/image138.tiff"/><Relationship Id="rId230" Type="http://schemas.openxmlformats.org/officeDocument/2006/relationships/image" Target="media/image137.wmf"/><Relationship Id="rId23" Type="http://schemas.openxmlformats.org/officeDocument/2006/relationships/image" Target="media/image15.png"/><Relationship Id="rId229" Type="http://schemas.openxmlformats.org/officeDocument/2006/relationships/oleObject" Target="embeddings/oleObject86.bin"/><Relationship Id="rId228" Type="http://schemas.openxmlformats.org/officeDocument/2006/relationships/image" Target="media/image136.wmf"/><Relationship Id="rId227" Type="http://schemas.openxmlformats.org/officeDocument/2006/relationships/oleObject" Target="embeddings/oleObject85.bin"/><Relationship Id="rId226" Type="http://schemas.openxmlformats.org/officeDocument/2006/relationships/image" Target="media/image135.wmf"/><Relationship Id="rId225" Type="http://schemas.openxmlformats.org/officeDocument/2006/relationships/oleObject" Target="embeddings/oleObject84.bin"/><Relationship Id="rId224" Type="http://schemas.openxmlformats.org/officeDocument/2006/relationships/image" Target="media/image134.wmf"/><Relationship Id="rId223" Type="http://schemas.openxmlformats.org/officeDocument/2006/relationships/oleObject" Target="embeddings/oleObject83.bin"/><Relationship Id="rId222" Type="http://schemas.openxmlformats.org/officeDocument/2006/relationships/image" Target="media/image133.png"/><Relationship Id="rId221" Type="http://schemas.openxmlformats.org/officeDocument/2006/relationships/image" Target="media/image132.wmf"/><Relationship Id="rId220" Type="http://schemas.openxmlformats.org/officeDocument/2006/relationships/oleObject" Target="embeddings/oleObject82.bin"/><Relationship Id="rId22" Type="http://schemas.openxmlformats.org/officeDocument/2006/relationships/image" Target="media/image14.png"/><Relationship Id="rId219" Type="http://schemas.openxmlformats.org/officeDocument/2006/relationships/image" Target="media/image131.wmf"/><Relationship Id="rId218" Type="http://schemas.openxmlformats.org/officeDocument/2006/relationships/oleObject" Target="embeddings/oleObject81.bin"/><Relationship Id="rId217" Type="http://schemas.openxmlformats.org/officeDocument/2006/relationships/image" Target="media/image130.wmf"/><Relationship Id="rId216" Type="http://schemas.openxmlformats.org/officeDocument/2006/relationships/oleObject" Target="embeddings/oleObject80.bin"/><Relationship Id="rId215" Type="http://schemas.openxmlformats.org/officeDocument/2006/relationships/image" Target="media/image129.wmf"/><Relationship Id="rId214" Type="http://schemas.openxmlformats.org/officeDocument/2006/relationships/oleObject" Target="embeddings/oleObject79.bin"/><Relationship Id="rId213" Type="http://schemas.openxmlformats.org/officeDocument/2006/relationships/image" Target="media/image128.wmf"/><Relationship Id="rId212" Type="http://schemas.openxmlformats.org/officeDocument/2006/relationships/oleObject" Target="embeddings/oleObject78.bin"/><Relationship Id="rId211" Type="http://schemas.openxmlformats.org/officeDocument/2006/relationships/image" Target="media/image127.wmf"/><Relationship Id="rId210" Type="http://schemas.openxmlformats.org/officeDocument/2006/relationships/oleObject" Target="embeddings/oleObject77.bin"/><Relationship Id="rId21" Type="http://schemas.openxmlformats.org/officeDocument/2006/relationships/image" Target="media/image13.png"/><Relationship Id="rId209" Type="http://schemas.openxmlformats.org/officeDocument/2006/relationships/image" Target="media/image126.wmf"/><Relationship Id="rId208" Type="http://schemas.openxmlformats.org/officeDocument/2006/relationships/oleObject" Target="embeddings/oleObject76.bin"/><Relationship Id="rId207" Type="http://schemas.openxmlformats.org/officeDocument/2006/relationships/image" Target="media/image125.wmf"/><Relationship Id="rId206" Type="http://schemas.openxmlformats.org/officeDocument/2006/relationships/oleObject" Target="embeddings/oleObject75.bin"/><Relationship Id="rId205" Type="http://schemas.openxmlformats.org/officeDocument/2006/relationships/image" Target="media/image124.wmf"/><Relationship Id="rId204" Type="http://schemas.openxmlformats.org/officeDocument/2006/relationships/oleObject" Target="embeddings/oleObject74.bin"/><Relationship Id="rId203" Type="http://schemas.openxmlformats.org/officeDocument/2006/relationships/image" Target="media/image123.wmf"/><Relationship Id="rId202" Type="http://schemas.openxmlformats.org/officeDocument/2006/relationships/oleObject" Target="embeddings/oleObject73.bin"/><Relationship Id="rId201" Type="http://schemas.openxmlformats.org/officeDocument/2006/relationships/image" Target="media/image122.wmf"/><Relationship Id="rId200" Type="http://schemas.openxmlformats.org/officeDocument/2006/relationships/oleObject" Target="embeddings/oleObject72.bin"/><Relationship Id="rId20" Type="http://schemas.openxmlformats.org/officeDocument/2006/relationships/image" Target="media/image12.wmf"/><Relationship Id="rId2" Type="http://schemas.openxmlformats.org/officeDocument/2006/relationships/settings" Target="settings.xml"/><Relationship Id="rId199" Type="http://schemas.openxmlformats.org/officeDocument/2006/relationships/image" Target="media/image121.wmf"/><Relationship Id="rId198" Type="http://schemas.openxmlformats.org/officeDocument/2006/relationships/oleObject" Target="embeddings/oleObject71.bin"/><Relationship Id="rId197" Type="http://schemas.openxmlformats.org/officeDocument/2006/relationships/image" Target="media/image120.wmf"/><Relationship Id="rId196" Type="http://schemas.openxmlformats.org/officeDocument/2006/relationships/oleObject" Target="embeddings/oleObject70.bin"/><Relationship Id="rId195" Type="http://schemas.openxmlformats.org/officeDocument/2006/relationships/image" Target="media/image119.wmf"/><Relationship Id="rId194" Type="http://schemas.openxmlformats.org/officeDocument/2006/relationships/oleObject" Target="embeddings/oleObject69.bin"/><Relationship Id="rId193" Type="http://schemas.openxmlformats.org/officeDocument/2006/relationships/image" Target="media/image118.wmf"/><Relationship Id="rId192" Type="http://schemas.openxmlformats.org/officeDocument/2006/relationships/oleObject" Target="embeddings/oleObject68.bin"/><Relationship Id="rId191" Type="http://schemas.openxmlformats.org/officeDocument/2006/relationships/image" Target="media/image117.wmf"/><Relationship Id="rId190" Type="http://schemas.openxmlformats.org/officeDocument/2006/relationships/oleObject" Target="embeddings/oleObject67.bin"/><Relationship Id="rId19" Type="http://schemas.openxmlformats.org/officeDocument/2006/relationships/oleObject" Target="embeddings/oleObject1.bin"/><Relationship Id="rId189" Type="http://schemas.openxmlformats.org/officeDocument/2006/relationships/image" Target="media/image116.wmf"/><Relationship Id="rId188" Type="http://schemas.openxmlformats.org/officeDocument/2006/relationships/oleObject" Target="embeddings/oleObject66.bin"/><Relationship Id="rId187" Type="http://schemas.openxmlformats.org/officeDocument/2006/relationships/image" Target="media/image115.wmf"/><Relationship Id="rId186" Type="http://schemas.openxmlformats.org/officeDocument/2006/relationships/oleObject" Target="embeddings/oleObject65.bin"/><Relationship Id="rId185" Type="http://schemas.openxmlformats.org/officeDocument/2006/relationships/image" Target="media/image114.wmf"/><Relationship Id="rId184" Type="http://schemas.openxmlformats.org/officeDocument/2006/relationships/oleObject" Target="embeddings/oleObject64.bin"/><Relationship Id="rId183" Type="http://schemas.openxmlformats.org/officeDocument/2006/relationships/image" Target="media/image113.wmf"/><Relationship Id="rId182" Type="http://schemas.openxmlformats.org/officeDocument/2006/relationships/oleObject" Target="embeddings/oleObject63.bin"/><Relationship Id="rId181" Type="http://schemas.openxmlformats.org/officeDocument/2006/relationships/image" Target="media/image112.png"/><Relationship Id="rId180" Type="http://schemas.openxmlformats.org/officeDocument/2006/relationships/image" Target="media/image111.wmf"/><Relationship Id="rId18" Type="http://schemas.openxmlformats.org/officeDocument/2006/relationships/image" Target="media/image11.jpeg"/><Relationship Id="rId179" Type="http://schemas.openxmlformats.org/officeDocument/2006/relationships/oleObject" Target="embeddings/oleObject62.bin"/><Relationship Id="rId178" Type="http://schemas.openxmlformats.org/officeDocument/2006/relationships/image" Target="media/image110.wmf"/><Relationship Id="rId177" Type="http://schemas.openxmlformats.org/officeDocument/2006/relationships/oleObject" Target="embeddings/oleObject61.bin"/><Relationship Id="rId176" Type="http://schemas.openxmlformats.org/officeDocument/2006/relationships/image" Target="media/image109.wmf"/><Relationship Id="rId175" Type="http://schemas.openxmlformats.org/officeDocument/2006/relationships/oleObject" Target="embeddings/oleObject60.bin"/><Relationship Id="rId174" Type="http://schemas.openxmlformats.org/officeDocument/2006/relationships/image" Target="media/image108.wmf"/><Relationship Id="rId173" Type="http://schemas.openxmlformats.org/officeDocument/2006/relationships/oleObject" Target="embeddings/oleObject59.bin"/><Relationship Id="rId172" Type="http://schemas.openxmlformats.org/officeDocument/2006/relationships/image" Target="media/image107.wmf"/><Relationship Id="rId171" Type="http://schemas.openxmlformats.org/officeDocument/2006/relationships/oleObject" Target="embeddings/oleObject58.bin"/><Relationship Id="rId170" Type="http://schemas.openxmlformats.org/officeDocument/2006/relationships/image" Target="media/image106.wmf"/><Relationship Id="rId17" Type="http://schemas.openxmlformats.org/officeDocument/2006/relationships/image" Target="media/image10.png"/><Relationship Id="rId169" Type="http://schemas.openxmlformats.org/officeDocument/2006/relationships/oleObject" Target="embeddings/oleObject57.bin"/><Relationship Id="rId168" Type="http://schemas.openxmlformats.org/officeDocument/2006/relationships/image" Target="media/image105.wmf"/><Relationship Id="rId167" Type="http://schemas.openxmlformats.org/officeDocument/2006/relationships/oleObject" Target="embeddings/oleObject56.bin"/><Relationship Id="rId166" Type="http://schemas.openxmlformats.org/officeDocument/2006/relationships/image" Target="media/image104.wmf"/><Relationship Id="rId165" Type="http://schemas.openxmlformats.org/officeDocument/2006/relationships/oleObject" Target="embeddings/oleObject55.bin"/><Relationship Id="rId164" Type="http://schemas.openxmlformats.org/officeDocument/2006/relationships/image" Target="media/image103.wmf"/><Relationship Id="rId163" Type="http://schemas.openxmlformats.org/officeDocument/2006/relationships/oleObject" Target="embeddings/oleObject54.bin"/><Relationship Id="rId162" Type="http://schemas.openxmlformats.org/officeDocument/2006/relationships/image" Target="media/image102.wmf"/><Relationship Id="rId161" Type="http://schemas.openxmlformats.org/officeDocument/2006/relationships/oleObject" Target="embeddings/oleObject53.bin"/><Relationship Id="rId160" Type="http://schemas.openxmlformats.org/officeDocument/2006/relationships/image" Target="media/image101.wmf"/><Relationship Id="rId16" Type="http://schemas.openxmlformats.org/officeDocument/2006/relationships/image" Target="media/image9.png"/><Relationship Id="rId159" Type="http://schemas.openxmlformats.org/officeDocument/2006/relationships/oleObject" Target="embeddings/oleObject52.bin"/><Relationship Id="rId158" Type="http://schemas.openxmlformats.org/officeDocument/2006/relationships/image" Target="media/image100.wmf"/><Relationship Id="rId157" Type="http://schemas.openxmlformats.org/officeDocument/2006/relationships/oleObject" Target="embeddings/oleObject51.bin"/><Relationship Id="rId156" Type="http://schemas.openxmlformats.org/officeDocument/2006/relationships/image" Target="media/image99.png"/><Relationship Id="rId155" Type="http://schemas.openxmlformats.org/officeDocument/2006/relationships/image" Target="media/image98.wmf"/><Relationship Id="rId154" Type="http://schemas.openxmlformats.org/officeDocument/2006/relationships/oleObject" Target="embeddings/oleObject50.bin"/><Relationship Id="rId153" Type="http://schemas.openxmlformats.org/officeDocument/2006/relationships/image" Target="media/image97.wmf"/><Relationship Id="rId152" Type="http://schemas.openxmlformats.org/officeDocument/2006/relationships/oleObject" Target="embeddings/oleObject49.bin"/><Relationship Id="rId151" Type="http://schemas.openxmlformats.org/officeDocument/2006/relationships/image" Target="media/image96.wmf"/><Relationship Id="rId150" Type="http://schemas.openxmlformats.org/officeDocument/2006/relationships/oleObject" Target="embeddings/oleObject48.bin"/><Relationship Id="rId15" Type="http://schemas.openxmlformats.org/officeDocument/2006/relationships/image" Target="media/image8.png"/><Relationship Id="rId149" Type="http://schemas.openxmlformats.org/officeDocument/2006/relationships/image" Target="media/image95.wmf"/><Relationship Id="rId148" Type="http://schemas.openxmlformats.org/officeDocument/2006/relationships/oleObject" Target="embeddings/oleObject47.bin"/><Relationship Id="rId147" Type="http://schemas.openxmlformats.org/officeDocument/2006/relationships/image" Target="media/image94.wmf"/><Relationship Id="rId146" Type="http://schemas.openxmlformats.org/officeDocument/2006/relationships/oleObject" Target="embeddings/oleObject46.bin"/><Relationship Id="rId145" Type="http://schemas.openxmlformats.org/officeDocument/2006/relationships/image" Target="media/image93.wmf"/><Relationship Id="rId144" Type="http://schemas.openxmlformats.org/officeDocument/2006/relationships/oleObject" Target="embeddings/oleObject45.bin"/><Relationship Id="rId143" Type="http://schemas.openxmlformats.org/officeDocument/2006/relationships/image" Target="media/image92.wmf"/><Relationship Id="rId142" Type="http://schemas.openxmlformats.org/officeDocument/2006/relationships/oleObject" Target="embeddings/oleObject44.bin"/><Relationship Id="rId141" Type="http://schemas.openxmlformats.org/officeDocument/2006/relationships/image" Target="media/image91.wmf"/><Relationship Id="rId140" Type="http://schemas.openxmlformats.org/officeDocument/2006/relationships/oleObject" Target="embeddings/oleObject43.bin"/><Relationship Id="rId14" Type="http://schemas.openxmlformats.org/officeDocument/2006/relationships/image" Target="media/image7.png"/><Relationship Id="rId139" Type="http://schemas.openxmlformats.org/officeDocument/2006/relationships/image" Target="media/image90.wmf"/><Relationship Id="rId138" Type="http://schemas.openxmlformats.org/officeDocument/2006/relationships/oleObject" Target="embeddings/oleObject42.bin"/><Relationship Id="rId137" Type="http://schemas.openxmlformats.org/officeDocument/2006/relationships/image" Target="media/image89.wmf"/><Relationship Id="rId136" Type="http://schemas.openxmlformats.org/officeDocument/2006/relationships/oleObject" Target="embeddings/oleObject41.bin"/><Relationship Id="rId135" Type="http://schemas.openxmlformats.org/officeDocument/2006/relationships/image" Target="media/image88.wmf"/><Relationship Id="rId134" Type="http://schemas.openxmlformats.org/officeDocument/2006/relationships/oleObject" Target="embeddings/oleObject40.bin"/><Relationship Id="rId133" Type="http://schemas.openxmlformats.org/officeDocument/2006/relationships/image" Target="media/image87.wmf"/><Relationship Id="rId132" Type="http://schemas.openxmlformats.org/officeDocument/2006/relationships/oleObject" Target="embeddings/oleObject39.bin"/><Relationship Id="rId131" Type="http://schemas.openxmlformats.org/officeDocument/2006/relationships/image" Target="media/image86.wmf"/><Relationship Id="rId130" Type="http://schemas.openxmlformats.org/officeDocument/2006/relationships/oleObject" Target="embeddings/oleObject38.bin"/><Relationship Id="rId13" Type="http://schemas.openxmlformats.org/officeDocument/2006/relationships/image" Target="media/image6.png"/><Relationship Id="rId129" Type="http://schemas.openxmlformats.org/officeDocument/2006/relationships/image" Target="media/image85.wmf"/><Relationship Id="rId128" Type="http://schemas.openxmlformats.org/officeDocument/2006/relationships/oleObject" Target="embeddings/oleObject37.bin"/><Relationship Id="rId127" Type="http://schemas.openxmlformats.org/officeDocument/2006/relationships/image" Target="media/image84.wmf"/><Relationship Id="rId126" Type="http://schemas.openxmlformats.org/officeDocument/2006/relationships/oleObject" Target="embeddings/oleObject36.bin"/><Relationship Id="rId125" Type="http://schemas.openxmlformats.org/officeDocument/2006/relationships/image" Target="media/image83.wmf"/><Relationship Id="rId124" Type="http://schemas.openxmlformats.org/officeDocument/2006/relationships/oleObject" Target="embeddings/oleObject35.bin"/><Relationship Id="rId123" Type="http://schemas.openxmlformats.org/officeDocument/2006/relationships/image" Target="media/image82.wmf"/><Relationship Id="rId122" Type="http://schemas.openxmlformats.org/officeDocument/2006/relationships/oleObject" Target="embeddings/oleObject34.bin"/><Relationship Id="rId121" Type="http://schemas.openxmlformats.org/officeDocument/2006/relationships/image" Target="media/image81.wmf"/><Relationship Id="rId120" Type="http://schemas.openxmlformats.org/officeDocument/2006/relationships/oleObject" Target="embeddings/oleObject33.bin"/><Relationship Id="rId12" Type="http://schemas.openxmlformats.org/officeDocument/2006/relationships/image" Target="media/image5.jpeg"/><Relationship Id="rId119" Type="http://schemas.openxmlformats.org/officeDocument/2006/relationships/image" Target="media/image80.wmf"/><Relationship Id="rId118" Type="http://schemas.openxmlformats.org/officeDocument/2006/relationships/oleObject" Target="embeddings/oleObject32.bin"/><Relationship Id="rId117" Type="http://schemas.openxmlformats.org/officeDocument/2006/relationships/image" Target="media/image79.wmf"/><Relationship Id="rId116" Type="http://schemas.openxmlformats.org/officeDocument/2006/relationships/oleObject" Target="embeddings/oleObject31.bin"/><Relationship Id="rId115" Type="http://schemas.openxmlformats.org/officeDocument/2006/relationships/image" Target="media/image78.wmf"/><Relationship Id="rId114" Type="http://schemas.openxmlformats.org/officeDocument/2006/relationships/oleObject" Target="embeddings/oleObject30.bin"/><Relationship Id="rId113" Type="http://schemas.openxmlformats.org/officeDocument/2006/relationships/image" Target="media/image77.png"/><Relationship Id="rId112" Type="http://schemas.openxmlformats.org/officeDocument/2006/relationships/image" Target="media/image76.png"/><Relationship Id="rId111" Type="http://schemas.openxmlformats.org/officeDocument/2006/relationships/oleObject" Target="embeddings/oleObject29.bin"/><Relationship Id="rId110" Type="http://schemas.openxmlformats.org/officeDocument/2006/relationships/image" Target="media/image75.png"/><Relationship Id="rId11" Type="http://schemas.openxmlformats.org/officeDocument/2006/relationships/image" Target="media/image4.png"/><Relationship Id="rId109" Type="http://schemas.openxmlformats.org/officeDocument/2006/relationships/image" Target="media/image74.png"/><Relationship Id="rId108" Type="http://schemas.openxmlformats.org/officeDocument/2006/relationships/image" Target="media/image73.png"/><Relationship Id="rId107" Type="http://schemas.openxmlformats.org/officeDocument/2006/relationships/image" Target="media/image72.png"/><Relationship Id="rId106" Type="http://schemas.openxmlformats.org/officeDocument/2006/relationships/image" Target="media/image71.png"/><Relationship Id="rId105" Type="http://schemas.openxmlformats.org/officeDocument/2006/relationships/image" Target="media/image70.wmf"/><Relationship Id="rId104" Type="http://schemas.openxmlformats.org/officeDocument/2006/relationships/oleObject" Target="embeddings/oleObject28.bin"/><Relationship Id="rId103" Type="http://schemas.openxmlformats.org/officeDocument/2006/relationships/image" Target="media/image69.wmf"/><Relationship Id="rId102" Type="http://schemas.openxmlformats.org/officeDocument/2006/relationships/oleObject" Target="embeddings/oleObject27.bin"/><Relationship Id="rId101" Type="http://schemas.openxmlformats.org/officeDocument/2006/relationships/image" Target="media/image68.png"/><Relationship Id="rId100" Type="http://schemas.openxmlformats.org/officeDocument/2006/relationships/image" Target="media/image67.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125C4-4DF4-4776-A217-9E69662B255E}">
  <ds:schemaRefs/>
</ds:datastoreItem>
</file>

<file path=docProps/app.xml><?xml version="1.0" encoding="utf-8"?>
<Properties xmlns="http://schemas.openxmlformats.org/officeDocument/2006/extended-properties" xmlns:vt="http://schemas.openxmlformats.org/officeDocument/2006/docPropsVTypes">
  <Template>Normal</Template>
  <Pages>95</Pages>
  <Words>21589</Words>
  <Characters>132852</Characters>
  <Lines>1126</Lines>
  <Paragraphs>317</Paragraphs>
  <TotalTime>2</TotalTime>
  <ScaleCrop>false</ScaleCrop>
  <LinksUpToDate>false</LinksUpToDate>
  <CharactersWithSpaces>149451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2026-02-11T09:34:00Z</dcterms:created>
  <dc:creator>孙中宇</dc:creator>
  <cp:lastModifiedBy>you然</cp:lastModifiedBy>
  <dcterms:modified xsi:type="dcterms:W3CDTF">2026-02-14T13:14:28Z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2D9242BC2C8E4F1FA5315F72774C3DFA_13</vt:lpwstr>
  </property>
  <property fmtid="{D5CDD505-2E9C-101B-9397-08002B2CF9AE}" pid="4" name="KSOTemplateDocerSaveRecord">
    <vt:lpwstr>eyJoZGlkIjoiNjc4MzRjNTZmY2M2N2QxNWViZjhhYzcwYTI1NTc1NjQiLCJ1c2VySWQiOiIxNjU5MDQ1NzgwIn0=</vt:lpwstr>
  </property>
  <property fmtid="{D5CDD505-2E9C-101B-9397-08002B2CF9AE}" pid="5" name="MTWinEqns">
    <vt:bool>true</vt:bool>
  </property>
</Properties>
</file>