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pPr>
      <w:r w:rsidDel="00000000" w:rsidR="00000000" w:rsidRPr="00000000">
        <w:rPr>
          <w:rFonts w:ascii="Times New Roman" w:cs="Times New Roman" w:eastAsia="Times New Roman" w:hAnsi="Times New Roman"/>
          <w:b w:val="1"/>
          <w:bCs w:val="1"/>
          <w:i w:val="0"/>
          <w:iCs w:val="0"/>
          <w:color w:val="000000"/>
          <w:sz w:val="28"/>
          <w:szCs w:val="28"/>
          <w:rtl w:val="0"/>
        </w:rPr>
        <w:t xml:space="preserve">Supplementary Information</w:t>
      </w:r>
      <w:r w:rsidDel="00000000" w:rsidR="00000000" w:rsidRPr="00000000">
        <w:rPr>
          <w:rtl w:val="0"/>
        </w:rPr>
      </w:r>
    </w:p>
    <w:p w:rsidR="00000000" w:rsidDel="00000000" w:rsidP="00000000" w:rsidRDefault="00000000" w:rsidRPr="00000000" w14:paraId="00000002">
      <w:pPr>
        <w:spacing w:after="0" w:line="240" w:lineRule="auto"/>
        <w:jc w:val="both"/>
        <w:rPr/>
      </w:pPr>
      <w:r w:rsidDel="00000000" w:rsidR="00000000" w:rsidRPr="00000000">
        <w:rPr>
          <w:rtl w:val="0"/>
        </w:rPr>
      </w:r>
    </w:p>
    <w:p w:rsidR="00000000" w:rsidDel="00000000" w:rsidP="00000000" w:rsidRDefault="00000000" w:rsidRPr="00000000" w14:paraId="00000003">
      <w:pPr>
        <w:spacing w:after="0" w:line="360" w:lineRule="auto"/>
        <w:jc w:val="center"/>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Valence Band Offset Threshold and Recombination Junction Engineering for</w:t>
      </w:r>
      <w:r w:rsidDel="00000000" w:rsidR="00000000" w:rsidRPr="00000000">
        <w:rPr>
          <w:rtl w:val="0"/>
        </w:rPr>
      </w:r>
    </w:p>
    <w:p w:rsidR="00000000" w:rsidDel="00000000" w:rsidP="00000000" w:rsidRDefault="00000000" w:rsidRPr="00000000" w14:paraId="00000004">
      <w:pPr>
        <w:spacing w:after="0" w:line="360" w:lineRule="auto"/>
        <w:jc w:val="center"/>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Carrier Continuity Recovery in CZTS/In₂S₃/CZTSSe Kesterite Solar Cells:</w:t>
      </w:r>
      <w:r w:rsidDel="00000000" w:rsidR="00000000" w:rsidRPr="00000000">
        <w:rPr>
          <w:rtl w:val="0"/>
        </w:rPr>
      </w:r>
    </w:p>
    <w:p w:rsidR="00000000" w:rsidDel="00000000" w:rsidP="00000000" w:rsidRDefault="00000000" w:rsidRPr="00000000" w14:paraId="00000005">
      <w:pPr>
        <w:spacing w:after="0" w:line="360" w:lineRule="auto"/>
        <w:jc w:val="center"/>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A Calibrated SCAPS Study</w:t>
      </w:r>
      <w:r w:rsidDel="00000000" w:rsidR="00000000" w:rsidRPr="00000000">
        <w:rPr>
          <w:rtl w:val="0"/>
        </w:rPr>
      </w:r>
    </w:p>
    <w:p w:rsidR="00000000" w:rsidDel="00000000" w:rsidP="00000000" w:rsidRDefault="00000000" w:rsidRPr="00000000" w14:paraId="00000006">
      <w:pPr>
        <w:spacing w:after="0" w:line="240" w:lineRule="auto"/>
        <w:jc w:val="both"/>
        <w:rPr/>
      </w:pPr>
      <w:r w:rsidDel="00000000" w:rsidR="00000000" w:rsidRPr="00000000">
        <w:rPr>
          <w:rtl w:val="0"/>
        </w:rPr>
      </w:r>
    </w:p>
    <w:p w:rsidR="00000000" w:rsidDel="00000000" w:rsidP="00000000" w:rsidRDefault="00000000" w:rsidRPr="00000000" w14:paraId="00000007">
      <w:pPr>
        <w:spacing w:after="0" w:line="360" w:lineRule="auto"/>
        <w:jc w:val="center"/>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K. H. Arunkumar</w:t>
      </w:r>
      <w:r w:rsidDel="00000000" w:rsidR="00000000" w:rsidRPr="00000000">
        <w:rPr>
          <w:rtl w:val="0"/>
        </w:rPr>
      </w:r>
    </w:p>
    <w:p w:rsidR="00000000" w:rsidDel="00000000" w:rsidP="00000000" w:rsidRDefault="00000000" w:rsidRPr="00000000" w14:paraId="00000008">
      <w:pPr>
        <w:spacing w:after="0" w:line="240" w:lineRule="auto"/>
        <w:jc w:val="both"/>
        <w:rPr/>
      </w:pPr>
      <w:r w:rsidDel="00000000" w:rsidR="00000000" w:rsidRPr="00000000">
        <w:rPr>
          <w:rtl w:val="0"/>
        </w:rPr>
      </w:r>
    </w:p>
    <w:p w:rsidR="00000000" w:rsidDel="00000000" w:rsidP="00000000" w:rsidRDefault="00000000" w:rsidRPr="00000000" w14:paraId="00000009">
      <w:pPr>
        <w:spacing w:after="0" w:line="360" w:lineRule="auto"/>
        <w:jc w:val="both"/>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This document contains seven supplementary tables (S1–S7) and three supplementary figures (S1–S3). All data were generated in SCAPS-1D v3.3.10 under AM 1.5G illumination (100 mW/cm², 300 K) unless otherwise stated. Tables S3–S5 provide the complete numerical datasets plotted in main-text Figures 4–6. Table S6 provides the full thickness–doping co-sweep heatmap for In₂S₃ interlayer optimization. Table S7 summarizes all SCAPS computational settings.</w:t>
      </w:r>
      <w:r w:rsidDel="00000000" w:rsidR="00000000" w:rsidRPr="00000000">
        <w:rPr>
          <w:rtl w:val="0"/>
        </w:rPr>
      </w:r>
    </w:p>
    <w:p w:rsidR="00000000" w:rsidDel="00000000" w:rsidP="00000000" w:rsidRDefault="00000000" w:rsidRPr="00000000" w14:paraId="0000000A">
      <w:pPr>
        <w:spacing w:after="0" w:line="240" w:lineRule="auto"/>
        <w:jc w:val="both"/>
        <w:rPr/>
      </w:pPr>
      <w:r w:rsidDel="00000000" w:rsidR="00000000" w:rsidRPr="00000000">
        <w:rPr>
          <w:rtl w:val="0"/>
        </w:rPr>
      </w:r>
    </w:p>
    <w:p w:rsidR="00000000" w:rsidDel="00000000" w:rsidP="00000000" w:rsidRDefault="00000000" w:rsidRPr="00000000" w14:paraId="0000000B">
      <w:pPr>
        <w:spacing w:after="80" w:before="36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Table S1. </w:t>
      </w:r>
      <w:r w:rsidDel="00000000" w:rsidR="00000000" w:rsidRPr="00000000">
        <w:rPr>
          <w:rFonts w:ascii="Times New Roman" w:cs="Times New Roman" w:eastAsia="Times New Roman" w:hAnsi="Times New Roman"/>
          <w:b w:val="0"/>
          <w:bCs w:val="0"/>
          <w:i w:val="0"/>
          <w:iCs w:val="0"/>
          <w:color w:val="000000"/>
          <w:sz w:val="24"/>
          <w:szCs w:val="24"/>
          <w:rtl w:val="0"/>
        </w:rPr>
        <w:t xml:space="preserve">Full device architecture: layer stack, dimensions, and roles.</w:t>
      </w:r>
      <w:r w:rsidDel="00000000" w:rsidR="00000000" w:rsidRPr="00000000">
        <w:rPr>
          <w:rFonts w:ascii="Times New Roman" w:cs="Times New Roman" w:eastAsia="Times New Roman" w:hAnsi="Times New Roman"/>
          <w:b w:val="0"/>
          <w:bCs w:val="0"/>
          <w:i w:val="1"/>
          <w:iCs w:val="1"/>
          <w:color w:val="000000"/>
          <w:sz w:val="18"/>
          <w:szCs w:val="18"/>
          <w:rtl w:val="0"/>
        </w:rPr>
        <w:t xml:space="preserve"> Architecture applies to the optimized B1opt device. Baseline A1 omits the In₂S₃ interlayer entirely.</w:t>
      </w: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1800"/>
        <w:gridCol w:w="1200"/>
        <w:gridCol w:w="1800"/>
        <w:gridCol w:w="3026"/>
        <w:tblGridChange w:id="0">
          <w:tblGrid>
            <w:gridCol w:w="1200"/>
            <w:gridCol w:w="1800"/>
            <w:gridCol w:w="1200"/>
            <w:gridCol w:w="1800"/>
            <w:gridCol w:w="302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0C">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Layer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0D">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Material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0E">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Thickness (nm)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0F">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Doping (cm⁻³)</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10">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Role in Device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1">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Back contact</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Mo</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5">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Ohmic back contact; source of MoSe₂ passivation issue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Bottom absorber</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CZTSSe (Eg = 1.13 eV)</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1×10¹⁶ (p)</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A">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Low-bandgap photon harvesting (700–1100 nm)</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B">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Recombination junction</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In₂S₃ (optimized)</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5×10¹⁸ (n)</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1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Tunneling-mediated hole transport across ΔEv = 0.37 eV barrier</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Top absorber</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 (Eg = 1.50 eV)</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2000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1×10¹⁶ (p)</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4">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High-energy photon harvesting (300–700 nm)</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5">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Buffer layer</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CdS</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1×10¹⁷ (n)</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9">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Band alignment; electron extraction</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A">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Intrinsic window</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i-ZnO</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undoped</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E">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Electron transport; reduces shunting</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2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Front window</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3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Al:ZnO</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3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3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1×10²⁰ (n)</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33">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Transparent conducting electrode; front illumination entry</w:t>
            </w:r>
            <w:r w:rsidDel="00000000" w:rsidR="00000000" w:rsidRPr="00000000">
              <w:rPr>
                <w:rtl w:val="0"/>
              </w:rPr>
            </w:r>
          </w:p>
        </w:tc>
      </w:tr>
    </w:tbl>
    <w:p w:rsidR="00000000" w:rsidDel="00000000" w:rsidP="00000000" w:rsidRDefault="00000000" w:rsidRPr="00000000" w14:paraId="00000034">
      <w:pPr>
        <w:spacing w:after="240" w:before="60" w:line="240" w:lineRule="auto"/>
        <w:jc w:val="both"/>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Note: </w:t>
      </w:r>
      <w:r w:rsidDel="00000000" w:rsidR="00000000" w:rsidRPr="00000000">
        <w:rPr>
          <w:rFonts w:ascii="Times New Roman" w:cs="Times New Roman" w:eastAsia="Times New Roman" w:hAnsi="Times New Roman"/>
          <w:b w:val="0"/>
          <w:bCs w:val="0"/>
          <w:i w:val="1"/>
          <w:iCs w:val="1"/>
          <w:color w:val="000000"/>
          <w:sz w:val="18"/>
          <w:szCs w:val="18"/>
          <w:rtl w:val="0"/>
        </w:rPr>
        <w:t xml:space="preserve">ND = donor doping; NA = acceptor doping (not shown). Effective density-of-states values (Nc, Nv) for each layer are as used in the main text Table 1 input set. Mo layer is not simulated explicitly; its role is encoded through the back-contact boundary condition.</w:t>
      </w:r>
      <w:r w:rsidDel="00000000" w:rsidR="00000000" w:rsidRPr="00000000">
        <w:rPr>
          <w:rtl w:val="0"/>
        </w:rPr>
      </w:r>
    </w:p>
    <w:p w:rsidR="00000000" w:rsidDel="00000000" w:rsidP="00000000" w:rsidRDefault="00000000" w:rsidRPr="00000000" w14:paraId="00000035">
      <w:pPr>
        <w:spacing w:after="0" w:line="240" w:lineRule="auto"/>
        <w:jc w:val="both"/>
        <w:rPr/>
      </w:pPr>
      <w:r w:rsidDel="00000000" w:rsidR="00000000" w:rsidRPr="00000000">
        <w:rPr>
          <w:rtl w:val="0"/>
        </w:rPr>
      </w:r>
    </w:p>
    <w:p w:rsidR="00000000" w:rsidDel="00000000" w:rsidP="00000000" w:rsidRDefault="00000000" w:rsidRPr="00000000" w14:paraId="00000036">
      <w:pPr>
        <w:spacing w:after="0" w:line="240" w:lineRule="auto"/>
        <w:jc w:val="both"/>
        <w:rPr/>
      </w:pPr>
      <w:r w:rsidDel="00000000" w:rsidR="00000000" w:rsidRPr="00000000">
        <w:rPr>
          <w:rtl w:val="0"/>
        </w:rPr>
      </w:r>
    </w:p>
    <w:p w:rsidR="00000000" w:rsidDel="00000000" w:rsidP="00000000" w:rsidRDefault="00000000" w:rsidRPr="00000000" w14:paraId="00000037">
      <w:pPr>
        <w:spacing w:after="80" w:before="36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Table S2. </w:t>
      </w:r>
      <w:r w:rsidDel="00000000" w:rsidR="00000000" w:rsidRPr="00000000">
        <w:rPr>
          <w:rFonts w:ascii="Times New Roman" w:cs="Times New Roman" w:eastAsia="Times New Roman" w:hAnsi="Times New Roman"/>
          <w:b w:val="0"/>
          <w:bCs w:val="0"/>
          <w:i w:val="0"/>
          <w:iCs w:val="0"/>
          <w:color w:val="000000"/>
          <w:sz w:val="24"/>
          <w:szCs w:val="24"/>
          <w:rtl w:val="0"/>
        </w:rPr>
        <w:t xml:space="preserve">One-at-a-time sensitivity analysis for the optimized B1opt device.</w:t>
      </w:r>
      <w:r w:rsidDel="00000000" w:rsidR="00000000" w:rsidRPr="00000000">
        <w:rPr>
          <w:rFonts w:ascii="Times New Roman" w:cs="Times New Roman" w:eastAsia="Times New Roman" w:hAnsi="Times New Roman"/>
          <w:b w:val="0"/>
          <w:bCs w:val="0"/>
          <w:i w:val="1"/>
          <w:iCs w:val="1"/>
          <w:color w:val="000000"/>
          <w:sz w:val="18"/>
          <w:szCs w:val="18"/>
          <w:rtl w:val="0"/>
        </w:rPr>
        <w:t xml:space="preserve"> Parameters varied individually while all others are held at their B1opt baseline values. Green-highlighted rows = Very High sensitivity parameters that govern device outcome most strongly.</w:t>
      </w:r>
      <w:r w:rsidDel="00000000" w:rsidR="00000000" w:rsidRPr="00000000">
        <w:rPr>
          <w:rtl w:val="0"/>
        </w:rPr>
      </w:r>
    </w:p>
    <w:tbl>
      <w:tblPr>
        <w:tblStyle w:val="Table2"/>
        <w:tblW w:w="8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900"/>
        <w:gridCol w:w="900"/>
        <w:gridCol w:w="700"/>
        <w:gridCol w:w="700"/>
        <w:gridCol w:w="700"/>
        <w:gridCol w:w="700"/>
        <w:gridCol w:w="1626"/>
        <w:tblGridChange w:id="0">
          <w:tblGrid>
            <w:gridCol w:w="1800"/>
            <w:gridCol w:w="900"/>
            <w:gridCol w:w="900"/>
            <w:gridCol w:w="700"/>
            <w:gridCol w:w="700"/>
            <w:gridCol w:w="700"/>
            <w:gridCol w:w="700"/>
            <w:gridCol w:w="162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38">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Parameter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39">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Baseline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3A">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Change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3B">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ΔVoc (+)(mV)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3C">
            <w:pPr>
              <w:spacing w:after="0" w:line="240" w:lineRule="auto"/>
              <w:jc w:val="center"/>
              <w:rPr/>
            </w:pPr>
            <w:r w:rsidDel="00000000" w:rsidR="00000000" w:rsidRPr="00000000">
              <w:rPr>
                <w:rFonts w:ascii="Cardo" w:cs="Cardo" w:eastAsia="Cardo" w:hAnsi="Cardo"/>
                <w:b w:val="1"/>
                <w:bCs w:val="1"/>
                <w:i w:val="0"/>
                <w:iCs w:val="0"/>
                <w:color w:val="ffffff"/>
                <w:sz w:val="18"/>
                <w:szCs w:val="18"/>
                <w:rtl w:val="0"/>
              </w:rPr>
              <w:t xml:space="preserve">ΔVoc (−)(mV)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3D">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ΔFF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3E">
            <w:pPr>
              <w:spacing w:after="0" w:line="240" w:lineRule="auto"/>
              <w:jc w:val="center"/>
              <w:rPr/>
            </w:pPr>
            <w:r w:rsidDel="00000000" w:rsidR="00000000" w:rsidRPr="00000000">
              <w:rPr>
                <w:rFonts w:ascii="Cardo" w:cs="Cardo" w:eastAsia="Cardo" w:hAnsi="Cardo"/>
                <w:b w:val="1"/>
                <w:bCs w:val="1"/>
                <w:i w:val="0"/>
                <w:iCs w:val="0"/>
                <w:color w:val="ffffff"/>
                <w:sz w:val="18"/>
                <w:szCs w:val="18"/>
                <w:rtl w:val="0"/>
              </w:rPr>
              <w:t xml:space="preserve">ΔFF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3F">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Sensitivity Rank</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4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Interlayer thickness</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4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 nm</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4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 nm</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4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44">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−19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4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46">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−4.1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4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High</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48">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Interlayer doping</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49">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5×10¹⁸ cm⁻³</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4A">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 decade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4B">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+21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4C">
            <w:pPr>
              <w:spacing w:after="0" w:line="240" w:lineRule="auto"/>
              <w:jc w:val="center"/>
              <w:rPr/>
            </w:pPr>
            <w:r w:rsidDel="00000000" w:rsidR="00000000" w:rsidRPr="00000000">
              <w:rPr>
                <w:rFonts w:ascii="Gungsuh" w:cs="Gungsuh" w:eastAsia="Gungsuh" w:hAnsi="Gungsuh"/>
                <w:b w:val="1"/>
                <w:bCs w:val="1"/>
                <w:i w:val="0"/>
                <w:iCs w:val="0"/>
                <w:color w:val="000000"/>
                <w:sz w:val="18"/>
                <w:szCs w:val="18"/>
                <w:rtl w:val="0"/>
              </w:rPr>
              <w:t xml:space="preserve">−38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4D">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+4.8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4E">
            <w:pPr>
              <w:spacing w:after="0" w:line="240" w:lineRule="auto"/>
              <w:jc w:val="center"/>
              <w:rPr/>
            </w:pPr>
            <w:r w:rsidDel="00000000" w:rsidR="00000000" w:rsidRPr="00000000">
              <w:rPr>
                <w:rFonts w:ascii="Gungsuh" w:cs="Gungsuh" w:eastAsia="Gungsuh" w:hAnsi="Gungsuh"/>
                <w:b w:val="1"/>
                <w:bCs w:val="1"/>
                <w:i w:val="0"/>
                <w:iCs w:val="0"/>
                <w:color w:val="000000"/>
                <w:sz w:val="18"/>
                <w:szCs w:val="18"/>
                <w:rtl w:val="0"/>
              </w:rPr>
              <w:t xml:space="preserve">−7.2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4F">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Very High</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 bulk Nt</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10¹⁴ cm⁻³</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N/A</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4">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−19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N/A</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6">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−1.3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Medium</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8">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CZTSSe thickness</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1500 nm</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±300 nm</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C">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E">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5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Medium</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6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Interface Nt</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6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10¹⁰ cm⁻²</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6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6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N/A</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64">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−13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6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N/A</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66">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−2.4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6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Medium</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68">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ΔEv at interface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69">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0.37 eV</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6A">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±0.05 eV</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6B">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+31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6C">
            <w:pPr>
              <w:spacing w:after="0" w:line="240" w:lineRule="auto"/>
              <w:jc w:val="center"/>
              <w:rPr/>
            </w:pPr>
            <w:r w:rsidDel="00000000" w:rsidR="00000000" w:rsidRPr="00000000">
              <w:rPr>
                <w:rFonts w:ascii="Gungsuh" w:cs="Gungsuh" w:eastAsia="Gungsuh" w:hAnsi="Gungsuh"/>
                <w:b w:val="1"/>
                <w:bCs w:val="1"/>
                <w:i w:val="0"/>
                <w:iCs w:val="0"/>
                <w:color w:val="000000"/>
                <w:sz w:val="18"/>
                <w:szCs w:val="18"/>
                <w:rtl w:val="0"/>
              </w:rPr>
              <w:t xml:space="preserve">−48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6D">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+6.1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6E">
            <w:pPr>
              <w:spacing w:after="0" w:line="240" w:lineRule="auto"/>
              <w:jc w:val="center"/>
              <w:rPr/>
            </w:pPr>
            <w:r w:rsidDel="00000000" w:rsidR="00000000" w:rsidRPr="00000000">
              <w:rPr>
                <w:rFonts w:ascii="Gungsuh" w:cs="Gungsuh" w:eastAsia="Gungsuh" w:hAnsi="Gungsuh"/>
                <w:b w:val="1"/>
                <w:bCs w:val="1"/>
                <w:i w:val="0"/>
                <w:iCs w:val="0"/>
                <w:color w:val="000000"/>
                <w:sz w:val="18"/>
                <w:szCs w:val="18"/>
                <w:rtl w:val="0"/>
              </w:rPr>
              <w:t xml:space="preserve">−9.4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6F">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Very High</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Temperature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300 K</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±25 K</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4">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−21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6">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−3.7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High</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8">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CdS thickness</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50 nm</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 nm</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C">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E">
            <w:pPr>
              <w:spacing w:after="0" w:line="240" w:lineRule="auto"/>
              <w:jc w:val="center"/>
              <w:rPr/>
            </w:pPr>
            <w:r w:rsidDel="00000000" w:rsidR="00000000" w:rsidRPr="00000000">
              <w:rPr>
                <w:rFonts w:ascii="Gungsuh" w:cs="Gungsuh" w:eastAsia="Gungsuh" w:hAnsi="Gungsuh"/>
                <w:b w:val="0"/>
                <w:bCs w:val="0"/>
                <w:i w:val="0"/>
                <w:iCs w:val="0"/>
                <w:color w:val="000000"/>
                <w:sz w:val="18"/>
                <w:szCs w:val="18"/>
                <w:rtl w:val="0"/>
              </w:rPr>
              <w:t xml:space="preserve">−0.7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7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Low</w:t>
            </w:r>
            <w:r w:rsidDel="00000000" w:rsidR="00000000" w:rsidRPr="00000000">
              <w:rPr>
                <w:rtl w:val="0"/>
              </w:rPr>
            </w:r>
          </w:p>
        </w:tc>
      </w:tr>
    </w:tbl>
    <w:p w:rsidR="00000000" w:rsidDel="00000000" w:rsidP="00000000" w:rsidRDefault="00000000" w:rsidRPr="00000000" w14:paraId="00000080">
      <w:pPr>
        <w:spacing w:after="240" w:before="60" w:line="240" w:lineRule="auto"/>
        <w:jc w:val="both"/>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Note: </w:t>
      </w:r>
      <w:r w:rsidDel="00000000" w:rsidR="00000000" w:rsidRPr="00000000">
        <w:rPr>
          <w:rFonts w:ascii="Cardo" w:cs="Cardo" w:eastAsia="Cardo" w:hAnsi="Cardo"/>
          <w:b w:val="0"/>
          <w:bCs w:val="0"/>
          <w:i w:val="1"/>
          <w:iCs w:val="1"/>
          <w:color w:val="000000"/>
          <w:sz w:val="18"/>
          <w:szCs w:val="18"/>
          <w:rtl w:val="0"/>
        </w:rPr>
        <w:t xml:space="preserve">ΔVoc(+) and ΔFF(+) = change on increasing the parameter by the stated amount. ΔVoc(−) and ΔFF(−) = change on decreasing. N/A = unphysical direction for that parameter (e.g. Nt cannot be reduced below zero). Sensitivity Rank is qualitative, based on ΔFF magnitude.</w:t>
      </w:r>
      <w:r w:rsidDel="00000000" w:rsidR="00000000" w:rsidRPr="00000000">
        <w:rPr>
          <w:rtl w:val="0"/>
        </w:rPr>
      </w:r>
    </w:p>
    <w:p w:rsidR="00000000" w:rsidDel="00000000" w:rsidP="00000000" w:rsidRDefault="00000000" w:rsidRPr="00000000" w14:paraId="00000081">
      <w:pPr>
        <w:spacing w:after="0" w:line="240" w:lineRule="auto"/>
        <w:jc w:val="both"/>
        <w:rPr/>
      </w:pPr>
      <w:r w:rsidDel="00000000" w:rsidR="00000000" w:rsidRPr="00000000">
        <w:rPr>
          <w:rtl w:val="0"/>
        </w:rPr>
      </w:r>
    </w:p>
    <w:p w:rsidR="00000000" w:rsidDel="00000000" w:rsidP="00000000" w:rsidRDefault="00000000" w:rsidRPr="00000000" w14:paraId="00000082">
      <w:pPr>
        <w:spacing w:after="0" w:line="240" w:lineRule="auto"/>
        <w:jc w:val="both"/>
        <w:rPr/>
      </w:pPr>
      <w:r w:rsidDel="00000000" w:rsidR="00000000" w:rsidRPr="00000000">
        <w:rPr>
          <w:rtl w:val="0"/>
        </w:rPr>
      </w:r>
    </w:p>
    <w:p w:rsidR="00000000" w:rsidDel="00000000" w:rsidP="00000000" w:rsidRDefault="00000000" w:rsidRPr="00000000" w14:paraId="00000083">
      <w:pPr>
        <w:spacing w:after="80" w:before="36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Table S3. </w:t>
      </w:r>
      <w:r w:rsidDel="00000000" w:rsidR="00000000" w:rsidRPr="00000000">
        <w:rPr>
          <w:rFonts w:ascii="Times New Roman" w:cs="Times New Roman" w:eastAsia="Times New Roman" w:hAnsi="Times New Roman"/>
          <w:b w:val="0"/>
          <w:bCs w:val="0"/>
          <w:i w:val="0"/>
          <w:iCs w:val="0"/>
          <w:color w:val="000000"/>
          <w:sz w:val="24"/>
          <w:szCs w:val="24"/>
          <w:rtl w:val="0"/>
        </w:rPr>
        <w:t xml:space="preserve">Complete temperature-dependent performance data (250–400 K) for devices A1 and B1opt.</w:t>
      </w:r>
      <w:r w:rsidDel="00000000" w:rsidR="00000000" w:rsidRPr="00000000">
        <w:rPr>
          <w:rFonts w:ascii="Times New Roman" w:cs="Times New Roman" w:eastAsia="Times New Roman" w:hAnsi="Times New Roman"/>
          <w:b w:val="0"/>
          <w:bCs w:val="0"/>
          <w:i w:val="1"/>
          <w:iCs w:val="1"/>
          <w:color w:val="000000"/>
          <w:sz w:val="18"/>
          <w:szCs w:val="18"/>
          <w:rtl w:val="0"/>
        </w:rPr>
        <w:t xml:space="preserve"> Green-highlighted row = 300 K standard reference condition. Tunneling-to-thermionic crossover in B1opt occurs between 270 and 300 K, identified by η(B1opt) reaching a maximum at 250 K. Data plotted in main-text Figure 5.</w:t>
      </w: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750"/>
        <w:gridCol w:w="750"/>
        <w:gridCol w:w="700"/>
        <w:gridCol w:w="700"/>
        <w:gridCol w:w="650"/>
        <w:gridCol w:w="750"/>
        <w:gridCol w:w="750"/>
        <w:gridCol w:w="700"/>
        <w:gridCol w:w="2676"/>
        <w:tblGridChange w:id="0">
          <w:tblGrid>
            <w:gridCol w:w="600"/>
            <w:gridCol w:w="750"/>
            <w:gridCol w:w="750"/>
            <w:gridCol w:w="700"/>
            <w:gridCol w:w="700"/>
            <w:gridCol w:w="650"/>
            <w:gridCol w:w="750"/>
            <w:gridCol w:w="750"/>
            <w:gridCol w:w="700"/>
            <w:gridCol w:w="267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4">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T (K)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5">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Voc_A1(V)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6">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Jsc_A1(mA/cm²)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7">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FF_A1(%)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8">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η_A1(%)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9">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Voc_B1opt(V)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A">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Jsc_B1opt(mA/cm²)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B">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FF_B1opt(%)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C">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η_B1opt(%)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8D">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Mechanism (B1opt)</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8E">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8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0.512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19.41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34.22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3.41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0.943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30.65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73.16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21.1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Tunneling-dominant</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8">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0.471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19.22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32.96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0.903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30.57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9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72.75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A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20.1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A1">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Mixed tunneling + thermionic</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2">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300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3">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0.418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4">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18.92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5">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31.52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6">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2.50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7">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0.843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8">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30.80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9">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71.57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A">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18.7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0AB">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Reference (AM 1.5G)</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AC">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320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A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0.381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A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A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30.09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2.15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0.802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30.67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68.42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5">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Thermionic + SRH</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0.319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18.57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28.07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0.742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30.20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63.23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B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SRH dominant</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0.261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18.42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26.24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0.673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29.79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56.46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9">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SRH dominant</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A">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0.221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18.37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24.61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C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0.614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D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29.43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D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50.24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D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D3">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SRH dominant</w:t>
            </w:r>
            <w:r w:rsidDel="00000000" w:rsidR="00000000" w:rsidRPr="00000000">
              <w:rPr>
                <w:rtl w:val="0"/>
              </w:rPr>
            </w:r>
          </w:p>
        </w:tc>
      </w:tr>
    </w:tbl>
    <w:p w:rsidR="00000000" w:rsidDel="00000000" w:rsidP="00000000" w:rsidRDefault="00000000" w:rsidRPr="00000000" w14:paraId="000000D4">
      <w:pPr>
        <w:spacing w:after="240" w:before="60" w:line="240" w:lineRule="auto"/>
        <w:jc w:val="both"/>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Note: </w:t>
      </w:r>
      <w:r w:rsidDel="00000000" w:rsidR="00000000" w:rsidRPr="00000000">
        <w:rPr>
          <w:rFonts w:ascii="Times New Roman" w:cs="Times New Roman" w:eastAsia="Times New Roman" w:hAnsi="Times New Roman"/>
          <w:b w:val="0"/>
          <w:bCs w:val="0"/>
          <w:i w:val="1"/>
          <w:iCs w:val="1"/>
          <w:color w:val="000000"/>
          <w:sz w:val="18"/>
          <w:szCs w:val="18"/>
          <w:rtl w:val="0"/>
        </w:rPr>
        <w:t xml:space="preserve">A1 = no interlayer (carrier continuity failure device); B1opt = optimized In₂S₃ 5 nm / ND = 5×10¹⁸ cm⁻³ device. The positive temperature coefficient of efficiency in B1opt (η increasing as T decreases from 300 to 250 K) is the SCAPS-1D tunneling signature; compare with A1 which shows monotonically decreasing η with decreasing T.</w:t>
      </w:r>
      <w:r w:rsidDel="00000000" w:rsidR="00000000" w:rsidRPr="00000000">
        <w:rPr>
          <w:rtl w:val="0"/>
        </w:rPr>
      </w:r>
    </w:p>
    <w:p w:rsidR="00000000" w:rsidDel="00000000" w:rsidP="00000000" w:rsidRDefault="00000000" w:rsidRPr="00000000" w14:paraId="000000D5">
      <w:pPr>
        <w:spacing w:after="0" w:line="240" w:lineRule="auto"/>
        <w:jc w:val="both"/>
        <w:rPr/>
      </w:pPr>
      <w:r w:rsidDel="00000000" w:rsidR="00000000" w:rsidRPr="00000000">
        <w:rPr>
          <w:rtl w:val="0"/>
        </w:rPr>
      </w:r>
    </w:p>
    <w:p w:rsidR="00000000" w:rsidDel="00000000" w:rsidP="00000000" w:rsidRDefault="00000000" w:rsidRPr="00000000" w14:paraId="000000D6">
      <w:pPr>
        <w:spacing w:after="0" w:line="240" w:lineRule="auto"/>
        <w:jc w:val="both"/>
        <w:rPr/>
      </w:pPr>
      <w:r w:rsidDel="00000000" w:rsidR="00000000" w:rsidRPr="00000000">
        <w:rPr>
          <w:rtl w:val="0"/>
        </w:rPr>
      </w:r>
    </w:p>
    <w:p w:rsidR="00000000" w:rsidDel="00000000" w:rsidP="00000000" w:rsidRDefault="00000000" w:rsidRPr="00000000" w14:paraId="000000D7">
      <w:pPr>
        <w:spacing w:after="0" w:lineRule="auto"/>
        <w:rPr/>
      </w:pPr>
      <w:r w:rsidDel="00000000" w:rsidR="00000000" w:rsidRPr="00000000">
        <w:br w:type="page"/>
      </w:r>
      <w:r w:rsidDel="00000000" w:rsidR="00000000" w:rsidRPr="00000000">
        <w:rPr>
          <w:rtl w:val="0"/>
        </w:rPr>
      </w:r>
    </w:p>
    <w:p w:rsidR="00000000" w:rsidDel="00000000" w:rsidP="00000000" w:rsidRDefault="00000000" w:rsidRPr="00000000" w14:paraId="000000D8">
      <w:pPr>
        <w:spacing w:after="80" w:before="36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Table S4. </w:t>
      </w:r>
      <w:r w:rsidDel="00000000" w:rsidR="00000000" w:rsidRPr="00000000">
        <w:rPr>
          <w:rFonts w:ascii="Times New Roman" w:cs="Times New Roman" w:eastAsia="Times New Roman" w:hAnsi="Times New Roman"/>
          <w:b w:val="0"/>
          <w:bCs w:val="0"/>
          <w:i w:val="0"/>
          <w:iCs w:val="0"/>
          <w:color w:val="000000"/>
          <w:sz w:val="24"/>
          <w:szCs w:val="24"/>
          <w:rtl w:val="0"/>
        </w:rPr>
        <w:t xml:space="preserve">Complete J-V numerical data for all device variants (AM 1.5G, 300 K).</w:t>
      </w:r>
      <w:r w:rsidDel="00000000" w:rsidR="00000000" w:rsidRPr="00000000">
        <w:rPr>
          <w:rFonts w:ascii="Gungsuh" w:cs="Gungsuh" w:eastAsia="Gungsuh" w:hAnsi="Gungsuh"/>
          <w:b w:val="0"/>
          <w:bCs w:val="0"/>
          <w:i w:val="1"/>
          <w:iCs w:val="1"/>
          <w:color w:val="000000"/>
          <w:sz w:val="18"/>
          <w:szCs w:val="18"/>
          <w:rtl w:val="0"/>
        </w:rPr>
        <w:t xml:space="preserve"> Data plotted in main-text Figure 4a. Cells showing "—" indicate voltage beyond device Voc. Note that A1 reaches Voc at ≈0.42 V due to complete carrier continuity failure.</w:t>
      </w:r>
      <w:r w:rsidDel="00000000" w:rsidR="00000000" w:rsidRPr="00000000">
        <w:rPr>
          <w:rtl w:val="0"/>
        </w:rPr>
      </w:r>
    </w:p>
    <w:tbl>
      <w:tblPr>
        <w:tblStyle w:val="Table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1300"/>
        <w:gridCol w:w="1300"/>
        <w:gridCol w:w="1300"/>
        <w:gridCol w:w="1300"/>
        <w:gridCol w:w="1300"/>
        <w:gridCol w:w="1626"/>
        <w:tblGridChange w:id="0">
          <w:tblGrid>
            <w:gridCol w:w="900"/>
            <w:gridCol w:w="1300"/>
            <w:gridCol w:w="1300"/>
            <w:gridCol w:w="1300"/>
            <w:gridCol w:w="1300"/>
            <w:gridCol w:w="1300"/>
            <w:gridCol w:w="162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D9">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V (V)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DA">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J_A1(mA/cm²)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DB">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J_B1 In₂S₃(mA/cm²)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DC">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J_B2 ZTO(mA/cm²)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DD">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J_B3 TiO₂(mA/cm²)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DE">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J_B1opt(mA/cm²)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0DF">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J_CZTS ref(mA/cm²)</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18.89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30.08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29.57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28.38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30.82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19.18</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18.82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30.05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29.51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28.34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30.72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19.12</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E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18.56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29.81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29.31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28.08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30.49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18.97</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17.71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29.32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28.79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27.56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30.07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18.58</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0.35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16.93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28.84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0F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28.27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27.11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29.49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18.20</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15.57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28.12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27.56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26.50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28.88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17.73</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0.42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27.84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27.33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26.18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0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28.64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17.49</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0.45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27.12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26.54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25.49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27.80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16.94</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25.72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25.13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24.13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26.47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16.00</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1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0.55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23.89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23.15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22.27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24.68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14.57</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0.60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21.35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20.46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19.56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22.09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12.57</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0.65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2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17.86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16.85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15.91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18.67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9.94</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13.20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13.96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6.76</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0.75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7.01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5.75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3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4.84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7.79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2.93</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0.79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2.09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3.14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0.81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0.87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4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5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0.84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5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5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5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5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5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5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t>
            </w:r>
            <w:r w:rsidDel="00000000" w:rsidR="00000000" w:rsidRPr="00000000">
              <w:rPr>
                <w:rtl w:val="0"/>
              </w:rPr>
            </w:r>
          </w:p>
        </w:tc>
      </w:tr>
    </w:tbl>
    <w:p w:rsidR="00000000" w:rsidDel="00000000" w:rsidP="00000000" w:rsidRDefault="00000000" w:rsidRPr="00000000" w14:paraId="00000157">
      <w:pPr>
        <w:spacing w:after="240" w:before="60" w:line="240" w:lineRule="auto"/>
        <w:jc w:val="both"/>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Note: </w:t>
      </w:r>
      <w:r w:rsidDel="00000000" w:rsidR="00000000" w:rsidRPr="00000000">
        <w:rPr>
          <w:rFonts w:ascii="Times New Roman" w:cs="Times New Roman" w:eastAsia="Times New Roman" w:hAnsi="Times New Roman"/>
          <w:b w:val="0"/>
          <w:bCs w:val="0"/>
          <w:i w:val="1"/>
          <w:iCs w:val="1"/>
          <w:color w:val="000000"/>
          <w:sz w:val="18"/>
          <w:szCs w:val="18"/>
          <w:rtl w:val="0"/>
        </w:rPr>
        <w:t xml:space="preserve">All J values in mA/cm². Voc for each device: A1 = 0.42 V, B1 In₂S₃ = 0.81 V, B2 ZTO = 0.79 V, B3 TiO₂ = 0.75 V, B1opt = 0.843 V, CZTS ref = 0.708 V. Jsc extracted at V = 0.</w:t>
      </w:r>
      <w:r w:rsidDel="00000000" w:rsidR="00000000" w:rsidRPr="00000000">
        <w:rPr>
          <w:rtl w:val="0"/>
        </w:rPr>
      </w:r>
    </w:p>
    <w:p w:rsidR="00000000" w:rsidDel="00000000" w:rsidP="00000000" w:rsidRDefault="00000000" w:rsidRPr="00000000" w14:paraId="00000158">
      <w:pPr>
        <w:spacing w:after="0" w:line="240" w:lineRule="auto"/>
        <w:jc w:val="both"/>
        <w:rPr/>
      </w:pPr>
      <w:r w:rsidDel="00000000" w:rsidR="00000000" w:rsidRPr="00000000">
        <w:rPr>
          <w:rtl w:val="0"/>
        </w:rPr>
      </w:r>
    </w:p>
    <w:p w:rsidR="00000000" w:rsidDel="00000000" w:rsidP="00000000" w:rsidRDefault="00000000" w:rsidRPr="00000000" w14:paraId="00000159">
      <w:pPr>
        <w:spacing w:after="0" w:line="240" w:lineRule="auto"/>
        <w:jc w:val="both"/>
        <w:rPr/>
      </w:pPr>
      <w:r w:rsidDel="00000000" w:rsidR="00000000" w:rsidRPr="00000000">
        <w:rPr>
          <w:rtl w:val="0"/>
        </w:rPr>
      </w:r>
    </w:p>
    <w:p w:rsidR="00000000" w:rsidDel="00000000" w:rsidP="00000000" w:rsidRDefault="00000000" w:rsidRPr="00000000" w14:paraId="0000015A">
      <w:pPr>
        <w:spacing w:after="80" w:before="36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Table S5. </w:t>
      </w:r>
      <w:r w:rsidDel="00000000" w:rsidR="00000000" w:rsidRPr="00000000">
        <w:rPr>
          <w:rFonts w:ascii="Times New Roman" w:cs="Times New Roman" w:eastAsia="Times New Roman" w:hAnsi="Times New Roman"/>
          <w:b w:val="0"/>
          <w:bCs w:val="0"/>
          <w:i w:val="0"/>
          <w:iCs w:val="0"/>
          <w:color w:val="000000"/>
          <w:sz w:val="24"/>
          <w:szCs w:val="24"/>
          <w:rtl w:val="0"/>
        </w:rPr>
        <w:t xml:space="preserve">Complete EQE spectral response data for key device variants.</w:t>
      </w:r>
      <w:r w:rsidDel="00000000" w:rsidR="00000000" w:rsidRPr="00000000">
        <w:rPr>
          <w:rFonts w:ascii="Times New Roman" w:cs="Times New Roman" w:eastAsia="Times New Roman" w:hAnsi="Times New Roman"/>
          <w:b w:val="0"/>
          <w:bCs w:val="0"/>
          <w:i w:val="1"/>
          <w:iCs w:val="1"/>
          <w:color w:val="000000"/>
          <w:sz w:val="18"/>
          <w:szCs w:val="18"/>
          <w:rtl w:val="0"/>
        </w:rPr>
        <w:t xml:space="preserve"> Pink-highlighted cells in the EQE_A1 column (700–1050 nm) highlight the spectral region of carrier continuity failure. Data plotted in main-text Figure 4b.</w:t>
      </w:r>
      <w:r w:rsidDel="00000000" w:rsidR="00000000" w:rsidRPr="00000000">
        <w:rPr>
          <w:rtl w:val="0"/>
        </w:rPr>
      </w:r>
    </w:p>
    <w:tbl>
      <w:tblPr>
        <w:tblStyle w:val="Table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0"/>
        <w:gridCol w:w="800"/>
        <w:gridCol w:w="900"/>
        <w:gridCol w:w="900"/>
        <w:gridCol w:w="900"/>
        <w:gridCol w:w="900"/>
        <w:gridCol w:w="3826"/>
        <w:tblGridChange w:id="0">
          <w:tblGrid>
            <w:gridCol w:w="800"/>
            <w:gridCol w:w="800"/>
            <w:gridCol w:w="900"/>
            <w:gridCol w:w="900"/>
            <w:gridCol w:w="900"/>
            <w:gridCol w:w="900"/>
            <w:gridCol w:w="382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5B">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λ (nm)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5C">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Energy (eV)</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5D">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EQE_A1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5E">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EQE_B1opt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5F">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EQE_CZTS ref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60">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EQE_B2 ZTO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61">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Absorber / Region</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2">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4.13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34.0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8">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 (front surface loss)</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9">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62.0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66.0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6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2.48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2.07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79.0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D">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E">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640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7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1.94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4">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Transition region</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5">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660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1.88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62.0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B">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Transition (CZTS cutoff onset)</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C">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8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8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69.0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64.0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2">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CZTSSe dominant — BLOCKED in A1</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3">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9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9">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CZTSSe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A">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9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9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CZTSSe (near bandgap)</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1">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A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34.0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CZTSSe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8">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A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19.0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E">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CZTSSe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A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5">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Near CZTSSe Eg cutoff</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0.0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BC">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Complete absorption cutoff</w:t>
            </w:r>
            <w:r w:rsidDel="00000000" w:rsidR="00000000" w:rsidRPr="00000000">
              <w:rPr>
                <w:rtl w:val="0"/>
              </w:rPr>
            </w:r>
          </w:p>
        </w:tc>
      </w:tr>
    </w:tbl>
    <w:p w:rsidR="00000000" w:rsidDel="00000000" w:rsidP="00000000" w:rsidRDefault="00000000" w:rsidRPr="00000000" w14:paraId="000001BD">
      <w:pPr>
        <w:spacing w:after="240" w:before="60" w:line="240" w:lineRule="auto"/>
        <w:jc w:val="both"/>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Note: </w:t>
      </w:r>
      <w:r w:rsidDel="00000000" w:rsidR="00000000" w:rsidRPr="00000000">
        <w:rPr>
          <w:rFonts w:ascii="Times New Roman" w:cs="Times New Roman" w:eastAsia="Times New Roman" w:hAnsi="Times New Roman"/>
          <w:b w:val="0"/>
          <w:bCs w:val="0"/>
          <w:i w:val="1"/>
          <w:iCs w:val="1"/>
          <w:color w:val="000000"/>
          <w:sz w:val="18"/>
          <w:szCs w:val="18"/>
          <w:rtl w:val="0"/>
        </w:rPr>
        <w:t xml:space="preserve">EQE_CZTS ref = calibrated single-junction CZTS reference device. The near-zero EQE in A1 above 700 nm confirms complete electrical decoupling of the CZTSSe sub-absorber — the CZTSSe absorbs photons but generated carriers cannot reach the external circuit. B1opt fully recovers EQE to 4% at 1100 nm (near CZTSSe bandgap edge).</w:t>
      </w:r>
      <w:r w:rsidDel="00000000" w:rsidR="00000000" w:rsidRPr="00000000">
        <w:rPr>
          <w:rtl w:val="0"/>
        </w:rPr>
      </w:r>
    </w:p>
    <w:p w:rsidR="00000000" w:rsidDel="00000000" w:rsidP="00000000" w:rsidRDefault="00000000" w:rsidRPr="00000000" w14:paraId="000001BE">
      <w:pPr>
        <w:spacing w:after="0" w:line="240" w:lineRule="auto"/>
        <w:jc w:val="both"/>
        <w:rPr/>
      </w:pPr>
      <w:r w:rsidDel="00000000" w:rsidR="00000000" w:rsidRPr="00000000">
        <w:rPr>
          <w:rtl w:val="0"/>
        </w:rPr>
      </w:r>
    </w:p>
    <w:p w:rsidR="00000000" w:rsidDel="00000000" w:rsidP="00000000" w:rsidRDefault="00000000" w:rsidRPr="00000000" w14:paraId="000001BF">
      <w:pPr>
        <w:spacing w:after="0" w:line="240" w:lineRule="auto"/>
        <w:jc w:val="both"/>
        <w:rPr/>
      </w:pPr>
      <w:r w:rsidDel="00000000" w:rsidR="00000000" w:rsidRPr="00000000">
        <w:rPr>
          <w:rtl w:val="0"/>
        </w:rPr>
      </w:r>
    </w:p>
    <w:p w:rsidR="00000000" w:rsidDel="00000000" w:rsidP="00000000" w:rsidRDefault="00000000" w:rsidRPr="00000000" w14:paraId="000001C0">
      <w:pPr>
        <w:spacing w:after="0" w:lineRule="auto"/>
        <w:rPr/>
      </w:pPr>
      <w:r w:rsidDel="00000000" w:rsidR="00000000" w:rsidRPr="00000000">
        <w:br w:type="page"/>
      </w:r>
      <w:r w:rsidDel="00000000" w:rsidR="00000000" w:rsidRPr="00000000">
        <w:rPr>
          <w:rtl w:val="0"/>
        </w:rPr>
      </w:r>
    </w:p>
    <w:p w:rsidR="00000000" w:rsidDel="00000000" w:rsidP="00000000" w:rsidRDefault="00000000" w:rsidRPr="00000000" w14:paraId="000001C1">
      <w:pPr>
        <w:spacing w:after="80" w:before="36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Table S6. </w:t>
      </w:r>
      <w:r w:rsidDel="00000000" w:rsidR="00000000" w:rsidRPr="00000000">
        <w:rPr>
          <w:rFonts w:ascii="Times New Roman" w:cs="Times New Roman" w:eastAsia="Times New Roman" w:hAnsi="Times New Roman"/>
          <w:b w:val="0"/>
          <w:bCs w:val="0"/>
          <w:i w:val="0"/>
          <w:iCs w:val="0"/>
          <w:color w:val="000000"/>
          <w:sz w:val="24"/>
          <w:szCs w:val="24"/>
          <w:rtl w:val="0"/>
        </w:rPr>
        <w:t xml:space="preserve">Thickness–doping co-sweep heatmap: η (%) for In₂S₃ interlayer (12 thickness × 11 doping combinations).</w:t>
      </w:r>
      <w:r w:rsidDel="00000000" w:rsidR="00000000" w:rsidRPr="00000000">
        <w:rPr>
          <w:rFonts w:ascii="Gungsuh" w:cs="Gungsuh" w:eastAsia="Gungsuh" w:hAnsi="Gungsuh"/>
          <w:b w:val="0"/>
          <w:bCs w:val="0"/>
          <w:i w:val="1"/>
          <w:iCs w:val="1"/>
          <w:color w:val="000000"/>
          <w:sz w:val="18"/>
          <w:szCs w:val="18"/>
          <w:rtl w:val="0"/>
        </w:rPr>
        <w:t xml:space="preserve"> Colour code: ■ Dark green ≥17% | ■ Light green 14–17% | ■ Yellow 10–14% | ■ Pink 7–10% | ■ Red &lt;7%. Asterisked cells (*) mark η ≥ 18.5% (performance maximum region). All simulations: CZTS/CZTSSe realistic interface (Nt = 10¹² cm⁻²), AM 1.5G, 300 K. Data identify the optimum at 5 nm / 5×10¹⁸ cm⁻³ (η = 18.8*%).</w:t>
      </w:r>
      <w:r w:rsidDel="00000000" w:rsidR="00000000" w:rsidRPr="00000000">
        <w:rPr>
          <w:rtl w:val="0"/>
        </w:rPr>
      </w:r>
    </w:p>
    <w:tbl>
      <w:tblPr>
        <w:tblStyle w:val="Table6"/>
        <w:tblW w:w="902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0"/>
        <w:gridCol w:w="757"/>
        <w:gridCol w:w="757"/>
        <w:gridCol w:w="757"/>
        <w:gridCol w:w="757"/>
        <w:gridCol w:w="757"/>
        <w:gridCol w:w="757"/>
        <w:gridCol w:w="757"/>
        <w:gridCol w:w="757"/>
        <w:gridCol w:w="757"/>
        <w:gridCol w:w="757"/>
        <w:gridCol w:w="756"/>
        <w:tblGridChange w:id="0">
          <w:tblGrid>
            <w:gridCol w:w="700"/>
            <w:gridCol w:w="757"/>
            <w:gridCol w:w="757"/>
            <w:gridCol w:w="757"/>
            <w:gridCol w:w="757"/>
            <w:gridCol w:w="757"/>
            <w:gridCol w:w="757"/>
            <w:gridCol w:w="757"/>
            <w:gridCol w:w="757"/>
            <w:gridCol w:w="757"/>
            <w:gridCol w:w="757"/>
            <w:gridCol w:w="75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2">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Thick.(nm)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3">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1×10¹⁵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4">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5×10¹⁵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5">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1×10¹⁶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6">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5×10¹⁶</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7">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1×10¹⁷</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8">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5×10¹⁷</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9">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1×10¹⁸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A">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5×10¹⁸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B">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1×10¹⁹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C">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5×10¹⁹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1CD">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1×10²⁰</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CE">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C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D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D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D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D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D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D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D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D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D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D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7.9</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DA">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D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D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D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D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D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E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E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E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E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E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E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9.9</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E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E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E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E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E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E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E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E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E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E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F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F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11.4</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F2">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F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F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1F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F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F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F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1F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1F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F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1F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1F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12.3</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1FE">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1F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0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0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0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0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0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05">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18.5*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06">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18.8*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0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0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0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12.6</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0A">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0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0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0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0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0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1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11">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18.2*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12">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18.6*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1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1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1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12.3</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1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1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1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1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1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1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1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1D">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18.2*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1E">
            <w:pPr>
              <w:spacing w:after="0" w:line="240" w:lineRule="auto"/>
              <w:jc w:val="center"/>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18.3*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1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2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2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12.3</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22">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2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2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2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2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2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2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2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e2efda" w:val="clear"/>
            <w:tcMar>
              <w:top w:w="40.0" w:type="dxa"/>
              <w:left w:w="70.0" w:type="dxa"/>
              <w:bottom w:w="40.0" w:type="dxa"/>
              <w:right w:w="70.0" w:type="dxa"/>
            </w:tcMar>
            <w:vAlign w:val="center"/>
          </w:tcPr>
          <w:p w:rsidR="00000000" w:rsidDel="00000000" w:rsidP="00000000" w:rsidRDefault="00000000" w:rsidRPr="00000000" w14:paraId="0000022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17.8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2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2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2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11.1</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2E">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2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3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3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3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3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3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3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3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16.5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3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3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3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10.8</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3A">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3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3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3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3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3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4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4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42">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4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4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4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9.3</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4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4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4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4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4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4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4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13.8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4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c6efce" w:val="clear"/>
            <w:tcMar>
              <w:top w:w="40.0" w:type="dxa"/>
              <w:left w:w="70.0" w:type="dxa"/>
              <w:bottom w:w="40.0" w:type="dxa"/>
              <w:right w:w="70.0" w:type="dxa"/>
            </w:tcMar>
            <w:vAlign w:val="center"/>
          </w:tcPr>
          <w:p w:rsidR="00000000" w:rsidDel="00000000" w:rsidP="00000000" w:rsidRDefault="00000000" w:rsidRPr="00000000" w14:paraId="0000024E">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14.6</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4F">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50">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51">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8.4</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52">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53">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4.5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54">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5.7</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55">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7.3</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56">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9.2</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57">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10.8</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58">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11.4</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59">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12.1</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eb9c" w:val="clear"/>
            <w:tcMar>
              <w:top w:w="40.0" w:type="dxa"/>
              <w:left w:w="70.0" w:type="dxa"/>
              <w:bottom w:w="40.0" w:type="dxa"/>
              <w:right w:w="70.0" w:type="dxa"/>
            </w:tcMar>
            <w:vAlign w:val="center"/>
          </w:tcPr>
          <w:p w:rsidR="00000000" w:rsidDel="00000000" w:rsidP="00000000" w:rsidRDefault="00000000" w:rsidRPr="00000000" w14:paraId="0000025A">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11.9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5B">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9.9</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cccc" w:val="clear"/>
            <w:tcMar>
              <w:top w:w="40.0" w:type="dxa"/>
              <w:left w:w="70.0" w:type="dxa"/>
              <w:bottom w:w="40.0" w:type="dxa"/>
              <w:right w:w="70.0" w:type="dxa"/>
            </w:tcMar>
            <w:vAlign w:val="center"/>
          </w:tcPr>
          <w:p w:rsidR="00000000" w:rsidDel="00000000" w:rsidP="00000000" w:rsidRDefault="00000000" w:rsidRPr="00000000" w14:paraId="0000025C">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8.5</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0000" w:val="clear"/>
            <w:tcMar>
              <w:top w:w="40.0" w:type="dxa"/>
              <w:left w:w="70.0" w:type="dxa"/>
              <w:bottom w:w="40.0" w:type="dxa"/>
              <w:right w:w="70.0" w:type="dxa"/>
            </w:tcMar>
            <w:vAlign w:val="center"/>
          </w:tcPr>
          <w:p w:rsidR="00000000" w:rsidDel="00000000" w:rsidP="00000000" w:rsidRDefault="00000000" w:rsidRPr="00000000" w14:paraId="0000025D">
            <w:pPr>
              <w:spacing w:after="0" w:line="240" w:lineRule="auto"/>
              <w:jc w:val="center"/>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6.9</w:t>
            </w:r>
            <w:r w:rsidDel="00000000" w:rsidR="00000000" w:rsidRPr="00000000">
              <w:rPr>
                <w:rtl w:val="0"/>
              </w:rPr>
            </w:r>
          </w:p>
        </w:tc>
      </w:tr>
    </w:tbl>
    <w:p w:rsidR="00000000" w:rsidDel="00000000" w:rsidP="00000000" w:rsidRDefault="00000000" w:rsidRPr="00000000" w14:paraId="0000025E">
      <w:pPr>
        <w:spacing w:after="240" w:before="60" w:line="240" w:lineRule="auto"/>
        <w:jc w:val="both"/>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Note: </w:t>
      </w:r>
      <w:r w:rsidDel="00000000" w:rsidR="00000000" w:rsidRPr="00000000">
        <w:rPr>
          <w:rFonts w:ascii="Caudex" w:cs="Caudex" w:eastAsia="Caudex" w:hAnsi="Caudex"/>
          <w:b w:val="0"/>
          <w:bCs w:val="0"/>
          <w:i w:val="1"/>
          <w:iCs w:val="1"/>
          <w:color w:val="000000"/>
          <w:sz w:val="18"/>
          <w:szCs w:val="18"/>
          <w:rtl w:val="0"/>
        </w:rPr>
        <w:t xml:space="preserve">Doping column headers are in cm⁻³. Thickness in nm. At &lt;2 nm, interlayer is quantum-mechanically transparent and acts as a pass-through rather than a recombination junction — hence poor performance at 1 nm across all doping levels. At &gt;10 nm, parasitic absorption and series resistance dominate. Optimal doping window 5×10¹⁷–5×10¹⁸ cm⁻³ at 4–7 nm thickness is defined by the ≥17% dark-green region.</w:t>
      </w:r>
      <w:r w:rsidDel="00000000" w:rsidR="00000000" w:rsidRPr="00000000">
        <w:rPr>
          <w:rtl w:val="0"/>
        </w:rPr>
      </w:r>
    </w:p>
    <w:p w:rsidR="00000000" w:rsidDel="00000000" w:rsidP="00000000" w:rsidRDefault="00000000" w:rsidRPr="00000000" w14:paraId="0000025F">
      <w:pPr>
        <w:spacing w:after="0" w:line="240" w:lineRule="auto"/>
        <w:jc w:val="both"/>
        <w:rPr/>
      </w:pPr>
      <w:r w:rsidDel="00000000" w:rsidR="00000000" w:rsidRPr="00000000">
        <w:rPr>
          <w:rtl w:val="0"/>
        </w:rPr>
      </w:r>
    </w:p>
    <w:p w:rsidR="00000000" w:rsidDel="00000000" w:rsidP="00000000" w:rsidRDefault="00000000" w:rsidRPr="00000000" w14:paraId="00000260">
      <w:pPr>
        <w:spacing w:after="0" w:line="240" w:lineRule="auto"/>
        <w:jc w:val="both"/>
        <w:rPr/>
      </w:pPr>
      <w:r w:rsidDel="00000000" w:rsidR="00000000" w:rsidRPr="00000000">
        <w:rPr>
          <w:rtl w:val="0"/>
        </w:rPr>
      </w:r>
    </w:p>
    <w:p w:rsidR="00000000" w:rsidDel="00000000" w:rsidP="00000000" w:rsidRDefault="00000000" w:rsidRPr="00000000" w14:paraId="00000261">
      <w:pPr>
        <w:spacing w:after="80" w:before="36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Table S7. </w:t>
      </w:r>
      <w:r w:rsidDel="00000000" w:rsidR="00000000" w:rsidRPr="00000000">
        <w:rPr>
          <w:rFonts w:ascii="Times New Roman" w:cs="Times New Roman" w:eastAsia="Times New Roman" w:hAnsi="Times New Roman"/>
          <w:b w:val="0"/>
          <w:bCs w:val="0"/>
          <w:i w:val="0"/>
          <w:iCs w:val="0"/>
          <w:color w:val="000000"/>
          <w:sz w:val="24"/>
          <w:szCs w:val="24"/>
          <w:rtl w:val="0"/>
        </w:rPr>
        <w:t xml:space="preserve">SCAPS-1D computational settings summary.</w:t>
      </w:r>
      <w:r w:rsidDel="00000000" w:rsidR="00000000" w:rsidRPr="00000000">
        <w:rPr>
          <w:rFonts w:ascii="Times New Roman" w:cs="Times New Roman" w:eastAsia="Times New Roman" w:hAnsi="Times New Roman"/>
          <w:b w:val="0"/>
          <w:bCs w:val="0"/>
          <w:i w:val="1"/>
          <w:iCs w:val="1"/>
          <w:color w:val="000000"/>
          <w:sz w:val="18"/>
          <w:szCs w:val="18"/>
          <w:rtl w:val="0"/>
        </w:rPr>
        <w:t xml:space="preserve"> Provided for reproducibility. All settings are identical across A1, B1, B2, B3, and B1opt simulations; only the interlayer material, thickness, and doping differ.</w:t>
      </w: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000"/>
        <w:gridCol w:w="4626"/>
        <w:tblGridChange w:id="0">
          <w:tblGrid>
            <w:gridCol w:w="2400"/>
            <w:gridCol w:w="2000"/>
            <w:gridCol w:w="462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262">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SCAPS-1D Setting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263">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Value Used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2f5496" w:val="clear"/>
            <w:tcMar>
              <w:top w:w="40.0" w:type="dxa"/>
              <w:left w:w="70.0" w:type="dxa"/>
              <w:bottom w:w="40.0" w:type="dxa"/>
              <w:right w:w="70.0" w:type="dxa"/>
            </w:tcMar>
            <w:vAlign w:val="center"/>
          </w:tcPr>
          <w:p w:rsidR="00000000" w:rsidDel="00000000" w:rsidP="00000000" w:rsidRDefault="00000000" w:rsidRPr="00000000" w14:paraId="00000264">
            <w:pPr>
              <w:spacing w:after="0" w:line="240" w:lineRule="auto"/>
              <w:jc w:val="center"/>
              <w:rPr/>
            </w:pPr>
            <w:r w:rsidDel="00000000" w:rsidR="00000000" w:rsidRPr="00000000">
              <w:rPr>
                <w:rFonts w:ascii="Times New Roman" w:cs="Times New Roman" w:eastAsia="Times New Roman" w:hAnsi="Times New Roman"/>
                <w:b w:val="1"/>
                <w:bCs w:val="1"/>
                <w:i w:val="0"/>
                <w:iCs w:val="0"/>
                <w:color w:val="ffffff"/>
                <w:sz w:val="18"/>
                <w:szCs w:val="18"/>
                <w:rtl w:val="0"/>
              </w:rPr>
              <w:t xml:space="preserve">Physical Justification</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5">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Software version</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SCAPS-1D v3.3.10</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Standard release from Ghent University; used with default solver tolerance 10⁻⁶</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8">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Illumination</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9">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AM 1.5G, 100 mW/cm²</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A">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IEC 60904-3 standard for terrestrial PV</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B">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Temperature (reference)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C">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300 K</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D">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Standard test condition</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E">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Temperature sweep range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6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250–400 K</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0">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Covers tunneling-to-thermionic crossover regime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1">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Recombination model</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2">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SRH (bulk + interface)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3">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Both activated; Auger excluded (minority carrier concentrations too low)</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4">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Tunneling model</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5">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WKB parabolic barrier</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6">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SCAPS built-in; mt = 0.1 m₀; used qualitatively only</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7">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Tunneling effective mass</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8">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mt = 0.1 m₀</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9">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Representative value for kesterite valence band; sensitivity tested at 0.05–0.2 m₀</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A">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Interface recombination</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B">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Activated at all junctions</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C">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Uses capture cross-sections σn = σp = 10⁻¹⁴ cm² (reactive interface) or 10⁻¹⁵ cm² (passive)</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D">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Solver</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E">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Newton–Raphson, fully coupled</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7F">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Simultaneous solution of Poisson + continuity equations</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0">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Mesh density</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1">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Fine (adaptive)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2">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Minimum 200 grid points; refined at all interfaces</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3">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Back contact</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4">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Selective ohmic (metal-like)</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5">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Sp = 10⁷ cm/s, Sn = 10³ cm/s for Mo/CZTSSe contact</w:t>
            </w:r>
            <w:r w:rsidDel="00000000" w:rsidR="00000000" w:rsidRPr="00000000">
              <w:rPr>
                <w:rtl w:val="0"/>
              </w:rPr>
            </w:r>
          </w:p>
        </w:tc>
      </w:tr>
      <w:tr>
        <w:trPr>
          <w:cantSplit w:val="0"/>
          <w:tblHeader w:val="0"/>
        </w:trPr>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6">
            <w:pPr>
              <w:spacing w:after="0" w:line="240" w:lineRule="auto"/>
              <w:jc w:val="left"/>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Front contact</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7">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Selective ohmic</w:t>
            </w:r>
            <w:r w:rsidDel="00000000" w:rsidR="00000000" w:rsidRPr="00000000">
              <w:rPr>
                <w:rtl w:val="0"/>
              </w:rPr>
            </w:r>
          </w:p>
        </w:tc>
        <w:tc>
          <w:tcPr>
            <w:tcBorders>
              <w:top w:color="555555" w:space="0" w:sz="4" w:val="single"/>
              <w:left w:color="555555" w:space="0" w:sz="4" w:val="single"/>
              <w:bottom w:color="555555" w:space="0" w:sz="4" w:val="single"/>
              <w:right w:color="555555" w:space="0" w:sz="4" w:val="single"/>
            </w:tcBorders>
            <w:shd w:fill="ffffff" w:val="clear"/>
            <w:tcMar>
              <w:top w:w="40.0" w:type="dxa"/>
              <w:left w:w="70.0" w:type="dxa"/>
              <w:bottom w:w="40.0" w:type="dxa"/>
              <w:right w:w="70.0" w:type="dxa"/>
            </w:tcMar>
            <w:vAlign w:val="center"/>
          </w:tcPr>
          <w:p w:rsidR="00000000" w:rsidDel="00000000" w:rsidP="00000000" w:rsidRDefault="00000000" w:rsidRPr="00000000" w14:paraId="00000288">
            <w:pPr>
              <w:spacing w:after="0" w:line="240" w:lineRule="auto"/>
              <w:jc w:val="left"/>
              <w:rPr/>
            </w:pPr>
            <w:r w:rsidDel="00000000" w:rsidR="00000000" w:rsidRPr="00000000">
              <w:rPr>
                <w:rFonts w:ascii="Times New Roman" w:cs="Times New Roman" w:eastAsia="Times New Roman" w:hAnsi="Times New Roman"/>
                <w:b w:val="0"/>
                <w:bCs w:val="0"/>
                <w:i w:val="0"/>
                <w:iCs w:val="0"/>
                <w:color w:val="000000"/>
                <w:sz w:val="18"/>
                <w:szCs w:val="18"/>
                <w:rtl w:val="0"/>
              </w:rPr>
              <w:t xml:space="preserve">Sn = 10⁷ cm/s, Sp = 10³ cm/s for Al:ZnO contact</w:t>
            </w:r>
            <w:r w:rsidDel="00000000" w:rsidR="00000000" w:rsidRPr="00000000">
              <w:rPr>
                <w:rtl w:val="0"/>
              </w:rPr>
            </w:r>
          </w:p>
        </w:tc>
      </w:tr>
    </w:tbl>
    <w:p w:rsidR="00000000" w:rsidDel="00000000" w:rsidP="00000000" w:rsidRDefault="00000000" w:rsidRPr="00000000" w14:paraId="00000289">
      <w:pPr>
        <w:spacing w:after="240" w:before="60" w:line="240" w:lineRule="auto"/>
        <w:jc w:val="both"/>
        <w:rPr/>
      </w:pPr>
      <w:r w:rsidDel="00000000" w:rsidR="00000000" w:rsidRPr="00000000">
        <w:rPr>
          <w:rFonts w:ascii="Times New Roman" w:cs="Times New Roman" w:eastAsia="Times New Roman" w:hAnsi="Times New Roman"/>
          <w:b w:val="1"/>
          <w:bCs w:val="1"/>
          <w:i w:val="0"/>
          <w:iCs w:val="0"/>
          <w:color w:val="000000"/>
          <w:sz w:val="18"/>
          <w:szCs w:val="18"/>
          <w:rtl w:val="0"/>
        </w:rPr>
        <w:t xml:space="preserve">Note: </w:t>
      </w:r>
      <w:r w:rsidDel="00000000" w:rsidR="00000000" w:rsidRPr="00000000">
        <w:rPr>
          <w:rFonts w:ascii="Times New Roman" w:cs="Times New Roman" w:eastAsia="Times New Roman" w:hAnsi="Times New Roman"/>
          <w:b w:val="0"/>
          <w:bCs w:val="0"/>
          <w:i w:val="1"/>
          <w:iCs w:val="1"/>
          <w:color w:val="000000"/>
          <w:sz w:val="18"/>
          <w:szCs w:val="18"/>
          <w:rtl w:val="0"/>
        </w:rPr>
        <w:t xml:space="preserve">WKB = Wentzel–Kramers–Brillouin approximation. mt = tunneling effective mass. The tunneling model output is used only to identify the qualitative transport regime (Section 3.3 of main text); absolute tunneling coefficients are not reported. </w:t>
      </w:r>
      <w:r w:rsidDel="00000000" w:rsidR="00000000" w:rsidRPr="00000000">
        <w:rPr>
          <w:rtl w:val="0"/>
        </w:rPr>
      </w:r>
    </w:p>
    <w:p w:rsidR="00000000" w:rsidDel="00000000" w:rsidP="00000000" w:rsidRDefault="00000000" w:rsidRPr="00000000" w14:paraId="0000028A">
      <w:pPr>
        <w:spacing w:after="0" w:line="240" w:lineRule="auto"/>
        <w:jc w:val="both"/>
        <w:rPr/>
      </w:pPr>
      <w:r w:rsidDel="00000000" w:rsidR="00000000" w:rsidRPr="00000000">
        <w:rPr>
          <w:rtl w:val="0"/>
        </w:rPr>
      </w:r>
    </w:p>
    <w:p w:rsidR="00000000" w:rsidDel="00000000" w:rsidP="00000000" w:rsidRDefault="00000000" w:rsidRPr="00000000" w14:paraId="0000028B">
      <w:pPr>
        <w:spacing w:after="0" w:line="240" w:lineRule="auto"/>
        <w:jc w:val="both"/>
        <w:rPr/>
      </w:pPr>
      <w:r w:rsidDel="00000000" w:rsidR="00000000" w:rsidRPr="00000000">
        <w:rPr>
          <w:rtl w:val="0"/>
        </w:rPr>
      </w:r>
    </w:p>
    <w:p w:rsidR="00000000" w:rsidDel="00000000" w:rsidP="00000000" w:rsidRDefault="00000000" w:rsidRPr="00000000" w14:paraId="0000028C">
      <w:pPr>
        <w:spacing w:after="0" w:lineRule="auto"/>
        <w:rPr/>
      </w:pPr>
      <w:r w:rsidDel="00000000" w:rsidR="00000000" w:rsidRPr="00000000">
        <w:br w:type="page"/>
      </w:r>
      <w:r w:rsidDel="00000000" w:rsidR="00000000" w:rsidRPr="00000000">
        <w:rPr>
          <w:rtl w:val="0"/>
        </w:rPr>
      </w:r>
    </w:p>
    <w:p w:rsidR="00000000" w:rsidDel="00000000" w:rsidP="00000000" w:rsidRDefault="00000000" w:rsidRPr="00000000" w14:paraId="0000028D">
      <w:pPr>
        <w:spacing w:after="80" w:before="28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Supplementary Figure Captions</w:t>
      </w:r>
      <w:r w:rsidDel="00000000" w:rsidR="00000000" w:rsidRPr="00000000">
        <w:rPr>
          <w:rtl w:val="0"/>
        </w:rPr>
      </w:r>
    </w:p>
    <w:p w:rsidR="00000000" w:rsidDel="00000000" w:rsidP="00000000" w:rsidRDefault="00000000" w:rsidRPr="00000000" w14:paraId="0000028E">
      <w:pPr>
        <w:spacing w:after="0" w:line="240" w:lineRule="auto"/>
        <w:jc w:val="both"/>
        <w:rPr/>
      </w:pPr>
      <w:r w:rsidDel="00000000" w:rsidR="00000000" w:rsidRPr="00000000">
        <w:rPr/>
        <w:drawing>
          <wp:inline distB="114300" distT="114300" distL="114300" distR="114300">
            <wp:extent cx="5731200" cy="4089400"/>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731200" cy="4089400"/>
                    </a:xfrm>
                    <a:prstGeom prst="rect"/>
                    <a:ln/>
                  </pic:spPr>
                </pic:pic>
              </a:graphicData>
            </a:graphic>
          </wp:inline>
        </w:drawing>
      </w:r>
      <w:r w:rsidDel="00000000" w:rsidR="00000000" w:rsidRPr="00000000">
        <w:rPr>
          <w:rtl w:val="0"/>
        </w:rPr>
      </w:r>
    </w:p>
    <w:p w:rsidR="00000000" w:rsidDel="00000000" w:rsidP="00000000" w:rsidRDefault="00000000" w:rsidRPr="00000000" w14:paraId="0000028F">
      <w:pPr>
        <w:spacing w:after="80" w:before="28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Figure S1. </w:t>
      </w:r>
      <w:r w:rsidDel="00000000" w:rsidR="00000000" w:rsidRPr="00000000">
        <w:rPr>
          <w:rFonts w:ascii="Caudex" w:cs="Caudex" w:eastAsia="Caudex" w:hAnsi="Caudex"/>
          <w:b w:val="0"/>
          <w:bCs w:val="0"/>
          <w:i w:val="0"/>
          <w:iCs w:val="0"/>
          <w:color w:val="000000"/>
          <w:sz w:val="24"/>
          <w:szCs w:val="24"/>
          <w:rtl w:val="0"/>
        </w:rPr>
        <w:t xml:space="preserve">Thickness–doping co-sweep heatmap for In₂S₃ interlayer optimization (graphical representation of Table S6). η (%) plotted as a function of interlayer thickness (1–20 nm, y-axis) and n-type doping density (10¹⁵–10²⁰ cm⁻³, x-axis). Colour scale: dark green ≥ 17%; light green 14–17%; yellow 10–14%; pink 7–10%; red &lt; 7%. The performance maximum at 5 nm / 5×10¹⁸ cm⁻³ (η = 18.8%) is marked with an asterisk and cross-hairs. The 17% contour defines the practical design window. All simulations: realistic interface (Nt = 10¹² cm⁻²), AM 1.5G, 300 K.</w:t>
      </w:r>
      <w:r w:rsidDel="00000000" w:rsidR="00000000" w:rsidRPr="00000000">
        <w:rPr>
          <w:rtl w:val="0"/>
        </w:rPr>
      </w:r>
    </w:p>
    <w:p w:rsidR="00000000" w:rsidDel="00000000" w:rsidP="00000000" w:rsidRDefault="00000000" w:rsidRPr="00000000" w14:paraId="00000290">
      <w:pPr>
        <w:spacing w:after="0" w:line="240" w:lineRule="auto"/>
        <w:jc w:val="both"/>
        <w:rPr/>
      </w:pPr>
      <w:r w:rsidDel="00000000" w:rsidR="00000000" w:rsidRPr="00000000">
        <w:rPr/>
        <w:drawing>
          <wp:inline distB="114300" distT="114300" distL="114300" distR="114300">
            <wp:extent cx="5731200" cy="24257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291">
      <w:pPr>
        <w:spacing w:after="80" w:before="28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Figure S2. </w:t>
      </w:r>
      <w:r w:rsidDel="00000000" w:rsidR="00000000" w:rsidRPr="00000000">
        <w:rPr>
          <w:rFonts w:ascii="Caudex" w:cs="Caudex" w:eastAsia="Caudex" w:hAnsi="Caudex"/>
          <w:b w:val="0"/>
          <w:bCs w:val="0"/>
          <w:i w:val="0"/>
          <w:iCs w:val="0"/>
          <w:color w:val="000000"/>
          <w:sz w:val="24"/>
          <w:szCs w:val="24"/>
          <w:rtl w:val="0"/>
        </w:rPr>
        <w:t xml:space="preserve">Interlayer material comparison — extended data for ZTO and TiO₂. (a) J-V curves for ZTO (B2) and TiO₂ (B3) variants at 10 nm and at their individually optimized thicknesses (7 nm ZTO, 10 nm TiO₂), compared to A1 baseline and B1opt reference. (b) EQE spectra confirming partial CZTSSe response recovery in ZTO and TiO₂ variants relative to A1, but below B1opt levels. (c) Band diagram comparison at the interlayer/CZTS junction, highlighting the conduction band spike differences: +0.10 eV (In₂S₃, B1opt), −0.10 eV (ZTO, B2), +0.30 eV (TiO₂, B3). Data from main-text Table 6.</w:t>
      </w:r>
      <w:r w:rsidDel="00000000" w:rsidR="00000000" w:rsidRPr="00000000">
        <w:rPr>
          <w:rtl w:val="0"/>
        </w:rPr>
      </w:r>
    </w:p>
    <w:p w:rsidR="00000000" w:rsidDel="00000000" w:rsidP="00000000" w:rsidRDefault="00000000" w:rsidRPr="00000000" w14:paraId="00000292">
      <w:pPr>
        <w:spacing w:after="0" w:line="240" w:lineRule="auto"/>
        <w:jc w:val="both"/>
        <w:rPr/>
      </w:pPr>
      <w:r w:rsidDel="00000000" w:rsidR="00000000" w:rsidRPr="00000000">
        <w:rPr/>
        <w:drawing>
          <wp:inline distB="114300" distT="114300" distL="114300" distR="114300">
            <wp:extent cx="5734050" cy="3457575"/>
            <wp:effectExtent b="0" l="0" r="0" t="0"/>
            <wp:docPr id="2" name="image2.png"/>
            <a:graphic>
              <a:graphicData uri="http://schemas.openxmlformats.org/drawingml/2006/picture">
                <pic:pic>
                  <pic:nvPicPr>
                    <pic:cNvPr id="0" name="image2.png"/>
                    <pic:cNvPicPr preferRelativeResize="0"/>
                  </pic:nvPicPr>
                  <pic:blipFill>
                    <a:blip r:embed="rId8"/>
                    <a:srcRect b="27400" l="0" r="0" t="0"/>
                    <a:stretch>
                      <a:fillRect/>
                    </a:stretch>
                  </pic:blipFill>
                  <pic:spPr>
                    <a:xfrm>
                      <a:off x="0" y="0"/>
                      <a:ext cx="5734050" cy="3457575"/>
                    </a:xfrm>
                    <a:prstGeom prst="rect"/>
                    <a:ln/>
                  </pic:spPr>
                </pic:pic>
              </a:graphicData>
            </a:graphic>
          </wp:inline>
        </w:drawing>
      </w:r>
      <w:r w:rsidDel="00000000" w:rsidR="00000000" w:rsidRPr="00000000">
        <w:rPr>
          <w:rtl w:val="0"/>
        </w:rPr>
      </w:r>
    </w:p>
    <w:p w:rsidR="00000000" w:rsidDel="00000000" w:rsidP="00000000" w:rsidRDefault="00000000" w:rsidRPr="00000000" w14:paraId="00000293">
      <w:pPr>
        <w:spacing w:after="80" w:before="28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Figure S3. </w:t>
      </w:r>
      <w:r w:rsidDel="00000000" w:rsidR="00000000" w:rsidRPr="00000000">
        <w:rPr>
          <w:rFonts w:ascii="Times New Roman" w:cs="Times New Roman" w:eastAsia="Times New Roman" w:hAnsi="Times New Roman"/>
          <w:b w:val="0"/>
          <w:bCs w:val="0"/>
          <w:i w:val="0"/>
          <w:iCs w:val="0"/>
          <w:color w:val="000000"/>
          <w:sz w:val="24"/>
          <w:szCs w:val="24"/>
          <w:rtl w:val="0"/>
        </w:rPr>
        <w:t xml:space="preserve">Sensitivity analysis spider chart (graphical representation of Table S2). Normalized performance response of Voc and FF to one-at-a-time parameter perturbations about the B1opt baseline. Radial axis = magnitude of relative change (%) upon ±perturbation. ΔEv uncertainty (±0.05 eV) and interlayer doping (±1 decade) are the two highest-sensitivity parameters, confirming that interface engineering precision governs device outcome more than absorber bulk quality.</w:t>
      </w:r>
      <w:r w:rsidDel="00000000" w:rsidR="00000000" w:rsidRPr="00000000">
        <w:rPr>
          <w:rtl w:val="0"/>
        </w:rPr>
      </w:r>
    </w:p>
    <w:p w:rsidR="00000000" w:rsidDel="00000000" w:rsidP="00000000" w:rsidRDefault="00000000" w:rsidRPr="00000000" w14:paraId="00000294">
      <w:pPr>
        <w:spacing w:after="0" w:line="240" w:lineRule="auto"/>
        <w:jc w:val="both"/>
        <w:rPr/>
      </w:pPr>
      <w:r w:rsidDel="00000000" w:rsidR="00000000" w:rsidRPr="00000000">
        <w:rPr>
          <w:rtl w:val="0"/>
        </w:rPr>
      </w:r>
    </w:p>
    <w:p w:rsidR="00000000" w:rsidDel="00000000" w:rsidP="00000000" w:rsidRDefault="00000000" w:rsidRPr="00000000" w14:paraId="00000295">
      <w:pPr>
        <w:spacing w:after="0" w:line="240" w:lineRule="auto"/>
        <w:jc w:val="both"/>
        <w:rPr/>
      </w:pPr>
      <w:r w:rsidDel="00000000" w:rsidR="00000000" w:rsidRPr="00000000">
        <w:rPr>
          <w:rtl w:val="0"/>
        </w:rPr>
      </w:r>
    </w:p>
    <w:p w:rsidR="00000000" w:rsidDel="00000000" w:rsidP="00000000" w:rsidRDefault="00000000" w:rsidRPr="00000000" w14:paraId="00000296">
      <w:pPr>
        <w:spacing w:after="0" w:lineRule="auto"/>
        <w:rPr/>
      </w:pPr>
      <w:r w:rsidDel="00000000" w:rsidR="00000000" w:rsidRPr="00000000">
        <w:br w:type="page"/>
      </w:r>
      <w:r w:rsidDel="00000000" w:rsidR="00000000" w:rsidRPr="00000000">
        <w:rPr>
          <w:rtl w:val="0"/>
        </w:rPr>
      </w:r>
    </w:p>
    <w:p w:rsidR="00000000" w:rsidDel="00000000" w:rsidP="00000000" w:rsidRDefault="00000000" w:rsidRPr="00000000" w14:paraId="00000297">
      <w:pPr>
        <w:spacing w:after="80" w:before="28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Supplementary Note S1: Tunneling Model Implementation in SCAPS-1D</w:t>
      </w:r>
      <w:r w:rsidDel="00000000" w:rsidR="00000000" w:rsidRPr="00000000">
        <w:rPr>
          <w:rtl w:val="0"/>
        </w:rPr>
      </w:r>
    </w:p>
    <w:p w:rsidR="00000000" w:rsidDel="00000000" w:rsidP="00000000" w:rsidRDefault="00000000" w:rsidRPr="00000000" w14:paraId="00000298">
      <w:pPr>
        <w:spacing w:after="0" w:line="480" w:lineRule="auto"/>
        <w:jc w:val="both"/>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SCAPS-1D v3.3.10 implements a WKB (Wentzel–Kramers–Brillouin) parabolic barrier tunneling model at heterojunction interfaces. The tunneling probability T for carrier transport across a triangular or parabolic barrier of height ΔEv and width d is approximated as:</w:t>
      </w:r>
      <w:r w:rsidDel="00000000" w:rsidR="00000000" w:rsidRPr="00000000">
        <w:rPr>
          <w:rtl w:val="0"/>
        </w:rPr>
      </w:r>
    </w:p>
    <w:p w:rsidR="00000000" w:rsidDel="00000000" w:rsidP="00000000" w:rsidRDefault="00000000" w:rsidRPr="00000000" w14:paraId="00000299">
      <w:pPr>
        <w:spacing w:after="0" w:line="240" w:lineRule="auto"/>
        <w:jc w:val="both"/>
        <w:rPr/>
      </w:pPr>
      <w:r w:rsidDel="00000000" w:rsidR="00000000" w:rsidRPr="00000000">
        <w:rPr>
          <w:rtl w:val="0"/>
        </w:rPr>
      </w:r>
    </w:p>
    <w:p w:rsidR="00000000" w:rsidDel="00000000" w:rsidP="00000000" w:rsidRDefault="00000000" w:rsidRPr="00000000" w14:paraId="0000029A">
      <w:pPr>
        <w:spacing w:after="0" w:line="360" w:lineRule="auto"/>
        <w:jc w:val="center"/>
        <w:rPr/>
      </w:pPr>
      <w:r w:rsidDel="00000000" w:rsidR="00000000" w:rsidRPr="00000000">
        <w:rPr>
          <w:rFonts w:ascii="Gungsuh" w:cs="Gungsuh" w:eastAsia="Gungsuh" w:hAnsi="Gungsuh"/>
          <w:b w:val="0"/>
          <w:bCs w:val="0"/>
          <w:i w:val="1"/>
          <w:iCs w:val="1"/>
          <w:color w:val="000000"/>
          <w:sz w:val="24"/>
          <w:szCs w:val="24"/>
          <w:rtl w:val="0"/>
        </w:rPr>
        <w:t xml:space="preserve">T ≈ exp(−2κd)</w:t>
      </w:r>
      <w:r w:rsidDel="00000000" w:rsidR="00000000" w:rsidRPr="00000000">
        <w:rPr>
          <w:rtl w:val="0"/>
        </w:rPr>
      </w:r>
    </w:p>
    <w:p w:rsidR="00000000" w:rsidDel="00000000" w:rsidP="00000000" w:rsidRDefault="00000000" w:rsidRPr="00000000" w14:paraId="0000029B">
      <w:pPr>
        <w:spacing w:after="0" w:line="360" w:lineRule="auto"/>
        <w:jc w:val="center"/>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where  κ = (2mt ΔEv)^(1/2) / ℏ</w:t>
      </w:r>
      <w:r w:rsidDel="00000000" w:rsidR="00000000" w:rsidRPr="00000000">
        <w:rPr>
          <w:rtl w:val="0"/>
        </w:rPr>
      </w:r>
    </w:p>
    <w:p w:rsidR="00000000" w:rsidDel="00000000" w:rsidP="00000000" w:rsidRDefault="00000000" w:rsidRPr="00000000" w14:paraId="0000029C">
      <w:pPr>
        <w:spacing w:after="0" w:line="240" w:lineRule="auto"/>
        <w:jc w:val="both"/>
        <w:rPr/>
      </w:pPr>
      <w:r w:rsidDel="00000000" w:rsidR="00000000" w:rsidRPr="00000000">
        <w:rPr>
          <w:rtl w:val="0"/>
        </w:rPr>
      </w:r>
    </w:p>
    <w:p w:rsidR="00000000" w:rsidDel="00000000" w:rsidP="00000000" w:rsidRDefault="00000000" w:rsidRPr="00000000" w14:paraId="0000029D">
      <w:pPr>
        <w:spacing w:after="0" w:line="480" w:lineRule="auto"/>
        <w:jc w:val="both"/>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In this study, tunneling effective mass mt = 0.1 m₀ is used for hole tunneling at the CZTS/In₂S₃ valence band discontinuity. This value lies within the range 0.05–0.20 m₀ reported for kesterite-related materials; sensitivity to mt is tested at the bounds (Supplementary Table S2). The model does not account for field-dependent effective mass or many-body effects. For these reasons, tunneling rates extracted from SCAPS are not reported as quantitative predictions. The tunneling model is used exclusively to distinguish the thermionic transport regime (Voc linear with T, negative temperature coefficient of efficiency) from the tunneling regime (anomalous Voc saturation below 300 K, positive temperature coefficient of efficiency at low T). This distinction is the basis of the mechanistic validation in main-text Section 3.3 and Figure 5.</w:t>
      </w:r>
      <w:r w:rsidDel="00000000" w:rsidR="00000000" w:rsidRPr="00000000">
        <w:rPr>
          <w:rtl w:val="0"/>
        </w:rPr>
      </w:r>
    </w:p>
    <w:p w:rsidR="00000000" w:rsidDel="00000000" w:rsidP="00000000" w:rsidRDefault="00000000" w:rsidRPr="00000000" w14:paraId="0000029E">
      <w:pPr>
        <w:spacing w:after="0" w:line="240" w:lineRule="auto"/>
        <w:jc w:val="both"/>
        <w:rPr/>
      </w:pPr>
      <w:r w:rsidDel="00000000" w:rsidR="00000000" w:rsidRPr="00000000">
        <w:rPr>
          <w:rtl w:val="0"/>
        </w:rPr>
      </w:r>
    </w:p>
    <w:p w:rsidR="00000000" w:rsidDel="00000000" w:rsidP="00000000" w:rsidRDefault="00000000" w:rsidRPr="00000000" w14:paraId="0000029F">
      <w:pPr>
        <w:spacing w:after="0" w:line="480" w:lineRule="auto"/>
        <w:jc w:val="both"/>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Experimental validation of the tunneling signature requires temperature-dependent Voc measurements (250–400 K) on ALD-deposited In₂S₃ devices. The predicted crossover temperature (270–300 K) is in a range accessible with a standard closed-cycle cryostat and is a standard measurement for thin-film cells. Confirmation of η(250 K) &gt; η(300 K) would constitute direct experimental evidence for the recombination junction tunneling mechanism.</w:t>
      </w:r>
      <w:r w:rsidDel="00000000" w:rsidR="00000000" w:rsidRPr="00000000">
        <w:rPr>
          <w:rtl w:val="0"/>
        </w:rPr>
      </w:r>
    </w:p>
    <w:p w:rsidR="00000000" w:rsidDel="00000000" w:rsidP="00000000" w:rsidRDefault="00000000" w:rsidRPr="00000000" w14:paraId="000002A0">
      <w:pPr>
        <w:spacing w:after="0" w:line="240" w:lineRule="auto"/>
        <w:jc w:val="both"/>
        <w:rPr/>
      </w:pPr>
      <w:r w:rsidDel="00000000" w:rsidR="00000000" w:rsidRPr="00000000">
        <w:rPr>
          <w:rtl w:val="0"/>
        </w:rPr>
      </w:r>
    </w:p>
    <w:p w:rsidR="00000000" w:rsidDel="00000000" w:rsidP="00000000" w:rsidRDefault="00000000" w:rsidRPr="00000000" w14:paraId="000002A1">
      <w:pPr>
        <w:spacing w:after="0" w:line="240" w:lineRule="auto"/>
        <w:jc w:val="both"/>
        <w:rPr/>
      </w:pPr>
      <w:r w:rsidDel="00000000" w:rsidR="00000000" w:rsidRPr="00000000">
        <w:rPr>
          <w:rtl w:val="0"/>
        </w:rPr>
      </w:r>
    </w:p>
    <w:p w:rsidR="00000000" w:rsidDel="00000000" w:rsidP="00000000" w:rsidRDefault="00000000" w:rsidRPr="00000000" w14:paraId="000002A2">
      <w:pPr>
        <w:spacing w:after="80" w:before="280" w:line="480" w:lineRule="auto"/>
        <w:jc w:val="both"/>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Supplementary Note S2: Physical Basis for ΔEv = 0.37 eV</w:t>
      </w:r>
      <w:r w:rsidDel="00000000" w:rsidR="00000000" w:rsidRPr="00000000">
        <w:rPr>
          <w:rtl w:val="0"/>
        </w:rPr>
      </w:r>
    </w:p>
    <w:p w:rsidR="00000000" w:rsidDel="00000000" w:rsidP="00000000" w:rsidRDefault="00000000" w:rsidRPr="00000000" w14:paraId="000002A3">
      <w:pPr>
        <w:spacing w:after="0" w:line="480" w:lineRule="auto"/>
        <w:jc w:val="both"/>
        <w:rPr/>
      </w:pPr>
      <w:r w:rsidDel="00000000" w:rsidR="00000000" w:rsidRPr="00000000">
        <w:rPr>
          <w:rFonts w:ascii="Caudex" w:cs="Caudex" w:eastAsia="Caudex" w:hAnsi="Caudex"/>
          <w:b w:val="0"/>
          <w:bCs w:val="0"/>
          <w:i w:val="0"/>
          <w:iCs w:val="0"/>
          <w:color w:val="000000"/>
          <w:sz w:val="24"/>
          <w:szCs w:val="24"/>
          <w:rtl w:val="0"/>
        </w:rPr>
        <w:t xml:space="preserve">The valence band offset at the CZTS/CZTSSe interface is the most important single parameter in this study. Its physical basis is summarized here. The CZTSSe compound spans a continuous composition range from x = 0 (pure Cu₂ZnSnSe₄, CZTSe, Eg ≈ 1.13 eV) to x = 1 (pure Cu₂ZnSnS₄, CZTS, Eg ≈ 1.50 eV), where x = S/(S+Se). As x increases from 0 to 1:</w:t>
      </w:r>
      <w:r w:rsidDel="00000000" w:rsidR="00000000" w:rsidRPr="00000000">
        <w:rPr>
          <w:rtl w:val="0"/>
        </w:rPr>
      </w:r>
    </w:p>
    <w:p w:rsidR="00000000" w:rsidDel="00000000" w:rsidP="00000000" w:rsidRDefault="00000000" w:rsidRPr="00000000" w14:paraId="000002A4">
      <w:pPr>
        <w:spacing w:after="0" w:line="240" w:lineRule="auto"/>
        <w:jc w:val="both"/>
        <w:rPr/>
      </w:pPr>
      <w:r w:rsidDel="00000000" w:rsidR="00000000" w:rsidRPr="00000000">
        <w:rPr>
          <w:rtl w:val="0"/>
        </w:rPr>
      </w:r>
    </w:p>
    <w:p w:rsidR="00000000" w:rsidDel="00000000" w:rsidP="00000000" w:rsidRDefault="00000000" w:rsidRPr="00000000" w14:paraId="000002A5">
      <w:pPr>
        <w:spacing w:after="0" w:line="480" w:lineRule="auto"/>
        <w:jc w:val="both"/>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(i) The conduction band minimum (CBM) rises by approximately 0.50 eV (primarily driven by the change in S 3p vs. Se 4p orbital energies).</w:t>
      </w:r>
      <w:r w:rsidDel="00000000" w:rsidR="00000000" w:rsidRPr="00000000">
        <w:rPr>
          <w:rtl w:val="0"/>
        </w:rPr>
      </w:r>
    </w:p>
    <w:p w:rsidR="00000000" w:rsidDel="00000000" w:rsidP="00000000" w:rsidRDefault="00000000" w:rsidRPr="00000000" w14:paraId="000002A6">
      <w:pPr>
        <w:spacing w:after="0" w:line="240" w:lineRule="auto"/>
        <w:jc w:val="both"/>
        <w:rPr/>
      </w:pPr>
      <w:r w:rsidDel="00000000" w:rsidR="00000000" w:rsidRPr="00000000">
        <w:rPr>
          <w:rtl w:val="0"/>
        </w:rPr>
      </w:r>
    </w:p>
    <w:p w:rsidR="00000000" w:rsidDel="00000000" w:rsidP="00000000" w:rsidRDefault="00000000" w:rsidRPr="00000000" w14:paraId="000002A7">
      <w:pPr>
        <w:spacing w:after="0" w:line="480" w:lineRule="auto"/>
        <w:jc w:val="both"/>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(ii) The valence band maximum (VBM) rises by approximately 0.13–0.16 eV (less steep, because the VBM is dominated by Cu 3d — S/Se 3p/4p hybridization, which is less composition-sensitive than the CBM).</w:t>
      </w:r>
      <w:r w:rsidDel="00000000" w:rsidR="00000000" w:rsidRPr="00000000">
        <w:rPr>
          <w:rtl w:val="0"/>
        </w:rPr>
      </w:r>
    </w:p>
    <w:p w:rsidR="00000000" w:rsidDel="00000000" w:rsidP="00000000" w:rsidRDefault="00000000" w:rsidRPr="00000000" w14:paraId="000002A8">
      <w:pPr>
        <w:spacing w:after="0" w:line="240" w:lineRule="auto"/>
        <w:jc w:val="both"/>
        <w:rPr/>
      </w:pPr>
      <w:r w:rsidDel="00000000" w:rsidR="00000000" w:rsidRPr="00000000">
        <w:rPr>
          <w:rtl w:val="0"/>
        </w:rPr>
      </w:r>
    </w:p>
    <w:p w:rsidR="00000000" w:rsidDel="00000000" w:rsidP="00000000" w:rsidRDefault="00000000" w:rsidRPr="00000000" w14:paraId="000002A9">
      <w:pPr>
        <w:spacing w:after="0" w:line="480" w:lineRule="auto"/>
        <w:jc w:val="both"/>
        <w:rPr/>
      </w:pPr>
      <w:r w:rsidDel="00000000" w:rsidR="00000000" w:rsidRPr="00000000">
        <w:rPr>
          <w:rFonts w:ascii="Cardo" w:cs="Cardo" w:eastAsia="Cardo" w:hAnsi="Cardo"/>
          <w:b w:val="0"/>
          <w:bCs w:val="0"/>
          <w:i w:val="0"/>
          <w:iCs w:val="0"/>
          <w:color w:val="000000"/>
          <w:sz w:val="24"/>
          <w:szCs w:val="24"/>
          <w:rtl w:val="0"/>
        </w:rPr>
        <w:t xml:space="preserve">(iii) The net valence band offset between pure sulfide (x=1, CZTS top absorber) and pure selenide (x=0, CZTSSe bottom absorber) is therefore ΔEv = VBM(CZTSe) − VBM(CZTS) ≈ 0.35–0.40 eV, with the selenide VBM higher. This is the hole-blocking offset: holes generated in CZTSSe (higher VBM) must descend an energy step ΔEv to enter the CZTS valence band and reach the back contact.</w:t>
      </w:r>
      <w:r w:rsidDel="00000000" w:rsidR="00000000" w:rsidRPr="00000000">
        <w:rPr>
          <w:rtl w:val="0"/>
        </w:rPr>
      </w:r>
    </w:p>
    <w:p w:rsidR="00000000" w:rsidDel="00000000" w:rsidP="00000000" w:rsidRDefault="00000000" w:rsidRPr="00000000" w14:paraId="000002AA">
      <w:pPr>
        <w:spacing w:after="0" w:line="240" w:lineRule="auto"/>
        <w:jc w:val="both"/>
        <w:rPr/>
      </w:pPr>
      <w:r w:rsidDel="00000000" w:rsidR="00000000" w:rsidRPr="00000000">
        <w:rPr>
          <w:rtl w:val="0"/>
        </w:rPr>
      </w:r>
    </w:p>
    <w:p w:rsidR="00000000" w:rsidDel="00000000" w:rsidP="00000000" w:rsidRDefault="00000000" w:rsidRPr="00000000" w14:paraId="000002AB">
      <w:pPr>
        <w:spacing w:after="0" w:line="480" w:lineRule="auto"/>
        <w:jc w:val="both"/>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Experimental support comes from UPS/IPES measurements on CZTSSe composition series [15] showing the VBM shifting by 0.35–0.40 eV across the composition range. DFT calculations for the kesterite endpoint pair predict ΔEv = 0.34–0.42 eV using hybrid functionals [16]. The simulation uses the mid-range value of 0.37 eV; sensitivity to ±0.05 eV is explicitly propagated in Supplementary Table S2.</w:t>
      </w:r>
      <w:r w:rsidDel="00000000" w:rsidR="00000000" w:rsidRPr="00000000">
        <w:rPr>
          <w:rtl w:val="0"/>
        </w:rPr>
      </w:r>
    </w:p>
    <w:p w:rsidR="00000000" w:rsidDel="00000000" w:rsidP="00000000" w:rsidRDefault="00000000" w:rsidRPr="00000000" w14:paraId="000002AC">
      <w:pPr>
        <w:spacing w:after="0" w:line="240" w:lineRule="auto"/>
        <w:jc w:val="both"/>
        <w:rPr/>
      </w:pPr>
      <w:r w:rsidDel="00000000" w:rsidR="00000000" w:rsidRPr="00000000">
        <w:rPr>
          <w:rtl w:val="0"/>
        </w:rPr>
      </w:r>
    </w:p>
    <w:p w:rsidR="00000000" w:rsidDel="00000000" w:rsidP="00000000" w:rsidRDefault="00000000" w:rsidRPr="00000000" w14:paraId="000002AD">
      <w:pPr>
        <w:spacing w:after="0" w:line="240" w:lineRule="auto"/>
        <w:jc w:val="both"/>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Gungsuh"/>
  <w:font w:name="Cardo">
    <w:embedRegular w:fontKey="{00000000-0000-0000-0000-000000000000}" r:id="rId1" w:subsetted="0"/>
    <w:embedBold w:fontKey="{00000000-0000-0000-0000-000000000000}" r:id="rId2" w:subsetted="0"/>
    <w:embedItalic w:fontKey="{00000000-0000-0000-0000-000000000000}" r:id="rId3" w:subsetted="0"/>
  </w:font>
  <w:font w:name="Caudex">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Caudex-regular.ttf"/><Relationship Id="rId5" Type="http://schemas.openxmlformats.org/officeDocument/2006/relationships/font" Target="fonts/Caudex-bold.ttf"/><Relationship Id="rId6" Type="http://schemas.openxmlformats.org/officeDocument/2006/relationships/font" Target="fonts/Caudex-italic.ttf"/><Relationship Id="rId7" Type="http://schemas.openxmlformats.org/officeDocument/2006/relationships/font" Target="fonts/Caudex-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