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5A58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</w:pPr>
      <w:r w:rsidRPr="00FC7F45">
        <w:rPr>
          <w:noProof/>
        </w:rPr>
        <w:drawing>
          <wp:inline distT="0" distB="0" distL="0" distR="0" wp14:anchorId="69225818" wp14:editId="659A8D79">
            <wp:extent cx="5486400" cy="6984147"/>
            <wp:effectExtent l="0" t="0" r="0" b="0"/>
            <wp:docPr id="134127822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figures/main/tbl-feature-summar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84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AD549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Table 1. </w:t>
      </w:r>
      <w:r>
        <w:rPr>
          <w:sz w:val="20"/>
          <w:szCs w:val="20"/>
        </w:rPr>
        <w:t>The 37 behavioural features used as clustering inputs, organised into the four domains of frequency, intensity, riskiness and variability.</w:t>
      </w:r>
    </w:p>
    <w:p w14:paraId="4DE519FA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  <w:rPr>
          <w:sz w:val="20"/>
          <w:szCs w:val="20"/>
        </w:rPr>
      </w:pPr>
    </w:p>
    <w:p w14:paraId="482FD3D5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</w:pPr>
      <w:r w:rsidRPr="00FC7F45">
        <w:rPr>
          <w:noProof/>
        </w:rPr>
        <w:lastRenderedPageBreak/>
        <w:drawing>
          <wp:inline distT="0" distB="0" distL="0" distR="0" wp14:anchorId="0AB37D75" wp14:editId="22E0A189">
            <wp:extent cx="5486400" cy="1693627"/>
            <wp:effectExtent l="0" t="0" r="0" b="0"/>
            <wp:docPr id="7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" descr="figures/main/tbl-cluster-summar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93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E7821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</w:pPr>
      <w:r>
        <w:rPr>
          <w:b/>
          <w:bCs/>
          <w:sz w:val="20"/>
          <w:szCs w:val="20"/>
        </w:rPr>
        <w:t xml:space="preserve">Table 2. </w:t>
      </w:r>
      <w:r>
        <w:rPr>
          <w:sz w:val="20"/>
          <w:szCs w:val="20"/>
        </w:rPr>
        <w:t>Type names, population shares and core descriptive statistics for the 12-type classification (eleven active types plus Dormant).</w:t>
      </w:r>
    </w:p>
    <w:p w14:paraId="44C41268" w14:textId="7BB6FFAD" w:rsidR="00495C79" w:rsidRDefault="00495C79">
      <w:pPr>
        <w:spacing w:after="160" w:line="278" w:lineRule="auto"/>
      </w:pPr>
      <w:r>
        <w:br w:type="page"/>
      </w:r>
    </w:p>
    <w:p w14:paraId="3B385767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</w:pPr>
      <w:r w:rsidRPr="00FC7F45">
        <w:rPr>
          <w:noProof/>
        </w:rPr>
        <w:lastRenderedPageBreak/>
        <w:drawing>
          <wp:inline distT="0" distB="0" distL="0" distR="0" wp14:anchorId="28262417" wp14:editId="5A434811">
            <wp:extent cx="5486400" cy="2456815"/>
            <wp:effectExtent l="0" t="0" r="0" b="0"/>
            <wp:docPr id="114455765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" descr="figures/main/tbl-activit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DE77A" w14:textId="77777777" w:rsidR="00495C79" w:rsidRDefault="00495C79" w:rsidP="00495C79">
      <w:pPr>
        <w:pBdr>
          <w:top w:val="single" w:sz="4" w:space="6" w:color="BBBBBB"/>
          <w:bottom w:val="single" w:sz="4" w:space="6" w:color="BBBBBB"/>
        </w:pBdr>
        <w:spacing w:before="200" w:after="200"/>
        <w:ind w:left="360" w:right="360"/>
      </w:pPr>
      <w:r>
        <w:rPr>
          <w:b/>
          <w:bCs/>
          <w:sz w:val="20"/>
          <w:szCs w:val="20"/>
        </w:rPr>
        <w:t xml:space="preserve">Table 3. </w:t>
      </w:r>
      <w:r>
        <w:rPr>
          <w:sz w:val="20"/>
          <w:szCs w:val="20"/>
        </w:rPr>
        <w:t>Proportions of committed participants for each activity within each type, with row minima shown in green and row maxima in pink.</w:t>
      </w:r>
    </w:p>
    <w:p w14:paraId="367B8DA7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79"/>
    <w:rsid w:val="003C2EF4"/>
    <w:rsid w:val="00446799"/>
    <w:rsid w:val="00471820"/>
    <w:rsid w:val="00495C79"/>
    <w:rsid w:val="006A7E07"/>
    <w:rsid w:val="00701021"/>
    <w:rsid w:val="00866E40"/>
    <w:rsid w:val="00B41091"/>
    <w:rsid w:val="00B74216"/>
    <w:rsid w:val="00CF0FCC"/>
    <w:rsid w:val="00D62F8C"/>
    <w:rsid w:val="00DE06E6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FC2F"/>
  <w15:chartTrackingRefBased/>
  <w15:docId w15:val="{536B4A5C-9FAB-43EF-A635-05BBA0BF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79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C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C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C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C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C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C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C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C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C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C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C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5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C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5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370</Characters>
  <Application>Microsoft Office Word</Application>
  <DocSecurity>0</DocSecurity>
  <Lines>3</Lines>
  <Paragraphs>1</Paragraphs>
  <ScaleCrop>false</ScaleCrop>
  <Company>Springer Nature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2026-07-06T06:21:00Z</dcterms:created>
  <dcterms:modified xsi:type="dcterms:W3CDTF">2026-07-06T06:22:00Z</dcterms:modified>
</cp:coreProperties>
</file>