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1E0D3" w14:textId="6B48E0C8" w:rsidR="00F748E6" w:rsidRPr="00F748E6" w:rsidRDefault="004B48B5" w:rsidP="00810807">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 Material</w:t>
      </w:r>
      <w:r w:rsidR="00F748E6" w:rsidRPr="00F748E6">
        <w:rPr>
          <w:rFonts w:ascii="Times New Roman" w:hAnsi="Times New Roman" w:cs="Times New Roman"/>
          <w:b/>
          <w:bCs/>
          <w:sz w:val="24"/>
          <w:szCs w:val="24"/>
        </w:rPr>
        <w:t>. Technical Transparency and Reproducibility Report</w:t>
      </w:r>
    </w:p>
    <w:p w14:paraId="28818B1B" w14:textId="77777777" w:rsidR="00810807" w:rsidRPr="00810807" w:rsidRDefault="00810807" w:rsidP="00810807">
      <w:pPr>
        <w:spacing w:line="480" w:lineRule="auto"/>
        <w:rPr>
          <w:rFonts w:ascii="Times New Roman" w:hAnsi="Times New Roman" w:cs="Times New Roman"/>
          <w:b/>
          <w:bCs/>
          <w:sz w:val="24"/>
          <w:szCs w:val="24"/>
        </w:rPr>
      </w:pPr>
      <w:r w:rsidRPr="00810807">
        <w:rPr>
          <w:rFonts w:ascii="Times New Roman" w:hAnsi="Times New Roman" w:cs="Times New Roman"/>
          <w:b/>
          <w:bCs/>
          <w:sz w:val="24"/>
          <w:szCs w:val="24"/>
        </w:rPr>
        <w:t>A.1. Model Specifications and Access Details</w:t>
      </w:r>
    </w:p>
    <w:p w14:paraId="1206FB99"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b/>
          <w:bCs/>
          <w:sz w:val="24"/>
          <w:szCs w:val="24"/>
        </w:rPr>
        <w:t>ChatGPT-4o</w:t>
      </w:r>
      <w:r w:rsidRPr="004B48B5">
        <w:rPr>
          <w:rFonts w:ascii="Times New Roman" w:hAnsi="Times New Roman" w:cs="Times New Roman"/>
          <w:b/>
          <w:bCs/>
          <w:sz w:val="24"/>
          <w:szCs w:val="24"/>
        </w:rPr>
        <w:br/>
      </w:r>
      <w:r w:rsidRPr="004B48B5">
        <w:rPr>
          <w:rFonts w:ascii="Times New Roman" w:hAnsi="Times New Roman" w:cs="Times New Roman"/>
          <w:sz w:val="24"/>
          <w:szCs w:val="24"/>
        </w:rPr>
        <w:t>Provider: OpenAI</w:t>
      </w:r>
      <w:r w:rsidRPr="004B48B5">
        <w:rPr>
          <w:rFonts w:ascii="Times New Roman" w:hAnsi="Times New Roman" w:cs="Times New Roman"/>
          <w:sz w:val="24"/>
          <w:szCs w:val="24"/>
        </w:rPr>
        <w:br/>
        <w:t>Version: ChatGPT-4o; exact build version not publicly disclosed</w:t>
      </w:r>
      <w:r w:rsidRPr="004B48B5">
        <w:rPr>
          <w:rFonts w:ascii="Times New Roman" w:hAnsi="Times New Roman" w:cs="Times New Roman"/>
          <w:sz w:val="24"/>
          <w:szCs w:val="24"/>
        </w:rPr>
        <w:br/>
        <w:t>Access date: 20–31 December 2025</w:t>
      </w:r>
      <w:r w:rsidRPr="004B48B5">
        <w:rPr>
          <w:rFonts w:ascii="Times New Roman" w:hAnsi="Times New Roman" w:cs="Times New Roman"/>
          <w:sz w:val="24"/>
          <w:szCs w:val="24"/>
        </w:rPr>
        <w:br/>
        <w:t>Platform: Official public web-based interface</w:t>
      </w:r>
      <w:r w:rsidRPr="004B48B5">
        <w:rPr>
          <w:rFonts w:ascii="Times New Roman" w:hAnsi="Times New Roman" w:cs="Times New Roman"/>
          <w:sz w:val="24"/>
          <w:szCs w:val="24"/>
        </w:rPr>
        <w:br/>
        <w:t>Configuration: Default platform settings; no user access to temperature, sampling parameters, or backend model configuration</w:t>
      </w:r>
    </w:p>
    <w:p w14:paraId="30EECAD0"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b/>
          <w:bCs/>
          <w:sz w:val="24"/>
          <w:szCs w:val="24"/>
        </w:rPr>
        <w:t>ChatGPT-5</w:t>
      </w:r>
      <w:r w:rsidRPr="004B48B5">
        <w:rPr>
          <w:rFonts w:ascii="Times New Roman" w:hAnsi="Times New Roman" w:cs="Times New Roman"/>
          <w:sz w:val="24"/>
          <w:szCs w:val="24"/>
        </w:rPr>
        <w:br/>
        <w:t>Provider: OpenAI</w:t>
      </w:r>
      <w:r w:rsidRPr="004B48B5">
        <w:rPr>
          <w:rFonts w:ascii="Times New Roman" w:hAnsi="Times New Roman" w:cs="Times New Roman"/>
          <w:sz w:val="24"/>
          <w:szCs w:val="24"/>
        </w:rPr>
        <w:br/>
        <w:t>Version: ChatGPT-5; exact build version not publicly disclosed</w:t>
      </w:r>
      <w:r w:rsidRPr="004B48B5">
        <w:rPr>
          <w:rFonts w:ascii="Times New Roman" w:hAnsi="Times New Roman" w:cs="Times New Roman"/>
          <w:sz w:val="24"/>
          <w:szCs w:val="24"/>
        </w:rPr>
        <w:br/>
        <w:t>Access date: 20–31 December 2025</w:t>
      </w:r>
      <w:r w:rsidRPr="004B48B5">
        <w:rPr>
          <w:rFonts w:ascii="Times New Roman" w:hAnsi="Times New Roman" w:cs="Times New Roman"/>
          <w:sz w:val="24"/>
          <w:szCs w:val="24"/>
        </w:rPr>
        <w:br/>
        <w:t>Platform: Official public web-based interface</w:t>
      </w:r>
      <w:r w:rsidRPr="004B48B5">
        <w:rPr>
          <w:rFonts w:ascii="Times New Roman" w:hAnsi="Times New Roman" w:cs="Times New Roman"/>
          <w:sz w:val="24"/>
          <w:szCs w:val="24"/>
        </w:rPr>
        <w:br/>
        <w:t>Configuration: Default platform settings; no user access to temperature, sampling parameters, or backend model configuration</w:t>
      </w:r>
    </w:p>
    <w:p w14:paraId="53E76A2C"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b/>
          <w:bCs/>
          <w:sz w:val="24"/>
          <w:szCs w:val="24"/>
        </w:rPr>
        <w:lastRenderedPageBreak/>
        <w:t>Gemini 3 Flash</w:t>
      </w:r>
      <w:r w:rsidRPr="004B48B5">
        <w:rPr>
          <w:rFonts w:ascii="Times New Roman" w:hAnsi="Times New Roman" w:cs="Times New Roman"/>
          <w:sz w:val="24"/>
          <w:szCs w:val="24"/>
        </w:rPr>
        <w:br/>
        <w:t>Provider: Google DeepMind</w:t>
      </w:r>
      <w:r w:rsidRPr="004B48B5">
        <w:rPr>
          <w:rFonts w:ascii="Times New Roman" w:hAnsi="Times New Roman" w:cs="Times New Roman"/>
          <w:sz w:val="24"/>
          <w:szCs w:val="24"/>
        </w:rPr>
        <w:br/>
        <w:t>Version: Gemini 3 Flash; exact build version not publicly disclosed</w:t>
      </w:r>
      <w:r w:rsidRPr="004B48B5">
        <w:rPr>
          <w:rFonts w:ascii="Times New Roman" w:hAnsi="Times New Roman" w:cs="Times New Roman"/>
          <w:sz w:val="24"/>
          <w:szCs w:val="24"/>
        </w:rPr>
        <w:br/>
        <w:t>Access date: 20–31 December 2025</w:t>
      </w:r>
      <w:r w:rsidRPr="004B48B5">
        <w:rPr>
          <w:rFonts w:ascii="Times New Roman" w:hAnsi="Times New Roman" w:cs="Times New Roman"/>
          <w:sz w:val="24"/>
          <w:szCs w:val="24"/>
        </w:rPr>
        <w:br/>
        <w:t>Platform: Official public web-based interface</w:t>
      </w:r>
      <w:r w:rsidRPr="004B48B5">
        <w:rPr>
          <w:rFonts w:ascii="Times New Roman" w:hAnsi="Times New Roman" w:cs="Times New Roman"/>
          <w:sz w:val="24"/>
          <w:szCs w:val="24"/>
        </w:rPr>
        <w:br/>
        <w:t>Configuration: Default platform settings; no user access to temperature, sampling parameters, or backend model configuration</w:t>
      </w:r>
    </w:p>
    <w:p w14:paraId="6FE1074D"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b/>
          <w:bCs/>
          <w:sz w:val="24"/>
          <w:szCs w:val="24"/>
        </w:rPr>
        <w:t>DeepSeek-R1</w:t>
      </w:r>
      <w:r w:rsidRPr="004B48B5">
        <w:rPr>
          <w:rFonts w:ascii="Times New Roman" w:hAnsi="Times New Roman" w:cs="Times New Roman"/>
          <w:sz w:val="24"/>
          <w:szCs w:val="24"/>
        </w:rPr>
        <w:br/>
        <w:t>Provider: DeepSeek AI</w:t>
      </w:r>
      <w:r w:rsidRPr="004B48B5">
        <w:rPr>
          <w:rFonts w:ascii="Times New Roman" w:hAnsi="Times New Roman" w:cs="Times New Roman"/>
          <w:sz w:val="24"/>
          <w:szCs w:val="24"/>
        </w:rPr>
        <w:br/>
        <w:t>Version: DeepSeek-R1; exact build version not publicly disclosed</w:t>
      </w:r>
      <w:r w:rsidRPr="004B48B5">
        <w:rPr>
          <w:rFonts w:ascii="Times New Roman" w:hAnsi="Times New Roman" w:cs="Times New Roman"/>
          <w:sz w:val="24"/>
          <w:szCs w:val="24"/>
        </w:rPr>
        <w:br/>
        <w:t>Access date: 20–31 December 2025</w:t>
      </w:r>
      <w:r w:rsidRPr="004B48B5">
        <w:rPr>
          <w:rFonts w:ascii="Times New Roman" w:hAnsi="Times New Roman" w:cs="Times New Roman"/>
          <w:sz w:val="24"/>
          <w:szCs w:val="24"/>
        </w:rPr>
        <w:br/>
        <w:t>Platform: Official public web-based interface</w:t>
      </w:r>
      <w:r w:rsidRPr="004B48B5">
        <w:rPr>
          <w:rFonts w:ascii="Times New Roman" w:hAnsi="Times New Roman" w:cs="Times New Roman"/>
          <w:sz w:val="24"/>
          <w:szCs w:val="24"/>
        </w:rPr>
        <w:br/>
        <w:t>Configuration: Default platform settings; no user access to temperature, sampling parameters, or backend model configuration</w:t>
      </w:r>
    </w:p>
    <w:p w14:paraId="26E215B4" w14:textId="77777777" w:rsidR="004B48B5" w:rsidRPr="004B48B5" w:rsidRDefault="004B48B5" w:rsidP="004B48B5">
      <w:pPr>
        <w:spacing w:line="480" w:lineRule="auto"/>
        <w:rPr>
          <w:rFonts w:ascii="Times New Roman" w:hAnsi="Times New Roman" w:cs="Times New Roman"/>
          <w:b/>
          <w:bCs/>
          <w:sz w:val="24"/>
          <w:szCs w:val="24"/>
        </w:rPr>
      </w:pPr>
      <w:r w:rsidRPr="004B48B5">
        <w:rPr>
          <w:rFonts w:ascii="Times New Roman" w:hAnsi="Times New Roman" w:cs="Times New Roman"/>
          <w:b/>
          <w:bCs/>
          <w:sz w:val="24"/>
          <w:szCs w:val="24"/>
        </w:rPr>
        <w:t>A.2. Prompt Design and Validation</w:t>
      </w:r>
    </w:p>
    <w:p w14:paraId="4A675044"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All model queries used a single standardized prompt designed to simulate clinical prognostic reasoning and elicit quantitative forecasts of visual and anatomical outcomes. The prompt was:</w:t>
      </w:r>
    </w:p>
    <w:p w14:paraId="787F0B2E"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lastRenderedPageBreak/>
        <w:t>“Given the following clinical data, forecast the 1-year postoperative best-corrected visual acuity (</w:t>
      </w:r>
      <w:proofErr w:type="spellStart"/>
      <w:r w:rsidRPr="004B48B5">
        <w:rPr>
          <w:rFonts w:ascii="Times New Roman" w:hAnsi="Times New Roman" w:cs="Times New Roman"/>
          <w:sz w:val="24"/>
          <w:szCs w:val="24"/>
        </w:rPr>
        <w:t>logMAR</w:t>
      </w:r>
      <w:proofErr w:type="spellEnd"/>
      <w:r w:rsidRPr="004B48B5">
        <w:rPr>
          <w:rFonts w:ascii="Times New Roman" w:hAnsi="Times New Roman" w:cs="Times New Roman"/>
          <w:sz w:val="24"/>
          <w:szCs w:val="24"/>
        </w:rPr>
        <w:t>) and the probability (in %) of recurrent rhegmatogenous retinal detachment. Provide numeric responses only.”</w:t>
      </w:r>
    </w:p>
    <w:p w14:paraId="3CDCD2AE"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The prompt was reviewed by retina specialists before data collection to reduce ambiguity and ensure alignment with the study objective. No case-specific prompt refinement, iterative feedback, or re-querying was performed after model responses were obtained.</w:t>
      </w:r>
    </w:p>
    <w:p w14:paraId="7E8B377F" w14:textId="77777777" w:rsidR="004B48B5" w:rsidRPr="004B48B5" w:rsidRDefault="004B48B5" w:rsidP="004B48B5">
      <w:pPr>
        <w:spacing w:line="480" w:lineRule="auto"/>
        <w:rPr>
          <w:rFonts w:ascii="Times New Roman" w:hAnsi="Times New Roman" w:cs="Times New Roman"/>
          <w:b/>
          <w:bCs/>
          <w:sz w:val="24"/>
          <w:szCs w:val="24"/>
        </w:rPr>
      </w:pPr>
      <w:r w:rsidRPr="004B48B5">
        <w:rPr>
          <w:rFonts w:ascii="Times New Roman" w:hAnsi="Times New Roman" w:cs="Times New Roman"/>
          <w:b/>
          <w:bCs/>
          <w:sz w:val="24"/>
          <w:szCs w:val="24"/>
        </w:rPr>
        <w:t>A.3. Input Data Format and Preparation</w:t>
      </w:r>
    </w:p>
    <w:p w14:paraId="3DDCFE9E"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Clinical data were formatted as structured textual case summaries incorporating variables known to influence rhegmatogenous retinal detachment outcomes: age, sex, systemic and ocular comorbidities, preoperative best-corrected visual acuity, symptom duration, macular status, number and morphology of retinal breaks, proliferative vitreoretinopathy grade, lens status, surgical technique, tamponade agent, and surgeon experience level.</w:t>
      </w:r>
    </w:p>
    <w:p w14:paraId="6220DA6C"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Best-corrected visual acuity was reported in Snellen format in the clinical case summaries and converted to logMAR for analysis. No additional data preprocessing, tokenization, numerical encoding, or image-based processing was applied. Inputs were embedded as human-readable natural language within the standardized prompt.</w:t>
      </w:r>
    </w:p>
    <w:p w14:paraId="21685813" w14:textId="77777777" w:rsidR="004B48B5" w:rsidRPr="004B48B5" w:rsidRDefault="004B48B5" w:rsidP="004B48B5">
      <w:pPr>
        <w:spacing w:line="480" w:lineRule="auto"/>
        <w:rPr>
          <w:rFonts w:ascii="Times New Roman" w:hAnsi="Times New Roman" w:cs="Times New Roman"/>
          <w:b/>
          <w:bCs/>
          <w:sz w:val="24"/>
          <w:szCs w:val="24"/>
        </w:rPr>
      </w:pPr>
      <w:r w:rsidRPr="004B48B5">
        <w:rPr>
          <w:rFonts w:ascii="Times New Roman" w:hAnsi="Times New Roman" w:cs="Times New Roman"/>
          <w:b/>
          <w:bCs/>
          <w:sz w:val="24"/>
          <w:szCs w:val="24"/>
        </w:rPr>
        <w:t>A.4. Interaction Procedure</w:t>
      </w:r>
    </w:p>
    <w:p w14:paraId="3B078787"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 xml:space="preserve">Each patient case was queried once per model using identical structured inputs. No iterative feedback, re-prompting, regeneration, fine-tuning, or feedback adjustment was permitted. All interactions were conducted manually between 20 and 31 December 2025. All models were used under </w:t>
      </w:r>
      <w:r w:rsidRPr="004B48B5">
        <w:rPr>
          <w:rFonts w:ascii="Times New Roman" w:hAnsi="Times New Roman" w:cs="Times New Roman"/>
          <w:sz w:val="24"/>
          <w:szCs w:val="24"/>
        </w:rPr>
        <w:lastRenderedPageBreak/>
        <w:t>default, non-configurable platform parameters. Outputs were recorded manually and archived systematically for audit purposes. Programmatic API access, scripted automation, and local model deployment were not used.</w:t>
      </w:r>
    </w:p>
    <w:p w14:paraId="2AE7097B" w14:textId="77777777" w:rsidR="004B48B5" w:rsidRPr="004B48B5" w:rsidRDefault="004B48B5" w:rsidP="004B48B5">
      <w:pPr>
        <w:spacing w:line="480" w:lineRule="auto"/>
        <w:rPr>
          <w:rFonts w:ascii="Times New Roman" w:hAnsi="Times New Roman" w:cs="Times New Roman"/>
          <w:b/>
          <w:bCs/>
          <w:sz w:val="24"/>
          <w:szCs w:val="24"/>
        </w:rPr>
      </w:pPr>
      <w:r w:rsidRPr="004B48B5">
        <w:rPr>
          <w:rFonts w:ascii="Times New Roman" w:hAnsi="Times New Roman" w:cs="Times New Roman"/>
          <w:b/>
          <w:bCs/>
          <w:sz w:val="24"/>
          <w:szCs w:val="24"/>
        </w:rPr>
        <w:t>A.5. Handling of Implausible Predictions</w:t>
      </w:r>
    </w:p>
    <w:p w14:paraId="7C637970"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Forecasts that substantially exceeded clinically plausible postoperative values without adequate clinical justification were flagged as clinically implausible visual overestimations (“hallucinations”). Forecast plausibility was reviewed independently by retina specialists, with discrepancies resolved by consensus. These outputs were retained in the dataset and reviewed descriptively to identify potential patterns associated with large forecast errors or clinically implausible overestimations.</w:t>
      </w:r>
    </w:p>
    <w:p w14:paraId="0F36C204" w14:textId="77777777" w:rsidR="004B48B5" w:rsidRPr="004B48B5" w:rsidRDefault="004B48B5" w:rsidP="004B48B5">
      <w:pPr>
        <w:spacing w:line="480" w:lineRule="auto"/>
        <w:rPr>
          <w:rFonts w:ascii="Times New Roman" w:hAnsi="Times New Roman" w:cs="Times New Roman"/>
          <w:b/>
          <w:bCs/>
          <w:sz w:val="24"/>
          <w:szCs w:val="24"/>
        </w:rPr>
      </w:pPr>
      <w:r w:rsidRPr="004B48B5">
        <w:rPr>
          <w:rFonts w:ascii="Times New Roman" w:hAnsi="Times New Roman" w:cs="Times New Roman"/>
          <w:b/>
          <w:bCs/>
          <w:sz w:val="24"/>
          <w:szCs w:val="24"/>
        </w:rPr>
        <w:t>A.6. Synthetic Case Analysis</w:t>
      </w:r>
    </w:p>
    <w:p w14:paraId="42BDBE89"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To explore variable-specific influence on model behavior, synthetic test cases were generated by modifying individual prognostic variables in isolation while holding other variables constant. Resulting changes in forecasted recurrent rhegmatogenous retinal detachment probability and postoperative best-corrected visual acuity were tabulated and used to infer heuristic feature weighting for each model. These analyses were exploratory and were not used to modify the primary model outputs.</w:t>
      </w:r>
    </w:p>
    <w:p w14:paraId="0443789F" w14:textId="77777777" w:rsidR="004B48B5" w:rsidRPr="004B48B5" w:rsidRDefault="004B48B5" w:rsidP="004B48B5">
      <w:pPr>
        <w:spacing w:line="480" w:lineRule="auto"/>
        <w:rPr>
          <w:rFonts w:ascii="Times New Roman" w:hAnsi="Times New Roman" w:cs="Times New Roman"/>
          <w:b/>
          <w:bCs/>
          <w:sz w:val="24"/>
          <w:szCs w:val="24"/>
        </w:rPr>
      </w:pPr>
      <w:r w:rsidRPr="004B48B5">
        <w:rPr>
          <w:rFonts w:ascii="Times New Roman" w:hAnsi="Times New Roman" w:cs="Times New Roman"/>
          <w:b/>
          <w:bCs/>
          <w:sz w:val="24"/>
          <w:szCs w:val="24"/>
        </w:rPr>
        <w:t>A.7. Limitations and Reproducibility</w:t>
      </w:r>
    </w:p>
    <w:p w14:paraId="2B771FFD" w14:textId="77777777"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 xml:space="preserve">The dataset was derived from two tertiary centers in Spain, which may limit geographic generalizability. External validation using independent datasets was not performed and is required before clinical implementation. Stochastic output variability inherent to generative large language </w:t>
      </w:r>
      <w:r w:rsidRPr="004B48B5">
        <w:rPr>
          <w:rFonts w:ascii="Times New Roman" w:hAnsi="Times New Roman" w:cs="Times New Roman"/>
          <w:sz w:val="24"/>
          <w:szCs w:val="24"/>
        </w:rPr>
        <w:lastRenderedPageBreak/>
        <w:t>models may affect reproducibility and should be explored in future studies through repeated-query trials. Full prompt text, case formatting specifications, and analysis details are available from the corresponding author upon reasonable request. Ethical approval was obtained, and no additional patient risks were introduced because only fully anonymized structured clinical summaries were entered into publicly accessible web-based interfaces.</w:t>
      </w:r>
    </w:p>
    <w:p w14:paraId="6D0B88E9" w14:textId="5AAD32CF" w:rsidR="004B48B5" w:rsidRPr="004B48B5" w:rsidRDefault="004B48B5" w:rsidP="004B48B5">
      <w:pPr>
        <w:spacing w:line="480" w:lineRule="auto"/>
        <w:rPr>
          <w:rFonts w:ascii="Times New Roman" w:hAnsi="Times New Roman" w:cs="Times New Roman"/>
          <w:sz w:val="24"/>
          <w:szCs w:val="24"/>
        </w:rPr>
      </w:pPr>
      <w:r w:rsidRPr="004B48B5">
        <w:rPr>
          <w:rFonts w:ascii="Times New Roman" w:hAnsi="Times New Roman" w:cs="Times New Roman"/>
          <w:sz w:val="24"/>
          <w:szCs w:val="24"/>
        </w:rPr>
        <w:t>:</w:t>
      </w:r>
      <w:r w:rsidRPr="004B48B5">
        <w:rPr>
          <w:rFonts w:ascii="Times New Roman" w:hAnsi="Times New Roman" w:cs="Times New Roman"/>
          <w:sz w:val="24"/>
          <w:szCs w:val="24"/>
        </w:rPr>
        <w:br/>
        <w:t>1-year postoperative BCVA (logMAR): 0.7</w:t>
      </w:r>
      <w:r w:rsidRPr="004B48B5">
        <w:rPr>
          <w:rFonts w:ascii="Times New Roman" w:hAnsi="Times New Roman" w:cs="Times New Roman"/>
          <w:sz w:val="24"/>
          <w:szCs w:val="24"/>
        </w:rPr>
        <w:br/>
        <w:t>No recurrent rhegmatogenous retinal detachment during 1-year follow-up.</w:t>
      </w:r>
    </w:p>
    <w:p w14:paraId="6957F4E0" w14:textId="45FCC171" w:rsidR="00F748E6" w:rsidRPr="00810807" w:rsidRDefault="00F748E6" w:rsidP="004B48B5">
      <w:pPr>
        <w:spacing w:line="480" w:lineRule="auto"/>
        <w:rPr>
          <w:rFonts w:ascii="Times New Roman" w:hAnsi="Times New Roman" w:cs="Times New Roman"/>
          <w:sz w:val="24"/>
          <w:szCs w:val="24"/>
        </w:rPr>
      </w:pPr>
    </w:p>
    <w:p w14:paraId="14D7AB2D" w14:textId="77777777" w:rsidR="00F748E6" w:rsidRDefault="00F748E6">
      <w:pPr>
        <w:rPr>
          <w:rFonts w:ascii="Arial" w:hAnsi="Arial" w:cs="Arial"/>
          <w:b/>
          <w:bCs/>
        </w:rPr>
      </w:pPr>
      <w:r>
        <w:rPr>
          <w:rFonts w:ascii="Arial" w:hAnsi="Arial" w:cs="Arial"/>
          <w:b/>
          <w:bCs/>
        </w:rPr>
        <w:br w:type="page"/>
      </w:r>
    </w:p>
    <w:tbl>
      <w:tblPr>
        <w:tblStyle w:val="Tablaconcuadrcula"/>
        <w:tblpPr w:leftFromText="141" w:rightFromText="141" w:vertAnchor="page" w:horzAnchor="margin" w:tblpY="1453"/>
        <w:tblW w:w="0" w:type="auto"/>
        <w:tblLook w:val="04A0" w:firstRow="1" w:lastRow="0" w:firstColumn="1" w:lastColumn="0" w:noHBand="0" w:noVBand="1"/>
      </w:tblPr>
      <w:tblGrid>
        <w:gridCol w:w="3068"/>
        <w:gridCol w:w="2030"/>
        <w:gridCol w:w="2047"/>
        <w:gridCol w:w="2366"/>
        <w:gridCol w:w="2269"/>
        <w:gridCol w:w="2212"/>
      </w:tblGrid>
      <w:tr w:rsidR="008454DF" w:rsidRPr="00810807" w14:paraId="08E26D00" w14:textId="77777777" w:rsidTr="008454DF">
        <w:trPr>
          <w:trHeight w:val="832"/>
        </w:trPr>
        <w:tc>
          <w:tcPr>
            <w:tcW w:w="13992" w:type="dxa"/>
            <w:gridSpan w:val="6"/>
          </w:tcPr>
          <w:p w14:paraId="179D4EBD" w14:textId="0E9575A9" w:rsidR="008454DF" w:rsidRPr="00810807" w:rsidRDefault="008454DF" w:rsidP="00F748E6">
            <w:pPr>
              <w:spacing w:line="480" w:lineRule="auto"/>
              <w:jc w:val="center"/>
              <w:rPr>
                <w:rFonts w:ascii="Times New Roman" w:hAnsi="Times New Roman" w:cs="Times New Roman"/>
                <w:i/>
                <w:iCs/>
                <w:sz w:val="24"/>
                <w:szCs w:val="24"/>
              </w:rPr>
            </w:pPr>
            <w:r w:rsidRPr="00810807">
              <w:rPr>
                <w:rFonts w:ascii="Times New Roman" w:hAnsi="Times New Roman" w:cs="Times New Roman"/>
                <w:i/>
                <w:iCs/>
                <w:sz w:val="24"/>
                <w:szCs w:val="24"/>
              </w:rPr>
              <w:lastRenderedPageBreak/>
              <w:t>“Given the following clinical data, forecast</w:t>
            </w:r>
            <w:r w:rsidRPr="00810807">
              <w:rPr>
                <w:rFonts w:ascii="Times New Roman" w:hAnsi="Times New Roman" w:cs="Times New Roman"/>
                <w:sz w:val="24"/>
                <w:szCs w:val="24"/>
              </w:rPr>
              <w:t xml:space="preserve"> </w:t>
            </w:r>
            <w:r w:rsidRPr="00810807">
              <w:rPr>
                <w:rFonts w:ascii="Times New Roman" w:hAnsi="Times New Roman" w:cs="Times New Roman"/>
                <w:i/>
                <w:iCs/>
                <w:sz w:val="24"/>
                <w:szCs w:val="24"/>
              </w:rPr>
              <w:t>the 1-year postoperative best-corrected visual acuity (</w:t>
            </w:r>
            <w:proofErr w:type="spellStart"/>
            <w:r w:rsidRPr="00810807">
              <w:rPr>
                <w:rFonts w:ascii="Times New Roman" w:hAnsi="Times New Roman" w:cs="Times New Roman"/>
                <w:i/>
                <w:iCs/>
                <w:sz w:val="24"/>
                <w:szCs w:val="24"/>
              </w:rPr>
              <w:t>logMAR</w:t>
            </w:r>
            <w:proofErr w:type="spellEnd"/>
            <w:r w:rsidRPr="00810807">
              <w:rPr>
                <w:rFonts w:ascii="Times New Roman" w:hAnsi="Times New Roman" w:cs="Times New Roman"/>
                <w:i/>
                <w:iCs/>
                <w:sz w:val="24"/>
                <w:szCs w:val="24"/>
              </w:rPr>
              <w:t>) and the probability (in %) of recurrent rhegmatogenous retinal detachment. Provide numeric responses only.”</w:t>
            </w:r>
          </w:p>
        </w:tc>
      </w:tr>
      <w:tr w:rsidR="008454DF" w:rsidRPr="00810807" w14:paraId="6ACEFAD2" w14:textId="77777777" w:rsidTr="008454DF">
        <w:trPr>
          <w:trHeight w:val="63"/>
        </w:trPr>
        <w:tc>
          <w:tcPr>
            <w:tcW w:w="3068" w:type="dxa"/>
            <w:shd w:val="clear" w:color="auto" w:fill="D0CECE" w:themeFill="background2" w:themeFillShade="E6"/>
          </w:tcPr>
          <w:p w14:paraId="717C3F49" w14:textId="77777777" w:rsidR="008454DF" w:rsidRPr="00810807" w:rsidRDefault="008454DF" w:rsidP="004B48B5">
            <w:pPr>
              <w:jc w:val="center"/>
              <w:rPr>
                <w:rFonts w:ascii="Times New Roman" w:hAnsi="Times New Roman" w:cs="Times New Roman"/>
                <w:b/>
                <w:bCs/>
              </w:rPr>
            </w:pPr>
            <w:r w:rsidRPr="00810807">
              <w:rPr>
                <w:rFonts w:ascii="Times New Roman" w:hAnsi="Times New Roman" w:cs="Times New Roman"/>
                <w:b/>
                <w:bCs/>
              </w:rPr>
              <w:t>Case</w:t>
            </w:r>
          </w:p>
        </w:tc>
        <w:tc>
          <w:tcPr>
            <w:tcW w:w="2030" w:type="dxa"/>
            <w:shd w:val="clear" w:color="auto" w:fill="D0CECE" w:themeFill="background2" w:themeFillShade="E6"/>
          </w:tcPr>
          <w:p w14:paraId="4694CCC1" w14:textId="77777777" w:rsidR="008454DF" w:rsidRPr="00810807" w:rsidRDefault="008454DF" w:rsidP="004B48B5">
            <w:pPr>
              <w:jc w:val="center"/>
              <w:rPr>
                <w:rFonts w:ascii="Times New Roman" w:hAnsi="Times New Roman" w:cs="Times New Roman"/>
                <w:b/>
                <w:bCs/>
              </w:rPr>
            </w:pPr>
            <w:r w:rsidRPr="00810807">
              <w:rPr>
                <w:rFonts w:ascii="Times New Roman" w:hAnsi="Times New Roman" w:cs="Times New Roman"/>
                <w:b/>
                <w:bCs/>
              </w:rPr>
              <w:t>ChatGPT-4o</w:t>
            </w:r>
          </w:p>
        </w:tc>
        <w:tc>
          <w:tcPr>
            <w:tcW w:w="2047" w:type="dxa"/>
            <w:shd w:val="clear" w:color="auto" w:fill="D0CECE" w:themeFill="background2" w:themeFillShade="E6"/>
          </w:tcPr>
          <w:p w14:paraId="613A46A1" w14:textId="1B02F0D2" w:rsidR="008454DF" w:rsidRPr="00810807" w:rsidRDefault="008454DF" w:rsidP="004B48B5">
            <w:pPr>
              <w:jc w:val="center"/>
              <w:rPr>
                <w:rFonts w:ascii="Times New Roman" w:hAnsi="Times New Roman" w:cs="Times New Roman"/>
                <w:b/>
                <w:bCs/>
              </w:rPr>
            </w:pPr>
            <w:r w:rsidRPr="00810807">
              <w:rPr>
                <w:rFonts w:ascii="Times New Roman" w:hAnsi="Times New Roman" w:cs="Times New Roman"/>
                <w:b/>
                <w:bCs/>
              </w:rPr>
              <w:t>ChatGPT-</w:t>
            </w:r>
            <w:r>
              <w:rPr>
                <w:rFonts w:ascii="Times New Roman" w:hAnsi="Times New Roman" w:cs="Times New Roman"/>
                <w:b/>
                <w:bCs/>
              </w:rPr>
              <w:t>5</w:t>
            </w:r>
          </w:p>
        </w:tc>
        <w:tc>
          <w:tcPr>
            <w:tcW w:w="2366" w:type="dxa"/>
            <w:shd w:val="clear" w:color="auto" w:fill="D0CECE" w:themeFill="background2" w:themeFillShade="E6"/>
          </w:tcPr>
          <w:p w14:paraId="557FDE0E" w14:textId="356AE75A" w:rsidR="008454DF" w:rsidRPr="00810807" w:rsidRDefault="008454DF" w:rsidP="004B48B5">
            <w:pPr>
              <w:jc w:val="center"/>
              <w:rPr>
                <w:rFonts w:ascii="Times New Roman" w:hAnsi="Times New Roman" w:cs="Times New Roman"/>
                <w:b/>
                <w:bCs/>
              </w:rPr>
            </w:pPr>
            <w:r w:rsidRPr="00810807">
              <w:rPr>
                <w:rFonts w:ascii="Times New Roman" w:hAnsi="Times New Roman" w:cs="Times New Roman"/>
                <w:b/>
                <w:bCs/>
              </w:rPr>
              <w:t xml:space="preserve">Gemini </w:t>
            </w:r>
            <w:r>
              <w:rPr>
                <w:rFonts w:ascii="Times New Roman" w:hAnsi="Times New Roman" w:cs="Times New Roman"/>
                <w:b/>
                <w:bCs/>
              </w:rPr>
              <w:t>3</w:t>
            </w:r>
            <w:r w:rsidRPr="00810807">
              <w:rPr>
                <w:rFonts w:ascii="Times New Roman" w:hAnsi="Times New Roman" w:cs="Times New Roman"/>
                <w:b/>
                <w:bCs/>
              </w:rPr>
              <w:t>.0 Flash</w:t>
            </w:r>
          </w:p>
        </w:tc>
        <w:tc>
          <w:tcPr>
            <w:tcW w:w="2269" w:type="dxa"/>
            <w:shd w:val="clear" w:color="auto" w:fill="D0CECE" w:themeFill="background2" w:themeFillShade="E6"/>
          </w:tcPr>
          <w:p w14:paraId="2576A60A" w14:textId="77777777" w:rsidR="008454DF" w:rsidRPr="00810807" w:rsidRDefault="008454DF" w:rsidP="004B48B5">
            <w:pPr>
              <w:jc w:val="center"/>
              <w:rPr>
                <w:rFonts w:ascii="Times New Roman" w:hAnsi="Times New Roman" w:cs="Times New Roman"/>
                <w:b/>
                <w:bCs/>
              </w:rPr>
            </w:pPr>
            <w:r w:rsidRPr="00810807">
              <w:rPr>
                <w:rFonts w:ascii="Times New Roman" w:hAnsi="Times New Roman" w:cs="Times New Roman"/>
                <w:b/>
                <w:bCs/>
              </w:rPr>
              <w:t>DeepSeek-R1</w:t>
            </w:r>
          </w:p>
        </w:tc>
        <w:tc>
          <w:tcPr>
            <w:tcW w:w="2212" w:type="dxa"/>
            <w:shd w:val="clear" w:color="auto" w:fill="D0CECE" w:themeFill="background2" w:themeFillShade="E6"/>
          </w:tcPr>
          <w:p w14:paraId="53CC9723" w14:textId="48C485D4" w:rsidR="008454DF" w:rsidRPr="004B48B5" w:rsidRDefault="004B48B5" w:rsidP="004B48B5">
            <w:pPr>
              <w:jc w:val="center"/>
              <w:rPr>
                <w:rFonts w:ascii="Times New Roman" w:hAnsi="Times New Roman" w:cs="Times New Roman"/>
                <w:b/>
                <w:bCs/>
              </w:rPr>
            </w:pPr>
            <w:r w:rsidRPr="004B48B5">
              <w:rPr>
                <w:rFonts w:ascii="Times New Roman" w:hAnsi="Times New Roman" w:cs="Times New Roman"/>
                <w:b/>
                <w:bCs/>
                <w:sz w:val="24"/>
                <w:szCs w:val="24"/>
                <w:lang w:val="es-ES"/>
              </w:rPr>
              <w:t xml:space="preserve">Observed </w:t>
            </w:r>
            <w:proofErr w:type="spellStart"/>
            <w:r w:rsidRPr="004B48B5">
              <w:rPr>
                <w:rFonts w:ascii="Times New Roman" w:hAnsi="Times New Roman" w:cs="Times New Roman"/>
                <w:b/>
                <w:bCs/>
                <w:sz w:val="24"/>
                <w:szCs w:val="24"/>
                <w:lang w:val="es-ES"/>
              </w:rPr>
              <w:t>illustrative</w:t>
            </w:r>
            <w:proofErr w:type="spellEnd"/>
            <w:r w:rsidRPr="004B48B5">
              <w:rPr>
                <w:rFonts w:ascii="Times New Roman" w:hAnsi="Times New Roman" w:cs="Times New Roman"/>
                <w:b/>
                <w:bCs/>
                <w:sz w:val="24"/>
                <w:szCs w:val="24"/>
                <w:lang w:val="es-ES"/>
              </w:rPr>
              <w:t xml:space="preserve"> </w:t>
            </w:r>
            <w:proofErr w:type="spellStart"/>
            <w:r w:rsidRPr="004B48B5">
              <w:rPr>
                <w:rFonts w:ascii="Times New Roman" w:hAnsi="Times New Roman" w:cs="Times New Roman"/>
                <w:b/>
                <w:bCs/>
                <w:sz w:val="24"/>
                <w:szCs w:val="24"/>
                <w:lang w:val="es-ES"/>
              </w:rPr>
              <w:t>outcome</w:t>
            </w:r>
            <w:proofErr w:type="spellEnd"/>
          </w:p>
        </w:tc>
      </w:tr>
      <w:tr w:rsidR="008454DF" w:rsidRPr="00810807" w14:paraId="66809467" w14:textId="77777777" w:rsidTr="008454DF">
        <w:tc>
          <w:tcPr>
            <w:tcW w:w="3068" w:type="dxa"/>
          </w:tcPr>
          <w:p w14:paraId="217933B7"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t xml:space="preserve">A 54-year-old man with high myopia and no systemic comorbidities presented with a 10-day history of macula-off rhegmatogenous retinal detachment (left eye). He had a prior retinal detachment in the same eye in 2023, treated with pneumatic retinopexy, and had undergone previous laser photocoagulation for a retinal tear at 10 o’clock. </w:t>
            </w:r>
            <w:proofErr w:type="spellStart"/>
            <w:r w:rsidRPr="00810807">
              <w:rPr>
                <w:rFonts w:ascii="Times New Roman" w:hAnsi="Times New Roman" w:cs="Times New Roman"/>
              </w:rPr>
              <w:t>Predetachment</w:t>
            </w:r>
            <w:proofErr w:type="spellEnd"/>
            <w:r w:rsidRPr="00810807">
              <w:rPr>
                <w:rFonts w:ascii="Times New Roman" w:hAnsi="Times New Roman" w:cs="Times New Roman"/>
              </w:rPr>
              <w:t xml:space="preserve"> BCVA was 0.9 (Snellen). No proliferative vitreoretinopathy was present. Retinal breaks were not clearly visualized; subretinal fluid extended from 2 to 10 o’clock. Surgical repair included pars plana vitrectomy, </w:t>
            </w:r>
            <w:proofErr w:type="spellStart"/>
            <w:r w:rsidRPr="00810807">
              <w:rPr>
                <w:rFonts w:ascii="Times New Roman" w:hAnsi="Times New Roman" w:cs="Times New Roman"/>
              </w:rPr>
              <w:t>endolaser</w:t>
            </w:r>
            <w:proofErr w:type="spellEnd"/>
            <w:r w:rsidRPr="00810807">
              <w:rPr>
                <w:rFonts w:ascii="Times New Roman" w:hAnsi="Times New Roman" w:cs="Times New Roman"/>
              </w:rPr>
              <w:t xml:space="preserve">, and C3F8 gas tamponade. There were no intraoperative complications, and the retina was successfully reattached. The procedure was performed by an expert-level surgeon (&gt;10 years of experience), and the patient complied well with </w:t>
            </w:r>
            <w:r w:rsidRPr="00810807">
              <w:rPr>
                <w:rFonts w:ascii="Times New Roman" w:hAnsi="Times New Roman" w:cs="Times New Roman"/>
              </w:rPr>
              <w:lastRenderedPageBreak/>
              <w:t>postoperative positioning instructions.</w:t>
            </w:r>
          </w:p>
        </w:tc>
        <w:tc>
          <w:tcPr>
            <w:tcW w:w="2030" w:type="dxa"/>
          </w:tcPr>
          <w:p w14:paraId="41C1BCD6"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lastRenderedPageBreak/>
              <w:t>1-year postoperative BCVA (</w:t>
            </w:r>
            <w:proofErr w:type="spellStart"/>
            <w:r w:rsidRPr="00810807">
              <w:rPr>
                <w:rFonts w:ascii="Times New Roman" w:hAnsi="Times New Roman" w:cs="Times New Roman"/>
              </w:rPr>
              <w:t>logMAR</w:t>
            </w:r>
            <w:proofErr w:type="spellEnd"/>
            <w:r w:rsidRPr="00810807">
              <w:rPr>
                <w:rFonts w:ascii="Times New Roman" w:hAnsi="Times New Roman" w:cs="Times New Roman"/>
              </w:rPr>
              <w:t>): 0.6</w:t>
            </w:r>
            <w:r w:rsidRPr="00810807">
              <w:rPr>
                <w:rFonts w:ascii="Times New Roman" w:hAnsi="Times New Roman" w:cs="Times New Roman"/>
              </w:rPr>
              <w:br/>
              <w:t>Probability of recurrent RRD (%): 27%</w:t>
            </w:r>
          </w:p>
          <w:p w14:paraId="407630EA" w14:textId="77777777" w:rsidR="008454DF" w:rsidRPr="00810807" w:rsidRDefault="008454DF" w:rsidP="008454DF">
            <w:pPr>
              <w:rPr>
                <w:rFonts w:ascii="Times New Roman" w:hAnsi="Times New Roman" w:cs="Times New Roman"/>
              </w:rPr>
            </w:pPr>
          </w:p>
          <w:p w14:paraId="113F4C50" w14:textId="77777777" w:rsidR="008454DF" w:rsidRPr="00810807" w:rsidRDefault="008454DF" w:rsidP="008454DF">
            <w:pPr>
              <w:rPr>
                <w:rFonts w:ascii="Times New Roman" w:hAnsi="Times New Roman" w:cs="Times New Roman"/>
              </w:rPr>
            </w:pPr>
          </w:p>
        </w:tc>
        <w:tc>
          <w:tcPr>
            <w:tcW w:w="2047" w:type="dxa"/>
          </w:tcPr>
          <w:p w14:paraId="10A3F76A" w14:textId="7C995771" w:rsidR="008454DF" w:rsidRPr="00810807" w:rsidRDefault="008454DF" w:rsidP="008454DF">
            <w:pPr>
              <w:rPr>
                <w:rFonts w:ascii="Times New Roman" w:hAnsi="Times New Roman" w:cs="Times New Roman"/>
              </w:rPr>
            </w:pPr>
            <w:r w:rsidRPr="00810807">
              <w:rPr>
                <w:rFonts w:ascii="Times New Roman" w:hAnsi="Times New Roman" w:cs="Times New Roman"/>
              </w:rPr>
              <w:t>1-year postoperative BCVA (</w:t>
            </w:r>
            <w:proofErr w:type="spellStart"/>
            <w:r w:rsidRPr="00810807">
              <w:rPr>
                <w:rFonts w:ascii="Times New Roman" w:hAnsi="Times New Roman" w:cs="Times New Roman"/>
              </w:rPr>
              <w:t>logMAR</w:t>
            </w:r>
            <w:proofErr w:type="spellEnd"/>
            <w:r w:rsidRPr="00810807">
              <w:rPr>
                <w:rFonts w:ascii="Times New Roman" w:hAnsi="Times New Roman" w:cs="Times New Roman"/>
              </w:rPr>
              <w:t>): 0.</w:t>
            </w:r>
            <w:r>
              <w:rPr>
                <w:rFonts w:ascii="Times New Roman" w:hAnsi="Times New Roman" w:cs="Times New Roman"/>
              </w:rPr>
              <w:t xml:space="preserve">7 </w:t>
            </w:r>
            <w:r w:rsidRPr="00810807">
              <w:rPr>
                <w:rFonts w:ascii="Times New Roman" w:hAnsi="Times New Roman" w:cs="Times New Roman"/>
              </w:rPr>
              <w:t>Probability of recurrent RRD (%): 2</w:t>
            </w:r>
            <w:r>
              <w:rPr>
                <w:rFonts w:ascii="Times New Roman" w:hAnsi="Times New Roman" w:cs="Times New Roman"/>
              </w:rPr>
              <w:t>5</w:t>
            </w:r>
            <w:r w:rsidRPr="00810807">
              <w:rPr>
                <w:rFonts w:ascii="Times New Roman" w:hAnsi="Times New Roman" w:cs="Times New Roman"/>
              </w:rPr>
              <w:t>%</w:t>
            </w:r>
          </w:p>
          <w:p w14:paraId="7D57570D" w14:textId="77777777" w:rsidR="008454DF" w:rsidRPr="00810807" w:rsidRDefault="008454DF" w:rsidP="008454DF">
            <w:pPr>
              <w:rPr>
                <w:rFonts w:ascii="Times New Roman" w:hAnsi="Times New Roman" w:cs="Times New Roman"/>
              </w:rPr>
            </w:pPr>
          </w:p>
          <w:p w14:paraId="0BDF4702" w14:textId="77777777" w:rsidR="008454DF" w:rsidRPr="00810807" w:rsidRDefault="008454DF" w:rsidP="008454DF">
            <w:pPr>
              <w:rPr>
                <w:rFonts w:ascii="Times New Roman" w:hAnsi="Times New Roman" w:cs="Times New Roman"/>
              </w:rPr>
            </w:pPr>
          </w:p>
        </w:tc>
        <w:tc>
          <w:tcPr>
            <w:tcW w:w="2366" w:type="dxa"/>
          </w:tcPr>
          <w:p w14:paraId="445F6198" w14:textId="13B46DA6" w:rsidR="008454DF" w:rsidRPr="00810807" w:rsidRDefault="008454DF" w:rsidP="008454DF">
            <w:pPr>
              <w:rPr>
                <w:rFonts w:ascii="Times New Roman" w:hAnsi="Times New Roman" w:cs="Times New Roman"/>
              </w:rPr>
            </w:pPr>
            <w:r w:rsidRPr="00810807">
              <w:rPr>
                <w:rFonts w:ascii="Times New Roman" w:hAnsi="Times New Roman" w:cs="Times New Roman"/>
              </w:rPr>
              <w:t>Here's the forecast based on the provided clinical data:</w:t>
            </w:r>
          </w:p>
          <w:p w14:paraId="1A2FD777"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t>1-year postoperative BCVA (</w:t>
            </w:r>
            <w:proofErr w:type="spellStart"/>
            <w:r w:rsidRPr="00810807">
              <w:rPr>
                <w:rFonts w:ascii="Times New Roman" w:hAnsi="Times New Roman" w:cs="Times New Roman"/>
              </w:rPr>
              <w:t>logMAR</w:t>
            </w:r>
            <w:proofErr w:type="spellEnd"/>
            <w:r w:rsidRPr="00810807">
              <w:rPr>
                <w:rFonts w:ascii="Times New Roman" w:hAnsi="Times New Roman" w:cs="Times New Roman"/>
              </w:rPr>
              <w:t>): 0.8</w:t>
            </w:r>
          </w:p>
          <w:p w14:paraId="3869C281"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t>Probability of recurrent rhegmatogenous retinal detachment (%): 25</w:t>
            </w:r>
          </w:p>
          <w:p w14:paraId="4C579346" w14:textId="77777777" w:rsidR="008454DF" w:rsidRPr="00810807" w:rsidRDefault="008454DF" w:rsidP="008454DF">
            <w:pPr>
              <w:rPr>
                <w:rFonts w:ascii="Times New Roman" w:hAnsi="Times New Roman" w:cs="Times New Roman"/>
              </w:rPr>
            </w:pPr>
          </w:p>
          <w:p w14:paraId="56B9B80C" w14:textId="77777777" w:rsidR="008454DF" w:rsidRPr="00810807" w:rsidRDefault="008454DF" w:rsidP="008454DF">
            <w:pPr>
              <w:rPr>
                <w:rFonts w:ascii="Times New Roman" w:hAnsi="Times New Roman" w:cs="Times New Roman"/>
              </w:rPr>
            </w:pPr>
          </w:p>
        </w:tc>
        <w:tc>
          <w:tcPr>
            <w:tcW w:w="2269" w:type="dxa"/>
          </w:tcPr>
          <w:p w14:paraId="2DD69979"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t>1-year postoperative BCVA (</w:t>
            </w:r>
            <w:proofErr w:type="spellStart"/>
            <w:r w:rsidRPr="00810807">
              <w:rPr>
                <w:rFonts w:ascii="Times New Roman" w:hAnsi="Times New Roman" w:cs="Times New Roman"/>
              </w:rPr>
              <w:t>logMAR</w:t>
            </w:r>
            <w:proofErr w:type="spellEnd"/>
            <w:r w:rsidRPr="00810807">
              <w:rPr>
                <w:rFonts w:ascii="Times New Roman" w:hAnsi="Times New Roman" w:cs="Times New Roman"/>
              </w:rPr>
              <w:t>): 0.5</w:t>
            </w:r>
            <w:r w:rsidRPr="00810807">
              <w:rPr>
                <w:rFonts w:ascii="Times New Roman" w:hAnsi="Times New Roman" w:cs="Times New Roman"/>
              </w:rPr>
              <w:br/>
              <w:t>Probability of recurrent rhegmatogenous retinal detachment (%): 15</w:t>
            </w:r>
          </w:p>
        </w:tc>
        <w:tc>
          <w:tcPr>
            <w:tcW w:w="2212" w:type="dxa"/>
          </w:tcPr>
          <w:p w14:paraId="1CCA8D21"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t>BCVA (</w:t>
            </w:r>
            <w:proofErr w:type="spellStart"/>
            <w:r w:rsidRPr="00810807">
              <w:rPr>
                <w:rFonts w:ascii="Times New Roman" w:hAnsi="Times New Roman" w:cs="Times New Roman"/>
              </w:rPr>
              <w:t>logMAR</w:t>
            </w:r>
            <w:proofErr w:type="spellEnd"/>
            <w:r w:rsidRPr="00810807">
              <w:rPr>
                <w:rFonts w:ascii="Times New Roman" w:hAnsi="Times New Roman" w:cs="Times New Roman"/>
              </w:rPr>
              <w:t>): 0.7</w:t>
            </w:r>
          </w:p>
          <w:p w14:paraId="2194DA1F" w14:textId="77777777" w:rsidR="008454DF" w:rsidRPr="00810807" w:rsidRDefault="008454DF" w:rsidP="008454DF">
            <w:pPr>
              <w:rPr>
                <w:rFonts w:ascii="Times New Roman" w:hAnsi="Times New Roman" w:cs="Times New Roman"/>
              </w:rPr>
            </w:pPr>
            <w:r w:rsidRPr="00810807">
              <w:rPr>
                <w:rFonts w:ascii="Times New Roman" w:hAnsi="Times New Roman" w:cs="Times New Roman"/>
              </w:rPr>
              <w:t xml:space="preserve">No </w:t>
            </w:r>
            <w:proofErr w:type="spellStart"/>
            <w:r w:rsidRPr="00810807">
              <w:rPr>
                <w:rFonts w:ascii="Times New Roman" w:hAnsi="Times New Roman" w:cs="Times New Roman"/>
              </w:rPr>
              <w:t>redetachment</w:t>
            </w:r>
            <w:proofErr w:type="spellEnd"/>
            <w:r w:rsidRPr="00810807">
              <w:rPr>
                <w:rFonts w:ascii="Times New Roman" w:hAnsi="Times New Roman" w:cs="Times New Roman"/>
              </w:rPr>
              <w:t xml:space="preserve"> during </w:t>
            </w:r>
            <w:r w:rsidRPr="00810807">
              <w:rPr>
                <w:rFonts w:ascii="Times New Roman" w:hAnsi="Times New Roman" w:cs="Times New Roman"/>
                <w:sz w:val="24"/>
                <w:szCs w:val="24"/>
              </w:rPr>
              <w:t>1-year postoperative.</w:t>
            </w:r>
          </w:p>
        </w:tc>
      </w:tr>
    </w:tbl>
    <w:p w14:paraId="23DBF66C" w14:textId="74CECBA3" w:rsidR="00746454" w:rsidRPr="004B48B5" w:rsidRDefault="00810807" w:rsidP="004B48B5">
      <w:pPr>
        <w:spacing w:line="480" w:lineRule="auto"/>
        <w:rPr>
          <w:rFonts w:ascii="Times New Roman" w:hAnsi="Times New Roman" w:cs="Times New Roman"/>
          <w:sz w:val="24"/>
          <w:szCs w:val="24"/>
        </w:rPr>
      </w:pPr>
      <w:r w:rsidRPr="00810807">
        <w:rPr>
          <w:rFonts w:ascii="Times New Roman" w:hAnsi="Times New Roman" w:cs="Times New Roman"/>
          <w:b/>
          <w:bCs/>
        </w:rPr>
        <w:t>Illustrative Example</w:t>
      </w:r>
      <w:r w:rsidR="008454DF">
        <w:rPr>
          <w:rFonts w:ascii="Times New Roman" w:hAnsi="Times New Roman" w:cs="Times New Roman"/>
          <w:b/>
          <w:bCs/>
        </w:rPr>
        <w:t xml:space="preserve"> </w:t>
      </w:r>
      <w:r w:rsidR="007F1331" w:rsidRPr="00810807">
        <w:rPr>
          <w:rFonts w:ascii="Times New Roman" w:hAnsi="Times New Roman" w:cs="Times New Roman"/>
          <w:b/>
          <w:bCs/>
        </w:rPr>
        <w:t>Note:</w:t>
      </w:r>
      <w:r w:rsidR="007F1331" w:rsidRPr="00810807">
        <w:rPr>
          <w:rFonts w:ascii="Times New Roman" w:hAnsi="Times New Roman" w:cs="Times New Roman"/>
        </w:rPr>
        <w:t xml:space="preserve"> </w:t>
      </w:r>
      <w:r w:rsidR="004B48B5" w:rsidRPr="004B48B5">
        <w:rPr>
          <w:rFonts w:ascii="Times New Roman" w:hAnsi="Times New Roman" w:cs="Times New Roman"/>
          <w:sz w:val="24"/>
          <w:szCs w:val="24"/>
        </w:rPr>
        <w:t>This example was not included in the dataset used for model evaluation and is intended for illustrative purposes only.</w:t>
      </w:r>
    </w:p>
    <w:sectPr w:rsidR="00746454" w:rsidRPr="004B48B5" w:rsidSect="00746454">
      <w:type w:val="continuous"/>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1CF75" w14:textId="77777777" w:rsidR="00BC4FEC" w:rsidRDefault="00BC4FEC" w:rsidP="00603DAC">
      <w:pPr>
        <w:spacing w:after="0" w:line="240" w:lineRule="auto"/>
      </w:pPr>
      <w:r>
        <w:separator/>
      </w:r>
    </w:p>
  </w:endnote>
  <w:endnote w:type="continuationSeparator" w:id="0">
    <w:p w14:paraId="61B5DE4C" w14:textId="77777777" w:rsidR="00BC4FEC" w:rsidRDefault="00BC4FEC" w:rsidP="0060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50C07" w14:textId="77777777" w:rsidR="00BC4FEC" w:rsidRDefault="00BC4FEC" w:rsidP="00603DAC">
      <w:pPr>
        <w:spacing w:after="0" w:line="240" w:lineRule="auto"/>
      </w:pPr>
      <w:r>
        <w:separator/>
      </w:r>
    </w:p>
  </w:footnote>
  <w:footnote w:type="continuationSeparator" w:id="0">
    <w:p w14:paraId="4514C1CC" w14:textId="77777777" w:rsidR="00BC4FEC" w:rsidRDefault="00BC4FEC" w:rsidP="00603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2421"/>
    <w:multiLevelType w:val="multilevel"/>
    <w:tmpl w:val="8480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15DBB"/>
    <w:multiLevelType w:val="hybridMultilevel"/>
    <w:tmpl w:val="913AD072"/>
    <w:lvl w:ilvl="0" w:tplc="F3049DF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ABA554B"/>
    <w:multiLevelType w:val="multilevel"/>
    <w:tmpl w:val="C602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4E0586"/>
    <w:multiLevelType w:val="multilevel"/>
    <w:tmpl w:val="3046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BE37FC"/>
    <w:multiLevelType w:val="multilevel"/>
    <w:tmpl w:val="E7D8C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230F67"/>
    <w:multiLevelType w:val="multilevel"/>
    <w:tmpl w:val="235A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806187">
    <w:abstractNumId w:val="5"/>
  </w:num>
  <w:num w:numId="2" w16cid:durableId="1843154811">
    <w:abstractNumId w:val="3"/>
  </w:num>
  <w:num w:numId="3" w16cid:durableId="1389259842">
    <w:abstractNumId w:val="1"/>
  </w:num>
  <w:num w:numId="4" w16cid:durableId="1916888818">
    <w:abstractNumId w:val="4"/>
  </w:num>
  <w:num w:numId="5" w16cid:durableId="1417480224">
    <w:abstractNumId w:val="0"/>
  </w:num>
  <w:num w:numId="6" w16cid:durableId="671565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FD"/>
    <w:rsid w:val="000422D8"/>
    <w:rsid w:val="00047A0C"/>
    <w:rsid w:val="000959AA"/>
    <w:rsid w:val="00194D32"/>
    <w:rsid w:val="001C54B5"/>
    <w:rsid w:val="0023197D"/>
    <w:rsid w:val="002620EB"/>
    <w:rsid w:val="002816CE"/>
    <w:rsid w:val="002A770D"/>
    <w:rsid w:val="003242E0"/>
    <w:rsid w:val="003350BC"/>
    <w:rsid w:val="00351688"/>
    <w:rsid w:val="00385486"/>
    <w:rsid w:val="003F7AC5"/>
    <w:rsid w:val="004B48B5"/>
    <w:rsid w:val="004E3309"/>
    <w:rsid w:val="004F775A"/>
    <w:rsid w:val="005D2CE9"/>
    <w:rsid w:val="005E60FD"/>
    <w:rsid w:val="00603DAC"/>
    <w:rsid w:val="00630E9D"/>
    <w:rsid w:val="00712257"/>
    <w:rsid w:val="00746454"/>
    <w:rsid w:val="007F1331"/>
    <w:rsid w:val="00810807"/>
    <w:rsid w:val="008454DF"/>
    <w:rsid w:val="009A3F4A"/>
    <w:rsid w:val="009B41E6"/>
    <w:rsid w:val="00AA512F"/>
    <w:rsid w:val="00AC0943"/>
    <w:rsid w:val="00BC4FEC"/>
    <w:rsid w:val="00BF7AA6"/>
    <w:rsid w:val="00D05227"/>
    <w:rsid w:val="00D214ED"/>
    <w:rsid w:val="00DB7035"/>
    <w:rsid w:val="00E21384"/>
    <w:rsid w:val="00E329CB"/>
    <w:rsid w:val="00EE7D05"/>
    <w:rsid w:val="00F07DF1"/>
    <w:rsid w:val="00F12674"/>
    <w:rsid w:val="00F17E40"/>
    <w:rsid w:val="00F748E6"/>
    <w:rsid w:val="00FB6B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247EE"/>
  <w15:chartTrackingRefBased/>
  <w15:docId w15:val="{3B5697B1-D49A-40FA-9A48-E1E5C951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4B5"/>
    <w:rPr>
      <w:lang w:val="en-US"/>
    </w:rPr>
  </w:style>
  <w:style w:type="paragraph" w:styleId="Ttulo1">
    <w:name w:val="heading 1"/>
    <w:basedOn w:val="Normal"/>
    <w:next w:val="Normal"/>
    <w:link w:val="Ttulo1Car"/>
    <w:uiPriority w:val="9"/>
    <w:qFormat/>
    <w:rsid w:val="005E6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E6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E60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E60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E60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E60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E60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E60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E60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60F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E60F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E60F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E60F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E60F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E60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E60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E60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E60FD"/>
    <w:rPr>
      <w:rFonts w:eastAsiaTheme="majorEastAsia" w:cstheme="majorBidi"/>
      <w:color w:val="272727" w:themeColor="text1" w:themeTint="D8"/>
    </w:rPr>
  </w:style>
  <w:style w:type="paragraph" w:styleId="Ttulo">
    <w:name w:val="Title"/>
    <w:basedOn w:val="Normal"/>
    <w:next w:val="Normal"/>
    <w:link w:val="TtuloCar"/>
    <w:uiPriority w:val="10"/>
    <w:qFormat/>
    <w:rsid w:val="005E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60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E60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E60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60FD"/>
    <w:pPr>
      <w:spacing w:before="160"/>
      <w:jc w:val="center"/>
    </w:pPr>
    <w:rPr>
      <w:i/>
      <w:iCs/>
      <w:color w:val="404040" w:themeColor="text1" w:themeTint="BF"/>
    </w:rPr>
  </w:style>
  <w:style w:type="character" w:customStyle="1" w:styleId="CitaCar">
    <w:name w:val="Cita Car"/>
    <w:basedOn w:val="Fuentedeprrafopredeter"/>
    <w:link w:val="Cita"/>
    <w:uiPriority w:val="29"/>
    <w:rsid w:val="005E60FD"/>
    <w:rPr>
      <w:i/>
      <w:iCs/>
      <w:color w:val="404040" w:themeColor="text1" w:themeTint="BF"/>
    </w:rPr>
  </w:style>
  <w:style w:type="paragraph" w:styleId="Prrafodelista">
    <w:name w:val="List Paragraph"/>
    <w:basedOn w:val="Normal"/>
    <w:uiPriority w:val="34"/>
    <w:qFormat/>
    <w:rsid w:val="005E60FD"/>
    <w:pPr>
      <w:ind w:left="720"/>
      <w:contextualSpacing/>
    </w:pPr>
  </w:style>
  <w:style w:type="character" w:styleId="nfasisintenso">
    <w:name w:val="Intense Emphasis"/>
    <w:basedOn w:val="Fuentedeprrafopredeter"/>
    <w:uiPriority w:val="21"/>
    <w:qFormat/>
    <w:rsid w:val="005E60FD"/>
    <w:rPr>
      <w:i/>
      <w:iCs/>
      <w:color w:val="2F5496" w:themeColor="accent1" w:themeShade="BF"/>
    </w:rPr>
  </w:style>
  <w:style w:type="paragraph" w:styleId="Citadestacada">
    <w:name w:val="Intense Quote"/>
    <w:basedOn w:val="Normal"/>
    <w:next w:val="Normal"/>
    <w:link w:val="CitadestacadaCar"/>
    <w:uiPriority w:val="30"/>
    <w:qFormat/>
    <w:rsid w:val="005E6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E60FD"/>
    <w:rPr>
      <w:i/>
      <w:iCs/>
      <w:color w:val="2F5496" w:themeColor="accent1" w:themeShade="BF"/>
    </w:rPr>
  </w:style>
  <w:style w:type="character" w:styleId="Referenciaintensa">
    <w:name w:val="Intense Reference"/>
    <w:basedOn w:val="Fuentedeprrafopredeter"/>
    <w:uiPriority w:val="32"/>
    <w:qFormat/>
    <w:rsid w:val="005E60FD"/>
    <w:rPr>
      <w:b/>
      <w:bCs/>
      <w:smallCaps/>
      <w:color w:val="2F5496" w:themeColor="accent1" w:themeShade="BF"/>
      <w:spacing w:val="5"/>
    </w:rPr>
  </w:style>
  <w:style w:type="table" w:styleId="Tablaconcuadrcula">
    <w:name w:val="Table Grid"/>
    <w:basedOn w:val="Tablanormal"/>
    <w:uiPriority w:val="39"/>
    <w:rsid w:val="001C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03D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3DAC"/>
    <w:rPr>
      <w:lang w:val="en-US"/>
    </w:rPr>
  </w:style>
  <w:style w:type="paragraph" w:styleId="Piedepgina">
    <w:name w:val="footer"/>
    <w:basedOn w:val="Normal"/>
    <w:link w:val="PiedepginaCar"/>
    <w:uiPriority w:val="99"/>
    <w:unhideWhenUsed/>
    <w:rsid w:val="00603D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3DAC"/>
    <w:rPr>
      <w:lang w:val="en-US"/>
    </w:rPr>
  </w:style>
  <w:style w:type="character" w:styleId="Hipervnculo">
    <w:name w:val="Hyperlink"/>
    <w:basedOn w:val="Fuentedeprrafopredeter"/>
    <w:uiPriority w:val="99"/>
    <w:unhideWhenUsed/>
    <w:rsid w:val="00F748E6"/>
    <w:rPr>
      <w:color w:val="0563C1" w:themeColor="hyperlink"/>
      <w:u w:val="single"/>
    </w:rPr>
  </w:style>
  <w:style w:type="character" w:styleId="Mencinsinresolver">
    <w:name w:val="Unresolved Mention"/>
    <w:basedOn w:val="Fuentedeprrafopredeter"/>
    <w:uiPriority w:val="99"/>
    <w:semiHidden/>
    <w:unhideWhenUsed/>
    <w:rsid w:val="00F74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85">
      <w:bodyDiv w:val="1"/>
      <w:marLeft w:val="0"/>
      <w:marRight w:val="0"/>
      <w:marTop w:val="0"/>
      <w:marBottom w:val="0"/>
      <w:divBdr>
        <w:top w:val="none" w:sz="0" w:space="0" w:color="auto"/>
        <w:left w:val="none" w:sz="0" w:space="0" w:color="auto"/>
        <w:bottom w:val="none" w:sz="0" w:space="0" w:color="auto"/>
        <w:right w:val="none" w:sz="0" w:space="0" w:color="auto"/>
      </w:divBdr>
      <w:divsChild>
        <w:div w:id="393818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49458">
      <w:bodyDiv w:val="1"/>
      <w:marLeft w:val="0"/>
      <w:marRight w:val="0"/>
      <w:marTop w:val="0"/>
      <w:marBottom w:val="0"/>
      <w:divBdr>
        <w:top w:val="none" w:sz="0" w:space="0" w:color="auto"/>
        <w:left w:val="none" w:sz="0" w:space="0" w:color="auto"/>
        <w:bottom w:val="none" w:sz="0" w:space="0" w:color="auto"/>
        <w:right w:val="none" w:sz="0" w:space="0" w:color="auto"/>
      </w:divBdr>
    </w:div>
    <w:div w:id="387731551">
      <w:bodyDiv w:val="1"/>
      <w:marLeft w:val="0"/>
      <w:marRight w:val="0"/>
      <w:marTop w:val="0"/>
      <w:marBottom w:val="0"/>
      <w:divBdr>
        <w:top w:val="none" w:sz="0" w:space="0" w:color="auto"/>
        <w:left w:val="none" w:sz="0" w:space="0" w:color="auto"/>
        <w:bottom w:val="none" w:sz="0" w:space="0" w:color="auto"/>
        <w:right w:val="none" w:sz="0" w:space="0" w:color="auto"/>
      </w:divBdr>
    </w:div>
    <w:div w:id="439376079">
      <w:bodyDiv w:val="1"/>
      <w:marLeft w:val="0"/>
      <w:marRight w:val="0"/>
      <w:marTop w:val="0"/>
      <w:marBottom w:val="0"/>
      <w:divBdr>
        <w:top w:val="none" w:sz="0" w:space="0" w:color="auto"/>
        <w:left w:val="none" w:sz="0" w:space="0" w:color="auto"/>
        <w:bottom w:val="none" w:sz="0" w:space="0" w:color="auto"/>
        <w:right w:val="none" w:sz="0" w:space="0" w:color="auto"/>
      </w:divBdr>
    </w:div>
    <w:div w:id="448403766">
      <w:bodyDiv w:val="1"/>
      <w:marLeft w:val="0"/>
      <w:marRight w:val="0"/>
      <w:marTop w:val="0"/>
      <w:marBottom w:val="0"/>
      <w:divBdr>
        <w:top w:val="none" w:sz="0" w:space="0" w:color="auto"/>
        <w:left w:val="none" w:sz="0" w:space="0" w:color="auto"/>
        <w:bottom w:val="none" w:sz="0" w:space="0" w:color="auto"/>
        <w:right w:val="none" w:sz="0" w:space="0" w:color="auto"/>
      </w:divBdr>
    </w:div>
    <w:div w:id="483741446">
      <w:bodyDiv w:val="1"/>
      <w:marLeft w:val="0"/>
      <w:marRight w:val="0"/>
      <w:marTop w:val="0"/>
      <w:marBottom w:val="0"/>
      <w:divBdr>
        <w:top w:val="none" w:sz="0" w:space="0" w:color="auto"/>
        <w:left w:val="none" w:sz="0" w:space="0" w:color="auto"/>
        <w:bottom w:val="none" w:sz="0" w:space="0" w:color="auto"/>
        <w:right w:val="none" w:sz="0" w:space="0" w:color="auto"/>
      </w:divBdr>
      <w:divsChild>
        <w:div w:id="1506819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309807">
      <w:bodyDiv w:val="1"/>
      <w:marLeft w:val="0"/>
      <w:marRight w:val="0"/>
      <w:marTop w:val="0"/>
      <w:marBottom w:val="0"/>
      <w:divBdr>
        <w:top w:val="none" w:sz="0" w:space="0" w:color="auto"/>
        <w:left w:val="none" w:sz="0" w:space="0" w:color="auto"/>
        <w:bottom w:val="none" w:sz="0" w:space="0" w:color="auto"/>
        <w:right w:val="none" w:sz="0" w:space="0" w:color="auto"/>
      </w:divBdr>
    </w:div>
    <w:div w:id="694231968">
      <w:bodyDiv w:val="1"/>
      <w:marLeft w:val="0"/>
      <w:marRight w:val="0"/>
      <w:marTop w:val="0"/>
      <w:marBottom w:val="0"/>
      <w:divBdr>
        <w:top w:val="none" w:sz="0" w:space="0" w:color="auto"/>
        <w:left w:val="none" w:sz="0" w:space="0" w:color="auto"/>
        <w:bottom w:val="none" w:sz="0" w:space="0" w:color="auto"/>
        <w:right w:val="none" w:sz="0" w:space="0" w:color="auto"/>
      </w:divBdr>
      <w:divsChild>
        <w:div w:id="271860306">
          <w:marLeft w:val="0"/>
          <w:marRight w:val="0"/>
          <w:marTop w:val="0"/>
          <w:marBottom w:val="0"/>
          <w:divBdr>
            <w:top w:val="none" w:sz="0" w:space="0" w:color="auto"/>
            <w:left w:val="none" w:sz="0" w:space="0" w:color="auto"/>
            <w:bottom w:val="none" w:sz="0" w:space="0" w:color="auto"/>
            <w:right w:val="none" w:sz="0" w:space="0" w:color="auto"/>
          </w:divBdr>
          <w:divsChild>
            <w:div w:id="2048485861">
              <w:marLeft w:val="0"/>
              <w:marRight w:val="0"/>
              <w:marTop w:val="0"/>
              <w:marBottom w:val="0"/>
              <w:divBdr>
                <w:top w:val="none" w:sz="0" w:space="0" w:color="auto"/>
                <w:left w:val="none" w:sz="0" w:space="0" w:color="auto"/>
                <w:bottom w:val="none" w:sz="0" w:space="0" w:color="auto"/>
                <w:right w:val="none" w:sz="0" w:space="0" w:color="auto"/>
              </w:divBdr>
              <w:divsChild>
                <w:div w:id="17760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0642">
          <w:marLeft w:val="0"/>
          <w:marRight w:val="0"/>
          <w:marTop w:val="0"/>
          <w:marBottom w:val="0"/>
          <w:divBdr>
            <w:top w:val="none" w:sz="0" w:space="0" w:color="auto"/>
            <w:left w:val="none" w:sz="0" w:space="0" w:color="auto"/>
            <w:bottom w:val="none" w:sz="0" w:space="0" w:color="auto"/>
            <w:right w:val="none" w:sz="0" w:space="0" w:color="auto"/>
          </w:divBdr>
          <w:divsChild>
            <w:div w:id="1303462845">
              <w:marLeft w:val="0"/>
              <w:marRight w:val="0"/>
              <w:marTop w:val="0"/>
              <w:marBottom w:val="0"/>
              <w:divBdr>
                <w:top w:val="none" w:sz="0" w:space="0" w:color="auto"/>
                <w:left w:val="none" w:sz="0" w:space="0" w:color="auto"/>
                <w:bottom w:val="none" w:sz="0" w:space="0" w:color="auto"/>
                <w:right w:val="none" w:sz="0" w:space="0" w:color="auto"/>
              </w:divBdr>
              <w:divsChild>
                <w:div w:id="1716192919">
                  <w:marLeft w:val="0"/>
                  <w:marRight w:val="0"/>
                  <w:marTop w:val="0"/>
                  <w:marBottom w:val="0"/>
                  <w:divBdr>
                    <w:top w:val="none" w:sz="0" w:space="0" w:color="auto"/>
                    <w:left w:val="none" w:sz="0" w:space="0" w:color="auto"/>
                    <w:bottom w:val="none" w:sz="0" w:space="0" w:color="auto"/>
                    <w:right w:val="none" w:sz="0" w:space="0" w:color="auto"/>
                  </w:divBdr>
                  <w:divsChild>
                    <w:div w:id="827013320">
                      <w:marLeft w:val="0"/>
                      <w:marRight w:val="0"/>
                      <w:marTop w:val="0"/>
                      <w:marBottom w:val="0"/>
                      <w:divBdr>
                        <w:top w:val="none" w:sz="0" w:space="0" w:color="auto"/>
                        <w:left w:val="none" w:sz="0" w:space="0" w:color="auto"/>
                        <w:bottom w:val="none" w:sz="0" w:space="0" w:color="auto"/>
                        <w:right w:val="none" w:sz="0" w:space="0" w:color="auto"/>
                      </w:divBdr>
                      <w:divsChild>
                        <w:div w:id="1292251254">
                          <w:marLeft w:val="0"/>
                          <w:marRight w:val="0"/>
                          <w:marTop w:val="0"/>
                          <w:marBottom w:val="0"/>
                          <w:divBdr>
                            <w:top w:val="none" w:sz="0" w:space="0" w:color="auto"/>
                            <w:left w:val="none" w:sz="0" w:space="0" w:color="auto"/>
                            <w:bottom w:val="none" w:sz="0" w:space="0" w:color="auto"/>
                            <w:right w:val="none" w:sz="0" w:space="0" w:color="auto"/>
                          </w:divBdr>
                          <w:divsChild>
                            <w:div w:id="13791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025211">
      <w:bodyDiv w:val="1"/>
      <w:marLeft w:val="0"/>
      <w:marRight w:val="0"/>
      <w:marTop w:val="0"/>
      <w:marBottom w:val="0"/>
      <w:divBdr>
        <w:top w:val="none" w:sz="0" w:space="0" w:color="auto"/>
        <w:left w:val="none" w:sz="0" w:space="0" w:color="auto"/>
        <w:bottom w:val="none" w:sz="0" w:space="0" w:color="auto"/>
        <w:right w:val="none" w:sz="0" w:space="0" w:color="auto"/>
      </w:divBdr>
    </w:div>
    <w:div w:id="766002237">
      <w:bodyDiv w:val="1"/>
      <w:marLeft w:val="0"/>
      <w:marRight w:val="0"/>
      <w:marTop w:val="0"/>
      <w:marBottom w:val="0"/>
      <w:divBdr>
        <w:top w:val="none" w:sz="0" w:space="0" w:color="auto"/>
        <w:left w:val="none" w:sz="0" w:space="0" w:color="auto"/>
        <w:bottom w:val="none" w:sz="0" w:space="0" w:color="auto"/>
        <w:right w:val="none" w:sz="0" w:space="0" w:color="auto"/>
      </w:divBdr>
      <w:divsChild>
        <w:div w:id="1906141503">
          <w:marLeft w:val="0"/>
          <w:marRight w:val="0"/>
          <w:marTop w:val="0"/>
          <w:marBottom w:val="0"/>
          <w:divBdr>
            <w:top w:val="none" w:sz="0" w:space="0" w:color="auto"/>
            <w:left w:val="none" w:sz="0" w:space="0" w:color="auto"/>
            <w:bottom w:val="none" w:sz="0" w:space="0" w:color="auto"/>
            <w:right w:val="none" w:sz="0" w:space="0" w:color="auto"/>
          </w:divBdr>
          <w:divsChild>
            <w:div w:id="871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58482">
      <w:bodyDiv w:val="1"/>
      <w:marLeft w:val="0"/>
      <w:marRight w:val="0"/>
      <w:marTop w:val="0"/>
      <w:marBottom w:val="0"/>
      <w:divBdr>
        <w:top w:val="none" w:sz="0" w:space="0" w:color="auto"/>
        <w:left w:val="none" w:sz="0" w:space="0" w:color="auto"/>
        <w:bottom w:val="none" w:sz="0" w:space="0" w:color="auto"/>
        <w:right w:val="none" w:sz="0" w:space="0" w:color="auto"/>
      </w:divBdr>
    </w:div>
    <w:div w:id="968974022">
      <w:bodyDiv w:val="1"/>
      <w:marLeft w:val="0"/>
      <w:marRight w:val="0"/>
      <w:marTop w:val="0"/>
      <w:marBottom w:val="0"/>
      <w:divBdr>
        <w:top w:val="none" w:sz="0" w:space="0" w:color="auto"/>
        <w:left w:val="none" w:sz="0" w:space="0" w:color="auto"/>
        <w:bottom w:val="none" w:sz="0" w:space="0" w:color="auto"/>
        <w:right w:val="none" w:sz="0" w:space="0" w:color="auto"/>
      </w:divBdr>
      <w:divsChild>
        <w:div w:id="216287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317606">
      <w:bodyDiv w:val="1"/>
      <w:marLeft w:val="0"/>
      <w:marRight w:val="0"/>
      <w:marTop w:val="0"/>
      <w:marBottom w:val="0"/>
      <w:divBdr>
        <w:top w:val="none" w:sz="0" w:space="0" w:color="auto"/>
        <w:left w:val="none" w:sz="0" w:space="0" w:color="auto"/>
        <w:bottom w:val="none" w:sz="0" w:space="0" w:color="auto"/>
        <w:right w:val="none" w:sz="0" w:space="0" w:color="auto"/>
      </w:divBdr>
      <w:divsChild>
        <w:div w:id="2134666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6358119">
      <w:bodyDiv w:val="1"/>
      <w:marLeft w:val="0"/>
      <w:marRight w:val="0"/>
      <w:marTop w:val="0"/>
      <w:marBottom w:val="0"/>
      <w:divBdr>
        <w:top w:val="none" w:sz="0" w:space="0" w:color="auto"/>
        <w:left w:val="none" w:sz="0" w:space="0" w:color="auto"/>
        <w:bottom w:val="none" w:sz="0" w:space="0" w:color="auto"/>
        <w:right w:val="none" w:sz="0" w:space="0" w:color="auto"/>
      </w:divBdr>
    </w:div>
    <w:div w:id="1263997495">
      <w:bodyDiv w:val="1"/>
      <w:marLeft w:val="0"/>
      <w:marRight w:val="0"/>
      <w:marTop w:val="0"/>
      <w:marBottom w:val="0"/>
      <w:divBdr>
        <w:top w:val="none" w:sz="0" w:space="0" w:color="auto"/>
        <w:left w:val="none" w:sz="0" w:space="0" w:color="auto"/>
        <w:bottom w:val="none" w:sz="0" w:space="0" w:color="auto"/>
        <w:right w:val="none" w:sz="0" w:space="0" w:color="auto"/>
      </w:divBdr>
    </w:div>
    <w:div w:id="1396124258">
      <w:bodyDiv w:val="1"/>
      <w:marLeft w:val="0"/>
      <w:marRight w:val="0"/>
      <w:marTop w:val="0"/>
      <w:marBottom w:val="0"/>
      <w:divBdr>
        <w:top w:val="none" w:sz="0" w:space="0" w:color="auto"/>
        <w:left w:val="none" w:sz="0" w:space="0" w:color="auto"/>
        <w:bottom w:val="none" w:sz="0" w:space="0" w:color="auto"/>
        <w:right w:val="none" w:sz="0" w:space="0" w:color="auto"/>
      </w:divBdr>
      <w:divsChild>
        <w:div w:id="2008089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627041">
      <w:bodyDiv w:val="1"/>
      <w:marLeft w:val="0"/>
      <w:marRight w:val="0"/>
      <w:marTop w:val="0"/>
      <w:marBottom w:val="0"/>
      <w:divBdr>
        <w:top w:val="none" w:sz="0" w:space="0" w:color="auto"/>
        <w:left w:val="none" w:sz="0" w:space="0" w:color="auto"/>
        <w:bottom w:val="none" w:sz="0" w:space="0" w:color="auto"/>
        <w:right w:val="none" w:sz="0" w:space="0" w:color="auto"/>
      </w:divBdr>
    </w:div>
    <w:div w:id="1422681906">
      <w:bodyDiv w:val="1"/>
      <w:marLeft w:val="0"/>
      <w:marRight w:val="0"/>
      <w:marTop w:val="0"/>
      <w:marBottom w:val="0"/>
      <w:divBdr>
        <w:top w:val="none" w:sz="0" w:space="0" w:color="auto"/>
        <w:left w:val="none" w:sz="0" w:space="0" w:color="auto"/>
        <w:bottom w:val="none" w:sz="0" w:space="0" w:color="auto"/>
        <w:right w:val="none" w:sz="0" w:space="0" w:color="auto"/>
      </w:divBdr>
      <w:divsChild>
        <w:div w:id="324016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957801">
      <w:bodyDiv w:val="1"/>
      <w:marLeft w:val="0"/>
      <w:marRight w:val="0"/>
      <w:marTop w:val="0"/>
      <w:marBottom w:val="0"/>
      <w:divBdr>
        <w:top w:val="none" w:sz="0" w:space="0" w:color="auto"/>
        <w:left w:val="none" w:sz="0" w:space="0" w:color="auto"/>
        <w:bottom w:val="none" w:sz="0" w:space="0" w:color="auto"/>
        <w:right w:val="none" w:sz="0" w:space="0" w:color="auto"/>
      </w:divBdr>
      <w:divsChild>
        <w:div w:id="526716374">
          <w:marLeft w:val="0"/>
          <w:marRight w:val="0"/>
          <w:marTop w:val="0"/>
          <w:marBottom w:val="0"/>
          <w:divBdr>
            <w:top w:val="none" w:sz="0" w:space="0" w:color="auto"/>
            <w:left w:val="none" w:sz="0" w:space="0" w:color="auto"/>
            <w:bottom w:val="none" w:sz="0" w:space="0" w:color="auto"/>
            <w:right w:val="none" w:sz="0" w:space="0" w:color="auto"/>
          </w:divBdr>
          <w:divsChild>
            <w:div w:id="144569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06744">
      <w:bodyDiv w:val="1"/>
      <w:marLeft w:val="0"/>
      <w:marRight w:val="0"/>
      <w:marTop w:val="0"/>
      <w:marBottom w:val="0"/>
      <w:divBdr>
        <w:top w:val="none" w:sz="0" w:space="0" w:color="auto"/>
        <w:left w:val="none" w:sz="0" w:space="0" w:color="auto"/>
        <w:bottom w:val="none" w:sz="0" w:space="0" w:color="auto"/>
        <w:right w:val="none" w:sz="0" w:space="0" w:color="auto"/>
      </w:divBdr>
      <w:divsChild>
        <w:div w:id="2128352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527900">
      <w:bodyDiv w:val="1"/>
      <w:marLeft w:val="0"/>
      <w:marRight w:val="0"/>
      <w:marTop w:val="0"/>
      <w:marBottom w:val="0"/>
      <w:divBdr>
        <w:top w:val="none" w:sz="0" w:space="0" w:color="auto"/>
        <w:left w:val="none" w:sz="0" w:space="0" w:color="auto"/>
        <w:bottom w:val="none" w:sz="0" w:space="0" w:color="auto"/>
        <w:right w:val="none" w:sz="0" w:space="0" w:color="auto"/>
      </w:divBdr>
    </w:div>
    <w:div w:id="1742362167">
      <w:bodyDiv w:val="1"/>
      <w:marLeft w:val="0"/>
      <w:marRight w:val="0"/>
      <w:marTop w:val="0"/>
      <w:marBottom w:val="0"/>
      <w:divBdr>
        <w:top w:val="none" w:sz="0" w:space="0" w:color="auto"/>
        <w:left w:val="none" w:sz="0" w:space="0" w:color="auto"/>
        <w:bottom w:val="none" w:sz="0" w:space="0" w:color="auto"/>
        <w:right w:val="none" w:sz="0" w:space="0" w:color="auto"/>
      </w:divBdr>
    </w:div>
    <w:div w:id="1827742566">
      <w:bodyDiv w:val="1"/>
      <w:marLeft w:val="0"/>
      <w:marRight w:val="0"/>
      <w:marTop w:val="0"/>
      <w:marBottom w:val="0"/>
      <w:divBdr>
        <w:top w:val="none" w:sz="0" w:space="0" w:color="auto"/>
        <w:left w:val="none" w:sz="0" w:space="0" w:color="auto"/>
        <w:bottom w:val="none" w:sz="0" w:space="0" w:color="auto"/>
        <w:right w:val="none" w:sz="0" w:space="0" w:color="auto"/>
      </w:divBdr>
      <w:divsChild>
        <w:div w:id="2055469">
          <w:marLeft w:val="0"/>
          <w:marRight w:val="0"/>
          <w:marTop w:val="0"/>
          <w:marBottom w:val="0"/>
          <w:divBdr>
            <w:top w:val="none" w:sz="0" w:space="0" w:color="auto"/>
            <w:left w:val="none" w:sz="0" w:space="0" w:color="auto"/>
            <w:bottom w:val="none" w:sz="0" w:space="0" w:color="auto"/>
            <w:right w:val="none" w:sz="0" w:space="0" w:color="auto"/>
          </w:divBdr>
          <w:divsChild>
            <w:div w:id="1311859258">
              <w:marLeft w:val="0"/>
              <w:marRight w:val="0"/>
              <w:marTop w:val="0"/>
              <w:marBottom w:val="0"/>
              <w:divBdr>
                <w:top w:val="none" w:sz="0" w:space="0" w:color="auto"/>
                <w:left w:val="none" w:sz="0" w:space="0" w:color="auto"/>
                <w:bottom w:val="none" w:sz="0" w:space="0" w:color="auto"/>
                <w:right w:val="none" w:sz="0" w:space="0" w:color="auto"/>
              </w:divBdr>
              <w:divsChild>
                <w:div w:id="17482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494">
          <w:marLeft w:val="0"/>
          <w:marRight w:val="0"/>
          <w:marTop w:val="0"/>
          <w:marBottom w:val="0"/>
          <w:divBdr>
            <w:top w:val="none" w:sz="0" w:space="0" w:color="auto"/>
            <w:left w:val="none" w:sz="0" w:space="0" w:color="auto"/>
            <w:bottom w:val="none" w:sz="0" w:space="0" w:color="auto"/>
            <w:right w:val="none" w:sz="0" w:space="0" w:color="auto"/>
          </w:divBdr>
          <w:divsChild>
            <w:div w:id="1398014448">
              <w:marLeft w:val="0"/>
              <w:marRight w:val="0"/>
              <w:marTop w:val="0"/>
              <w:marBottom w:val="0"/>
              <w:divBdr>
                <w:top w:val="none" w:sz="0" w:space="0" w:color="auto"/>
                <w:left w:val="none" w:sz="0" w:space="0" w:color="auto"/>
                <w:bottom w:val="none" w:sz="0" w:space="0" w:color="auto"/>
                <w:right w:val="none" w:sz="0" w:space="0" w:color="auto"/>
              </w:divBdr>
              <w:divsChild>
                <w:div w:id="1441487907">
                  <w:marLeft w:val="0"/>
                  <w:marRight w:val="0"/>
                  <w:marTop w:val="0"/>
                  <w:marBottom w:val="0"/>
                  <w:divBdr>
                    <w:top w:val="none" w:sz="0" w:space="0" w:color="auto"/>
                    <w:left w:val="none" w:sz="0" w:space="0" w:color="auto"/>
                    <w:bottom w:val="none" w:sz="0" w:space="0" w:color="auto"/>
                    <w:right w:val="none" w:sz="0" w:space="0" w:color="auto"/>
                  </w:divBdr>
                  <w:divsChild>
                    <w:div w:id="1659386269">
                      <w:marLeft w:val="0"/>
                      <w:marRight w:val="0"/>
                      <w:marTop w:val="0"/>
                      <w:marBottom w:val="0"/>
                      <w:divBdr>
                        <w:top w:val="none" w:sz="0" w:space="0" w:color="auto"/>
                        <w:left w:val="none" w:sz="0" w:space="0" w:color="auto"/>
                        <w:bottom w:val="none" w:sz="0" w:space="0" w:color="auto"/>
                        <w:right w:val="none" w:sz="0" w:space="0" w:color="auto"/>
                      </w:divBdr>
                      <w:divsChild>
                        <w:div w:id="1325818562">
                          <w:marLeft w:val="0"/>
                          <w:marRight w:val="0"/>
                          <w:marTop w:val="0"/>
                          <w:marBottom w:val="0"/>
                          <w:divBdr>
                            <w:top w:val="none" w:sz="0" w:space="0" w:color="auto"/>
                            <w:left w:val="none" w:sz="0" w:space="0" w:color="auto"/>
                            <w:bottom w:val="none" w:sz="0" w:space="0" w:color="auto"/>
                            <w:right w:val="none" w:sz="0" w:space="0" w:color="auto"/>
                          </w:divBdr>
                          <w:divsChild>
                            <w:div w:id="9563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473728">
      <w:bodyDiv w:val="1"/>
      <w:marLeft w:val="0"/>
      <w:marRight w:val="0"/>
      <w:marTop w:val="0"/>
      <w:marBottom w:val="0"/>
      <w:divBdr>
        <w:top w:val="none" w:sz="0" w:space="0" w:color="auto"/>
        <w:left w:val="none" w:sz="0" w:space="0" w:color="auto"/>
        <w:bottom w:val="none" w:sz="0" w:space="0" w:color="auto"/>
        <w:right w:val="none" w:sz="0" w:space="0" w:color="auto"/>
      </w:divBdr>
    </w:div>
    <w:div w:id="1903364026">
      <w:bodyDiv w:val="1"/>
      <w:marLeft w:val="0"/>
      <w:marRight w:val="0"/>
      <w:marTop w:val="0"/>
      <w:marBottom w:val="0"/>
      <w:divBdr>
        <w:top w:val="none" w:sz="0" w:space="0" w:color="auto"/>
        <w:left w:val="none" w:sz="0" w:space="0" w:color="auto"/>
        <w:bottom w:val="none" w:sz="0" w:space="0" w:color="auto"/>
        <w:right w:val="none" w:sz="0" w:space="0" w:color="auto"/>
      </w:divBdr>
    </w:div>
    <w:div w:id="1930504707">
      <w:bodyDiv w:val="1"/>
      <w:marLeft w:val="0"/>
      <w:marRight w:val="0"/>
      <w:marTop w:val="0"/>
      <w:marBottom w:val="0"/>
      <w:divBdr>
        <w:top w:val="none" w:sz="0" w:space="0" w:color="auto"/>
        <w:left w:val="none" w:sz="0" w:space="0" w:color="auto"/>
        <w:bottom w:val="none" w:sz="0" w:space="0" w:color="auto"/>
        <w:right w:val="none" w:sz="0" w:space="0" w:color="auto"/>
      </w:divBdr>
      <w:divsChild>
        <w:div w:id="1288586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621</TotalTime>
  <Pages>7</Pages>
  <Words>1088</Words>
  <Characters>5987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carlitos carl</dc:creator>
  <cp:keywords/>
  <dc:description/>
  <cp:lastModifiedBy>carlitos carl</cp:lastModifiedBy>
  <cp:revision>7</cp:revision>
  <dcterms:created xsi:type="dcterms:W3CDTF">2025-07-09T15:51:00Z</dcterms:created>
  <dcterms:modified xsi:type="dcterms:W3CDTF">2026-06-04T21:39:00Z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3fb60edd-9ee1-4cb4-9217-75c36b5ffe53</vt:lpwstr>
  </property>
</Properties>
</file>