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8051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b/>
          <w:kern w:val="0"/>
          <w:sz w:val="32"/>
          <w:szCs w:val="32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kern w:val="0"/>
          <w:sz w:val="32"/>
          <w:szCs w:val="32"/>
          <w:lang w:eastAsia="ja-JP"/>
          <w14:ligatures w14:val="none"/>
        </w:rPr>
        <w:t xml:space="preserve">Supporting Information </w:t>
      </w:r>
    </w:p>
    <w:p w14:paraId="16896E48" w14:textId="078B762D" w:rsidR="001676A9" w:rsidRPr="001676A9" w:rsidRDefault="001676A9" w:rsidP="001676A9">
      <w:pPr>
        <w:tabs>
          <w:tab w:val="left" w:pos="450"/>
        </w:tabs>
        <w:spacing w:after="24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1676A9">
        <w:rPr>
          <w:rFonts w:ascii="Times New Roman" w:eastAsia="Calibri" w:hAnsi="Times New Roman" w:cs="Times New Roman"/>
          <w:b/>
          <w:bCs/>
        </w:rPr>
        <w:t xml:space="preserve">Loosely Crosslinked Liquid Crystal Elastomers </w:t>
      </w:r>
      <w:r w:rsidR="005A7EF5">
        <w:rPr>
          <w:rFonts w:ascii="Times New Roman" w:eastAsia="Calibri" w:hAnsi="Times New Roman" w:cs="Times New Roman"/>
          <w:b/>
          <w:bCs/>
        </w:rPr>
        <w:t>of</w:t>
      </w:r>
      <w:r w:rsidRPr="001676A9">
        <w:rPr>
          <w:rFonts w:ascii="Times New Roman" w:eastAsia="Calibri" w:hAnsi="Times New Roman" w:cs="Times New Roman"/>
          <w:b/>
          <w:bCs/>
        </w:rPr>
        <w:t xml:space="preserve"> High Compliance with Prolonged Creep Lifetime</w:t>
      </w:r>
    </w:p>
    <w:p w14:paraId="3158853E" w14:textId="77777777" w:rsidR="001676A9" w:rsidRPr="001676A9" w:rsidRDefault="001676A9" w:rsidP="001676A9">
      <w:pPr>
        <w:spacing w:after="240" w:line="360" w:lineRule="auto"/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>Robert J. Chambers</w:t>
      </w:r>
      <w:r w:rsidRPr="001676A9">
        <w:rPr>
          <w:rFonts w:ascii="Times New Roman" w:eastAsia="MS Mincho" w:hAnsi="Times New Roman" w:cs="Times New Roman"/>
          <w:i/>
          <w:iCs/>
          <w:kern w:val="0"/>
          <w:vertAlign w:val="superscript"/>
          <w:lang w:eastAsia="ja-JP"/>
          <w14:ligatures w14:val="none"/>
        </w:rPr>
        <w:t>1</w:t>
      </w: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>, Marcus Wu</w:t>
      </w:r>
      <w:r w:rsidRPr="001676A9">
        <w:rPr>
          <w:rFonts w:ascii="Times New Roman" w:eastAsia="MS Mincho" w:hAnsi="Times New Roman" w:cs="Times New Roman"/>
          <w:i/>
          <w:iCs/>
          <w:kern w:val="0"/>
          <w:vertAlign w:val="superscript"/>
          <w:lang w:eastAsia="ja-JP"/>
          <w14:ligatures w14:val="none"/>
        </w:rPr>
        <w:t>2</w:t>
      </w: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>, Tyler Woodard</w:t>
      </w:r>
      <w:r w:rsidRPr="001676A9">
        <w:rPr>
          <w:rFonts w:ascii="Times New Roman" w:eastAsia="MS Mincho" w:hAnsi="Times New Roman" w:cs="Times New Roman"/>
          <w:i/>
          <w:iCs/>
          <w:kern w:val="0"/>
          <w:vertAlign w:val="superscript"/>
          <w:lang w:eastAsia="ja-JP"/>
          <w14:ligatures w14:val="none"/>
        </w:rPr>
        <w:t>2</w:t>
      </w: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>, Richey Li</w:t>
      </w:r>
      <w:r w:rsidRPr="001676A9">
        <w:rPr>
          <w:rFonts w:ascii="Times New Roman" w:eastAsia="MS Mincho" w:hAnsi="Times New Roman" w:cs="Times New Roman"/>
          <w:i/>
          <w:iCs/>
          <w:kern w:val="0"/>
          <w:vertAlign w:val="superscript"/>
          <w:lang w:eastAsia="ja-JP"/>
          <w14:ligatures w14:val="none"/>
        </w:rPr>
        <w:t>2</w:t>
      </w: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>, David Liu</w:t>
      </w:r>
      <w:r w:rsidRPr="001676A9">
        <w:rPr>
          <w:rFonts w:ascii="Times New Roman" w:eastAsia="MS Mincho" w:hAnsi="Times New Roman" w:cs="Times New Roman"/>
          <w:i/>
          <w:iCs/>
          <w:kern w:val="0"/>
          <w:vertAlign w:val="superscript"/>
          <w:lang w:eastAsia="ja-JP"/>
          <w14:ligatures w14:val="none"/>
        </w:rPr>
        <w:t>2</w:t>
      </w: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>, Raja Annapooranan</w:t>
      </w:r>
      <w:r w:rsidRPr="001676A9">
        <w:rPr>
          <w:rFonts w:ascii="Times New Roman" w:eastAsia="MS Mincho" w:hAnsi="Times New Roman" w:cs="Times New Roman"/>
          <w:i/>
          <w:iCs/>
          <w:kern w:val="0"/>
          <w:vertAlign w:val="superscript"/>
          <w:lang w:eastAsia="ja-JP"/>
          <w14:ligatures w14:val="none"/>
        </w:rPr>
        <w:t>2</w:t>
      </w: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>, and Shengqiang Cai</w:t>
      </w:r>
      <w:r w:rsidRPr="001676A9">
        <w:rPr>
          <w:rFonts w:ascii="Times New Roman" w:eastAsia="MS Mincho" w:hAnsi="Times New Roman" w:cs="Times New Roman"/>
          <w:i/>
          <w:iCs/>
          <w:kern w:val="0"/>
          <w:vertAlign w:val="superscript"/>
          <w:lang w:eastAsia="ja-JP"/>
          <w14:ligatures w14:val="none"/>
        </w:rPr>
        <w:t>1,2, *</w:t>
      </w:r>
      <w:r w:rsidRPr="001676A9">
        <w:rPr>
          <w:rFonts w:ascii="Times New Roman" w:eastAsia="MS Mincho" w:hAnsi="Times New Roman" w:cs="Times New Roman"/>
          <w:i/>
          <w:iCs/>
          <w:kern w:val="0"/>
          <w:lang w:eastAsia="ja-JP"/>
          <w14:ligatures w14:val="none"/>
        </w:rPr>
        <w:t xml:space="preserve"> </w:t>
      </w:r>
    </w:p>
    <w:p w14:paraId="2BFC6122" w14:textId="77777777" w:rsidR="001676A9" w:rsidRPr="001676A9" w:rsidRDefault="001676A9" w:rsidP="001676A9">
      <w:pPr>
        <w:spacing w:after="24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kern w:val="0"/>
          <w:vertAlign w:val="superscript"/>
          <w:lang w:eastAsia="ja-JP"/>
          <w14:ligatures w14:val="none"/>
        </w:rPr>
        <w:t>1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Materials Science and Engineering Program, University of California San Diego, La Jolla, CA 92093, USA.</w:t>
      </w:r>
    </w:p>
    <w:p w14:paraId="0C272561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kern w:val="0"/>
          <w:vertAlign w:val="superscript"/>
          <w:lang w:eastAsia="ja-JP"/>
          <w14:ligatures w14:val="none"/>
        </w:rPr>
        <w:t>2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Department of Mechanical and Aerospace Engineering, University of California San Diego, La Jolla, CA 92093, USA.</w:t>
      </w:r>
    </w:p>
    <w:p w14:paraId="54D1AD6A" w14:textId="77777777" w:rsid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</w:p>
    <w:p w14:paraId="23536085" w14:textId="77777777" w:rsidR="001676A9" w:rsidRPr="008E7BB6" w:rsidRDefault="001676A9" w:rsidP="001676A9">
      <w:pPr>
        <w:spacing w:line="360" w:lineRule="auto"/>
        <w:jc w:val="both"/>
        <w:rPr>
          <w:rFonts w:ascii="Times New Roman" w:hAnsi="Times New Roman" w:cs="Times New Roman"/>
        </w:rPr>
      </w:pPr>
      <w:r w:rsidRPr="008E7BB6">
        <w:rPr>
          <w:rFonts w:ascii="Times New Roman" w:hAnsi="Times New Roman" w:cs="Times New Roman"/>
          <w:vertAlign w:val="superscript"/>
        </w:rPr>
        <w:t>*</w:t>
      </w:r>
      <w:r w:rsidRPr="008E7BB6">
        <w:rPr>
          <w:rFonts w:ascii="Times New Roman" w:hAnsi="Times New Roman" w:cs="Times New Roman"/>
        </w:rPr>
        <w:t xml:space="preserve"> Corresponding author. Email: s3cai@ucsd.edu (S.C.)</w:t>
      </w:r>
    </w:p>
    <w:p w14:paraId="0AF697AC" w14:textId="77777777" w:rsidR="001676A9" w:rsidRPr="001676A9" w:rsidRDefault="001676A9" w:rsidP="001676A9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</w:p>
    <w:p w14:paraId="312564FF" w14:textId="77777777" w:rsidR="001676A9" w:rsidRPr="001676A9" w:rsidRDefault="001676A9" w:rsidP="001676A9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</w:p>
    <w:p w14:paraId="02A0575E" w14:textId="77777777" w:rsidR="001676A9" w:rsidRPr="001676A9" w:rsidRDefault="001676A9" w:rsidP="001676A9">
      <w:pPr>
        <w:spacing w:after="0" w:line="240" w:lineRule="auto"/>
        <w:rPr>
          <w:rFonts w:ascii="Times New Roman" w:eastAsia="MS Mincho" w:hAnsi="Times New Roman" w:cs="Times New Roman"/>
          <w:kern w:val="0"/>
          <w:vertAlign w:val="superscript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>Table S1. Summary of Uniaxial Tension Properties at strain rate of 0.1 s</w:t>
      </w:r>
      <w:r w:rsidRPr="001676A9">
        <w:rPr>
          <w:rFonts w:ascii="Times New Roman" w:eastAsia="MS Mincho" w:hAnsi="Times New Roman" w:cs="Times New Roman"/>
          <w:kern w:val="0"/>
          <w:vertAlign w:val="superscript"/>
          <w:lang w:eastAsia="ja-JP"/>
          <w14:ligatures w14:val="none"/>
        </w:rPr>
        <w:t>-1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1525"/>
        <w:gridCol w:w="3960"/>
        <w:gridCol w:w="1440"/>
        <w:gridCol w:w="787"/>
        <w:gridCol w:w="1350"/>
      </w:tblGrid>
      <w:tr w:rsidR="001676A9" w:rsidRPr="001676A9" w14:paraId="7BD9AB3F" w14:textId="77777777" w:rsidTr="00C80A24">
        <w:trPr>
          <w:trHeight w:val="28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4649F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Material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1FCD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Secant Modulus at 100% strain [MPa]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C580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UTS [MPa]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2AB07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D1D5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kern w:val="0"/>
                  <w:sz w:val="22"/>
                  <w:szCs w:val="22"/>
                  <w:vertAlign w:val="subscript"/>
                  <w14:ligatures w14:val="none"/>
                </w:rPr>
                <m:t>ε</m:t>
              </m:r>
            </m:oMath>
            <w:r w:rsidRPr="00167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break</w:t>
            </w:r>
            <w:r w:rsidRPr="001676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[%]</w:t>
            </w:r>
          </w:p>
        </w:tc>
      </w:tr>
      <w:tr w:rsidR="001676A9" w:rsidRPr="001676A9" w14:paraId="2C11F8DF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8C0A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PDMS 15:1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5B16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0.247 ± 0.011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B33B6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0.24 ± 0.02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82FD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14C0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100 ± 4</w:t>
            </w:r>
          </w:p>
        </w:tc>
      </w:tr>
      <w:tr w:rsidR="001676A9" w:rsidRPr="001676A9" w14:paraId="675B60C3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44E0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PDMS 20:1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1241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0.154 ± 0.007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0906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0.19 ± 0.01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C1AFA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9C99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147 ± 20</w:t>
            </w:r>
          </w:p>
        </w:tc>
      </w:tr>
      <w:tr w:rsidR="001676A9" w:rsidRPr="001676A9" w14:paraId="4FBC9139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081C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PDMS 25:1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E9E4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0.090 ± 0.015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DA3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 ± 0.02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7C8311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CEC2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162 ± 28</w:t>
            </w:r>
          </w:p>
        </w:tc>
      </w:tr>
      <w:tr w:rsidR="001676A9" w:rsidRPr="001676A9" w14:paraId="45C10EE8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179E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PDMS 30:1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2CF0F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0.032 ± 0.003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30F0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0.05± 0.00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53C3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1AF5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175 ± 17</w:t>
            </w:r>
          </w:p>
        </w:tc>
      </w:tr>
      <w:tr w:rsidR="001676A9" w:rsidRPr="001676A9" w14:paraId="5040A848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B552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LCE 9%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D8DD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0.126 ± 0.024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7A7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1.56 ± 0.14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3FB73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4AE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459 ± 14</w:t>
            </w:r>
          </w:p>
        </w:tc>
      </w:tr>
      <w:tr w:rsidR="001676A9" w:rsidRPr="001676A9" w14:paraId="2A2C510C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B1B0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LCE 6%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9D7C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0.103 ± 0.016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34AC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1.79 ± 0.14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89EFD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42EE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624 ± 30</w:t>
            </w:r>
          </w:p>
        </w:tc>
      </w:tr>
      <w:tr w:rsidR="001676A9" w:rsidRPr="001676A9" w14:paraId="6DEAD9D1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EFC3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LCE 3%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BA5E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0.064 ± 0.014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A0A2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1.68 ± 0.22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C4F26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5F04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1228 ± 54</w:t>
            </w:r>
          </w:p>
        </w:tc>
      </w:tr>
      <w:tr w:rsidR="001676A9" w:rsidRPr="001676A9" w14:paraId="634D799D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1E0F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Scotch 15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1E76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0.272 ± 0.007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E55C2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0.33 ± 0.01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CB27D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5C66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298 ± 7</w:t>
            </w:r>
          </w:p>
        </w:tc>
      </w:tr>
      <w:tr w:rsidR="001676A9" w:rsidRPr="001676A9" w14:paraId="1073E0BF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5D9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VHB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56BA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0.098 ± 0.003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F47D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0.50 ± 0.01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52DDC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3195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804±39</w:t>
            </w:r>
          </w:p>
        </w:tc>
      </w:tr>
      <w:tr w:rsidR="001676A9" w:rsidRPr="001676A9" w14:paraId="3F895468" w14:textId="77777777" w:rsidTr="00C80A24">
        <w:trPr>
          <w:trHeight w:val="288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BB0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Scotch 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EBDD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0.080 ± 0.005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3B7A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0.37 ± 0.02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78805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9F358" w14:textId="77777777" w:rsidR="001676A9" w:rsidRPr="001676A9" w:rsidRDefault="001676A9" w:rsidP="00167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76A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963 ± 42</w:t>
            </w:r>
          </w:p>
        </w:tc>
      </w:tr>
    </w:tbl>
    <w:p w14:paraId="1277E0AB" w14:textId="77777777" w:rsidR="001676A9" w:rsidRPr="001676A9" w:rsidRDefault="001676A9" w:rsidP="001676A9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br w:type="page"/>
      </w:r>
    </w:p>
    <w:p w14:paraId="1BF2AD28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</w:p>
    <w:p w14:paraId="47E99160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drawing>
          <wp:inline distT="0" distB="0" distL="0" distR="0" wp14:anchorId="66CE1CD7" wp14:editId="0C356297">
            <wp:extent cx="4299343" cy="3397231"/>
            <wp:effectExtent l="0" t="0" r="6350" b="0"/>
            <wp:docPr id="707423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23729" name=""/>
                    <pic:cNvPicPr/>
                  </pic:nvPicPr>
                  <pic:blipFill rotWithShape="1">
                    <a:blip r:embed="rId4"/>
                    <a:srcRect l="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0755" cy="34062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7AF267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b/>
          <w:bCs/>
          <w:kern w:val="0"/>
          <w:lang w:eastAsia="ja-JP"/>
          <w14:ligatures w14:val="none"/>
        </w:rPr>
        <w:t>Figure S1. Uniaxial tensile stress-strain response of Sylgard 184 (PDMS) formulations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prepared at base-to-curing-agent ratios of 15:1 (A), 20:1 (B), 25:1 (C), and 30:1 (D), tested at a nominal strain rate of 0.1 s</w:t>
      </w:r>
      <w:r w:rsidRPr="001676A9">
        <w:rPr>
          <w:rFonts w:ascii="Times New Roman" w:eastAsia="MS Mincho" w:hAnsi="Times New Roman" w:cs="Times New Roman"/>
          <w:kern w:val="0"/>
          <w:vertAlign w:val="superscript"/>
          <w:lang w:eastAsia="ja-JP"/>
          <w14:ligatures w14:val="none"/>
        </w:rPr>
        <w:t>−1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>. Each panel shows three replicate specimens. Increasing base-to-curing-agent ratio reduced stiffness and strength while increasing extensibility, consistent with decreased crosslink density in the more lightly cured PDMS formulations.</w:t>
      </w:r>
    </w:p>
    <w:p w14:paraId="15B25427" w14:textId="77777777" w:rsidR="001676A9" w:rsidRPr="001676A9" w:rsidRDefault="001676A9" w:rsidP="001676A9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br w:type="page"/>
      </w:r>
    </w:p>
    <w:p w14:paraId="755323DF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lastRenderedPageBreak/>
        <w:drawing>
          <wp:inline distT="0" distB="0" distL="0" distR="0" wp14:anchorId="7713DF58" wp14:editId="506C1E6A">
            <wp:extent cx="5760720" cy="1487170"/>
            <wp:effectExtent l="0" t="0" r="0" b="0"/>
            <wp:docPr id="1052555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5556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41BB3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b/>
          <w:bCs/>
          <w:kern w:val="0"/>
          <w:lang w:eastAsia="ja-JP"/>
          <w14:ligatures w14:val="none"/>
        </w:rPr>
        <w:t>Figure S2.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Uniaxial tensile stress-strain response of liquid crystal elastomer (LCE) networks with crosslink densities of 3% (A), 6% (B), and 9% (C), tested at a nominal strain rate of 0.1 </w:t>
      </w:r>
      <m:oMath>
        <m:sSup>
          <m:sSupPr>
            <m:ctrlPr>
              <w:rPr>
                <w:rFonts w:ascii="Cambria Math" w:eastAsia="MS Mincho" w:hAnsi="Cambria Math" w:cs="Times New Roman"/>
                <w:i/>
                <w:iCs/>
                <w:kern w:val="0"/>
                <w:lang w:eastAsia="ja-JP"/>
                <w14:ligatures w14:val="none"/>
              </w:rPr>
            </m:ctrlPr>
          </m:sSupPr>
          <m:e>
            <m:r>
              <m:rPr>
                <m:sty m:val="p"/>
              </m:rPr>
              <w:rPr>
                <w:rFonts w:ascii="Cambria Math" w:eastAsia="MS Mincho" w:hAnsi="Cambria Math" w:cs="Times New Roman"/>
                <w:kern w:val="0"/>
                <w:lang w:eastAsia="ja-JP"/>
                <w14:ligatures w14:val="none"/>
              </w:rPr>
              <m:t>s</m:t>
            </m:r>
          </m:e>
          <m:sup>
            <m:r>
              <m:rPr>
                <m:sty m:val="p"/>
              </m:rPr>
              <w:rPr>
                <w:rFonts w:ascii="Cambria Math" w:eastAsia="MS Mincho" w:hAnsi="Cambria Math" w:cs="Times New Roman"/>
                <w:kern w:val="0"/>
                <w:rtl/>
                <w:lang w:eastAsia="ja-JP" w:bidi="ar-AE"/>
                <w14:ligatures w14:val="none"/>
              </w:rPr>
              <m:t>-1</m:t>
            </m:r>
          </m:sup>
        </m:sSup>
      </m:oMath>
      <w:r w:rsidRPr="001676A9">
        <w:rPr>
          <w:rFonts w:ascii="Times New Roman" w:eastAsia="MS Mincho" w:hAnsi="Times New Roman" w:cs="Times New Roman"/>
          <w:kern w:val="0"/>
          <w:rtl/>
          <w:lang w:eastAsia="ja-JP" w:bidi="ar-AE"/>
          <w14:ligatures w14:val="none"/>
        </w:rPr>
        <w:t xml:space="preserve">. 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>Each panel shows three replicate specimens. The 3% LCE exhibited the greatest extensibility and pronounced strain stiffening at large strain, whereas the 9% LCE showed the highest initial stiffness but failed at substantially lower strain. The 6% LCE displayed intermediate behavior, reflecting the effect of increasing crosslink density on stiffness, strength, and elongation at break.</w:t>
      </w:r>
    </w:p>
    <w:p w14:paraId="79F754E7" w14:textId="77777777" w:rsidR="001676A9" w:rsidRPr="001676A9" w:rsidRDefault="001676A9" w:rsidP="001676A9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br w:type="page"/>
      </w:r>
    </w:p>
    <w:p w14:paraId="20810892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noProof/>
          <w:kern w:val="0"/>
          <w:lang w:eastAsia="ja-JP"/>
          <w14:ligatures w14:val="none"/>
        </w:rPr>
        <w:lastRenderedPageBreak/>
        <w:drawing>
          <wp:inline distT="0" distB="0" distL="0" distR="0" wp14:anchorId="5ED7B4A1" wp14:editId="14396274">
            <wp:extent cx="5760720" cy="2804160"/>
            <wp:effectExtent l="0" t="0" r="0" b="0"/>
            <wp:docPr id="895020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0204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9D30" w14:textId="77777777" w:rsidR="001676A9" w:rsidRPr="001676A9" w:rsidRDefault="001676A9" w:rsidP="001676A9">
      <w:pPr>
        <w:spacing w:after="0" w:line="36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  <w:r w:rsidRPr="001676A9">
        <w:rPr>
          <w:rFonts w:ascii="Times New Roman" w:eastAsia="MS Mincho" w:hAnsi="Times New Roman" w:cs="Times New Roman"/>
          <w:b/>
          <w:bCs/>
          <w:kern w:val="0"/>
          <w:lang w:eastAsia="ja-JP"/>
          <w14:ligatures w14:val="none"/>
        </w:rPr>
        <w:t>Figure S3.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 Tensile response of commercial pressure-sensitive adhesives. (A) Representative uniaxial stress-strain curves for VHB 4910, Scotch 15, and Scotch 20 tested at a nominal strain rate of 0.1 s</w:t>
      </w:r>
      <w:r w:rsidRPr="001676A9">
        <w:rPr>
          <w:rFonts w:ascii="Times New Roman" w:eastAsia="MS Mincho" w:hAnsi="Times New Roman" w:cs="Times New Roman"/>
          <w:kern w:val="0"/>
          <w:vertAlign w:val="superscript"/>
          <w:lang w:eastAsia="ja-JP"/>
          <w14:ligatures w14:val="none"/>
        </w:rPr>
        <w:t>-1</w:t>
      </w:r>
      <w:r w:rsidRPr="001676A9">
        <w:rPr>
          <w:rFonts w:ascii="Times New Roman" w:eastAsia="MS Mincho" w:hAnsi="Times New Roman" w:cs="Times New Roman"/>
          <w:kern w:val="0"/>
          <w:lang w:eastAsia="ja-JP"/>
          <w14:ligatures w14:val="none"/>
        </w:rPr>
        <w:t xml:space="preserve">. (B–D) Replicate stress-strain curves for Scotch 20 (B), Scotch 15 (C), and VHB 4910 (D), respectively. </w:t>
      </w:r>
    </w:p>
    <w:p w14:paraId="5DC4ED3D" w14:textId="77777777" w:rsidR="001676A9" w:rsidRPr="001676A9" w:rsidRDefault="001676A9" w:rsidP="001676A9">
      <w:pPr>
        <w:spacing w:after="0" w:line="240" w:lineRule="auto"/>
        <w:rPr>
          <w:rFonts w:ascii="Times New Roman" w:eastAsia="MS Mincho" w:hAnsi="Times New Roman" w:cs="Times New Roman"/>
          <w:kern w:val="0"/>
          <w:lang w:eastAsia="ja-JP"/>
          <w14:ligatures w14:val="none"/>
        </w:rPr>
      </w:pPr>
    </w:p>
    <w:p w14:paraId="1C1B92B8" w14:textId="77777777" w:rsidR="00614831" w:rsidRDefault="00614831"/>
    <w:sectPr w:rsidR="00614831" w:rsidSect="001676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A9"/>
    <w:rsid w:val="00127FB3"/>
    <w:rsid w:val="001676A9"/>
    <w:rsid w:val="00375986"/>
    <w:rsid w:val="005A7EF5"/>
    <w:rsid w:val="00614831"/>
    <w:rsid w:val="00927B5A"/>
    <w:rsid w:val="00BD107B"/>
    <w:rsid w:val="00C86BAB"/>
    <w:rsid w:val="00CC6E20"/>
    <w:rsid w:val="00D7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A633"/>
  <w15:chartTrackingRefBased/>
  <w15:docId w15:val="{E7FCD438-E2C4-457B-B922-68EB360D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Chambers, Bob</dc:creator>
  <cp:keywords/>
  <dc:description/>
  <cp:lastModifiedBy>Chambers, Bob</cp:lastModifiedBy>
  <cp:revision>2</cp:revision>
  <dcterms:created xsi:type="dcterms:W3CDTF">2026-06-04T18:36:00Z</dcterms:created>
  <dcterms:modified xsi:type="dcterms:W3CDTF">2026-06-04T18:36:00Z</dcterms:modified>
</cp:coreProperties>
</file>