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5EB1" w14:textId="77777777" w:rsidR="007A2C48" w:rsidRPr="005432A0" w:rsidRDefault="007A2C48" w:rsidP="007A2C48">
      <w:pPr>
        <w:pStyle w:val="Bibliography"/>
        <w:ind w:left="0" w:firstLine="0"/>
        <w:rPr>
          <w:rFonts w:eastAsiaTheme="minorHAnsi"/>
          <w:sz w:val="22"/>
          <w:szCs w:val="22"/>
        </w:rPr>
      </w:pPr>
      <w:r w:rsidRPr="00053212">
        <w:rPr>
          <w:b/>
          <w:bCs/>
          <w:sz w:val="28"/>
          <w:szCs w:val="28"/>
        </w:rPr>
        <w:t>Appendix A</w:t>
      </w:r>
    </w:p>
    <w:p w14:paraId="1E437B21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  <w:r w:rsidRPr="00935B8D">
        <w:rPr>
          <w:color w:val="000000" w:themeColor="text1"/>
          <w:sz w:val="22"/>
          <w:szCs w:val="22"/>
        </w:rPr>
        <w:t>Complete database-specific search strings</w:t>
      </w:r>
    </w:p>
    <w:p w14:paraId="1DD757C3" w14:textId="77777777" w:rsidR="007A2C48" w:rsidRPr="008F0B24" w:rsidRDefault="007A2C48" w:rsidP="007A2C48">
      <w:pPr>
        <w:rPr>
          <w:b/>
          <w:bCs/>
          <w:sz w:val="28"/>
          <w:szCs w:val="28"/>
        </w:rPr>
      </w:pPr>
      <w:r w:rsidRPr="008F0B24">
        <w:rPr>
          <w:b/>
          <w:bCs/>
          <w:sz w:val="28"/>
          <w:szCs w:val="28"/>
        </w:rPr>
        <w:t xml:space="preserve">PubMed </w:t>
      </w:r>
    </w:p>
    <w:p w14:paraId="694EA536" w14:textId="77777777" w:rsidR="007A2C48" w:rsidRDefault="007A2C48" w:rsidP="007A2C48">
      <w:r w:rsidRPr="00AE6B64">
        <w:t>(</w:t>
      </w:r>
      <w:r>
        <w:t>“</w:t>
      </w:r>
      <w:r w:rsidRPr="00AE6B64">
        <w:t>Caregivers</w:t>
      </w:r>
      <w:r>
        <w:t>”</w:t>
      </w:r>
      <w:r w:rsidRPr="00AE6B64">
        <w:t xml:space="preserve">[Mesh] OR </w:t>
      </w:r>
      <w:r>
        <w:t>“</w:t>
      </w:r>
      <w:r w:rsidRPr="00AE6B64">
        <w:t>Parents</w:t>
      </w:r>
      <w:r>
        <w:t>”</w:t>
      </w:r>
      <w:r w:rsidRPr="00AE6B64">
        <w:t>[Mesh] OR parent*[tiab] OR mother*[tiab] OR father*[tiab]) AND (</w:t>
      </w:r>
      <w:r>
        <w:t>“</w:t>
      </w:r>
      <w:r w:rsidRPr="00AE6B64">
        <w:t>Infant, Newborn</w:t>
      </w:r>
      <w:r>
        <w:t>”</w:t>
      </w:r>
      <w:r w:rsidRPr="00AE6B64">
        <w:t xml:space="preserve">[Mesh] OR </w:t>
      </w:r>
      <w:r>
        <w:t>“</w:t>
      </w:r>
      <w:r w:rsidRPr="00AE6B64">
        <w:t>Infant, Premature</w:t>
      </w:r>
      <w:r>
        <w:t>”</w:t>
      </w:r>
      <w:r w:rsidRPr="00AE6B64">
        <w:t xml:space="preserve">[Mesh] OR </w:t>
      </w:r>
      <w:r>
        <w:t>“</w:t>
      </w:r>
      <w:r w:rsidRPr="00AE6B64">
        <w:t>Infant, Extremely Premature</w:t>
      </w:r>
      <w:r>
        <w:t>”</w:t>
      </w:r>
      <w:r w:rsidRPr="00AE6B64">
        <w:t xml:space="preserve">[Mesh] OR neonat*[tiab] OR NICU[tiab] OR </w:t>
      </w:r>
      <w:r>
        <w:t>“</w:t>
      </w:r>
      <w:r w:rsidRPr="00AE6B64">
        <w:t>newborn intensive care</w:t>
      </w:r>
      <w:r>
        <w:t>”</w:t>
      </w:r>
      <w:r w:rsidRPr="00AE6B64">
        <w:t xml:space="preserve">[tiab] OR </w:t>
      </w:r>
      <w:r>
        <w:t>“</w:t>
      </w:r>
      <w:r w:rsidRPr="00AE6B64">
        <w:t>Intensive Care, Neonatal</w:t>
      </w:r>
      <w:r>
        <w:t>”</w:t>
      </w:r>
      <w:r w:rsidRPr="00AE6B64">
        <w:t>[Mesh]) AND (</w:t>
      </w:r>
      <w:r>
        <w:t>“</w:t>
      </w:r>
      <w:r w:rsidRPr="00AE6B64">
        <w:t>Patient Discharge</w:t>
      </w:r>
      <w:r>
        <w:t>”</w:t>
      </w:r>
      <w:r w:rsidRPr="00AE6B64">
        <w:t xml:space="preserve">[Mesh] OR </w:t>
      </w:r>
      <w:r>
        <w:t>“</w:t>
      </w:r>
      <w:r w:rsidRPr="00AE6B64">
        <w:t>Patient Discharge Summaries</w:t>
      </w:r>
      <w:r>
        <w:t>”</w:t>
      </w:r>
      <w:r w:rsidRPr="00AE6B64">
        <w:t xml:space="preserve">[Mesh] OR discharge[tiab] OR </w:t>
      </w:r>
      <w:r>
        <w:t>“</w:t>
      </w:r>
      <w:r w:rsidRPr="00AE6B64">
        <w:t>hospital discharge</w:t>
      </w:r>
      <w:r>
        <w:t>”</w:t>
      </w:r>
      <w:r w:rsidRPr="00AE6B64">
        <w:t xml:space="preserve">[tiab] OR </w:t>
      </w:r>
      <w:r>
        <w:t>“</w:t>
      </w:r>
      <w:r w:rsidRPr="00AE6B64">
        <w:t>discharge education</w:t>
      </w:r>
      <w:r>
        <w:t>”</w:t>
      </w:r>
      <w:r w:rsidRPr="00AE6B64">
        <w:t xml:space="preserve">[tiab] OR </w:t>
      </w:r>
      <w:r>
        <w:t>“</w:t>
      </w:r>
      <w:r w:rsidRPr="00AE6B64">
        <w:t>discharge instruction*</w:t>
      </w:r>
      <w:r>
        <w:t>”</w:t>
      </w:r>
      <w:r w:rsidRPr="00AE6B64">
        <w:t xml:space="preserve">[tiab] OR </w:t>
      </w:r>
      <w:r>
        <w:t>“</w:t>
      </w:r>
      <w:r w:rsidRPr="00AE6B64">
        <w:t>discharge intervention*</w:t>
      </w:r>
      <w:r>
        <w:t>”</w:t>
      </w:r>
      <w:r w:rsidRPr="00AE6B64">
        <w:t>[tiab]) AND (</w:t>
      </w:r>
      <w:r>
        <w:t>“</w:t>
      </w:r>
      <w:r w:rsidRPr="00AE6B64">
        <w:t>Patient Satisfaction</w:t>
      </w:r>
      <w:r>
        <w:t>”</w:t>
      </w:r>
      <w:r w:rsidRPr="00AE6B64">
        <w:t>[Mesh] OR satisfaction[tiab] OR experience*[tiab] OR perception*[tiab] OR understanding[tiab] OR comprehension[tiab]) AND (</w:t>
      </w:r>
      <w:r>
        <w:t>“</w:t>
      </w:r>
      <w:r w:rsidRPr="00AE6B64">
        <w:t>Infant, Newborn, Diseases</w:t>
      </w:r>
      <w:r>
        <w:t>”</w:t>
      </w:r>
      <w:r w:rsidRPr="00AE6B64">
        <w:t xml:space="preserve">[Mesh] OR </w:t>
      </w:r>
      <w:r>
        <w:t>“</w:t>
      </w:r>
      <w:r w:rsidRPr="00AE6B64">
        <w:t>Chronic Disease</w:t>
      </w:r>
      <w:r>
        <w:t>”</w:t>
      </w:r>
      <w:r w:rsidRPr="00AE6B64">
        <w:t xml:space="preserve">[Mesh] OR </w:t>
      </w:r>
      <w:r>
        <w:t>“</w:t>
      </w:r>
      <w:r w:rsidRPr="00AE6B64">
        <w:t>Complex Chronic Conditions</w:t>
      </w:r>
      <w:r>
        <w:t>”</w:t>
      </w:r>
      <w:r w:rsidRPr="00AE6B64">
        <w:t xml:space="preserve">[tiab] OR </w:t>
      </w:r>
      <w:r>
        <w:t>“</w:t>
      </w:r>
      <w:r w:rsidRPr="00AE6B64">
        <w:t>medical complexity</w:t>
      </w:r>
      <w:r>
        <w:t>”</w:t>
      </w:r>
      <w:r w:rsidRPr="00AE6B64">
        <w:t xml:space="preserve">[tiab] OR </w:t>
      </w:r>
      <w:r>
        <w:t>“</w:t>
      </w:r>
      <w:r w:rsidRPr="00AE6B64">
        <w:t>technology-dependent</w:t>
      </w:r>
      <w:r>
        <w:t>”</w:t>
      </w:r>
      <w:r w:rsidRPr="00AE6B64">
        <w:t>[tiab]) AND (</w:t>
      </w:r>
      <w:r>
        <w:pgNum/>
      </w:r>
      <w:r>
        <w:t>nglish</w:t>
      </w:r>
      <w:r w:rsidRPr="00AE6B64">
        <w:t>[lang])</w:t>
      </w:r>
    </w:p>
    <w:p w14:paraId="0924EC80" w14:textId="77777777" w:rsidR="007A2C48" w:rsidRDefault="007A2C48" w:rsidP="007A2C48">
      <w:r>
        <w:t xml:space="preserve">Revised: </w:t>
      </w:r>
    </w:p>
    <w:p w14:paraId="6891A2D8" w14:textId="77777777" w:rsidR="007A2C48" w:rsidRDefault="007A2C48" w:rsidP="007A2C48">
      <w:r>
        <w:t>(“Caregivers”[Mesh] OR “Parents”[Mesh] OR parent*[tiab] OR mother*[tiab] OR father*[tiab])</w:t>
      </w:r>
    </w:p>
    <w:p w14:paraId="36212916" w14:textId="77777777" w:rsidR="007A2C48" w:rsidRDefault="007A2C48" w:rsidP="007A2C48">
      <w:r>
        <w:t>AND</w:t>
      </w:r>
    </w:p>
    <w:p w14:paraId="31320B0F" w14:textId="77777777" w:rsidR="007A2C48" w:rsidRDefault="007A2C48" w:rsidP="007A2C48">
      <w:r>
        <w:t>(“Infant, Newborn”[Mesh] OR “Infant, Premature”[Mesh] OR “Infant, Extremely Premature”[Mesh] OR neonat*[tiab] OR NICU[tiab] OR “newborn intensive care”[tiab] OR “Intensive Care, Neonatal”[Mesh])</w:t>
      </w:r>
    </w:p>
    <w:p w14:paraId="67DEFEA9" w14:textId="77777777" w:rsidR="007A2C48" w:rsidRDefault="007A2C48" w:rsidP="007A2C48">
      <w:r>
        <w:t>AND</w:t>
      </w:r>
    </w:p>
    <w:p w14:paraId="70DC8CC8" w14:textId="77777777" w:rsidR="007A2C48" w:rsidRDefault="007A2C48" w:rsidP="007A2C48">
      <w:r>
        <w:t>(“Patient Discharge”[Mesh] OR “Patient Discharge Summaries”[Mesh] OR discharge[tiab] OR “hospital discharge”[tiab] OR “discharge education”[tiab] OR “discharge instruction*”[tiab] OR “discharge intervention*”[tiab])</w:t>
      </w:r>
    </w:p>
    <w:p w14:paraId="5811CA5E" w14:textId="77777777" w:rsidR="007A2C48" w:rsidRDefault="007A2C48" w:rsidP="007A2C48">
      <w:r>
        <w:t>AND</w:t>
      </w:r>
    </w:p>
    <w:p w14:paraId="3D8D5FC6" w14:textId="77777777" w:rsidR="007A2C48" w:rsidRDefault="007A2C48" w:rsidP="007A2C48">
      <w:r>
        <w:t>(“Patient Satisfaction”[Mesh] OR satisfaction[tiab] OR experience*[tiab] OR perception*[tiab] OR understanding[tiab] OR comprehension[tiab])</w:t>
      </w:r>
    </w:p>
    <w:p w14:paraId="73A010C9" w14:textId="77777777" w:rsidR="007A2C48" w:rsidRDefault="007A2C48" w:rsidP="007A2C48">
      <w:r>
        <w:t>AND</w:t>
      </w:r>
    </w:p>
    <w:p w14:paraId="5EB0D166" w14:textId="77777777" w:rsidR="007A2C48" w:rsidRDefault="007A2C48" w:rsidP="007A2C48">
      <w:r>
        <w:t>((“Infant, Newborn, Diseases”[Mesh] OR “Chronic Disease”[Mesh] OR “Complex Chronic Conditions”[tiab] OR “medical complexity”[tiab] OR “technology-dependent”[tiab])</w:t>
      </w:r>
    </w:p>
    <w:p w14:paraId="405E22ED" w14:textId="77777777" w:rsidR="007A2C48" w:rsidRDefault="007A2C48" w:rsidP="007A2C48">
      <w:r>
        <w:t>OR</w:t>
      </w:r>
    </w:p>
    <w:p w14:paraId="766EB503" w14:textId="77777777" w:rsidR="007A2C48" w:rsidRDefault="007A2C48" w:rsidP="007A2C48">
      <w:r>
        <w:t>(“Healthy Infant”[Mesh] OR “Infant, Normal”[Mesh] OR “non-complex”[tiab] OR “without chronic condition*”[tiab] OR “healthy newborn”[tiab]))</w:t>
      </w:r>
    </w:p>
    <w:p w14:paraId="102328E8" w14:textId="77777777" w:rsidR="007A2C48" w:rsidRDefault="007A2C48" w:rsidP="007A2C48">
      <w:r>
        <w:t>AND</w:t>
      </w:r>
    </w:p>
    <w:p w14:paraId="2FE506A7" w14:textId="77777777" w:rsidR="007A2C48" w:rsidRDefault="007A2C48" w:rsidP="007A2C48">
      <w:r>
        <w:t>(</w:t>
      </w:r>
      <w:r>
        <w:pgNum/>
      </w:r>
      <w:r>
        <w:t>nglish[lang])</w:t>
      </w:r>
    </w:p>
    <w:p w14:paraId="003CFB41" w14:textId="77777777" w:rsidR="007A2C48" w:rsidRDefault="007A2C48" w:rsidP="007A2C48"/>
    <w:p w14:paraId="3E7FA423" w14:textId="77777777" w:rsidR="007A2C48" w:rsidRPr="008F0B24" w:rsidRDefault="007A2C48" w:rsidP="007A2C48">
      <w:pPr>
        <w:rPr>
          <w:b/>
          <w:bCs/>
          <w:sz w:val="28"/>
          <w:szCs w:val="28"/>
        </w:rPr>
      </w:pPr>
      <w:r w:rsidRPr="008F0B24">
        <w:rPr>
          <w:b/>
          <w:bCs/>
          <w:sz w:val="28"/>
          <w:szCs w:val="28"/>
        </w:rPr>
        <w:t>Embase</w:t>
      </w:r>
    </w:p>
    <w:p w14:paraId="41C89D0C" w14:textId="77777777" w:rsidR="007A2C48" w:rsidRDefault="007A2C48" w:rsidP="007A2C48">
      <w:r w:rsidRPr="002C5D82">
        <w:t>(</w:t>
      </w:r>
      <w:r>
        <w:t>‘</w:t>
      </w:r>
      <w:r w:rsidRPr="002C5D82">
        <w:t>caregiver</w:t>
      </w:r>
      <w:r>
        <w:t>’</w:t>
      </w:r>
      <w:r w:rsidRPr="002C5D82">
        <w:t xml:space="preserve">/exp/mj OR </w:t>
      </w:r>
      <w:r>
        <w:t>‘</w:t>
      </w:r>
      <w:r w:rsidRPr="002C5D82">
        <w:t>caregiver</w:t>
      </w:r>
      <w:r>
        <w:t>’</w:t>
      </w:r>
      <w:r w:rsidRPr="002C5D82">
        <w:t xml:space="preserve"> OR </w:t>
      </w:r>
      <w:r>
        <w:t>‘</w:t>
      </w:r>
      <w:r w:rsidRPr="002C5D82">
        <w:t>parent</w:t>
      </w:r>
      <w:r>
        <w:t>’</w:t>
      </w:r>
      <w:r w:rsidRPr="002C5D82">
        <w:t xml:space="preserve">/exp/mj OR </w:t>
      </w:r>
      <w:r>
        <w:t>‘</w:t>
      </w:r>
      <w:r w:rsidRPr="002C5D82">
        <w:t>parent</w:t>
      </w:r>
      <w:r>
        <w:t>’</w:t>
      </w:r>
      <w:r w:rsidRPr="002C5D82">
        <w:t xml:space="preserve"> OR </w:t>
      </w:r>
      <w:r>
        <w:t>‘</w:t>
      </w:r>
      <w:r w:rsidRPr="002C5D82">
        <w:t>parent*</w:t>
      </w:r>
      <w:r>
        <w:t>’</w:t>
      </w:r>
      <w:r w:rsidRPr="002C5D82">
        <w:t xml:space="preserve">:ti,ab,kw OR </w:t>
      </w:r>
      <w:r>
        <w:t>‘</w:t>
      </w:r>
      <w:r w:rsidRPr="002C5D82">
        <w:t>mother*</w:t>
      </w:r>
      <w:r>
        <w:t>’</w:t>
      </w:r>
      <w:r w:rsidRPr="002C5D82">
        <w:t xml:space="preserve">:ti,ab,kw OR </w:t>
      </w:r>
      <w:r>
        <w:t>‘</w:t>
      </w:r>
      <w:r w:rsidRPr="002C5D82">
        <w:t>father*</w:t>
      </w:r>
      <w:r>
        <w:t>’</w:t>
      </w:r>
      <w:r w:rsidRPr="002C5D82">
        <w:t>:ti,ab,kw) AND (</w:t>
      </w:r>
      <w:r>
        <w:t>‘</w:t>
      </w:r>
      <w:r w:rsidRPr="002C5D82">
        <w:t>newborn</w:t>
      </w:r>
      <w:r>
        <w:t>’</w:t>
      </w:r>
      <w:r w:rsidRPr="002C5D82">
        <w:t xml:space="preserve">/exp/mj OR </w:t>
      </w:r>
      <w:r>
        <w:t>‘</w:t>
      </w:r>
      <w:r w:rsidRPr="002C5D82">
        <w:t>newborn</w:t>
      </w:r>
      <w:r>
        <w:t>’</w:t>
      </w:r>
      <w:r w:rsidRPr="002C5D82">
        <w:t xml:space="preserve"> OR </w:t>
      </w:r>
      <w:r>
        <w:t>‘</w:t>
      </w:r>
      <w:r w:rsidRPr="002C5D82">
        <w:t>prematurity</w:t>
      </w:r>
      <w:r>
        <w:t>’</w:t>
      </w:r>
      <w:r w:rsidRPr="002C5D82">
        <w:t xml:space="preserve">/exp/mj OR </w:t>
      </w:r>
      <w:r>
        <w:t>‘</w:t>
      </w:r>
      <w:r w:rsidRPr="002C5D82">
        <w:t>prematurity</w:t>
      </w:r>
      <w:r>
        <w:t>’</w:t>
      </w:r>
      <w:r w:rsidRPr="002C5D82">
        <w:t xml:space="preserve"> OR </w:t>
      </w:r>
      <w:r>
        <w:t>‘</w:t>
      </w:r>
      <w:r w:rsidRPr="002C5D82">
        <w:t>extremely premature birth</w:t>
      </w:r>
      <w:r>
        <w:t>’</w:t>
      </w:r>
      <w:r w:rsidRPr="002C5D82">
        <w:t xml:space="preserve">/exp/mj OR </w:t>
      </w:r>
      <w:r>
        <w:t>‘</w:t>
      </w:r>
      <w:r w:rsidRPr="002C5D82">
        <w:t>extremely premature birth</w:t>
      </w:r>
      <w:r>
        <w:t>’</w:t>
      </w:r>
      <w:r w:rsidRPr="002C5D82">
        <w:t xml:space="preserve"> OR </w:t>
      </w:r>
      <w:r>
        <w:t>‘</w:t>
      </w:r>
      <w:r w:rsidRPr="002C5D82">
        <w:t>neonat*</w:t>
      </w:r>
      <w:r>
        <w:t>’</w:t>
      </w:r>
      <w:r w:rsidRPr="002C5D82">
        <w:t xml:space="preserve">:ti,ab,kw OR </w:t>
      </w:r>
      <w:r>
        <w:t>‘</w:t>
      </w:r>
      <w:r w:rsidRPr="002C5D82">
        <w:t>nicu</w:t>
      </w:r>
      <w:r>
        <w:t>’</w:t>
      </w:r>
      <w:r w:rsidRPr="002C5D82">
        <w:t xml:space="preserve">:ti,ab,kw OR </w:t>
      </w:r>
      <w:r>
        <w:t>‘</w:t>
      </w:r>
      <w:r w:rsidRPr="002C5D82">
        <w:t>newborn intensive care</w:t>
      </w:r>
      <w:r>
        <w:t>’</w:t>
      </w:r>
      <w:r w:rsidRPr="002C5D82">
        <w:t xml:space="preserve">:ti,ab,kw OR </w:t>
      </w:r>
      <w:r>
        <w:t>‘</w:t>
      </w:r>
      <w:r w:rsidRPr="002C5D82">
        <w:t>newborn intensive care</w:t>
      </w:r>
      <w:r>
        <w:t>’</w:t>
      </w:r>
      <w:r w:rsidRPr="002C5D82">
        <w:t xml:space="preserve">/exp/mj OR </w:t>
      </w:r>
      <w:r>
        <w:t>‘</w:t>
      </w:r>
      <w:r w:rsidRPr="002C5D82">
        <w:t>newborn intensive care</w:t>
      </w:r>
      <w:r>
        <w:t>’</w:t>
      </w:r>
      <w:r w:rsidRPr="002C5D82">
        <w:t>) AND (</w:t>
      </w:r>
      <w:r>
        <w:t>‘</w:t>
      </w:r>
      <w:r w:rsidRPr="002C5D82">
        <w:t>hospital discharge</w:t>
      </w:r>
      <w:r>
        <w:t>’</w:t>
      </w:r>
      <w:r w:rsidRPr="002C5D82">
        <w:t xml:space="preserve">/exp/mj OR </w:t>
      </w:r>
      <w:r>
        <w:t>‘</w:t>
      </w:r>
      <w:r w:rsidRPr="002C5D82">
        <w:t>hospital discharge</w:t>
      </w:r>
      <w:r>
        <w:t>’</w:t>
      </w:r>
      <w:r w:rsidRPr="002C5D82">
        <w:t xml:space="preserve"> OR </w:t>
      </w:r>
      <w:r>
        <w:t>‘</w:t>
      </w:r>
      <w:r w:rsidRPr="002C5D82">
        <w:t>medical record</w:t>
      </w:r>
      <w:r>
        <w:t>’</w:t>
      </w:r>
      <w:r w:rsidRPr="002C5D82">
        <w:t xml:space="preserve">/exp/mj OR </w:t>
      </w:r>
      <w:r>
        <w:t>‘</w:t>
      </w:r>
      <w:r w:rsidRPr="002C5D82">
        <w:t>medical record</w:t>
      </w:r>
      <w:r>
        <w:t>’</w:t>
      </w:r>
      <w:r w:rsidRPr="002C5D82">
        <w:t xml:space="preserve"> OR </w:t>
      </w:r>
      <w:r>
        <w:t>‘</w:t>
      </w:r>
      <w:r w:rsidRPr="002C5D82">
        <w:t>discharge</w:t>
      </w:r>
      <w:r>
        <w:t>’</w:t>
      </w:r>
      <w:r w:rsidRPr="002C5D82">
        <w:t xml:space="preserve">:ti,ab,kw OR </w:t>
      </w:r>
      <w:r>
        <w:t>‘</w:t>
      </w:r>
      <w:r w:rsidRPr="002C5D82">
        <w:t>hospital discharge</w:t>
      </w:r>
      <w:r>
        <w:t>’</w:t>
      </w:r>
      <w:r w:rsidRPr="002C5D82">
        <w:t xml:space="preserve">:ti,ab,kw OR </w:t>
      </w:r>
      <w:r>
        <w:t>‘</w:t>
      </w:r>
      <w:r w:rsidRPr="002C5D82">
        <w:t>discharge education</w:t>
      </w:r>
      <w:r>
        <w:t>’</w:t>
      </w:r>
      <w:r w:rsidRPr="002C5D82">
        <w:t xml:space="preserve">:ti,ab,kw OR </w:t>
      </w:r>
      <w:r>
        <w:t>‘</w:t>
      </w:r>
      <w:r w:rsidRPr="002C5D82">
        <w:t>discharge instruction*</w:t>
      </w:r>
      <w:r>
        <w:t>’</w:t>
      </w:r>
      <w:r w:rsidRPr="002C5D82">
        <w:t xml:space="preserve">:ti,ab,kw OR </w:t>
      </w:r>
      <w:r>
        <w:t>‘</w:t>
      </w:r>
      <w:r w:rsidRPr="002C5D82">
        <w:t>discharge intervention*</w:t>
      </w:r>
      <w:r>
        <w:t>’</w:t>
      </w:r>
      <w:r w:rsidRPr="002C5D82">
        <w:t>:ti,ab,kw) AND (</w:t>
      </w:r>
      <w:r>
        <w:t>‘</w:t>
      </w:r>
      <w:r w:rsidRPr="002C5D82">
        <w:t xml:space="preserve">patient </w:t>
      </w:r>
      <w:r w:rsidRPr="002C5D82">
        <w:lastRenderedPageBreak/>
        <w:t>satisfaction</w:t>
      </w:r>
      <w:r>
        <w:t>’</w:t>
      </w:r>
      <w:r w:rsidRPr="002C5D82">
        <w:t xml:space="preserve">/exp/mj OR </w:t>
      </w:r>
      <w:r>
        <w:t>‘</w:t>
      </w:r>
      <w:r w:rsidRPr="002C5D82">
        <w:t>patient satisfaction</w:t>
      </w:r>
      <w:r>
        <w:t>’</w:t>
      </w:r>
      <w:r w:rsidRPr="002C5D82">
        <w:t xml:space="preserve"> OR </w:t>
      </w:r>
      <w:r>
        <w:t>‘</w:t>
      </w:r>
      <w:r w:rsidRPr="002C5D82">
        <w:t>satisfaction</w:t>
      </w:r>
      <w:r>
        <w:t>’</w:t>
      </w:r>
      <w:r w:rsidRPr="002C5D82">
        <w:t xml:space="preserve">:ti,ab,kw OR </w:t>
      </w:r>
      <w:r>
        <w:t>‘</w:t>
      </w:r>
      <w:r w:rsidRPr="002C5D82">
        <w:t>experience*</w:t>
      </w:r>
      <w:r>
        <w:t>’</w:t>
      </w:r>
      <w:r w:rsidRPr="002C5D82">
        <w:t xml:space="preserve">:ti,ab,kw OR </w:t>
      </w:r>
      <w:r>
        <w:t>‘</w:t>
      </w:r>
      <w:r w:rsidRPr="002C5D82">
        <w:t>perception*</w:t>
      </w:r>
      <w:r>
        <w:t>’</w:t>
      </w:r>
      <w:r w:rsidRPr="002C5D82">
        <w:t xml:space="preserve">:ti,ab,kw OR </w:t>
      </w:r>
      <w:r>
        <w:t>‘</w:t>
      </w:r>
      <w:r w:rsidRPr="002C5D82">
        <w:t>understanding</w:t>
      </w:r>
      <w:r>
        <w:t>’</w:t>
      </w:r>
      <w:r w:rsidRPr="002C5D82">
        <w:t xml:space="preserve">:ti,ab,kw OR </w:t>
      </w:r>
      <w:r>
        <w:t>‘</w:t>
      </w:r>
      <w:r w:rsidRPr="002C5D82">
        <w:t>comprehension</w:t>
      </w:r>
      <w:r>
        <w:t>’</w:t>
      </w:r>
      <w:r w:rsidRPr="002C5D82">
        <w:t>:ti,ab,kw) AND (</w:t>
      </w:r>
      <w:r>
        <w:t>‘</w:t>
      </w:r>
      <w:r w:rsidRPr="002C5D82">
        <w:t>newborn disease</w:t>
      </w:r>
      <w:r>
        <w:t>’</w:t>
      </w:r>
      <w:r w:rsidRPr="002C5D82">
        <w:t xml:space="preserve">/exp/mj OR </w:t>
      </w:r>
      <w:r>
        <w:t>‘</w:t>
      </w:r>
      <w:r w:rsidRPr="002C5D82">
        <w:t>newborn disease</w:t>
      </w:r>
      <w:r>
        <w:t>’</w:t>
      </w:r>
      <w:r w:rsidRPr="002C5D82">
        <w:t xml:space="preserve"> OR </w:t>
      </w:r>
      <w:r>
        <w:t>‘</w:t>
      </w:r>
      <w:r w:rsidRPr="002C5D82">
        <w:t>chronic disease</w:t>
      </w:r>
      <w:r>
        <w:t>’</w:t>
      </w:r>
      <w:r w:rsidRPr="002C5D82">
        <w:t xml:space="preserve">/exp/mj OR </w:t>
      </w:r>
      <w:r>
        <w:t>‘</w:t>
      </w:r>
      <w:r w:rsidRPr="002C5D82">
        <w:t>chronic disease</w:t>
      </w:r>
      <w:r>
        <w:t>’</w:t>
      </w:r>
      <w:r w:rsidRPr="002C5D82">
        <w:t xml:space="preserve"> OR </w:t>
      </w:r>
      <w:r>
        <w:t>‘</w:t>
      </w:r>
      <w:r w:rsidRPr="002C5D82">
        <w:t>complex chronic conditions</w:t>
      </w:r>
      <w:r>
        <w:t>’</w:t>
      </w:r>
      <w:r w:rsidRPr="002C5D82">
        <w:t xml:space="preserve">:ti,ab,kw OR </w:t>
      </w:r>
      <w:r>
        <w:t>‘</w:t>
      </w:r>
      <w:r w:rsidRPr="002C5D82">
        <w:t>medical complexity</w:t>
      </w:r>
      <w:r>
        <w:t>’</w:t>
      </w:r>
      <w:r w:rsidRPr="002C5D82">
        <w:t xml:space="preserve">:ti,ab,kw OR </w:t>
      </w:r>
      <w:r>
        <w:t>‘</w:t>
      </w:r>
      <w:r w:rsidRPr="002C5D82">
        <w:t>technology-dependent</w:t>
      </w:r>
      <w:r>
        <w:t>’</w:t>
      </w:r>
      <w:r w:rsidRPr="002C5D82">
        <w:t xml:space="preserve">:ti,ab,kw OR </w:t>
      </w:r>
      <w:r>
        <w:t>‘</w:t>
      </w:r>
      <w:r w:rsidRPr="002C5D82">
        <w:t>non-complex</w:t>
      </w:r>
      <w:r>
        <w:t>’</w:t>
      </w:r>
      <w:r w:rsidRPr="002C5D82">
        <w:t xml:space="preserve">:ti,ab,kw OR </w:t>
      </w:r>
      <w:r>
        <w:t>‘</w:t>
      </w:r>
      <w:r w:rsidRPr="002C5D82">
        <w:t>without chronic condition*</w:t>
      </w:r>
      <w:r>
        <w:t>’</w:t>
      </w:r>
      <w:r w:rsidRPr="002C5D82">
        <w:t xml:space="preserve">:ti,ab,kw OR </w:t>
      </w:r>
      <w:r>
        <w:t>‘</w:t>
      </w:r>
      <w:r w:rsidRPr="002C5D82">
        <w:t>healthy newborn</w:t>
      </w:r>
      <w:r>
        <w:t>’</w:t>
      </w:r>
      <w:r w:rsidRPr="002C5D82">
        <w:t>:ti,ab,kw)</w:t>
      </w:r>
    </w:p>
    <w:p w14:paraId="483D9E6A" w14:textId="77777777" w:rsidR="007A2C48" w:rsidRDefault="007A2C48" w:rsidP="007A2C48">
      <w:r w:rsidRPr="002C5D82">
        <w:t>AND (</w:t>
      </w:r>
      <w:r>
        <w:t>‘</w:t>
      </w:r>
      <w:r w:rsidRPr="002C5D82">
        <w:t>brain hemorrhage</w:t>
      </w:r>
      <w:r>
        <w:t>’</w:t>
      </w:r>
      <w:r w:rsidRPr="002C5D82">
        <w:t xml:space="preserve">/dm OR </w:t>
      </w:r>
      <w:r>
        <w:t>‘</w:t>
      </w:r>
      <w:r w:rsidRPr="002C5D82">
        <w:t>cerebral palsy</w:t>
      </w:r>
      <w:r>
        <w:t>’</w:t>
      </w:r>
      <w:r w:rsidRPr="002C5D82">
        <w:t xml:space="preserve">/dm OR </w:t>
      </w:r>
      <w:r>
        <w:t>‘</w:t>
      </w:r>
      <w:r w:rsidRPr="002C5D82">
        <w:t>chronic disease</w:t>
      </w:r>
      <w:r>
        <w:t>’</w:t>
      </w:r>
      <w:r w:rsidRPr="002C5D82">
        <w:t xml:space="preserve">/dm OR </w:t>
      </w:r>
      <w:r>
        <w:t>‘</w:t>
      </w:r>
      <w:r w:rsidRPr="002C5D82">
        <w:t>chronic lung disease</w:t>
      </w:r>
      <w:r>
        <w:t>’</w:t>
      </w:r>
      <w:r w:rsidRPr="002C5D82">
        <w:t xml:space="preserve">/dm OR </w:t>
      </w:r>
      <w:r>
        <w:t>‘</w:t>
      </w:r>
      <w:r w:rsidRPr="002C5D82">
        <w:t>complication</w:t>
      </w:r>
      <w:r>
        <w:t>’</w:t>
      </w:r>
      <w:r w:rsidRPr="002C5D82">
        <w:t xml:space="preserve">/dm OR </w:t>
      </w:r>
      <w:r>
        <w:t>‘</w:t>
      </w:r>
      <w:r w:rsidRPr="002C5D82">
        <w:t>congenital disorder</w:t>
      </w:r>
      <w:r>
        <w:t>’</w:t>
      </w:r>
      <w:r w:rsidRPr="002C5D82">
        <w:t xml:space="preserve">/dm OR </w:t>
      </w:r>
      <w:r>
        <w:t>‘</w:t>
      </w:r>
      <w:r w:rsidRPr="002C5D82">
        <w:t>congenital heart disease</w:t>
      </w:r>
      <w:r>
        <w:t>’</w:t>
      </w:r>
      <w:r w:rsidRPr="002C5D82">
        <w:t xml:space="preserve">/dm OR </w:t>
      </w:r>
      <w:r>
        <w:t>‘</w:t>
      </w:r>
      <w:r w:rsidRPr="002C5D82">
        <w:t>congenital heart malformation</w:t>
      </w:r>
      <w:r>
        <w:t>’</w:t>
      </w:r>
      <w:r w:rsidRPr="002C5D82">
        <w:t xml:space="preserve">/dm OR </w:t>
      </w:r>
      <w:r>
        <w:t>‘</w:t>
      </w:r>
      <w:r w:rsidRPr="002C5D82">
        <w:t>congenital malformation</w:t>
      </w:r>
      <w:r>
        <w:t>’</w:t>
      </w:r>
      <w:r w:rsidRPr="002C5D82">
        <w:t xml:space="preserve">/dm OR </w:t>
      </w:r>
      <w:r>
        <w:t>‘</w:t>
      </w:r>
      <w:r w:rsidRPr="002C5D82">
        <w:t>extremely low birth weight</w:t>
      </w:r>
      <w:r>
        <w:t>’</w:t>
      </w:r>
      <w:r w:rsidRPr="002C5D82">
        <w:t xml:space="preserve">/dm OR </w:t>
      </w:r>
      <w:r>
        <w:t>‘</w:t>
      </w:r>
      <w:r w:rsidRPr="002C5D82">
        <w:t>gastroschisis</w:t>
      </w:r>
      <w:r>
        <w:t>’</w:t>
      </w:r>
      <w:r w:rsidRPr="002C5D82">
        <w:t xml:space="preserve">/dm OR </w:t>
      </w:r>
      <w:r>
        <w:t>‘</w:t>
      </w:r>
      <w:r w:rsidRPr="002C5D82">
        <w:t>lung dysplasia</w:t>
      </w:r>
      <w:r>
        <w:t>’</w:t>
      </w:r>
      <w:r w:rsidRPr="002C5D82">
        <w:t xml:space="preserve">/dm OR </w:t>
      </w:r>
      <w:r>
        <w:t>‘</w:t>
      </w:r>
      <w:r w:rsidRPr="002C5D82">
        <w:t>necrotizing enterocolitis</w:t>
      </w:r>
      <w:r>
        <w:t>’</w:t>
      </w:r>
      <w:r w:rsidRPr="002C5D82">
        <w:t xml:space="preserve">/dm OR </w:t>
      </w:r>
      <w:r>
        <w:t>‘</w:t>
      </w:r>
      <w:r w:rsidRPr="002C5D82">
        <w:t>newborn disease</w:t>
      </w:r>
      <w:r>
        <w:t>’</w:t>
      </w:r>
      <w:r w:rsidRPr="002C5D82">
        <w:t xml:space="preserve">/dm OR </w:t>
      </w:r>
      <w:r>
        <w:t>‘</w:t>
      </w:r>
      <w:r w:rsidRPr="002C5D82">
        <w:t>newborn sepsis</w:t>
      </w:r>
      <w:r>
        <w:t>’</w:t>
      </w:r>
      <w:r w:rsidRPr="002C5D82">
        <w:t xml:space="preserve">/dm OR </w:t>
      </w:r>
      <w:r>
        <w:t>‘</w:t>
      </w:r>
      <w:r w:rsidRPr="002C5D82">
        <w:t>respiratory distress</w:t>
      </w:r>
      <w:r>
        <w:t>’</w:t>
      </w:r>
      <w:r w:rsidRPr="002C5D82">
        <w:t xml:space="preserve">/dm OR </w:t>
      </w:r>
      <w:r>
        <w:t>‘</w:t>
      </w:r>
      <w:r w:rsidRPr="002C5D82">
        <w:t>respiratory failure</w:t>
      </w:r>
      <w:r>
        <w:t>’</w:t>
      </w:r>
      <w:r w:rsidRPr="002C5D82">
        <w:t>/dm) AND ([infant]/lim OR [newborn]/lim)</w:t>
      </w:r>
    </w:p>
    <w:p w14:paraId="7EF3262A" w14:textId="77777777" w:rsidR="007A2C48" w:rsidRDefault="007A2C48" w:rsidP="007A2C48">
      <w:r w:rsidRPr="00C51F68">
        <w:t>AND (</w:t>
      </w:r>
      <w:r>
        <w:t>‘</w:t>
      </w:r>
      <w:r w:rsidRPr="00C51F68">
        <w:t>clinical trial</w:t>
      </w:r>
      <w:r>
        <w:t>’</w:t>
      </w:r>
      <w:r w:rsidRPr="00C51F68">
        <w:t xml:space="preserve">/lnk OR </w:t>
      </w:r>
      <w:r>
        <w:t>‘</w:t>
      </w:r>
      <w:r w:rsidRPr="00C51F68">
        <w:t>clinicaltrials gov</w:t>
      </w:r>
      <w:r>
        <w:t>’</w:t>
      </w:r>
      <w:r w:rsidRPr="00C51F68">
        <w:t xml:space="preserve">/lnk OR </w:t>
      </w:r>
      <w:r>
        <w:t>‘</w:t>
      </w:r>
      <w:r w:rsidRPr="00C51F68">
        <w:t>complication</w:t>
      </w:r>
      <w:r>
        <w:t>’</w:t>
      </w:r>
      <w:r w:rsidRPr="00C51F68">
        <w:t xml:space="preserve">/lnk OR </w:t>
      </w:r>
      <w:r>
        <w:t>‘</w:t>
      </w:r>
      <w:r w:rsidRPr="00C51F68">
        <w:t>congenital disorder</w:t>
      </w:r>
      <w:r>
        <w:t>’</w:t>
      </w:r>
      <w:r w:rsidRPr="00C51F68">
        <w:t xml:space="preserve">/lnk OR </w:t>
      </w:r>
      <w:r>
        <w:t>‘</w:t>
      </w:r>
      <w:r w:rsidRPr="00C51F68">
        <w:t>diagnosis</w:t>
      </w:r>
      <w:r>
        <w:t>’</w:t>
      </w:r>
      <w:r w:rsidRPr="00C51F68">
        <w:t xml:space="preserve">/lnk OR </w:t>
      </w:r>
      <w:r>
        <w:t>‘</w:t>
      </w:r>
      <w:r w:rsidRPr="00C51F68">
        <w:t>disease management</w:t>
      </w:r>
      <w:r>
        <w:t>’</w:t>
      </w:r>
      <w:r w:rsidRPr="00C51F68">
        <w:t xml:space="preserve">/lnk OR </w:t>
      </w:r>
      <w:r>
        <w:t>‘</w:t>
      </w:r>
      <w:r w:rsidRPr="00C51F68">
        <w:t>etiology</w:t>
      </w:r>
      <w:r>
        <w:t>’</w:t>
      </w:r>
      <w:r w:rsidRPr="00C51F68">
        <w:t xml:space="preserve">/lnk OR </w:t>
      </w:r>
      <w:r>
        <w:t>‘</w:t>
      </w:r>
      <w:r w:rsidRPr="00C51F68">
        <w:t>prevention</w:t>
      </w:r>
      <w:r>
        <w:t>’</w:t>
      </w:r>
      <w:r w:rsidRPr="00C51F68">
        <w:t xml:space="preserve">/lnk OR </w:t>
      </w:r>
      <w:r>
        <w:t>‘</w:t>
      </w:r>
      <w:r w:rsidRPr="00C51F68">
        <w:t>surgery</w:t>
      </w:r>
      <w:r>
        <w:t>’</w:t>
      </w:r>
      <w:r w:rsidRPr="00C51F68">
        <w:t>/lnk)</w:t>
      </w:r>
    </w:p>
    <w:p w14:paraId="510C1B68" w14:textId="77777777" w:rsidR="007A2C48" w:rsidRDefault="007A2C48" w:rsidP="007A2C48"/>
    <w:p w14:paraId="58845240" w14:textId="77777777" w:rsidR="007A2C48" w:rsidRPr="008F0B24" w:rsidRDefault="007A2C48" w:rsidP="007A2C48">
      <w:pPr>
        <w:rPr>
          <w:b/>
          <w:bCs/>
          <w:sz w:val="28"/>
          <w:szCs w:val="28"/>
        </w:rPr>
      </w:pPr>
      <w:r w:rsidRPr="008F0B24">
        <w:rPr>
          <w:b/>
          <w:bCs/>
          <w:sz w:val="28"/>
          <w:szCs w:val="28"/>
        </w:rPr>
        <w:t>CINAHL query</w:t>
      </w:r>
    </w:p>
    <w:p w14:paraId="6754498C" w14:textId="77777777" w:rsidR="007A2C48" w:rsidRDefault="007A2C48" w:rsidP="007A2C48">
      <w:r>
        <w:t>(MH “Caregivers+” OR MH “Parents+” OR parent* OR mother* OR father*)</w:t>
      </w:r>
    </w:p>
    <w:p w14:paraId="27967A12" w14:textId="77777777" w:rsidR="007A2C48" w:rsidRDefault="007A2C48" w:rsidP="007A2C48">
      <w:r>
        <w:t>AND</w:t>
      </w:r>
    </w:p>
    <w:p w14:paraId="52D5C1D4" w14:textId="77777777" w:rsidR="007A2C48" w:rsidRDefault="007A2C48" w:rsidP="007A2C48">
      <w:r>
        <w:t>(MH “Infant, Newborn+” OR MH “Infant, Premature+” OR MH “Infant, Extremely Premature+” OR neonat* OR NICU OR “newborn intensive care” OR MH “Intensive Care, Neonatal+”)</w:t>
      </w:r>
    </w:p>
    <w:p w14:paraId="6D79D22E" w14:textId="77777777" w:rsidR="007A2C48" w:rsidRDefault="007A2C48" w:rsidP="007A2C48">
      <w:r>
        <w:t>AND</w:t>
      </w:r>
    </w:p>
    <w:p w14:paraId="75812BB0" w14:textId="77777777" w:rsidR="007A2C48" w:rsidRDefault="007A2C48" w:rsidP="007A2C48">
      <w:r>
        <w:t>(MH “Patient Discharge+” OR MH “Patient Discharge Summaries” OR discharge OR “hospital discharge” OR “discharge education” OR “discharge instruction*” OR “discharge intervention*”)</w:t>
      </w:r>
    </w:p>
    <w:p w14:paraId="7775FE3D" w14:textId="77777777" w:rsidR="007A2C48" w:rsidRDefault="007A2C48" w:rsidP="007A2C48">
      <w:r>
        <w:t>AND</w:t>
      </w:r>
    </w:p>
    <w:p w14:paraId="04A75B61" w14:textId="77777777" w:rsidR="007A2C48" w:rsidRDefault="007A2C48" w:rsidP="007A2C48">
      <w:r>
        <w:t>(MH “Patient Satisfaction+” OR satisfaction OR experience* OR perception* OR understanding OR comprehension)</w:t>
      </w:r>
    </w:p>
    <w:p w14:paraId="23695D66" w14:textId="77777777" w:rsidR="007A2C48" w:rsidRDefault="007A2C48" w:rsidP="007A2C48">
      <w:r>
        <w:t>AND</w:t>
      </w:r>
    </w:p>
    <w:p w14:paraId="1C30DEA2" w14:textId="77777777" w:rsidR="007A2C48" w:rsidRDefault="007A2C48" w:rsidP="007A2C48">
      <w:r>
        <w:t>((MH “Infant, Newborn, Diseases+” OR MH “Chronic Disease+” OR “complex chronic condition*” OR “medical complexity” OR “technology-dependent”)</w:t>
      </w:r>
    </w:p>
    <w:p w14:paraId="19D9B8C2" w14:textId="77777777" w:rsidR="007A2C48" w:rsidRDefault="007A2C48" w:rsidP="007A2C48">
      <w:r>
        <w:t>OR</w:t>
      </w:r>
    </w:p>
    <w:p w14:paraId="50919E07" w14:textId="77777777" w:rsidR="007A2C48" w:rsidRDefault="007A2C48" w:rsidP="007A2C48">
      <w:r>
        <w:t>(MH “Infant, Healthy” OR “Infant, Normal” OR “non-complex” OR “without chronic condition*” OR “healthy newborn”))</w:t>
      </w:r>
    </w:p>
    <w:p w14:paraId="7D684B2E" w14:textId="77777777" w:rsidR="007A2C48" w:rsidRDefault="007A2C48" w:rsidP="007A2C48">
      <w:r>
        <w:t>AND</w:t>
      </w:r>
    </w:p>
    <w:p w14:paraId="25191F58" w14:textId="77777777" w:rsidR="007A2C48" w:rsidRDefault="007A2C48" w:rsidP="007A2C48">
      <w:r>
        <w:t>(LA English)</w:t>
      </w:r>
    </w:p>
    <w:p w14:paraId="4FD441B8" w14:textId="77777777" w:rsidR="007A2C48" w:rsidRDefault="007A2C48" w:rsidP="007A2C48"/>
    <w:p w14:paraId="1CEA0604" w14:textId="77777777" w:rsidR="007A2C48" w:rsidRPr="008F0B24" w:rsidRDefault="007A2C48" w:rsidP="007A2C48">
      <w:pPr>
        <w:rPr>
          <w:b/>
          <w:bCs/>
          <w:sz w:val="28"/>
          <w:szCs w:val="28"/>
        </w:rPr>
      </w:pPr>
      <w:r w:rsidRPr="008F0B24">
        <w:rPr>
          <w:b/>
          <w:bCs/>
          <w:sz w:val="28"/>
          <w:szCs w:val="28"/>
        </w:rPr>
        <w:t>Cochrane</w:t>
      </w:r>
    </w:p>
    <w:p w14:paraId="58F57695" w14:textId="77777777" w:rsidR="007A2C48" w:rsidRDefault="007A2C48" w:rsidP="007A2C48">
      <w:r>
        <w:t>(caregiver OR caregivers OR parents OR parent* OR mother* OR father*)</w:t>
      </w:r>
    </w:p>
    <w:p w14:paraId="5BD315A2" w14:textId="77777777" w:rsidR="007A2C48" w:rsidRDefault="007A2C48" w:rsidP="007A2C48">
      <w:r>
        <w:t>AND</w:t>
      </w:r>
    </w:p>
    <w:p w14:paraId="4BF1CA15" w14:textId="77777777" w:rsidR="007A2C48" w:rsidRDefault="007A2C48" w:rsidP="007A2C48">
      <w:r>
        <w:t>(infant OR newborn OR premature infant OR extremely premature infant OR neonat* OR NICU OR newborn NEAR/2 intensive NEAR/2 care OR neonatal NEAR/2 intensive NEAR/2 care)</w:t>
      </w:r>
    </w:p>
    <w:p w14:paraId="15E2667E" w14:textId="77777777" w:rsidR="007A2C48" w:rsidRDefault="007A2C48" w:rsidP="007A2C48">
      <w:r>
        <w:t>AND</w:t>
      </w:r>
    </w:p>
    <w:p w14:paraId="2982A19A" w14:textId="77777777" w:rsidR="007A2C48" w:rsidRDefault="007A2C48" w:rsidP="007A2C48">
      <w:r>
        <w:t>(patient discharge OR discharge summary OR hospital discharge OR discharge education OR discharge instruction* OR discharge intervention*)</w:t>
      </w:r>
    </w:p>
    <w:p w14:paraId="137E62C5" w14:textId="77777777" w:rsidR="007A2C48" w:rsidRDefault="007A2C48" w:rsidP="007A2C48">
      <w:r>
        <w:lastRenderedPageBreak/>
        <w:t>AND</w:t>
      </w:r>
    </w:p>
    <w:p w14:paraId="729FE087" w14:textId="77777777" w:rsidR="007A2C48" w:rsidRDefault="007A2C48" w:rsidP="007A2C48">
      <w:r>
        <w:t>(patient satisfaction OR satisfaction OR experience* OR perception* OR understanding OR comprehension)</w:t>
      </w:r>
    </w:p>
    <w:p w14:paraId="7A758763" w14:textId="77777777" w:rsidR="007A2C48" w:rsidRDefault="007A2C48" w:rsidP="007A2C48">
      <w:r>
        <w:t>AND</w:t>
      </w:r>
    </w:p>
    <w:p w14:paraId="09D7D3FC" w14:textId="77777777" w:rsidR="007A2C48" w:rsidRDefault="007A2C48" w:rsidP="007A2C48">
      <w:r>
        <w:t>(infant newborn diseases OR chronic disease OR complex chronic condition* OR medical complexity OR technology dependent OR healthy infant OR normal infant OR non complex OR without chronic condition* OR healthy newborn)</w:t>
      </w:r>
    </w:p>
    <w:p w14:paraId="37EC1721" w14:textId="77777777" w:rsidR="007A2C48" w:rsidRDefault="007A2C48" w:rsidP="007A2C48">
      <w:pPr>
        <w:rPr>
          <w:rFonts w:ascii="Source Sans Pro" w:hAnsi="Source Sans Pro"/>
          <w:color w:val="000000"/>
          <w:sz w:val="18"/>
          <w:szCs w:val="18"/>
          <w:shd w:val="clear" w:color="auto" w:fill="FFFFFF"/>
        </w:rPr>
      </w:pPr>
    </w:p>
    <w:p w14:paraId="774029BF" w14:textId="77777777" w:rsidR="007A2C48" w:rsidRPr="008F0B24" w:rsidRDefault="007A2C48" w:rsidP="007A2C48">
      <w:pPr>
        <w:rPr>
          <w:b/>
          <w:bCs/>
          <w:sz w:val="28"/>
          <w:szCs w:val="28"/>
        </w:rPr>
      </w:pPr>
      <w:r w:rsidRPr="008F0B24">
        <w:rPr>
          <w:b/>
          <w:bCs/>
          <w:sz w:val="28"/>
          <w:szCs w:val="28"/>
        </w:rPr>
        <w:t>Scopus</w:t>
      </w:r>
    </w:p>
    <w:p w14:paraId="738E7FA4" w14:textId="77777777" w:rsidR="007A2C48" w:rsidRDefault="007A2C48" w:rsidP="007A2C48">
      <w:pPr>
        <w:rPr>
          <w:rFonts w:cs="Arial"/>
          <w:color w:val="2E2E2E"/>
          <w:sz w:val="22"/>
          <w:szCs w:val="22"/>
        </w:rPr>
      </w:pPr>
      <w:r w:rsidRPr="00721E12">
        <w:rPr>
          <w:rFonts w:cs="Arial"/>
          <w:color w:val="2E2E2E"/>
          <w:sz w:val="22"/>
          <w:szCs w:val="22"/>
        </w:rPr>
        <w:t xml:space="preserve">TITLE-ABS-KEY(caregiver* OR parent* OR mother* OR father*)AND TITLE-ABS-KEY(infant OR newborn OR neonat*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premature infant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extremely premature infant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NICU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neonatal intensive care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newborn intensive care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)AND TITLE-ABS-KEY(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patient discharge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discharge summary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hospital discharge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discharge education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discharge instruction*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discharge intervention*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)AND TITLE-ABS-KEY(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patient satisfaction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satisfaction OR experience* OR perception* OR understanding OR comprehension)AND TITLE-ABS-KEY(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chronic disease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medical complexity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complex chronic condition*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technology dependent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healthy infant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normal infant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non complex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without chronic condition*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OR </w:t>
      </w:r>
      <w:r>
        <w:rPr>
          <w:rFonts w:cs="Arial"/>
          <w:color w:val="2E2E2E"/>
          <w:sz w:val="22"/>
          <w:szCs w:val="22"/>
        </w:rPr>
        <w:t>“</w:t>
      </w:r>
      <w:r w:rsidRPr="00721E12">
        <w:rPr>
          <w:rFonts w:cs="Arial"/>
          <w:color w:val="2E2E2E"/>
          <w:sz w:val="22"/>
          <w:szCs w:val="22"/>
        </w:rPr>
        <w:t>healthy newborn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) AND (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Infant, Newborn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Newborn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Parents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Infant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Neonatal Intensive Care Unit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Infant, Premature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Newborn Care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Parent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Nicu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Infant Feeding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Discharge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Caregiver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Neonatal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 xml:space="preserve"> ) OR LIMIT-TO ( EXACTKEYWORD,</w:t>
      </w:r>
      <w:r>
        <w:rPr>
          <w:rFonts w:cs="Arial"/>
          <w:color w:val="2E2E2E"/>
          <w:sz w:val="22"/>
          <w:szCs w:val="22"/>
        </w:rPr>
        <w:t>”</w:t>
      </w:r>
      <w:r w:rsidRPr="00721E12">
        <w:rPr>
          <w:rFonts w:cs="Arial"/>
          <w:color w:val="2E2E2E"/>
          <w:sz w:val="22"/>
          <w:szCs w:val="22"/>
        </w:rPr>
        <w:t>Infant, Premature, Diseases" ) OR LIMIT-TO ( EXACTKEYWORD,"Infant Care" ) OR LIMIT-TO ( EXACTKEYWORD,"Congenital Heart Disease" ) )</w:t>
      </w:r>
    </w:p>
    <w:p w14:paraId="3CC3AF23" w14:textId="77777777" w:rsidR="007A2C48" w:rsidRDefault="007A2C48" w:rsidP="007A2C48">
      <w:pPr>
        <w:rPr>
          <w:rFonts w:cs="Arial"/>
          <w:color w:val="2E2E2E"/>
          <w:sz w:val="22"/>
          <w:szCs w:val="22"/>
        </w:rPr>
      </w:pPr>
    </w:p>
    <w:p w14:paraId="3A22B598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</w:p>
    <w:p w14:paraId="609D66ED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</w:p>
    <w:p w14:paraId="118282B8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</w:p>
    <w:p w14:paraId="56DD808B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</w:p>
    <w:p w14:paraId="0A993B14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</w:p>
    <w:p w14:paraId="337C14EE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</w:p>
    <w:p w14:paraId="3A3BBDD0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</w:p>
    <w:p w14:paraId="20ED95C1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</w:p>
    <w:p w14:paraId="5596C1A3" w14:textId="77777777" w:rsidR="007A2C48" w:rsidRDefault="007A2C48" w:rsidP="007A2C48">
      <w:pPr>
        <w:spacing w:after="160" w:line="278" w:lineRule="auto"/>
        <w:rPr>
          <w:b/>
          <w:bCs/>
          <w:sz w:val="28"/>
          <w:szCs w:val="28"/>
        </w:rPr>
      </w:pPr>
    </w:p>
    <w:p w14:paraId="138F70B8" w14:textId="77777777" w:rsidR="007A2C48" w:rsidRDefault="007A2C48" w:rsidP="007A2C48">
      <w:pPr>
        <w:spacing w:after="160" w:line="278" w:lineRule="auto"/>
        <w:rPr>
          <w:b/>
          <w:bCs/>
          <w:sz w:val="28"/>
          <w:szCs w:val="28"/>
        </w:rPr>
      </w:pPr>
    </w:p>
    <w:p w14:paraId="00E408E8" w14:textId="77777777" w:rsidR="007A2C48" w:rsidRDefault="007A2C48" w:rsidP="007A2C48">
      <w:pPr>
        <w:spacing w:after="160" w:line="278" w:lineRule="auto"/>
        <w:rPr>
          <w:b/>
          <w:bCs/>
          <w:sz w:val="28"/>
          <w:szCs w:val="28"/>
        </w:rPr>
      </w:pPr>
    </w:p>
    <w:p w14:paraId="47365963" w14:textId="77777777" w:rsidR="007A2C48" w:rsidRPr="00053212" w:rsidRDefault="007A2C48" w:rsidP="007A2C48">
      <w:pPr>
        <w:spacing w:after="160" w:line="278" w:lineRule="auto"/>
        <w:rPr>
          <w:b/>
          <w:bCs/>
          <w:sz w:val="28"/>
          <w:szCs w:val="28"/>
        </w:rPr>
      </w:pPr>
      <w:r w:rsidRPr="00053212">
        <w:rPr>
          <w:b/>
          <w:bCs/>
          <w:sz w:val="28"/>
          <w:szCs w:val="28"/>
        </w:rPr>
        <w:t xml:space="preserve">Appendix </w:t>
      </w:r>
      <w:r>
        <w:rPr>
          <w:b/>
          <w:bCs/>
          <w:sz w:val="28"/>
          <w:szCs w:val="28"/>
        </w:rPr>
        <w:t>B</w:t>
      </w:r>
    </w:p>
    <w:p w14:paraId="0B101225" w14:textId="77777777" w:rsidR="007A2C48" w:rsidRDefault="007A2C48" w:rsidP="007A2C48">
      <w:pPr>
        <w:spacing w:after="160" w:line="278" w:lineRule="auto"/>
        <w:rPr>
          <w:sz w:val="22"/>
          <w:szCs w:val="22"/>
        </w:rPr>
      </w:pPr>
      <w:r w:rsidRPr="00935B8D">
        <w:rPr>
          <w:color w:val="000000" w:themeColor="text1"/>
          <w:sz w:val="22"/>
          <w:szCs w:val="22"/>
        </w:rPr>
        <w:lastRenderedPageBreak/>
        <w:t xml:space="preserve">Complete </w:t>
      </w:r>
      <w:r>
        <w:rPr>
          <w:color w:val="000000" w:themeColor="text1"/>
          <w:sz w:val="22"/>
          <w:szCs w:val="22"/>
        </w:rPr>
        <w:t xml:space="preserve">list of peer reviewed papers (32) from the scoping review: 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10"/>
        <w:gridCol w:w="3111"/>
        <w:gridCol w:w="2390"/>
        <w:gridCol w:w="1643"/>
      </w:tblGrid>
      <w:tr w:rsidR="007A2C48" w:rsidRPr="002B5945" w14:paraId="034D74FB" w14:textId="77777777" w:rsidTr="009F4F61">
        <w:tc>
          <w:tcPr>
            <w:tcW w:w="1710" w:type="dxa"/>
          </w:tcPr>
          <w:p w14:paraId="0294D8F5" w14:textId="77777777" w:rsidR="007A2C48" w:rsidRPr="002B5945" w:rsidRDefault="007A2C48" w:rsidP="009F4F61">
            <w:pPr>
              <w:pStyle w:val="NormalWeb"/>
              <w:ind w:left="720"/>
              <w:jc w:val="center"/>
              <w:rPr>
                <w:rStyle w:val="Strong"/>
                <w:rFonts w:eastAsiaTheme="majorEastAsia"/>
              </w:rPr>
            </w:pPr>
            <w:r>
              <w:rPr>
                <w:rStyle w:val="Strong"/>
                <w:rFonts w:eastAsiaTheme="majorEastAsia"/>
              </w:rPr>
              <w:t>Paper</w:t>
            </w:r>
          </w:p>
        </w:tc>
        <w:tc>
          <w:tcPr>
            <w:tcW w:w="3111" w:type="dxa"/>
          </w:tcPr>
          <w:p w14:paraId="2353D55F" w14:textId="77777777" w:rsidR="007A2C48" w:rsidRPr="002B5945" w:rsidRDefault="007A2C48" w:rsidP="009F4F61">
            <w:pPr>
              <w:pStyle w:val="NormalWeb"/>
              <w:jc w:val="center"/>
              <w:rPr>
                <w:rStyle w:val="Strong"/>
                <w:rFonts w:eastAsiaTheme="majorEastAsia"/>
              </w:rPr>
            </w:pPr>
            <w:r>
              <w:rPr>
                <w:rStyle w:val="Strong"/>
                <w:rFonts w:eastAsiaTheme="majorEastAsia"/>
              </w:rPr>
              <w:t>Result</w:t>
            </w:r>
          </w:p>
        </w:tc>
        <w:tc>
          <w:tcPr>
            <w:tcW w:w="2390" w:type="dxa"/>
          </w:tcPr>
          <w:p w14:paraId="622D50FD" w14:textId="77777777" w:rsidR="007A2C48" w:rsidRDefault="007A2C48" w:rsidP="009F4F61">
            <w:pPr>
              <w:pStyle w:val="NormalWeb"/>
              <w:jc w:val="center"/>
              <w:rPr>
                <w:rStyle w:val="Strong"/>
                <w:rFonts w:eastAsiaTheme="majorEastAsia"/>
              </w:rPr>
            </w:pPr>
            <w:r>
              <w:rPr>
                <w:rStyle w:val="Strong"/>
                <w:rFonts w:eastAsiaTheme="majorEastAsia"/>
              </w:rPr>
              <w:t>Discussion/ Implication</w:t>
            </w:r>
          </w:p>
        </w:tc>
        <w:tc>
          <w:tcPr>
            <w:tcW w:w="1643" w:type="dxa"/>
          </w:tcPr>
          <w:p w14:paraId="7F88E295" w14:textId="77777777" w:rsidR="007A2C48" w:rsidRDefault="007A2C48" w:rsidP="009F4F61">
            <w:pPr>
              <w:pStyle w:val="NormalWeb"/>
              <w:jc w:val="center"/>
              <w:rPr>
                <w:rStyle w:val="Strong"/>
                <w:rFonts w:eastAsiaTheme="majorEastAsia"/>
              </w:rPr>
            </w:pPr>
            <w:r>
              <w:rPr>
                <w:rStyle w:val="Strong"/>
                <w:rFonts w:eastAsiaTheme="majorEastAsia"/>
              </w:rPr>
              <w:t>Theme</w:t>
            </w:r>
          </w:p>
          <w:p w14:paraId="416964D1" w14:textId="77777777" w:rsidR="007A2C48" w:rsidRPr="00DB2B8C" w:rsidRDefault="007A2C48" w:rsidP="009F4F61">
            <w:pPr>
              <w:rPr>
                <w:rFonts w:eastAsiaTheme="majorEastAsia"/>
              </w:rPr>
            </w:pPr>
          </w:p>
        </w:tc>
      </w:tr>
      <w:tr w:rsidR="007A2C48" w:rsidRPr="002B5945" w14:paraId="7612875C" w14:textId="77777777" w:rsidTr="009F4F61">
        <w:tc>
          <w:tcPr>
            <w:tcW w:w="1710" w:type="dxa"/>
          </w:tcPr>
          <w:p w14:paraId="4D8D667F" w14:textId="77777777" w:rsidR="007A2C48" w:rsidRPr="003E3303" w:rsidRDefault="007A2C48" w:rsidP="009F4F61">
            <w:pPr>
              <w:pStyle w:val="NormalWeb"/>
              <w:rPr>
                <w:sz w:val="22"/>
                <w:szCs w:val="22"/>
              </w:rPr>
            </w:pP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Affleck et al. (1989)</w:t>
            </w:r>
          </w:p>
        </w:tc>
        <w:tc>
          <w:tcPr>
            <w:tcW w:w="3111" w:type="dxa"/>
          </w:tcPr>
          <w:p w14:paraId="44A20183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 xml:space="preserve">Formal support showed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mixed effects</w:t>
            </w:r>
            <w:r w:rsidRPr="003E3303">
              <w:rPr>
                <w:sz w:val="22"/>
                <w:szCs w:val="22"/>
              </w:rPr>
              <w:t xml:space="preserve">—mothers with higher needs benefited, while lower-need mothers sometimes showed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worse adjustment</w:t>
            </w:r>
            <w:r w:rsidRPr="003E3303">
              <w:rPr>
                <w:sz w:val="22"/>
                <w:szCs w:val="22"/>
              </w:rPr>
              <w:t xml:space="preserve"> with formal help. Some outcomes improved early, but effects were not uniformly positive across families.</w:t>
            </w:r>
          </w:p>
        </w:tc>
        <w:tc>
          <w:tcPr>
            <w:tcW w:w="2390" w:type="dxa"/>
          </w:tcPr>
          <w:p w14:paraId="1620D43C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 xml:space="preserve">Support should be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targeted</w:t>
            </w:r>
            <w:r w:rsidRPr="003E3303">
              <w:rPr>
                <w:sz w:val="22"/>
                <w:szCs w:val="22"/>
              </w:rPr>
              <w:t>, not automatic—help can unintentionally increase dependency or stress for some families. Screening for need and tailoring support intensity were emphasized.</w:t>
            </w:r>
          </w:p>
        </w:tc>
        <w:tc>
          <w:tcPr>
            <w:tcW w:w="1643" w:type="dxa"/>
          </w:tcPr>
          <w:p w14:paraId="047ACCE1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Psychosocial adaptation </w:t>
            </w:r>
          </w:p>
        </w:tc>
      </w:tr>
      <w:tr w:rsidR="007A2C48" w:rsidRPr="002B5945" w14:paraId="36FE0CBD" w14:textId="77777777" w:rsidTr="009F4F61">
        <w:tc>
          <w:tcPr>
            <w:tcW w:w="1710" w:type="dxa"/>
          </w:tcPr>
          <w:p w14:paraId="3FDFDA65" w14:textId="77777777" w:rsidR="007A2C48" w:rsidRPr="003E3303" w:rsidRDefault="007A2C48" w:rsidP="009F4F61">
            <w:pPr>
              <w:pStyle w:val="NormalWeb"/>
              <w:rPr>
                <w:sz w:val="22"/>
                <w:szCs w:val="22"/>
              </w:rPr>
            </w:pP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Bancalari et al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.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(2005)</w:t>
            </w:r>
            <w:r w:rsidRPr="003E3303">
              <w:rPr>
                <w:sz w:val="22"/>
                <w:szCs w:val="22"/>
              </w:rPr>
              <w:br/>
            </w:r>
            <w:r w:rsidRPr="003E3303">
              <w:rPr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09CA25D8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 xml:space="preserve">The paper described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high variability</w:t>
            </w:r>
            <w:r w:rsidRPr="003E3303">
              <w:rPr>
                <w:sz w:val="22"/>
                <w:szCs w:val="22"/>
              </w:rPr>
              <w:t xml:space="preserve"> in BPD care across centers and highlighted common strategies (oxygen targets, diuretics, nutrition support, and discharge planning practices).</w:t>
            </w:r>
          </w:p>
        </w:tc>
        <w:tc>
          <w:tcPr>
            <w:tcW w:w="2390" w:type="dxa"/>
          </w:tcPr>
          <w:p w14:paraId="2B1A7815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 xml:space="preserve">Called for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more standardized, evidence-based approaches</w:t>
            </w:r>
            <w:r w:rsidRPr="003E3303">
              <w:rPr>
                <w:sz w:val="22"/>
                <w:szCs w:val="22"/>
              </w:rPr>
              <w:t>, better long-term monitoring, and structured planning for home oxygen and follow-up.</w:t>
            </w:r>
          </w:p>
        </w:tc>
        <w:tc>
          <w:tcPr>
            <w:tcW w:w="1643" w:type="dxa"/>
          </w:tcPr>
          <w:p w14:paraId="317D8257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Home care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management</w:t>
            </w:r>
          </w:p>
        </w:tc>
      </w:tr>
      <w:tr w:rsidR="007A2C48" w:rsidRPr="002B5945" w14:paraId="48A4A768" w14:textId="77777777" w:rsidTr="009F4F61">
        <w:tc>
          <w:tcPr>
            <w:tcW w:w="1710" w:type="dxa"/>
          </w:tcPr>
          <w:p w14:paraId="4B3B6CED" w14:textId="77777777" w:rsidR="007A2C48" w:rsidRPr="003E3303" w:rsidRDefault="007A2C48" w:rsidP="009F4F61">
            <w:pPr>
              <w:pStyle w:val="NormalWeb"/>
              <w:rPr>
                <w:sz w:val="22"/>
                <w:szCs w:val="22"/>
              </w:rPr>
            </w:pP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Beard et al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.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(2025)</w:t>
            </w:r>
            <w:r w:rsidRPr="003E3303">
              <w:rPr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41CE97C4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 xml:space="preserve">PCPs reported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wide variation</w:t>
            </w:r>
            <w:r w:rsidRPr="003E3303">
              <w:rPr>
                <w:sz w:val="22"/>
                <w:szCs w:val="22"/>
              </w:rPr>
              <w:t xml:space="preserve"> in comfort and practices managing home oxygen and NG feeds. Many relied on specialists, reported limited standardized guidance, and identified gaps in discharge communication.</w:t>
            </w:r>
            <w:r w:rsidRPr="003E3303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2DA1019C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 xml:space="preserve">Strong need for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clear handoff documentation</w:t>
            </w:r>
            <w:r w:rsidRPr="003E3303">
              <w:rPr>
                <w:sz w:val="22"/>
                <w:szCs w:val="22"/>
              </w:rPr>
              <w:t>, protocols, and training supports for PCPs—especially for high-risk technology-supported infants.</w:t>
            </w:r>
          </w:p>
        </w:tc>
        <w:tc>
          <w:tcPr>
            <w:tcW w:w="1643" w:type="dxa"/>
          </w:tcPr>
          <w:p w14:paraId="14C79B7C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Care coordination and continuity 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across systems</w:t>
            </w:r>
          </w:p>
        </w:tc>
      </w:tr>
      <w:tr w:rsidR="007A2C48" w:rsidRPr="002B5945" w14:paraId="630C761D" w14:textId="77777777" w:rsidTr="009F4F61">
        <w:tc>
          <w:tcPr>
            <w:tcW w:w="1710" w:type="dxa"/>
          </w:tcPr>
          <w:p w14:paraId="6FB725EF" w14:textId="77777777" w:rsidR="007A2C48" w:rsidRPr="003E3303" w:rsidRDefault="007A2C48" w:rsidP="009F4F61">
            <w:pPr>
              <w:pStyle w:val="NormalWeb"/>
              <w:rPr>
                <w:sz w:val="22"/>
                <w:szCs w:val="22"/>
              </w:rPr>
            </w:pP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Berman et al. (2019)</w:t>
            </w:r>
            <w:r w:rsidRPr="003E3303">
              <w:rPr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603723E7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 xml:space="preserve">Parents frequently reported that “readiness” depended on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hands-on practice</w:t>
            </w:r>
            <w:r w:rsidRPr="003E3303">
              <w:rPr>
                <w:sz w:val="22"/>
                <w:szCs w:val="22"/>
              </w:rPr>
              <w:t>, comfort with infant cues, confidence managing care, and feeling included in discharge planning. Some still felt unprepared even when clinicians considered them ready.</w:t>
            </w:r>
          </w:p>
        </w:tc>
        <w:tc>
          <w:tcPr>
            <w:tcW w:w="2390" w:type="dxa"/>
          </w:tcPr>
          <w:p w14:paraId="3E694C47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>Discharge readiness should include parent-defined components—skill rehearsal, emotional readiness, and predictable communication—not only clinical stability.</w:t>
            </w:r>
            <w:r w:rsidRPr="003E3303">
              <w:rPr>
                <w:sz w:val="22"/>
                <w:szCs w:val="22"/>
              </w:rPr>
              <w:br/>
            </w:r>
          </w:p>
        </w:tc>
        <w:tc>
          <w:tcPr>
            <w:tcW w:w="1643" w:type="dxa"/>
          </w:tcPr>
          <w:p w14:paraId="68A02731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Caregiver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readiness and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skill-building</w:t>
            </w:r>
          </w:p>
        </w:tc>
      </w:tr>
      <w:tr w:rsidR="007A2C48" w:rsidRPr="002B5945" w14:paraId="556585EA" w14:textId="77777777" w:rsidTr="009F4F61">
        <w:tc>
          <w:tcPr>
            <w:tcW w:w="1710" w:type="dxa"/>
          </w:tcPr>
          <w:p w14:paraId="701C2547" w14:textId="77777777" w:rsidR="007A2C48" w:rsidRPr="003E3303" w:rsidRDefault="007A2C48" w:rsidP="009F4F61">
            <w:pPr>
              <w:pStyle w:val="NormalWeb"/>
              <w:rPr>
                <w:sz w:val="22"/>
                <w:szCs w:val="22"/>
              </w:rPr>
            </w:pP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Bertoncelli et al. (2025)</w:t>
            </w:r>
          </w:p>
        </w:tc>
        <w:tc>
          <w:tcPr>
            <w:tcW w:w="3111" w:type="dxa"/>
          </w:tcPr>
          <w:p w14:paraId="02CF0078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>Parents described heavy emotional strain, disrupted identity, persistent uncertainty, and practical burdens. Many reported feeling “on alert” and struggling to balance hope with fear.</w:t>
            </w:r>
            <w:r w:rsidRPr="003E3303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5A51AFD1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sz w:val="22"/>
                <w:szCs w:val="22"/>
              </w:rPr>
              <w:t>Recommended structured psychosocial support, clearer communication routines, and continuity across the care journey—especially for medically complex infants.</w:t>
            </w:r>
          </w:p>
        </w:tc>
        <w:tc>
          <w:tcPr>
            <w:tcW w:w="1643" w:type="dxa"/>
          </w:tcPr>
          <w:p w14:paraId="0AD2D5EC" w14:textId="77777777" w:rsidR="007A2C48" w:rsidRPr="003E330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3E330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Psychosocial adaptation </w:t>
            </w:r>
          </w:p>
        </w:tc>
      </w:tr>
      <w:tr w:rsidR="007A2C48" w:rsidRPr="002B5945" w14:paraId="23E91565" w14:textId="77777777" w:rsidTr="009F4F61">
        <w:tc>
          <w:tcPr>
            <w:tcW w:w="1710" w:type="dxa"/>
          </w:tcPr>
          <w:p w14:paraId="32CF5147" w14:textId="77777777" w:rsidR="007A2C48" w:rsidRPr="00FD595C" w:rsidRDefault="007A2C48" w:rsidP="009F4F61">
            <w:pPr>
              <w:pStyle w:val="NormalWeb"/>
              <w:rPr>
                <w:sz w:val="22"/>
                <w:szCs w:val="22"/>
              </w:rPr>
            </w:pPr>
            <w:r w:rsidRPr="00FD595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lastRenderedPageBreak/>
              <w:t xml:space="preserve">Bourque et al (2023). </w:t>
            </w:r>
            <w:r w:rsidRPr="00FD595C">
              <w:rPr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566DE084" w14:textId="77777777" w:rsidR="007A2C48" w:rsidRPr="00FD595C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FD595C">
              <w:rPr>
                <w:sz w:val="22"/>
                <w:szCs w:val="22"/>
              </w:rPr>
              <w:t>A video-conference discharge process improved family access to teaching and planning, supported multidisciplinary alignment, and reduced logistical barriers for families who could not be physically present.</w:t>
            </w:r>
            <w:r w:rsidRPr="00FD595C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504B0BFB" w14:textId="77777777" w:rsidR="007A2C48" w:rsidRPr="00FD595C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FD595C">
              <w:rPr>
                <w:sz w:val="22"/>
                <w:szCs w:val="22"/>
              </w:rPr>
              <w:t>Tele-enabled discharge planning can strengthen coordination and equity for complex infants</w:t>
            </w:r>
            <w:r>
              <w:rPr>
                <w:sz w:val="22"/>
                <w:szCs w:val="22"/>
              </w:rPr>
              <w:t xml:space="preserve"> </w:t>
            </w:r>
            <w:r w:rsidRPr="00FD595C">
              <w:rPr>
                <w:sz w:val="22"/>
                <w:szCs w:val="22"/>
              </w:rPr>
              <w:t>when paired with structured content and role clarity.</w:t>
            </w:r>
          </w:p>
        </w:tc>
        <w:tc>
          <w:tcPr>
            <w:tcW w:w="1643" w:type="dxa"/>
          </w:tcPr>
          <w:p w14:paraId="6A1788D4" w14:textId="77777777" w:rsidR="007A2C48" w:rsidRPr="00FD595C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FD595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Care coordination and continuity across systems</w:t>
            </w:r>
          </w:p>
        </w:tc>
      </w:tr>
      <w:tr w:rsidR="007A2C48" w:rsidRPr="00AE273F" w14:paraId="5E78D59A" w14:textId="77777777" w:rsidTr="009F4F61">
        <w:tc>
          <w:tcPr>
            <w:tcW w:w="1710" w:type="dxa"/>
          </w:tcPr>
          <w:p w14:paraId="3FE67824" w14:textId="77777777" w:rsidR="007A2C48" w:rsidRPr="00C57B07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Bowles et al. (2016)</w:t>
            </w:r>
            <w:r w:rsidRPr="00C57B07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079BDC9E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Synthesized recurring challenges at discharge for technology-dependent infants—caregiver skill demands, fragmented follow-up systems, home supply coordination, and discharge timing pressure.</w:t>
            </w:r>
          </w:p>
        </w:tc>
        <w:tc>
          <w:tcPr>
            <w:tcW w:w="2390" w:type="dxa"/>
          </w:tcPr>
          <w:p w14:paraId="016B3D38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Emphasized standardized discharge pathways, caregiver simulation/practice, early DME coordination, and explicit outpatient follow-up planning.</w:t>
            </w:r>
          </w:p>
        </w:tc>
        <w:tc>
          <w:tcPr>
            <w:tcW w:w="1643" w:type="dxa"/>
          </w:tcPr>
          <w:p w14:paraId="0A183A14" w14:textId="77777777" w:rsidR="007A2C48" w:rsidRPr="00104F55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Home care</w:t>
            </w:r>
            <w:r w:rsidRPr="00104F55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management</w:t>
            </w:r>
          </w:p>
        </w:tc>
      </w:tr>
      <w:tr w:rsidR="007A2C48" w:rsidRPr="00AE273F" w14:paraId="57C1BA18" w14:textId="77777777" w:rsidTr="009F4F61">
        <w:tc>
          <w:tcPr>
            <w:tcW w:w="1710" w:type="dxa"/>
          </w:tcPr>
          <w:p w14:paraId="5CA74D19" w14:textId="77777777" w:rsidR="007A2C48" w:rsidRPr="00C57B07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Brady et al. (2018)</w:t>
            </w:r>
            <w:r w:rsidRPr="00C57B07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194599A4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Parents cited barriers such as transportation, competing appointments, caregiving overload, unclear value of follow-up, and difficulty navigating systems.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1E23EF17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Suggested flexible scheduling, travel supports, clearer explanation of follow-up benefits, and better coordination across specialty visits.</w:t>
            </w:r>
          </w:p>
        </w:tc>
        <w:tc>
          <w:tcPr>
            <w:tcW w:w="1643" w:type="dxa"/>
          </w:tcPr>
          <w:p w14:paraId="6397F5E8" w14:textId="77777777" w:rsidR="007A2C48" w:rsidRPr="00C57B0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Post-discharge surveillance and follow-up engagement</w:t>
            </w:r>
          </w:p>
        </w:tc>
      </w:tr>
      <w:tr w:rsidR="007A2C48" w:rsidRPr="00AE273F" w14:paraId="22571F06" w14:textId="77777777" w:rsidTr="009F4F61">
        <w:tc>
          <w:tcPr>
            <w:tcW w:w="1710" w:type="dxa"/>
          </w:tcPr>
          <w:p w14:paraId="3E0D0B60" w14:textId="77777777" w:rsidR="007A2C48" w:rsidRPr="00C57B07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Burnham et al. (2013) </w:t>
            </w:r>
          </w:p>
        </w:tc>
        <w:tc>
          <w:tcPr>
            <w:tcW w:w="3111" w:type="dxa"/>
          </w:tcPr>
          <w:p w14:paraId="157A47DB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Parents linked readiness to doing care independently, recognizing infant cues, and having reliable staff guidance. Confidence increased when parents were allowed progressive responsibility and practice.</w:t>
            </w:r>
          </w:p>
        </w:tc>
        <w:tc>
          <w:tcPr>
            <w:tcW w:w="2390" w:type="dxa"/>
          </w:tcPr>
          <w:p w14:paraId="0F235834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NICU teams should stage learning, normalize anxiety, and ensure discharge teaching goes beyond checklists to real caregiving competence.</w:t>
            </w:r>
          </w:p>
        </w:tc>
        <w:tc>
          <w:tcPr>
            <w:tcW w:w="1643" w:type="dxa"/>
          </w:tcPr>
          <w:p w14:paraId="59FB8CD8" w14:textId="77777777" w:rsidR="007A2C48" w:rsidRPr="00C57B0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Caregiver </w:t>
            </w: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readiness and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skill-building</w:t>
            </w:r>
          </w:p>
        </w:tc>
      </w:tr>
      <w:tr w:rsidR="007A2C48" w:rsidRPr="00AE273F" w14:paraId="46E7867B" w14:textId="77777777" w:rsidTr="009F4F61">
        <w:tc>
          <w:tcPr>
            <w:tcW w:w="1710" w:type="dxa"/>
          </w:tcPr>
          <w:p w14:paraId="034DF9E2" w14:textId="77777777" w:rsidR="007A2C48" w:rsidRPr="00C57B0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Catapano 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et al. </w:t>
            </w: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(2024)</w:t>
            </w:r>
          </w:p>
          <w:p w14:paraId="6177F844" w14:textId="77777777" w:rsidR="007A2C48" w:rsidRPr="00AE273F" w:rsidRDefault="007A2C48" w:rsidP="009F4F61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3111" w:type="dxa"/>
          </w:tcPr>
          <w:p w14:paraId="527C2624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Both parents and clinicians described emotional strain, role confusion, communication gaps, and uncertainty. Parents valued empathy and consistency, while staff described time pressure and competing priorities.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7FD010F6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Recommended communication routines, psychosocial support, and shared expectations to reduce distress and strengthen trust.</w:t>
            </w:r>
          </w:p>
        </w:tc>
        <w:tc>
          <w:tcPr>
            <w:tcW w:w="1643" w:type="dxa"/>
          </w:tcPr>
          <w:p w14:paraId="6C279E0F" w14:textId="77777777" w:rsidR="007A2C48" w:rsidRPr="00C57B0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Psychosocial adaptation </w:t>
            </w:r>
          </w:p>
        </w:tc>
      </w:tr>
      <w:tr w:rsidR="007A2C48" w:rsidRPr="00AE273F" w14:paraId="7E6D12E5" w14:textId="77777777" w:rsidTr="009F4F61">
        <w:tc>
          <w:tcPr>
            <w:tcW w:w="1710" w:type="dxa"/>
          </w:tcPr>
          <w:p w14:paraId="3B1EFF37" w14:textId="77777777" w:rsidR="007A2C48" w:rsidRPr="00C57B07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Chen et al. (2002)</w:t>
            </w:r>
            <w:r w:rsidRPr="00C57B07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2F31B55A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Presented a practice model showing how cultural beliefs shape coping, interpretation of illness, and family decision-making. It mapped how nurses can assess stressors and protective factors in culturally aligned ways.</w:t>
            </w:r>
            <w:r w:rsidRPr="00AE273F">
              <w:rPr>
                <w:sz w:val="22"/>
                <w:szCs w:val="22"/>
              </w:rPr>
              <w:br/>
              <w:t>outcomes.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21070567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Encouraged culturally sensitive discharge education, family-system assessment, and strengths-based support to improve engagement and outcomes.</w:t>
            </w:r>
          </w:p>
        </w:tc>
        <w:tc>
          <w:tcPr>
            <w:tcW w:w="1643" w:type="dxa"/>
          </w:tcPr>
          <w:p w14:paraId="256713BD" w14:textId="77777777" w:rsidR="007A2C48" w:rsidRPr="00C57B0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Care coordination and continuity across systems</w:t>
            </w:r>
          </w:p>
        </w:tc>
      </w:tr>
      <w:tr w:rsidR="007A2C48" w:rsidRPr="00AE273F" w14:paraId="070F8BBD" w14:textId="77777777" w:rsidTr="009F4F61">
        <w:tc>
          <w:tcPr>
            <w:tcW w:w="1710" w:type="dxa"/>
          </w:tcPr>
          <w:p w14:paraId="397AE835" w14:textId="77777777" w:rsidR="007A2C48" w:rsidRPr="00C57B07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lastRenderedPageBreak/>
              <w:t>Connors et al.  (2021)</w:t>
            </w:r>
          </w:p>
        </w:tc>
        <w:tc>
          <w:tcPr>
            <w:tcW w:w="3111" w:type="dxa"/>
          </w:tcPr>
          <w:p w14:paraId="3B2B0D66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Summarized key outpatient care needs for medically complex infants—medication safety, feeding/airway equipment oversight, caregiver burden, and high readmission risk.</w:t>
            </w:r>
          </w:p>
        </w:tc>
        <w:tc>
          <w:tcPr>
            <w:tcW w:w="2390" w:type="dxa"/>
          </w:tcPr>
          <w:p w14:paraId="7DADDB37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Primary care should use structured care plans, proactive coordination with specialists, and anticipatory guidance tailored to complexity.</w:t>
            </w:r>
          </w:p>
        </w:tc>
        <w:tc>
          <w:tcPr>
            <w:tcW w:w="1643" w:type="dxa"/>
          </w:tcPr>
          <w:p w14:paraId="11BFD308" w14:textId="77777777" w:rsidR="007A2C48" w:rsidRPr="00C57B0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Care coordination and continuity across systems</w:t>
            </w:r>
          </w:p>
        </w:tc>
      </w:tr>
      <w:tr w:rsidR="007A2C48" w:rsidRPr="00AE273F" w14:paraId="02AE7AD6" w14:textId="77777777" w:rsidTr="009F4F61">
        <w:tc>
          <w:tcPr>
            <w:tcW w:w="1710" w:type="dxa"/>
          </w:tcPr>
          <w:p w14:paraId="7A707D1E" w14:textId="77777777" w:rsidR="007A2C48" w:rsidRPr="00BC590C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BC590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Dallas et al. (2023)</w:t>
            </w:r>
            <w:r w:rsidRPr="00BC590C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487CCF39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Families described discharge as an evolving experience marked by shifting confidence, ongoing uncertainty, and changing support needs after going home—often feeling that “discharge” did not end the caregiving transition.</w:t>
            </w:r>
          </w:p>
        </w:tc>
        <w:tc>
          <w:tcPr>
            <w:tcW w:w="2390" w:type="dxa"/>
          </w:tcPr>
          <w:p w14:paraId="7726AA20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Suggested post-discharge touchpoints, continuity supports, and caregiver-centered follow-up planning that extends beyond the discharge date.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1643" w:type="dxa"/>
          </w:tcPr>
          <w:p w14:paraId="21598776" w14:textId="77777777" w:rsidR="007A2C48" w:rsidRPr="00C57B0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C57B0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Psychosocial adaptation </w:t>
            </w:r>
          </w:p>
        </w:tc>
      </w:tr>
      <w:tr w:rsidR="007A2C48" w:rsidRPr="00AE273F" w14:paraId="414BD711" w14:textId="77777777" w:rsidTr="009F4F61">
        <w:tc>
          <w:tcPr>
            <w:tcW w:w="1710" w:type="dxa"/>
          </w:tcPr>
          <w:p w14:paraId="7AAB035C" w14:textId="77777777" w:rsidR="007A2C48" w:rsidRPr="00BC590C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BC590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Dorner et al.  (2022)</w:t>
            </w:r>
            <w:r w:rsidRPr="00BC590C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0DACD34B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Parents described long-term emotional burden, uncertainty, complex decision-making, and difficulties navigating systems across repeated hospitalizations and evolving infant needs.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3A3299D2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Called for better caregiver counseling, clearer anticipatory guidance, and coordinated multidisciplinary follow-up for complex neurologic conditions.</w:t>
            </w:r>
          </w:p>
        </w:tc>
        <w:tc>
          <w:tcPr>
            <w:tcW w:w="1643" w:type="dxa"/>
          </w:tcPr>
          <w:p w14:paraId="4243E242" w14:textId="77777777" w:rsidR="007A2C48" w:rsidRPr="00BC590C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Home care</w:t>
            </w:r>
            <w:r w:rsidRPr="00BC590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management</w:t>
            </w:r>
          </w:p>
        </w:tc>
      </w:tr>
      <w:tr w:rsidR="007A2C48" w:rsidRPr="00AE273F" w14:paraId="701FA06D" w14:textId="77777777" w:rsidTr="009F4F61">
        <w:tc>
          <w:tcPr>
            <w:tcW w:w="1710" w:type="dxa"/>
          </w:tcPr>
          <w:p w14:paraId="15867FE5" w14:textId="77777777" w:rsidR="007A2C48" w:rsidRPr="00BC590C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BC590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Fernández-Medina et al. (2022)</w:t>
            </w:r>
          </w:p>
        </w:tc>
        <w:tc>
          <w:tcPr>
            <w:tcW w:w="3111" w:type="dxa"/>
          </w:tcPr>
          <w:p w14:paraId="63E52A10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Parents described home life shaped by isolation, fear of complications, heavy care demands, and dependence on family networks. Support quality influenced coping and perceived safety.</w:t>
            </w:r>
          </w:p>
        </w:tc>
        <w:tc>
          <w:tcPr>
            <w:tcW w:w="2390" w:type="dxa"/>
          </w:tcPr>
          <w:p w14:paraId="698B98A7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Suggested strengthening family/community supports and improving continuity from NICU to home for technology-dependent infants.</w:t>
            </w:r>
          </w:p>
        </w:tc>
        <w:tc>
          <w:tcPr>
            <w:tcW w:w="1643" w:type="dxa"/>
          </w:tcPr>
          <w:p w14:paraId="2B6C2DA3" w14:textId="77777777" w:rsidR="007A2C48" w:rsidRPr="00BC590C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BC590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Psychosocial adaptation </w:t>
            </w:r>
          </w:p>
        </w:tc>
      </w:tr>
      <w:tr w:rsidR="007A2C48" w:rsidRPr="00AE273F" w14:paraId="28FD08B4" w14:textId="77777777" w:rsidTr="009F4F61">
        <w:tc>
          <w:tcPr>
            <w:tcW w:w="1710" w:type="dxa"/>
          </w:tcPr>
          <w:p w14:paraId="085A6A1D" w14:textId="77777777" w:rsidR="007A2C48" w:rsidRPr="00206AD3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206AD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Gaskin et al.  (2018). </w:t>
            </w:r>
            <w:r w:rsidRPr="00206AD3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0FA59F66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The HOME tool was developed with stakeholder input and supported structured parent monitoring of risk indicators. Early implementation suggested improved caregiver confidence and clearer escalation pathways.</w:t>
            </w:r>
          </w:p>
        </w:tc>
        <w:tc>
          <w:tcPr>
            <w:tcW w:w="2390" w:type="dxa"/>
          </w:tcPr>
          <w:p w14:paraId="5FE0BCC2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Home monitoring tools can strengthen safety after discharge if paired with training, communication pathways, and responsive clinical support.</w:t>
            </w:r>
          </w:p>
        </w:tc>
        <w:tc>
          <w:tcPr>
            <w:tcW w:w="1643" w:type="dxa"/>
          </w:tcPr>
          <w:p w14:paraId="4BB63ADD" w14:textId="77777777" w:rsidR="007A2C48" w:rsidRPr="00BC590C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BC590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Post-discharge surveillance and follow-up engagement</w:t>
            </w:r>
          </w:p>
        </w:tc>
      </w:tr>
      <w:tr w:rsidR="007A2C48" w:rsidRPr="00AE273F" w14:paraId="4536DD68" w14:textId="77777777" w:rsidTr="009F4F61">
        <w:trPr>
          <w:trHeight w:val="2213"/>
        </w:trPr>
        <w:tc>
          <w:tcPr>
            <w:tcW w:w="1710" w:type="dxa"/>
          </w:tcPr>
          <w:p w14:paraId="0E43A1C2" w14:textId="77777777" w:rsidR="007A2C48" w:rsidRPr="00206AD3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206AD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Harris et al. (2024)</w:t>
            </w:r>
            <w:r w:rsidRPr="00206AD3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53A14413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Identified family-level barriers (transport, mental health strain, competing caregiving demands) and system barriers (communication gaps, constrained subspecialty access). Education needed to balance immediate tasks and long-term trajectory.</w:t>
            </w:r>
          </w:p>
        </w:tc>
        <w:tc>
          <w:tcPr>
            <w:tcW w:w="2390" w:type="dxa"/>
          </w:tcPr>
          <w:p w14:paraId="6CBD7A5F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Recommended stronger care coordination, earlier support for social needs, and education designs that fit health literacy and stress realities.</w:t>
            </w:r>
          </w:p>
        </w:tc>
        <w:tc>
          <w:tcPr>
            <w:tcW w:w="1643" w:type="dxa"/>
          </w:tcPr>
          <w:p w14:paraId="3C0C76D0" w14:textId="77777777" w:rsidR="007A2C48" w:rsidRPr="00206AD3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206AD3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Care coordination and continuity across systems</w:t>
            </w:r>
          </w:p>
        </w:tc>
      </w:tr>
      <w:tr w:rsidR="007A2C48" w:rsidRPr="00AE273F" w14:paraId="573936D8" w14:textId="77777777" w:rsidTr="009F4F61">
        <w:tc>
          <w:tcPr>
            <w:tcW w:w="1710" w:type="dxa"/>
          </w:tcPr>
          <w:p w14:paraId="64D8C26F" w14:textId="77777777" w:rsidR="007A2C48" w:rsidRPr="00B87BCC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B87BC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Hartman et al. (2012)</w:t>
            </w:r>
            <w:r w:rsidRPr="00B87BCC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6AA80C7D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 xml:space="preserve">Parents reported stress around feeding, medication, recognizing deterioration, and juggling follow-up visits. Many </w:t>
            </w:r>
            <w:r w:rsidRPr="00AE273F">
              <w:rPr>
                <w:sz w:val="22"/>
                <w:szCs w:val="22"/>
              </w:rPr>
              <w:lastRenderedPageBreak/>
              <w:t>felt discharge teaching was necessary but not sufficient without real practice.</w:t>
            </w:r>
          </w:p>
        </w:tc>
        <w:tc>
          <w:tcPr>
            <w:tcW w:w="2390" w:type="dxa"/>
          </w:tcPr>
          <w:p w14:paraId="4BF41464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lastRenderedPageBreak/>
              <w:t>Recommended staged preparation, clearer emergency guidance, and stronger post-</w:t>
            </w:r>
            <w:r w:rsidRPr="00AE273F">
              <w:rPr>
                <w:sz w:val="22"/>
                <w:szCs w:val="22"/>
              </w:rPr>
              <w:lastRenderedPageBreak/>
              <w:t>discharge support</w:t>
            </w:r>
            <w:r>
              <w:rPr>
                <w:sz w:val="22"/>
                <w:szCs w:val="22"/>
              </w:rPr>
              <w:t xml:space="preserve"> </w:t>
            </w:r>
            <w:r w:rsidRPr="00AE273F">
              <w:rPr>
                <w:sz w:val="22"/>
                <w:szCs w:val="22"/>
              </w:rPr>
              <w:t>around feeding and symptom recognition.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1643" w:type="dxa"/>
          </w:tcPr>
          <w:p w14:paraId="6DBF1944" w14:textId="77777777" w:rsidR="007A2C48" w:rsidRPr="00B87BCC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lastRenderedPageBreak/>
              <w:t>Caregiver readiness</w:t>
            </w:r>
            <w:r w:rsidRPr="00B87BC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and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B87BCC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skill-building</w:t>
            </w:r>
          </w:p>
        </w:tc>
      </w:tr>
      <w:tr w:rsidR="007A2C48" w:rsidRPr="00AE273F" w14:paraId="4D5F3354" w14:textId="77777777" w:rsidTr="009F4F61">
        <w:tc>
          <w:tcPr>
            <w:tcW w:w="1710" w:type="dxa"/>
          </w:tcPr>
          <w:p w14:paraId="48F9E119" w14:textId="77777777" w:rsidR="007A2C48" w:rsidRPr="00A9630A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Heringhaus et al. (2013)</w:t>
            </w:r>
            <w:r w:rsidRPr="00A9630A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353D53C0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Parents described trauma, persistent fear, altered bonding expectations, and uncertainty at home. Support needs extended well beyond hospitalization.</w:t>
            </w:r>
          </w:p>
        </w:tc>
        <w:tc>
          <w:tcPr>
            <w:tcW w:w="2390" w:type="dxa"/>
          </w:tcPr>
          <w:p w14:paraId="0CC2B429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Highlighted the need for trauma-informed follow-up, emotional support, and continuity across the hospital-to-home transition.</w:t>
            </w:r>
          </w:p>
        </w:tc>
        <w:tc>
          <w:tcPr>
            <w:tcW w:w="1643" w:type="dxa"/>
          </w:tcPr>
          <w:p w14:paraId="24864058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Psychosocial adaptation </w:t>
            </w:r>
          </w:p>
        </w:tc>
      </w:tr>
      <w:tr w:rsidR="007A2C48" w:rsidRPr="00AE273F" w14:paraId="5AA2E5C8" w14:textId="77777777" w:rsidTr="009F4F61">
        <w:tc>
          <w:tcPr>
            <w:tcW w:w="1710" w:type="dxa"/>
          </w:tcPr>
          <w:p w14:paraId="584102AB" w14:textId="77777777" w:rsidR="007A2C48" w:rsidRPr="00A9630A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Hookway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et al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. (2013)</w:t>
            </w:r>
          </w:p>
        </w:tc>
        <w:tc>
          <w:tcPr>
            <w:tcW w:w="3111" w:type="dxa"/>
          </w:tcPr>
          <w:p w14:paraId="51103C34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Outlined essential community practitioner roles—home assessment, reinforcement of teaching, feeding/safety checks, and care navigation support.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76E267CF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Emphasized stronger NICU-community handoffs and proactive outreach to reduce readmission risk and family overwhelm.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1643" w:type="dxa"/>
          </w:tcPr>
          <w:p w14:paraId="66B576FE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Care coordination and continuity across systems</w:t>
            </w:r>
          </w:p>
        </w:tc>
      </w:tr>
      <w:tr w:rsidR="007A2C48" w:rsidRPr="00AE273F" w14:paraId="2FEA02CE" w14:textId="77777777" w:rsidTr="009F4F61">
        <w:tc>
          <w:tcPr>
            <w:tcW w:w="1710" w:type="dxa"/>
          </w:tcPr>
          <w:p w14:paraId="36561EFF" w14:textId="77777777" w:rsidR="007A2C48" w:rsidRPr="00A9630A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Lakshmanan et al. (2019)</w:t>
            </w:r>
            <w:r w:rsidRPr="00A9630A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20EFE159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Parents reported high stress and information needs; support interventions were feasible and linked to improved confidence and perceived readiness in early transition.</w:t>
            </w:r>
          </w:p>
        </w:tc>
        <w:tc>
          <w:tcPr>
            <w:tcW w:w="2390" w:type="dxa"/>
          </w:tcPr>
          <w:p w14:paraId="2DA4DC77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Suggested structured supports that continue after discharge and focus on practical skills plus emotional reassurance.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1643" w:type="dxa"/>
          </w:tcPr>
          <w:p w14:paraId="28AA7F7F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Caregiver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readiness and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skill-building</w:t>
            </w:r>
          </w:p>
        </w:tc>
      </w:tr>
      <w:tr w:rsidR="007A2C48" w:rsidRPr="00AE273F" w14:paraId="3D00942A" w14:textId="77777777" w:rsidTr="009F4F61">
        <w:tc>
          <w:tcPr>
            <w:tcW w:w="1710" w:type="dxa"/>
          </w:tcPr>
          <w:p w14:paraId="3F7A603E" w14:textId="77777777" w:rsidR="007A2C48" w:rsidRPr="00A9630A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Lau et al. (2019). </w:t>
            </w:r>
            <w:r w:rsidRPr="00A9630A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54CB0855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Documented variation in oxygen prescribing, weaning, and follow-up approaches. Some patterns were linked with differences in utilization and timing of discontinuation.</w:t>
            </w:r>
          </w:p>
        </w:tc>
        <w:tc>
          <w:tcPr>
            <w:tcW w:w="2390" w:type="dxa"/>
          </w:tcPr>
          <w:p w14:paraId="0C0B8E9B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Recommended standardized oxygen targets, clearer weaning guidance, and coordinated outpatient follow-up to reduce inconsistent care.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1643" w:type="dxa"/>
          </w:tcPr>
          <w:p w14:paraId="326A8F1A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Home care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management</w:t>
            </w:r>
          </w:p>
        </w:tc>
      </w:tr>
      <w:tr w:rsidR="007A2C48" w:rsidRPr="00AE273F" w14:paraId="5FF78E32" w14:textId="77777777" w:rsidTr="009F4F61">
        <w:tc>
          <w:tcPr>
            <w:tcW w:w="1710" w:type="dxa"/>
          </w:tcPr>
          <w:p w14:paraId="5A40E02E" w14:textId="77777777" w:rsidR="007A2C48" w:rsidRPr="00A9630A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Mayell et al. (2006)</w:t>
            </w:r>
            <w:r w:rsidRPr="00A9630A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05E52526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Reviewed evidence for prophylaxis eligibility, timing, and risk factors in premature infants, emphasizing preventive planning around discharge seasonality.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42CECD84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Called for consistent prophylaxis planning and parent education as part of discharge preparation for vulnerable preterm infants.</w:t>
            </w:r>
          </w:p>
        </w:tc>
        <w:tc>
          <w:tcPr>
            <w:tcW w:w="1643" w:type="dxa"/>
          </w:tcPr>
          <w:p w14:paraId="12AF08F6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Home care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management</w:t>
            </w:r>
          </w:p>
        </w:tc>
      </w:tr>
      <w:tr w:rsidR="007A2C48" w:rsidRPr="00AE273F" w14:paraId="06DDF150" w14:textId="77777777" w:rsidTr="009F4F61">
        <w:tc>
          <w:tcPr>
            <w:tcW w:w="1710" w:type="dxa"/>
          </w:tcPr>
          <w:p w14:paraId="37170349" w14:textId="77777777" w:rsidR="007A2C48" w:rsidRPr="00A9630A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Norton et al. (2022) </w:t>
            </w:r>
          </w:p>
        </w:tc>
        <w:tc>
          <w:tcPr>
            <w:tcW w:w="3111" w:type="dxa"/>
          </w:tcPr>
          <w:p w14:paraId="08E5C94F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Parents emphasized readiness as confidence built through repeated caregiving practice, supportive nurse coaching, and clear expectations. Anxiety remained when teaching felt rushed or inconsistent.</w:t>
            </w:r>
          </w:p>
        </w:tc>
        <w:tc>
          <w:tcPr>
            <w:tcW w:w="2390" w:type="dxa"/>
          </w:tcPr>
          <w:p w14:paraId="7268A19B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Suggested family-paced teaching, consistent messaging, and post-discharge follow-up that reinforces learning and confidence.</w:t>
            </w:r>
          </w:p>
        </w:tc>
        <w:tc>
          <w:tcPr>
            <w:tcW w:w="1643" w:type="dxa"/>
          </w:tcPr>
          <w:p w14:paraId="330CA335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Caregiver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readiness and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skill-building</w:t>
            </w:r>
          </w:p>
        </w:tc>
      </w:tr>
      <w:tr w:rsidR="007A2C48" w:rsidRPr="00AE273F" w14:paraId="6D42FA2E" w14:textId="77777777" w:rsidTr="009F4F61">
        <w:tc>
          <w:tcPr>
            <w:tcW w:w="1710" w:type="dxa"/>
          </w:tcPr>
          <w:p w14:paraId="0B7F415D" w14:textId="77777777" w:rsidR="007A2C48" w:rsidRPr="00A9630A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Pye et al. (2003) </w:t>
            </w:r>
          </w:p>
        </w:tc>
        <w:tc>
          <w:tcPr>
            <w:tcW w:w="3111" w:type="dxa"/>
          </w:tcPr>
          <w:p w14:paraId="2BFB4236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 xml:space="preserve">Described development and implementation of a structured discharge booklet addressing </w:t>
            </w:r>
            <w:r w:rsidRPr="00AE273F">
              <w:rPr>
                <w:sz w:val="22"/>
                <w:szCs w:val="22"/>
              </w:rPr>
              <w:lastRenderedPageBreak/>
              <w:t>home care tasks, warning signs, feeding, and follow-up needs.</w:t>
            </w:r>
          </w:p>
        </w:tc>
        <w:tc>
          <w:tcPr>
            <w:tcW w:w="2390" w:type="dxa"/>
          </w:tcPr>
          <w:p w14:paraId="6127D8A6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lastRenderedPageBreak/>
              <w:t xml:space="preserve">Standardized written tools can reduce variability, improve retention of key </w:t>
            </w:r>
            <w:r w:rsidRPr="00AE273F">
              <w:rPr>
                <w:sz w:val="22"/>
                <w:szCs w:val="22"/>
              </w:rPr>
              <w:lastRenderedPageBreak/>
              <w:t>information, and support safer home management when paired with teaching.</w:t>
            </w:r>
          </w:p>
        </w:tc>
        <w:tc>
          <w:tcPr>
            <w:tcW w:w="1643" w:type="dxa"/>
          </w:tcPr>
          <w:p w14:paraId="50AF39A3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lastRenderedPageBreak/>
              <w:t xml:space="preserve">Caregiver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readiness and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skill-building</w:t>
            </w:r>
          </w:p>
        </w:tc>
      </w:tr>
      <w:tr w:rsidR="007A2C48" w:rsidRPr="00AE273F" w14:paraId="6109191E" w14:textId="77777777" w:rsidTr="009F4F61">
        <w:tc>
          <w:tcPr>
            <w:tcW w:w="1710" w:type="dxa"/>
          </w:tcPr>
          <w:p w14:paraId="3D8499FE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Schuler et al. (2023)</w:t>
            </w:r>
          </w:p>
          <w:p w14:paraId="231472AD" w14:textId="77777777" w:rsidR="007A2C48" w:rsidRPr="00AE273F" w:rsidRDefault="007A2C48" w:rsidP="009F4F61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3111" w:type="dxa"/>
          </w:tcPr>
          <w:p w14:paraId="628022AC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Protocol paper—outlined a multi-component transition intervention (family integration, education, follow-up supports) designed for measurable post-discharge outcomes.</w:t>
            </w:r>
          </w:p>
        </w:tc>
        <w:tc>
          <w:tcPr>
            <w:tcW w:w="2390" w:type="dxa"/>
          </w:tcPr>
          <w:p w14:paraId="68BF19CB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Emphasized rigorous evaluation of structured transition supports to reduce stress, improve readiness, and strengthen continuity after discharge.</w:t>
            </w:r>
          </w:p>
        </w:tc>
        <w:tc>
          <w:tcPr>
            <w:tcW w:w="1643" w:type="dxa"/>
          </w:tcPr>
          <w:p w14:paraId="064D5D83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Caregiver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readiness and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skill-building</w:t>
            </w:r>
          </w:p>
        </w:tc>
      </w:tr>
      <w:tr w:rsidR="007A2C48" w:rsidRPr="00AE273F" w14:paraId="7B1206EA" w14:textId="77777777" w:rsidTr="009F4F61">
        <w:tc>
          <w:tcPr>
            <w:tcW w:w="1710" w:type="dxa"/>
          </w:tcPr>
          <w:p w14:paraId="35158C62" w14:textId="77777777" w:rsidR="007A2C48" w:rsidRPr="00233416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233416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Schuler et al. (2024)</w:t>
            </w:r>
            <w:r w:rsidRPr="00233416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16B76871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Implementation was associated with improved discharge processes and caregiver engagement, with signals of improved preparedness and more standardized teaching.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152E6C8D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Family-centered discharge approaches are feasible at scale, but require staff alignment, workflow support, and consistent reinforcement.</w:t>
            </w:r>
          </w:p>
        </w:tc>
        <w:tc>
          <w:tcPr>
            <w:tcW w:w="1643" w:type="dxa"/>
          </w:tcPr>
          <w:p w14:paraId="31072B39" w14:textId="77777777" w:rsidR="007A2C48" w:rsidRPr="00A9630A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Caregiver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readiness and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A9630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skill-building</w:t>
            </w:r>
          </w:p>
        </w:tc>
      </w:tr>
      <w:tr w:rsidR="007A2C48" w:rsidRPr="00AE273F" w14:paraId="28588A80" w14:textId="77777777" w:rsidTr="009F4F61">
        <w:trPr>
          <w:trHeight w:val="1835"/>
        </w:trPr>
        <w:tc>
          <w:tcPr>
            <w:tcW w:w="1710" w:type="dxa"/>
          </w:tcPr>
          <w:p w14:paraId="7DA03DB5" w14:textId="77777777" w:rsidR="007A2C48" w:rsidRPr="00233416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233416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Tavares et al. (2016)</w:t>
            </w:r>
          </w:p>
        </w:tc>
        <w:tc>
          <w:tcPr>
            <w:tcW w:w="3111" w:type="dxa"/>
          </w:tcPr>
          <w:p w14:paraId="076C4EF4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Parents described transition as rebuilding identity and routines while managing fear, responsibility, and uncertainty. Support and recognition from professionals shaped confidence.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611DA667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Suggested nursing strategies focused on emotional support, relationship-based teaching, and follow-up contact to ease adaptation.</w:t>
            </w:r>
          </w:p>
        </w:tc>
        <w:tc>
          <w:tcPr>
            <w:tcW w:w="1643" w:type="dxa"/>
          </w:tcPr>
          <w:p w14:paraId="4985AD5C" w14:textId="77777777" w:rsidR="007A2C48" w:rsidRPr="00233416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233416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Psychosocial adaptation </w:t>
            </w:r>
          </w:p>
        </w:tc>
      </w:tr>
      <w:tr w:rsidR="007A2C48" w:rsidRPr="00AE273F" w14:paraId="66F7DB41" w14:textId="77777777" w:rsidTr="009F4F61">
        <w:tc>
          <w:tcPr>
            <w:tcW w:w="1710" w:type="dxa"/>
          </w:tcPr>
          <w:p w14:paraId="67C60F70" w14:textId="77777777" w:rsidR="007A2C48" w:rsidRPr="00F31FD7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F31FD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Toly et al. (2019)</w:t>
            </w:r>
          </w:p>
        </w:tc>
        <w:tc>
          <w:tcPr>
            <w:tcW w:w="3111" w:type="dxa"/>
          </w:tcPr>
          <w:p w14:paraId="344B2BB5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Mothers described constant vigilance, disrupted sleep, fear of emergencies, and a rapid shift to being the “primary clinician” at home. Support needs were ongoing and intense.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42D8876F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Highlighted the need for mental health screening, respite supports, and continuity programs for technology-dependent infant families.</w:t>
            </w:r>
          </w:p>
        </w:tc>
        <w:tc>
          <w:tcPr>
            <w:tcW w:w="1643" w:type="dxa"/>
          </w:tcPr>
          <w:p w14:paraId="07D08E83" w14:textId="77777777" w:rsidR="007A2C48" w:rsidRPr="00F31FD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 w:rsidRPr="00F31FD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Psychosocial adaptation </w:t>
            </w:r>
          </w:p>
        </w:tc>
      </w:tr>
      <w:tr w:rsidR="007A2C48" w:rsidRPr="00AE273F" w14:paraId="2BC5EA7C" w14:textId="77777777" w:rsidTr="009F4F61">
        <w:tc>
          <w:tcPr>
            <w:tcW w:w="1710" w:type="dxa"/>
          </w:tcPr>
          <w:p w14:paraId="4DA33823" w14:textId="77777777" w:rsidR="007A2C48" w:rsidRPr="00F31FD7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F31FD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van Kampen et al. (2019)</w:t>
            </w:r>
            <w:r w:rsidRPr="00F31FD7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09AD634C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Parents reported stress, fear of tube complications, and heavy routine burden—yet also described gradual mastery and normalization over time.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2390" w:type="dxa"/>
          </w:tcPr>
          <w:p w14:paraId="5BC70026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Recommended structured training, written/video guidance, and accessible post-discharge troubleshooting support.</w:t>
            </w:r>
          </w:p>
        </w:tc>
        <w:tc>
          <w:tcPr>
            <w:tcW w:w="1643" w:type="dxa"/>
          </w:tcPr>
          <w:p w14:paraId="7C5D8BB7" w14:textId="77777777" w:rsidR="007A2C48" w:rsidRPr="00F31FD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Home care </w:t>
            </w:r>
            <w:r w:rsidRPr="00F31FD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management</w:t>
            </w:r>
          </w:p>
        </w:tc>
      </w:tr>
      <w:tr w:rsidR="007A2C48" w:rsidRPr="00AE273F" w14:paraId="5CDA52E2" w14:textId="77777777" w:rsidTr="009F4F61">
        <w:tc>
          <w:tcPr>
            <w:tcW w:w="1710" w:type="dxa"/>
          </w:tcPr>
          <w:p w14:paraId="62C16C63" w14:textId="77777777" w:rsidR="007A2C48" w:rsidRPr="00F31FD7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F31FD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Whyte et al. (2010) </w:t>
            </w:r>
          </w:p>
        </w:tc>
        <w:tc>
          <w:tcPr>
            <w:tcW w:w="3111" w:type="dxa"/>
          </w:tcPr>
          <w:p w14:paraId="31680DE6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Provided evidence-informed discharge criteria (feeding stability, thermoregulation, jaundice risk, apnea monitoring as appropriate) and highlighted late preterm vulnerability after discharge.</w:t>
            </w:r>
          </w:p>
        </w:tc>
        <w:tc>
          <w:tcPr>
            <w:tcW w:w="2390" w:type="dxa"/>
          </w:tcPr>
          <w:p w14:paraId="7FE9F4A9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>Recommended standardized discharge timing criteria and early follow-up planning to prevent avoidable morbidity and readmissions.</w:t>
            </w:r>
          </w:p>
        </w:tc>
        <w:tc>
          <w:tcPr>
            <w:tcW w:w="1643" w:type="dxa"/>
          </w:tcPr>
          <w:p w14:paraId="4D5BFBDE" w14:textId="77777777" w:rsidR="007A2C48" w:rsidRPr="00F31FD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L</w:t>
            </w:r>
            <w:r w:rsidRPr="00F31FD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ate preterm 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discharge s</w:t>
            </w:r>
            <w:r w:rsidRPr="00F31FD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afety standards </w:t>
            </w:r>
          </w:p>
        </w:tc>
      </w:tr>
      <w:tr w:rsidR="007A2C48" w:rsidRPr="00AE273F" w14:paraId="69164EFD" w14:textId="77777777" w:rsidTr="009F4F61">
        <w:tc>
          <w:tcPr>
            <w:tcW w:w="1710" w:type="dxa"/>
          </w:tcPr>
          <w:p w14:paraId="3EAA7CC5" w14:textId="77777777" w:rsidR="007A2C48" w:rsidRPr="008F0B24" w:rsidRDefault="007A2C48" w:rsidP="009F4F61">
            <w:pPr>
              <w:pStyle w:val="NormalWeb"/>
              <w:rPr>
                <w:b/>
                <w:bCs/>
                <w:sz w:val="22"/>
                <w:szCs w:val="22"/>
              </w:rPr>
            </w:pPr>
            <w:r w:rsidRPr="008F0B24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Yu et al. (2017)</w:t>
            </w:r>
            <w:r w:rsidRPr="008F0B24">
              <w:rPr>
                <w:b/>
                <w:bCs/>
                <w:sz w:val="22"/>
                <w:szCs w:val="22"/>
              </w:rPr>
              <w:t xml:space="preserve"> </w:t>
            </w:r>
            <w:r w:rsidRPr="008F0B24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3111" w:type="dxa"/>
          </w:tcPr>
          <w:p w14:paraId="2D817526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t xml:space="preserve">The program improved parent outcomes (knowledge, confidence, preparedness) and reduced stress compared with </w:t>
            </w:r>
            <w:r w:rsidRPr="00AE273F">
              <w:rPr>
                <w:sz w:val="22"/>
                <w:szCs w:val="22"/>
              </w:rPr>
              <w:lastRenderedPageBreak/>
              <w:t>usual care, with positive signals for transition success.</w:t>
            </w:r>
          </w:p>
        </w:tc>
        <w:tc>
          <w:tcPr>
            <w:tcW w:w="2390" w:type="dxa"/>
          </w:tcPr>
          <w:p w14:paraId="5A77F5A4" w14:textId="77777777" w:rsidR="007A2C48" w:rsidRPr="00AE273F" w:rsidRDefault="007A2C48" w:rsidP="009F4F61">
            <w:pPr>
              <w:pStyle w:val="NormalWeb"/>
              <w:rPr>
                <w:rStyle w:val="Strong"/>
                <w:rFonts w:eastAsiaTheme="majorEastAsia"/>
                <w:sz w:val="22"/>
                <w:szCs w:val="22"/>
              </w:rPr>
            </w:pPr>
            <w:r w:rsidRPr="00AE273F">
              <w:rPr>
                <w:sz w:val="22"/>
                <w:szCs w:val="22"/>
              </w:rPr>
              <w:lastRenderedPageBreak/>
              <w:t xml:space="preserve">Family-centered discharge programs should combine structured teaching with </w:t>
            </w:r>
            <w:r w:rsidRPr="00AE273F">
              <w:rPr>
                <w:sz w:val="22"/>
                <w:szCs w:val="22"/>
              </w:rPr>
              <w:lastRenderedPageBreak/>
              <w:t>parent participation and continuity supports after discharge.</w:t>
            </w:r>
            <w:r w:rsidRPr="00AE273F">
              <w:rPr>
                <w:sz w:val="22"/>
                <w:szCs w:val="22"/>
              </w:rPr>
              <w:br/>
            </w:r>
          </w:p>
        </w:tc>
        <w:tc>
          <w:tcPr>
            <w:tcW w:w="1643" w:type="dxa"/>
          </w:tcPr>
          <w:p w14:paraId="47176F51" w14:textId="77777777" w:rsidR="007A2C48" w:rsidRPr="00E712B7" w:rsidRDefault="007A2C48" w:rsidP="009F4F61">
            <w:pPr>
              <w:pStyle w:val="NormalWeb"/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lastRenderedPageBreak/>
              <w:t xml:space="preserve">Caregiver </w:t>
            </w:r>
            <w:r w:rsidRPr="00E712B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readiness and</w:t>
            </w:r>
            <w:r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 xml:space="preserve"> </w:t>
            </w:r>
            <w:r w:rsidRPr="00E712B7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skill-building</w:t>
            </w:r>
          </w:p>
        </w:tc>
      </w:tr>
    </w:tbl>
    <w:p w14:paraId="17E13494" w14:textId="77777777" w:rsidR="007A2C48" w:rsidRPr="00AE273F" w:rsidRDefault="007A2C48" w:rsidP="007A2C48">
      <w:pPr>
        <w:rPr>
          <w:sz w:val="22"/>
          <w:szCs w:val="22"/>
        </w:rPr>
      </w:pPr>
    </w:p>
    <w:p w14:paraId="5D6544E5" w14:textId="77777777" w:rsidR="00A91650" w:rsidRDefault="00A91650"/>
    <w:sectPr w:rsidR="00A91650" w:rsidSect="007A2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48"/>
    <w:rsid w:val="000E2EDD"/>
    <w:rsid w:val="005938CE"/>
    <w:rsid w:val="007A2C48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52FDD"/>
  <w15:chartTrackingRefBased/>
  <w15:docId w15:val="{F2B3F318-7B30-464C-8765-67C4EF4C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C48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C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C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C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C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C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C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C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C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C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C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C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C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C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C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C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C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2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C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2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C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2C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C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2C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C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C4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A2C4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A2C48"/>
    <w:rPr>
      <w:b/>
      <w:bCs/>
    </w:rPr>
  </w:style>
  <w:style w:type="table" w:styleId="TableGrid">
    <w:name w:val="Table Grid"/>
    <w:basedOn w:val="TableNormal"/>
    <w:uiPriority w:val="39"/>
    <w:rsid w:val="007A2C4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7A2C48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2873</Words>
  <Characters>16379</Characters>
  <Application>Microsoft Office Word</Application>
  <DocSecurity>0</DocSecurity>
  <Lines>136</Lines>
  <Paragraphs>38</Paragraphs>
  <ScaleCrop>false</ScaleCrop>
  <Company/>
  <LinksUpToDate>false</LinksUpToDate>
  <CharactersWithSpaces>19214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2026-06-05T08:12:00Z</dcterms:created>
  <dcterms:modified xsi:type="dcterms:W3CDTF">2026-06-05T08:12:00Z</dcterms:modified>
</cp:coreProperties>
</file>