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Arial" w:hAnsi="Arial" w:eastAsia="宋体" w:cs="Arial"/>
          <w:b/>
          <w:bCs/>
          <w:sz w:val="24"/>
          <w:szCs w:val="24"/>
        </w:rPr>
      </w:pPr>
      <w:r>
        <w:rPr>
          <w:rFonts w:ascii="Arial" w:hAnsi="Arial" w:eastAsia="宋体" w:cs="Arial"/>
          <w:b/>
          <w:bCs/>
          <w:sz w:val="24"/>
          <w:szCs w:val="24"/>
        </w:rPr>
        <w:t xml:space="preserve">Supplementary Information </w:t>
      </w:r>
    </w:p>
    <w:p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80078011"/>
      <w:bookmarkEnd w:id="0"/>
      <w:r>
        <w:rPr>
          <w:rFonts w:ascii="Arial" w:hAnsi="Arial" w:cs="Arial"/>
          <w:b/>
          <w:bCs/>
          <w:color w:val="000000"/>
          <w:sz w:val="24"/>
          <w:szCs w:val="24"/>
          <w:shd w:val="clear" w:color="auto" w:fill="FFFFFF"/>
        </w:rPr>
        <w:t>Folic acid-modified lysozyme-protected gold nanoclusters</w:t>
      </w:r>
      <w:r>
        <w:rPr>
          <w:rFonts w:ascii="Arial" w:hAnsi="Arial" w:cs="Arial"/>
          <w:b/>
          <w:bCs/>
          <w:sz w:val="24"/>
          <w:szCs w:val="24"/>
        </w:rPr>
        <w:t xml:space="preserve"> as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anti-inflammatory nanomedicine for gout flares</w:t>
      </w:r>
    </w:p>
    <w:p>
      <w:pPr>
        <w:widowControl/>
        <w:spacing w:line="480" w:lineRule="auto"/>
        <w:ind w:left="720" w:hanging="720" w:hangingChars="300"/>
        <w:jc w:val="both"/>
        <w:rPr>
          <w:rFonts w:ascii="Arial" w:hAnsi="Arial" w:eastAsia="等线" w:cs="Arial"/>
          <w:sz w:val="24"/>
          <w:szCs w:val="24"/>
          <w:vertAlign w:val="superscript"/>
          <w:lang w:bidi="ar"/>
        </w:rPr>
      </w:pPr>
      <w:bookmarkStart w:id="1" w:name="_GoBack"/>
      <w:bookmarkEnd w:id="1"/>
      <w:r>
        <w:rPr>
          <w:rFonts w:ascii="Arial" w:hAnsi="Arial" w:eastAsia="等线" w:cs="Arial"/>
          <w:sz w:val="24"/>
          <w:szCs w:val="24"/>
          <w:lang w:bidi="ar"/>
        </w:rPr>
        <w:t>Jiachen Sun</w:t>
      </w:r>
      <w:r>
        <w:rPr>
          <w:rFonts w:ascii="Arial" w:hAnsi="Arial" w:eastAsia="等线" w:cs="Arial"/>
          <w:sz w:val="24"/>
          <w:szCs w:val="24"/>
          <w:vertAlign w:val="superscript"/>
          <w:lang w:bidi="ar"/>
        </w:rPr>
        <w:t xml:space="preserve">a </w:t>
      </w:r>
      <w:r>
        <w:rPr>
          <w:rFonts w:ascii="Arial" w:hAnsi="Arial" w:eastAsia="等线" w:cs="Arial"/>
          <w:sz w:val="24"/>
          <w:szCs w:val="24"/>
          <w:lang w:bidi="ar"/>
        </w:rPr>
        <w:t xml:space="preserve">  Pengfei Zhuang</w:t>
      </w:r>
      <w:r>
        <w:rPr>
          <w:rFonts w:ascii="Arial" w:hAnsi="Arial" w:eastAsia="等线" w:cs="Arial"/>
          <w:sz w:val="24"/>
          <w:szCs w:val="24"/>
          <w:vertAlign w:val="superscript"/>
          <w:lang w:bidi="ar"/>
        </w:rPr>
        <w:t>a</w:t>
      </w:r>
      <w:r>
        <w:rPr>
          <w:rFonts w:ascii="Arial" w:hAnsi="Arial" w:eastAsia="等线" w:cs="Arial"/>
          <w:sz w:val="24"/>
          <w:szCs w:val="24"/>
          <w:lang w:bidi="ar"/>
        </w:rPr>
        <w:t xml:space="preserve">  Shan Wen</w:t>
      </w:r>
      <w:r>
        <w:rPr>
          <w:rFonts w:ascii="Arial" w:hAnsi="Arial" w:eastAsia="等线" w:cs="Arial"/>
          <w:sz w:val="24"/>
          <w:szCs w:val="24"/>
          <w:vertAlign w:val="superscript"/>
          <w:lang w:bidi="ar"/>
        </w:rPr>
        <w:t>a</w:t>
      </w:r>
      <w:r>
        <w:rPr>
          <w:rFonts w:ascii="Arial" w:hAnsi="Arial" w:eastAsia="等线" w:cs="Arial"/>
          <w:sz w:val="24"/>
          <w:szCs w:val="24"/>
          <w:lang w:bidi="ar"/>
        </w:rPr>
        <w:t xml:space="preserve">  Minghao Ge</w:t>
      </w:r>
      <w:r>
        <w:rPr>
          <w:rFonts w:ascii="Arial" w:hAnsi="Arial" w:eastAsia="等线" w:cs="Arial"/>
          <w:sz w:val="24"/>
          <w:szCs w:val="24"/>
          <w:vertAlign w:val="superscript"/>
          <w:lang w:bidi="ar"/>
        </w:rPr>
        <w:t>a</w:t>
      </w:r>
      <w:r>
        <w:rPr>
          <w:rFonts w:ascii="Arial" w:hAnsi="Arial" w:eastAsia="等线" w:cs="Arial"/>
          <w:sz w:val="24"/>
          <w:szCs w:val="24"/>
          <w:lang w:bidi="ar"/>
        </w:rPr>
        <w:t xml:space="preserve">  </w:t>
      </w:r>
      <w:r>
        <w:rPr>
          <w:rFonts w:hint="eastAsia" w:ascii="Arial" w:hAnsi="Arial" w:eastAsia="等线" w:cs="Arial"/>
          <w:sz w:val="24"/>
          <w:szCs w:val="24"/>
          <w:lang w:val="en-US" w:eastAsia="zh-CN" w:bidi="ar"/>
        </w:rPr>
        <w:t>ZiPeng Zhou</w:t>
      </w:r>
      <w:r>
        <w:rPr>
          <w:rFonts w:hint="eastAsia" w:ascii="Arial" w:hAnsi="Arial" w:eastAsia="等线" w:cs="Arial"/>
          <w:sz w:val="24"/>
          <w:szCs w:val="24"/>
          <w:vertAlign w:val="superscript"/>
          <w:lang w:val="en-US" w:eastAsia="zh-CN" w:bidi="ar"/>
        </w:rPr>
        <w:t xml:space="preserve">a </w:t>
      </w:r>
      <w:r>
        <w:rPr>
          <w:rFonts w:ascii="Arial" w:hAnsi="Arial" w:eastAsia="等线" w:cs="Arial"/>
          <w:sz w:val="24"/>
          <w:szCs w:val="24"/>
          <w:lang w:bidi="ar"/>
        </w:rPr>
        <w:t>Dan Li</w:t>
      </w:r>
      <w:r>
        <w:rPr>
          <w:rFonts w:ascii="Arial" w:hAnsi="Arial" w:eastAsia="等线" w:cs="Arial"/>
          <w:sz w:val="24"/>
          <w:szCs w:val="24"/>
          <w:vertAlign w:val="superscript"/>
          <w:lang w:bidi="ar"/>
        </w:rPr>
        <w:t>a</w:t>
      </w:r>
      <w:r>
        <w:rPr>
          <w:rFonts w:ascii="Arial" w:hAnsi="Arial" w:eastAsia="等线" w:cs="Arial"/>
          <w:sz w:val="24"/>
          <w:szCs w:val="24"/>
          <w:lang w:bidi="ar"/>
        </w:rPr>
        <w:t xml:space="preserve">* </w:t>
      </w:r>
      <w:r>
        <w:rPr>
          <w:rFonts w:hint="eastAsia" w:ascii="Arial" w:hAnsi="Arial" w:eastAsia="等线" w:cs="Arial"/>
          <w:sz w:val="24"/>
          <w:szCs w:val="24"/>
          <w:lang w:val="en-US" w:eastAsia="zh-CN" w:bidi="ar"/>
        </w:rPr>
        <w:t xml:space="preserve"> </w:t>
      </w:r>
      <w:r>
        <w:rPr>
          <w:rFonts w:ascii="Arial" w:hAnsi="Arial" w:eastAsia="等线" w:cs="Arial"/>
          <w:sz w:val="24"/>
          <w:szCs w:val="24"/>
          <w:lang w:bidi="ar"/>
        </w:rPr>
        <w:t>Chang Liu</w:t>
      </w:r>
      <w:r>
        <w:rPr>
          <w:rFonts w:ascii="Arial" w:hAnsi="Arial" w:eastAsia="等线" w:cs="Arial"/>
          <w:sz w:val="24"/>
          <w:szCs w:val="24"/>
          <w:vertAlign w:val="superscript"/>
          <w:lang w:bidi="ar"/>
        </w:rPr>
        <w:t>b</w:t>
      </w:r>
      <w:r>
        <w:rPr>
          <w:rFonts w:ascii="Arial" w:hAnsi="Arial" w:eastAsia="等线" w:cs="Arial"/>
          <w:sz w:val="24"/>
          <w:szCs w:val="24"/>
          <w:lang w:bidi="ar"/>
        </w:rPr>
        <w:t xml:space="preserve">* </w:t>
      </w:r>
      <w:r>
        <w:rPr>
          <w:rFonts w:hint="eastAsia" w:ascii="Arial" w:hAnsi="Arial" w:eastAsia="等线" w:cs="Arial"/>
          <w:sz w:val="24"/>
          <w:szCs w:val="24"/>
          <w:lang w:val="en-US" w:eastAsia="zh-CN" w:bidi="ar"/>
        </w:rPr>
        <w:t xml:space="preserve"> </w:t>
      </w:r>
      <w:r>
        <w:rPr>
          <w:rFonts w:ascii="Arial" w:hAnsi="Arial" w:eastAsia="等线" w:cs="Arial"/>
          <w:sz w:val="24"/>
          <w:szCs w:val="24"/>
          <w:lang w:bidi="ar"/>
        </w:rPr>
        <w:t>Xifan Mei</w:t>
      </w:r>
      <w:r>
        <w:rPr>
          <w:rFonts w:ascii="Arial" w:hAnsi="Arial" w:eastAsia="等线" w:cs="Arial"/>
          <w:sz w:val="24"/>
          <w:szCs w:val="24"/>
          <w:vertAlign w:val="superscript"/>
          <w:lang w:bidi="ar"/>
        </w:rPr>
        <w:t>a*</w:t>
      </w:r>
    </w:p>
    <w:p>
      <w:pPr>
        <w:widowControl/>
        <w:spacing w:line="480" w:lineRule="auto"/>
        <w:rPr>
          <w:rStyle w:val="16"/>
          <w:rFonts w:ascii="Arial" w:hAnsi="Arial" w:eastAsia="等线" w:cs="Arial"/>
          <w:sz w:val="24"/>
          <w:szCs w:val="24"/>
          <w:lang w:bidi="ar"/>
        </w:rPr>
      </w:pPr>
      <w:r>
        <w:rPr>
          <w:rStyle w:val="16"/>
          <w:rFonts w:ascii="Arial" w:hAnsi="Arial" w:eastAsia="等线" w:cs="Arial"/>
          <w:sz w:val="24"/>
          <w:szCs w:val="24"/>
          <w:lang w:bidi="ar"/>
        </w:rPr>
        <w:t>a  Department of Orthopedic, First Affiliated Hospital of Jinzhou Medical University, Jinzhou, PR China</w:t>
      </w:r>
    </w:p>
    <w:p>
      <w:pPr>
        <w:widowControl/>
        <w:spacing w:line="480" w:lineRule="auto"/>
        <w:rPr>
          <w:rStyle w:val="9"/>
          <w:rFonts w:ascii="Arial" w:hAnsi="Arial" w:cs="Arial"/>
          <w:b/>
          <w:bCs/>
          <w:sz w:val="24"/>
          <w:szCs w:val="24"/>
        </w:rPr>
      </w:pPr>
      <w:r>
        <w:rPr>
          <w:rStyle w:val="16"/>
          <w:rFonts w:ascii="Arial" w:hAnsi="Arial" w:eastAsia="等线" w:cs="Arial"/>
          <w:sz w:val="24"/>
          <w:szCs w:val="24"/>
          <w:lang w:bidi="ar"/>
        </w:rPr>
        <w:t>b  Department of Endocrinology, First Affiliated Hospital of Jinzhou Medical University,Jinzhou,PR China</w:t>
      </w:r>
    </w:p>
    <w:p>
      <w:pPr>
        <w:widowControl/>
        <w:spacing w:line="480" w:lineRule="auto"/>
        <w:jc w:val="left"/>
        <w:rPr>
          <w:rFonts w:ascii="Arial" w:hAnsi="Arial" w:eastAsia="serif" w:cs="Arial"/>
          <w:kern w:val="0"/>
          <w:sz w:val="24"/>
          <w:szCs w:val="24"/>
          <w:lang w:bidi="ar"/>
        </w:rPr>
      </w:pPr>
      <w:r>
        <w:rPr>
          <w:rFonts w:ascii="Arial" w:hAnsi="Arial" w:eastAsia="serif" w:cs="Arial"/>
          <w:kern w:val="0"/>
          <w:sz w:val="24"/>
          <w:szCs w:val="24"/>
          <w:lang w:bidi="ar"/>
        </w:rPr>
        <w:t>*Corresponding author.</w:t>
      </w:r>
    </w:p>
    <w:p>
      <w:pPr>
        <w:widowControl/>
        <w:numPr>
          <w:ilvl w:val="0"/>
          <w:numId w:val="1"/>
        </w:numPr>
        <w:spacing w:line="480" w:lineRule="auto"/>
        <w:jc w:val="left"/>
        <w:rPr>
          <w:rFonts w:ascii="Arial" w:hAnsi="Arial" w:eastAsia="serif" w:cs="Arial"/>
          <w:kern w:val="0"/>
          <w:sz w:val="24"/>
          <w:szCs w:val="24"/>
          <w:lang w:bidi="ar"/>
        </w:rPr>
      </w:pPr>
      <w:r>
        <w:rPr>
          <w:rFonts w:ascii="Arial" w:hAnsi="Arial" w:eastAsia="serif" w:cs="Arial"/>
          <w:kern w:val="0"/>
          <w:sz w:val="24"/>
          <w:szCs w:val="24"/>
          <w:lang w:bidi="ar"/>
        </w:rPr>
        <w:t>mail address:meixifan@jzmu.edu.cn  (Xifan Mei)</w:t>
      </w:r>
    </w:p>
    <w:p>
      <w:pPr>
        <w:widowControl/>
        <w:spacing w:line="48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eastAsia="serif" w:cs="Arial"/>
          <w:kern w:val="0"/>
          <w:sz w:val="24"/>
          <w:szCs w:val="24"/>
          <w:lang w:bidi="ar"/>
        </w:rPr>
        <w:t xml:space="preserve">            liuchang1971mei@jzmu.edu.cn (Chang liu)</w:t>
      </w:r>
    </w:p>
    <w:p>
      <w:pPr>
        <w:widowControl/>
        <w:spacing w:line="480" w:lineRule="auto"/>
        <w:ind w:firstLine="1440" w:firstLineChars="600"/>
        <w:jc w:val="left"/>
        <w:rPr>
          <w:rFonts w:ascii="Arial" w:hAnsi="Arial" w:eastAsia="宋体" w:cs="Arial"/>
          <w:kern w:val="0"/>
          <w:sz w:val="24"/>
          <w:szCs w:val="24"/>
          <w:lang w:bidi="ar"/>
        </w:rPr>
      </w:pPr>
      <w:r>
        <w:rPr>
          <w:rFonts w:ascii="Arial" w:hAnsi="Arial" w:eastAsia="宋体" w:cs="Arial"/>
          <w:kern w:val="0"/>
          <w:sz w:val="24"/>
          <w:szCs w:val="24"/>
          <w:lang w:bidi="ar"/>
        </w:rPr>
        <w:t>danli@jzmu.edu.cn(Dan Li)</w:t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"%FE%FF%00w%00e%00b%006%004%00s%00e%00c%001"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"%FE%FF%00w%00e%00b%006%004%00t%00i%00t%00l%00e"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"http://crossmark.crossref.org/dialog/?doi=10.1016/j.jare.2019.03.009&amp;domain=pdf" \o "http://crossmark.crossref.org/dialog/?doi=10.1016/j.jare.2019.03.009&amp;domain=pdf"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"%FE%FF%00w%00e%00b%006%004%00p%00a%00r%00a%001"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"%FE%FF%00l%00a%00f%000%000%005"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"%FE%FF%00l%00a%00f%000%001%000"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"%FE%FF%00l%00c%00o%00r%001"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"%FE%FF%00l%00a%00f%000%001%000"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"%FE%FF%00l%00a%00f%000%001%005"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"%FE%FF%00l%00a%00f%000%000%005"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"%FE%FF%00w%00e%00b%006%004%00p%00a%00r%00a%002"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"%FE%FF%00w%00e%00b%006%004%00p%00a%00r%00a%003"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"%FE%FF%00w%00e%00b%006%004%00p%00a%00r%00a%004"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"%FE%FF%00w%00e%00b%006%004%00p%00a%00r%00a%005"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"%FE%FF%00w%00e%00b%006%004%00s%00e%00c%001"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"%FE%FF%00w%00e%00b%006%004%00p%00a%00r%00a%006"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"%FE%FF%00w%00e%00b%006%004%00p%00a%00r%00a%008"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"http://creativecommons.org/licenses/by-nc-nd/4.0/" \o "http://creativecommons.org/licenses/by-nc-nd/4.0/"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"%FE%FF%00w%00e%00b%006%004%00s%00e%00c%001"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"%FE%FF%00w%00e%00b%006%004%00p%00a%00r%00a%009"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"chrome-extension://ikhdkkncnoglghljlkmcimlnlhkeamad/pdf-viewer/web/viewer.html?file=https://webvpn.shsmu.edu.cn/https/77726476706e69737468656265737421e7e056d229336a59300685a1d65b2a3d12af64a7/pmc/articles/PMC6526199/pdf/main.pdf" \l "%FE%FF%00l%00b%000%000%000%005"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"https://doi.org/10.1016/j.jare.2019.03.009" \o "https://doi.org/10.1016/j.jare.2019.03.009"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"http://creativecommons.org/licenses/by-nc-nd/4.0/" \o "http://creativecommons.org/licenses/by-nc-nd/4.0/" </w:instrText>
      </w:r>
      <w:r>
        <w:fldChar w:fldCharType="separate"/>
      </w:r>
      <w:r>
        <w:fldChar w:fldCharType="end"/>
      </w:r>
    </w:p>
    <w:p>
      <w:pPr>
        <w:widowControl/>
        <w:spacing w:line="480" w:lineRule="auto"/>
        <w:ind w:firstLine="1440" w:firstLineChars="600"/>
        <w:jc w:val="left"/>
        <w:rPr>
          <w:rFonts w:ascii="Arial" w:hAnsi="Arial" w:eastAsia="宋体" w:cs="Arial"/>
          <w:kern w:val="0"/>
          <w:sz w:val="24"/>
          <w:szCs w:val="24"/>
          <w:lang w:bidi="ar"/>
        </w:rPr>
      </w:pPr>
    </w:p>
    <w:p>
      <w:pPr>
        <w:widowControl/>
        <w:spacing w:line="480" w:lineRule="auto"/>
        <w:ind w:firstLine="1440" w:firstLineChars="600"/>
        <w:jc w:val="left"/>
        <w:rPr>
          <w:rFonts w:ascii="Arial" w:hAnsi="Arial" w:eastAsia="宋体" w:cs="Arial"/>
          <w:kern w:val="0"/>
          <w:sz w:val="24"/>
          <w:szCs w:val="24"/>
          <w:lang w:bidi="ar"/>
        </w:rPr>
      </w:pPr>
    </w:p>
    <w:p>
      <w:pPr>
        <w:widowControl/>
        <w:spacing w:line="480" w:lineRule="auto"/>
        <w:jc w:val="left"/>
        <w:rPr>
          <w:rFonts w:ascii="Arial" w:hAnsi="Arial" w:eastAsia="宋体" w:cs="Arial"/>
          <w:kern w:val="0"/>
          <w:sz w:val="24"/>
          <w:szCs w:val="24"/>
          <w:lang w:bidi="ar"/>
        </w:rPr>
      </w:pPr>
    </w:p>
    <w:p>
      <w:pPr>
        <w:widowControl/>
        <w:spacing w:line="480" w:lineRule="auto"/>
        <w:jc w:val="left"/>
        <w:rPr>
          <w:rFonts w:ascii="Arial" w:hAnsi="Arial" w:eastAsia="宋体" w:cs="Arial"/>
          <w:kern w:val="0"/>
          <w:sz w:val="24"/>
          <w:szCs w:val="24"/>
          <w:lang w:bidi="ar"/>
        </w:rPr>
      </w:pPr>
    </w:p>
    <w:p>
      <w:pPr>
        <w:widowControl/>
        <w:spacing w:line="480" w:lineRule="auto"/>
        <w:jc w:val="left"/>
        <w:rPr>
          <w:rFonts w:ascii="Arial" w:hAnsi="Arial" w:eastAsia="宋体" w:cs="Arial"/>
          <w:kern w:val="0"/>
          <w:sz w:val="24"/>
          <w:szCs w:val="24"/>
          <w:lang w:bidi="ar"/>
        </w:rPr>
      </w:pPr>
    </w:p>
    <w:p>
      <w:pPr>
        <w:widowControl/>
        <w:spacing w:line="480" w:lineRule="auto"/>
        <w:jc w:val="left"/>
        <w:rPr>
          <w:rFonts w:ascii="Arial" w:hAnsi="Arial" w:eastAsia="宋体" w:cs="Arial"/>
          <w:kern w:val="0"/>
          <w:sz w:val="24"/>
          <w:szCs w:val="24"/>
          <w:lang w:bidi="ar"/>
        </w:rPr>
      </w:pPr>
    </w:p>
    <w:p>
      <w:pPr>
        <w:widowControl/>
        <w:spacing w:line="480" w:lineRule="auto"/>
        <w:ind w:firstLine="1440" w:firstLineChars="600"/>
        <w:jc w:val="left"/>
        <w:rPr>
          <w:rFonts w:ascii="Arial" w:hAnsi="Arial" w:eastAsia="宋体" w:cs="Arial"/>
          <w:kern w:val="0"/>
          <w:sz w:val="24"/>
          <w:szCs w:val="24"/>
          <w:lang w:bidi="ar"/>
        </w:rPr>
      </w:pPr>
    </w:p>
    <w:p>
      <w:pPr>
        <w:widowControl/>
        <w:spacing w:line="480" w:lineRule="auto"/>
        <w:ind w:firstLine="1440" w:firstLineChars="600"/>
        <w:jc w:val="left"/>
        <w:rPr>
          <w:rFonts w:ascii="Arial" w:hAnsi="Arial" w:eastAsia="宋体" w:cs="Arial"/>
          <w:kern w:val="0"/>
          <w:sz w:val="24"/>
          <w:szCs w:val="24"/>
          <w:lang w:bidi="ar"/>
        </w:rPr>
      </w:pPr>
    </w:p>
    <w:p>
      <w:pPr>
        <w:widowControl/>
        <w:spacing w:line="480" w:lineRule="auto"/>
        <w:jc w:val="left"/>
        <w:rPr>
          <w:rFonts w:ascii="Arial" w:hAnsi="Arial" w:eastAsia="宋体" w:cs="Arial"/>
          <w:kern w:val="0"/>
          <w:sz w:val="24"/>
          <w:szCs w:val="24"/>
          <w:lang w:bidi="ar"/>
        </w:rPr>
      </w:pPr>
    </w:p>
    <w:p>
      <w:pPr>
        <w:widowControl/>
        <w:spacing w:line="480" w:lineRule="auto"/>
        <w:jc w:val="left"/>
        <w:rPr>
          <w:rFonts w:ascii="Arial" w:hAnsi="Arial" w:eastAsia="宋体" w:cs="Arial"/>
          <w:b/>
          <w:bCs/>
          <w:kern w:val="0"/>
          <w:sz w:val="24"/>
          <w:szCs w:val="24"/>
          <w:lang w:bidi="ar"/>
        </w:rPr>
      </w:pPr>
      <w:r>
        <w:rPr>
          <w:rFonts w:ascii="Arial" w:hAnsi="Arial" w:eastAsia="宋体" w:cs="Arial"/>
          <w:b/>
          <w:bCs/>
          <w:kern w:val="0"/>
          <w:sz w:val="24"/>
          <w:szCs w:val="24"/>
          <w:lang w:bidi="ar"/>
        </w:rPr>
        <w:t>Table of contents</w:t>
      </w:r>
    </w:p>
    <w:p>
      <w:pPr>
        <w:widowControl/>
        <w:spacing w:line="480" w:lineRule="auto"/>
        <w:jc w:val="left"/>
        <w:rPr>
          <w:rFonts w:ascii="Arial" w:hAnsi="Arial" w:eastAsia="宋体" w:cs="Arial"/>
          <w:sz w:val="24"/>
          <w:szCs w:val="24"/>
          <w:shd w:val="clear" w:color="auto" w:fill="FFFFFF"/>
        </w:rPr>
      </w:pPr>
      <w:r>
        <w:rPr>
          <w:rFonts w:ascii="Arial" w:hAnsi="Arial" w:eastAsia="宋体" w:cs="Arial"/>
          <w:kern w:val="0"/>
          <w:sz w:val="24"/>
          <w:szCs w:val="24"/>
          <w:lang w:bidi="ar"/>
        </w:rPr>
        <w:t xml:space="preserve">Fig. S1 A </w:t>
      </w:r>
      <w:r>
        <w:rPr>
          <w:rFonts w:ascii="Arial" w:hAnsi="Arial" w:eastAsia="宋体" w:cs="Arial"/>
          <w:sz w:val="24"/>
          <w:szCs w:val="24"/>
          <w:shd w:val="clear" w:color="auto" w:fill="FFFFFF"/>
        </w:rPr>
        <w:t>Toxicity of fla</w:t>
      </w:r>
    </w:p>
    <w:p>
      <w:pPr>
        <w:widowControl/>
        <w:spacing w:line="480" w:lineRule="auto"/>
        <w:jc w:val="left"/>
        <w:rPr>
          <w:rFonts w:ascii="Arial" w:hAnsi="Arial" w:eastAsia="宋体" w:cs="Arial"/>
          <w:sz w:val="24"/>
          <w:szCs w:val="24"/>
          <w:shd w:val="clear" w:color="auto" w:fill="FFFFFF"/>
        </w:rPr>
      </w:pPr>
      <w:r>
        <w:rPr>
          <w:rFonts w:ascii="Arial" w:hAnsi="Arial" w:eastAsia="宋体" w:cs="Arial"/>
          <w:sz w:val="24"/>
          <w:szCs w:val="24"/>
          <w:shd w:val="clear" w:color="auto" w:fill="FFFFFF"/>
        </w:rPr>
        <w:t>Fig. S1 B Diagram of the toxicology section</w:t>
      </w:r>
    </w:p>
    <w:p>
      <w:pPr>
        <w:widowControl/>
        <w:spacing w:line="480" w:lineRule="auto"/>
        <w:jc w:val="left"/>
        <w:rPr>
          <w:rFonts w:ascii="Arial" w:hAnsi="Arial" w:eastAsia="宋体" w:cs="Arial"/>
          <w:sz w:val="24"/>
          <w:szCs w:val="24"/>
          <w:shd w:val="clear" w:color="auto" w:fill="FFFFFF"/>
        </w:rPr>
      </w:pPr>
      <w:r>
        <w:rPr>
          <w:rFonts w:ascii="Arial" w:hAnsi="Arial" w:eastAsia="宋体" w:cs="Arial"/>
          <w:sz w:val="24"/>
          <w:szCs w:val="24"/>
          <w:shd w:val="clear" w:color="auto" w:fill="FFFFFF"/>
        </w:rPr>
        <w:t>Fig. S1 C Pathological sections at 24h</w:t>
      </w:r>
    </w:p>
    <w:p>
      <w:pPr>
        <w:widowControl/>
        <w:spacing w:line="480" w:lineRule="auto"/>
        <w:jc w:val="left"/>
        <w:rPr>
          <w:rFonts w:ascii="Arial" w:hAnsi="Arial" w:eastAsia="宋体" w:cs="Arial"/>
          <w:sz w:val="24"/>
          <w:szCs w:val="24"/>
          <w:shd w:val="clear" w:color="auto" w:fill="FFFFFF"/>
        </w:rPr>
      </w:pPr>
      <w:r>
        <w:rPr>
          <w:rFonts w:ascii="Arial" w:hAnsi="Arial" w:eastAsia="宋体" w:cs="Arial"/>
          <w:sz w:val="24"/>
          <w:szCs w:val="24"/>
          <w:shd w:val="clear" w:color="auto" w:fill="FFFFFF"/>
        </w:rPr>
        <w:t>Fig. S1 D Pathological sections at 14 days</w:t>
      </w:r>
    </w:p>
    <w:p>
      <w:pPr>
        <w:widowControl/>
        <w:spacing w:line="480" w:lineRule="auto"/>
        <w:jc w:val="left"/>
        <w:rPr>
          <w:rFonts w:ascii="Arial" w:hAnsi="Arial" w:eastAsia="宋体" w:cs="Arial"/>
          <w:sz w:val="24"/>
          <w:szCs w:val="24"/>
          <w:shd w:val="clear" w:color="auto" w:fill="FFFFFF"/>
        </w:rPr>
      </w:pPr>
      <w:r>
        <w:rPr>
          <w:rFonts w:ascii="Arial" w:hAnsi="Arial" w:eastAsia="宋体" w:cs="Arial"/>
          <w:sz w:val="24"/>
          <w:szCs w:val="24"/>
          <w:shd w:val="clear" w:color="auto" w:fill="FFFFFF"/>
        </w:rPr>
        <w:t xml:space="preserve">Fig. S2 </w:t>
      </w:r>
      <w:r>
        <w:rPr>
          <w:rFonts w:ascii="Arial" w:hAnsi="Arial" w:cs="Arial"/>
          <w:sz w:val="24"/>
          <w:szCs w:val="24"/>
        </w:rPr>
        <w:t>Zeta potential of RAW264.7 cells.</w:t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drawing>
          <wp:inline distT="0" distB="0" distL="114300" distR="114300">
            <wp:extent cx="5273040" cy="7073900"/>
            <wp:effectExtent l="0" t="0" r="0" b="12700"/>
            <wp:docPr id="2" name="图片 2" descr="fi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07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Arial" w:hAnsi="Arial" w:eastAsia="宋体" w:cs="Arial"/>
          <w:b/>
          <w:bCs/>
          <w:sz w:val="24"/>
          <w:szCs w:val="24"/>
          <w:shd w:val="clear" w:color="auto" w:fill="FFFFFF"/>
        </w:rPr>
      </w:pPr>
    </w:p>
    <w:p>
      <w:pPr>
        <w:spacing w:line="480" w:lineRule="auto"/>
        <w:rPr>
          <w:rFonts w:ascii="Arial" w:hAnsi="Arial" w:eastAsia="宋体" w:cs="Arial"/>
          <w:b/>
          <w:bCs/>
          <w:sz w:val="24"/>
          <w:szCs w:val="24"/>
          <w:shd w:val="clear" w:color="auto" w:fill="FFFFFF"/>
        </w:rPr>
      </w:pP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eastAsia="宋体" w:cs="Arial"/>
          <w:b/>
          <w:bCs/>
          <w:sz w:val="24"/>
          <w:szCs w:val="24"/>
          <w:shd w:val="clear" w:color="auto" w:fill="FFFFFF"/>
        </w:rPr>
        <w:t>Fig. S1</w:t>
      </w:r>
      <w:r>
        <w:rPr>
          <w:rFonts w:ascii="Arial" w:hAnsi="Arial" w:eastAsia="宋体" w:cs="Arial"/>
          <w:sz w:val="24"/>
          <w:szCs w:val="24"/>
          <w:shd w:val="clear" w:color="auto" w:fill="FFFFFF"/>
        </w:rPr>
        <w:t xml:space="preserve"> Toxicity of fla to Raw 264.7 cells treated with various concentrations of FLA (0, 5, 10, 20, 40, 80, 160, 320 μM) based on MTT kit (A).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eastAsia="宋体" w:cs="Arial"/>
          <w:sz w:val="24"/>
          <w:szCs w:val="24"/>
          <w:shd w:val="clear" w:color="auto" w:fill="FFFFFF"/>
        </w:rPr>
        <w:t>Diagram of the toxicology section (B). Pathological sections of normal and FLA injected heart, liver, spleen, lung and kidney at different concentrations for 1 day, magnification 200x (C). Pathological sections of heart, liver, spleen, lung and kidney injected with 20 mg/kg FLA for 14 days, magnification 200x (D).</w:t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drawing>
          <wp:inline distT="0" distB="0" distL="0" distR="0">
            <wp:extent cx="4153535" cy="3291205"/>
            <wp:effectExtent l="0" t="0" r="0" b="444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3561" cy="3291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Figure S2</w:t>
      </w:r>
      <w:r>
        <w:rPr>
          <w:rFonts w:ascii="Arial" w:hAnsi="Arial" w:cs="Arial"/>
          <w:sz w:val="24"/>
          <w:szCs w:val="24"/>
        </w:rPr>
        <w:t xml:space="preserve"> Zeta potential of FLA before and after the treatment (FLA-t) of RAW264.7 cells.</w:t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ADDIN  EN.REFLIST 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sz w:val="24"/>
          <w:szCs w:val="24"/>
        </w:rPr>
        <w:fldChar w:fldCharType="end"/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17935789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E24140"/>
    <w:multiLevelType w:val="singleLevel"/>
    <w:tmpl w:val="19E24140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hideSpellingErrors/>
  <w:hideGrammaticalError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zNjA2sDQxMDc1NTRV0lEKTi0uzszPAykwqgUATpb/2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59ppep550v2tyett20xrdtz9ev22zed0xtt&quot;&gt;My EndNote Library&lt;record-ids&gt;&lt;item&gt;7&lt;/item&gt;&lt;/record-ids&gt;&lt;/item&gt;&lt;/Libraries&gt;"/>
  </w:docVars>
  <w:rsids>
    <w:rsidRoot w:val="00D478B7"/>
    <w:rsid w:val="00020C61"/>
    <w:rsid w:val="000F5CA0"/>
    <w:rsid w:val="00305EC6"/>
    <w:rsid w:val="003D491A"/>
    <w:rsid w:val="005E7215"/>
    <w:rsid w:val="006B1D3E"/>
    <w:rsid w:val="00822FE8"/>
    <w:rsid w:val="008B705D"/>
    <w:rsid w:val="00BE29DE"/>
    <w:rsid w:val="00C46338"/>
    <w:rsid w:val="00D478B7"/>
    <w:rsid w:val="00D73DD3"/>
    <w:rsid w:val="1D79166F"/>
    <w:rsid w:val="2306719D"/>
    <w:rsid w:val="2D122221"/>
    <w:rsid w:val="3B596D3C"/>
    <w:rsid w:val="3E7113B5"/>
    <w:rsid w:val="4B3C4F43"/>
    <w:rsid w:val="5D1D4C1F"/>
    <w:rsid w:val="6C364B42"/>
    <w:rsid w:val="751C4C64"/>
    <w:rsid w:val="78DC2C84"/>
    <w:rsid w:val="7F2F1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character" w:styleId="8">
    <w:name w:val="line number"/>
    <w:basedOn w:val="7"/>
    <w:semiHidden/>
    <w:unhideWhenUsed/>
    <w:qFormat/>
    <w:uiPriority w:val="99"/>
  </w:style>
  <w:style w:type="character" w:styleId="9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7"/>
    <w:link w:val="2"/>
    <w:semiHidden/>
    <w:qFormat/>
    <w:uiPriority w:val="99"/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</w:rPr>
  </w:style>
  <w:style w:type="paragraph" w:customStyle="1" w:styleId="14">
    <w:name w:val="EndNote Bibliography Title"/>
    <w:qFormat/>
    <w:uiPriority w:val="0"/>
    <w:pPr>
      <w:jc w:val="center"/>
    </w:pPr>
    <w:rPr>
      <w:rFonts w:asciiTheme="minorHAnsi" w:hAnsiTheme="minorHAnsi" w:eastAsiaTheme="minorEastAsia" w:cstheme="minorBidi"/>
      <w:kern w:val="2"/>
      <w:szCs w:val="22"/>
      <w:lang w:val="en-US" w:eastAsia="zh-CN" w:bidi="ar-SA"/>
    </w:rPr>
  </w:style>
  <w:style w:type="paragraph" w:customStyle="1" w:styleId="15">
    <w:name w:val="EndNote Bibliography"/>
    <w:qFormat/>
    <w:uiPriority w:val="0"/>
    <w:pPr>
      <w:jc w:val="both"/>
    </w:pPr>
    <w:rPr>
      <w:rFonts w:asciiTheme="minorHAnsi" w:hAnsiTheme="minorHAnsi" w:eastAsiaTheme="minorEastAsia" w:cstheme="minorBidi"/>
      <w:kern w:val="2"/>
      <w:szCs w:val="22"/>
      <w:lang w:val="en-US" w:eastAsia="zh-CN" w:bidi="ar-SA"/>
    </w:rPr>
  </w:style>
  <w:style w:type="character" w:customStyle="1" w:styleId="16">
    <w:name w:val="title-text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1116</Words>
  <Characters>6366</Characters>
  <Lines>53</Lines>
  <Paragraphs>14</Paragraphs>
  <TotalTime>0</TotalTime>
  <ScaleCrop>false</ScaleCrop>
  <LinksUpToDate>false</LinksUpToDate>
  <CharactersWithSpaces>7468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2021-09-01T23:08:00Z</dcterms:created>
  <dc:creator>孙 晟</dc:creator>
  <cp:lastModifiedBy>孙嘉晨</cp:lastModifiedBy>
  <dcterms:modified xsi:type="dcterms:W3CDTF">2021-09-21T03:32:17Z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2A8941CB45924B77AD5381C46EBC92EC</vt:lpwstr>
  </property>
</Properties>
</file>