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7A9FA" w14:textId="77777777" w:rsidR="0084124A" w:rsidRDefault="0084124A" w:rsidP="0084124A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</w:p>
    <w:p w14:paraId="29ADDDA4" w14:textId="79331D4A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BF6D7D">
        <w:rPr>
          <w:rFonts w:ascii="Arial" w:hAnsi="Arial" w:cs="Arial"/>
          <w:b/>
          <w:sz w:val="20"/>
          <w:szCs w:val="20"/>
          <w:lang w:val="en-US"/>
        </w:rPr>
        <w:t xml:space="preserve">Supplementary </w:t>
      </w:r>
      <w:r w:rsidRPr="00BF6D7D">
        <w:rPr>
          <w:rFonts w:ascii="Arial" w:hAnsi="Arial" w:cs="Arial"/>
          <w:b/>
          <w:bCs/>
          <w:sz w:val="20"/>
          <w:szCs w:val="20"/>
          <w:lang w:val="en-US"/>
        </w:rPr>
        <w:t>Figure</w:t>
      </w:r>
      <w:r w:rsidRPr="00BF6D7D">
        <w:rPr>
          <w:rFonts w:ascii="Arial" w:hAnsi="Arial" w:cs="Arial"/>
          <w:b/>
          <w:sz w:val="20"/>
          <w:szCs w:val="20"/>
          <w:lang w:val="en-US"/>
        </w:rPr>
        <w:t xml:space="preserve"> 1 | Proliferation of cMET KO clones.</w:t>
      </w:r>
      <w:r w:rsidRPr="00BF6D7D">
        <w:rPr>
          <w:rFonts w:ascii="Arial" w:hAnsi="Arial" w:cs="Arial"/>
          <w:sz w:val="20"/>
          <w:szCs w:val="20"/>
          <w:lang w:val="en-US"/>
        </w:rPr>
        <w:br/>
        <w:t>Proliferation assay of A549 WT vs cMET KO clones B1 and C1 over 60 h, measured as the normalized change in confluency to t = 0h (n = 3, with 4 technical replicates each).</w:t>
      </w:r>
    </w:p>
    <w:p w14:paraId="0E1CB4B2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7E4CDB84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BF6D7D">
        <w:rPr>
          <w:rFonts w:ascii="Arial" w:hAnsi="Arial" w:cs="Arial"/>
          <w:b/>
          <w:bCs/>
          <w:sz w:val="20"/>
          <w:szCs w:val="20"/>
          <w:lang w:val="en-US"/>
        </w:rPr>
        <w:t>Supplementary Figure 2 | Cloning and validation of an enhanced selection marker.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bCs/>
          <w:sz w:val="20"/>
          <w:szCs w:val="20"/>
          <w:lang w:val="en-US"/>
        </w:rPr>
        <w:t>A,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 Cell lysates from transfected cells expressing human codon-optimized MintFP (LandFP1 T76V, D156E) visualized under daylight and blue-light illumination, demonstrating green fluorescence.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bCs/>
          <w:sz w:val="20"/>
          <w:szCs w:val="20"/>
          <w:lang w:val="en-US"/>
        </w:rPr>
        <w:t>B,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 Fluorescence microscopy of transfected HEK293 cells (40×; Keyence BZ-X800) showing GFP signal.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bCs/>
          <w:sz w:val="20"/>
          <w:szCs w:val="20"/>
          <w:lang w:val="en-US"/>
        </w:rPr>
        <w:t>C,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 Schematic representation of MintSelect, a fusion protein comprising blasticidin resistance (BSR) and MintFP.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bCs/>
          <w:sz w:val="20"/>
          <w:szCs w:val="20"/>
          <w:lang w:val="en-US"/>
        </w:rPr>
        <w:t>D,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 Fluorescence microscopy (40×) of inducible cMET </w:t>
      </w:r>
      <w:r w:rsidRPr="00BF6D7D">
        <w:rPr>
          <w:rFonts w:ascii="Arial" w:hAnsi="Arial" w:cs="Arial"/>
          <w:sz w:val="20"/>
          <w:szCs w:val="20"/>
        </w:rPr>
        <w:t>Δ</w:t>
      </w:r>
      <w:r w:rsidRPr="00BF6D7D">
        <w:rPr>
          <w:rFonts w:ascii="Arial" w:hAnsi="Arial" w:cs="Arial"/>
          <w:sz w:val="20"/>
          <w:szCs w:val="20"/>
          <w:lang w:val="en-US"/>
        </w:rPr>
        <w:t>Ex14 cells during the second round of selection using the MintSelect marker.</w:t>
      </w:r>
    </w:p>
    <w:p w14:paraId="658E4266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1D962F2E" w14:textId="77777777" w:rsidR="0084124A" w:rsidRPr="00BF6D7D" w:rsidRDefault="0084124A" w:rsidP="0084124A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  <w:r w:rsidRPr="00BF6D7D">
        <w:rPr>
          <w:rFonts w:ascii="Arial" w:hAnsi="Arial" w:cs="Arial"/>
          <w:b/>
          <w:sz w:val="20"/>
          <w:szCs w:val="20"/>
          <w:lang w:val="en-US"/>
        </w:rPr>
        <w:t>Supplementary Figure 3 | cMET expression with the commercial Cumate Switch system.</w:t>
      </w:r>
    </w:p>
    <w:p w14:paraId="259CAF4F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BF6D7D">
        <w:rPr>
          <w:rFonts w:ascii="Arial" w:hAnsi="Arial" w:cs="Arial"/>
          <w:b/>
          <w:sz w:val="20"/>
          <w:szCs w:val="20"/>
          <w:lang w:val="en-US"/>
        </w:rPr>
        <w:t>A</w:t>
      </w:r>
      <w:r w:rsidRPr="00BF6D7D">
        <w:rPr>
          <w:rFonts w:ascii="Arial" w:hAnsi="Arial" w:cs="Arial"/>
          <w:sz w:val="20"/>
          <w:szCs w:val="20"/>
          <w:lang w:val="en-US"/>
        </w:rPr>
        <w:t>, Immunoblot analysis of commercial cumate system (#PBQM812A-1, Biozol, Eching, Germany (SBI)) integrated into B1 and C1 cMET KO cells, for total cMET and β-tubulin expression, upon cumate induction (300 µg/ml). Lysates were prepared immediately after puromycin selection, two – and four months in culture. Original blots of the cropped blots are presented in Supplementary Figure 14.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sz w:val="20"/>
          <w:szCs w:val="20"/>
          <w:lang w:val="en-US"/>
        </w:rPr>
        <w:t>B</w:t>
      </w:r>
      <w:r w:rsidRPr="00BF6D7D">
        <w:rPr>
          <w:rFonts w:ascii="Arial" w:hAnsi="Arial" w:cs="Arial"/>
          <w:sz w:val="20"/>
          <w:szCs w:val="20"/>
          <w:lang w:val="en-US"/>
        </w:rPr>
        <w:t>, Quantification of A, normalized against total cMET expression of each clone, after puromycin selection.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sz w:val="20"/>
          <w:szCs w:val="20"/>
          <w:lang w:val="en-US"/>
        </w:rPr>
        <w:t>C</w:t>
      </w:r>
      <w:r w:rsidRPr="00BF6D7D">
        <w:rPr>
          <w:rFonts w:ascii="Arial" w:hAnsi="Arial" w:cs="Arial"/>
          <w:sz w:val="20"/>
          <w:szCs w:val="20"/>
          <w:lang w:val="en-US"/>
        </w:rPr>
        <w:t>, CpG island prediction outcome using online prediction tools, for CMV promoter of the commercial system versus the novel hybrid promoter.</w:t>
      </w:r>
    </w:p>
    <w:p w14:paraId="06FE3B00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622A258C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05EF4EB2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BF6D7D">
        <w:rPr>
          <w:rFonts w:ascii="Arial" w:hAnsi="Arial" w:cs="Arial"/>
          <w:b/>
          <w:sz w:val="20"/>
          <w:szCs w:val="20"/>
          <w:lang w:val="en-US"/>
        </w:rPr>
        <w:t xml:space="preserve">Supplementary Figure 4 | MintFP expression levels with different numbers of CuO sites. </w:t>
      </w:r>
      <w:r w:rsidRPr="00BF6D7D">
        <w:rPr>
          <w:rFonts w:ascii="Arial" w:hAnsi="Arial" w:cs="Arial"/>
          <w:b/>
          <w:sz w:val="20"/>
          <w:szCs w:val="20"/>
          <w:lang w:val="en-US"/>
        </w:rPr>
        <w:br/>
      </w:r>
      <w:r w:rsidRPr="00BF6D7D">
        <w:rPr>
          <w:rFonts w:ascii="Arial" w:hAnsi="Arial" w:cs="Arial"/>
          <w:sz w:val="20"/>
          <w:szCs w:val="20"/>
          <w:lang w:val="en-US"/>
        </w:rPr>
        <w:t>cMET WT cells, with one, two and three CuO sites, induced with 150 µg/ml Cumate for 48 h. Magnification 40X.</w:t>
      </w:r>
    </w:p>
    <w:p w14:paraId="48AAA62E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55B6104C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BF6D7D">
        <w:rPr>
          <w:rFonts w:ascii="Arial" w:hAnsi="Arial" w:cs="Arial"/>
          <w:b/>
          <w:bCs/>
          <w:sz w:val="20"/>
          <w:szCs w:val="20"/>
          <w:lang w:val="en-US"/>
        </w:rPr>
        <w:t>Supplementary Figure 5 | Dose-dependent induction of cMET variants.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bCs/>
          <w:sz w:val="20"/>
          <w:szCs w:val="20"/>
          <w:lang w:val="en-US"/>
        </w:rPr>
        <w:t>A,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 Immunohistochemical staining of induced cMET WT and cMET </w:t>
      </w:r>
      <w:r w:rsidRPr="00BF6D7D">
        <w:rPr>
          <w:rFonts w:ascii="Arial" w:hAnsi="Arial" w:cs="Arial"/>
          <w:sz w:val="20"/>
          <w:szCs w:val="20"/>
        </w:rPr>
        <w:t>Δ</w:t>
      </w:r>
      <w:r w:rsidRPr="00BF6D7D">
        <w:rPr>
          <w:rFonts w:ascii="Arial" w:hAnsi="Arial" w:cs="Arial"/>
          <w:sz w:val="20"/>
          <w:szCs w:val="20"/>
          <w:lang w:val="en-US"/>
        </w:rPr>
        <w:t>Ex14 cells (150 µg/ml cumate) fixed after 2 days and stained for cMET expression (True Blue). Representative images at 40× and 200× magnification are shown (n = 4).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B,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 Inducible cMET WT, cMET </w:t>
      </w:r>
      <w:r w:rsidRPr="00BF6D7D">
        <w:rPr>
          <w:rFonts w:ascii="Arial" w:hAnsi="Arial" w:cs="Arial"/>
          <w:sz w:val="20"/>
          <w:szCs w:val="20"/>
        </w:rPr>
        <w:t>Δ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Ex14, and cMET H1094Y cells treated with the indicated concentrations of cumate for 48 h. Immunoblot analysis of cMET and </w:t>
      </w:r>
      <w:r w:rsidRPr="00BF6D7D">
        <w:rPr>
          <w:rFonts w:ascii="Arial" w:hAnsi="Arial" w:cs="Arial"/>
          <w:sz w:val="20"/>
          <w:szCs w:val="20"/>
        </w:rPr>
        <w:t>β</w:t>
      </w:r>
      <w:r w:rsidRPr="00BF6D7D">
        <w:rPr>
          <w:rFonts w:ascii="Arial" w:hAnsi="Arial" w:cs="Arial"/>
          <w:sz w:val="20"/>
          <w:szCs w:val="20"/>
          <w:lang w:val="en-US"/>
        </w:rPr>
        <w:t>-actin is shown (n = 3; representative blot). Original blots of the cropped blots are presented in Supplementary Figure 15.</w:t>
      </w:r>
    </w:p>
    <w:p w14:paraId="449C086E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30FC2F1E" w14:textId="77777777" w:rsidR="0084124A" w:rsidRPr="00BF6D7D" w:rsidRDefault="0084124A" w:rsidP="0084124A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  <w:r w:rsidRPr="00BF6D7D">
        <w:rPr>
          <w:rFonts w:ascii="Arial" w:hAnsi="Arial" w:cs="Arial"/>
          <w:b/>
          <w:sz w:val="20"/>
          <w:szCs w:val="20"/>
          <w:lang w:val="en-US"/>
        </w:rPr>
        <w:t>Supplementary Figure 6 | Induction power analysis of the remodeled construct.</w:t>
      </w:r>
      <w:r w:rsidRPr="00BF6D7D">
        <w:rPr>
          <w:rFonts w:ascii="Arial" w:hAnsi="Arial" w:cs="Arial"/>
          <w:b/>
          <w:sz w:val="20"/>
          <w:szCs w:val="20"/>
          <w:lang w:val="en-US"/>
        </w:rPr>
        <w:br/>
        <w:t>A</w:t>
      </w:r>
      <w:r w:rsidRPr="00BF6D7D">
        <w:rPr>
          <w:rFonts w:ascii="Arial" w:hAnsi="Arial" w:cs="Arial"/>
          <w:sz w:val="20"/>
          <w:szCs w:val="20"/>
          <w:lang w:val="en-US"/>
        </w:rPr>
        <w:t>, cMET WT MintFP expression and signal intensity over 60 h, at 0 – 150 µg/ml cumate. Intensities measured with Incucyte® Live-Cell Analysis System and normalized to MintFP expression at t = 0h. n = 6 with 4 technical replicates.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sz w:val="20"/>
          <w:szCs w:val="20"/>
          <w:lang w:val="en-US"/>
        </w:rPr>
        <w:t>B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, Immunoblot analysis of total cMET and β-actin throughout cMET WT, H1094Y, MET </w:t>
      </w:r>
      <w:r w:rsidRPr="00BF6D7D">
        <w:rPr>
          <w:rFonts w:ascii="Arial" w:hAnsi="Arial" w:cs="Arial"/>
          <w:sz w:val="20"/>
          <w:szCs w:val="20"/>
          <w:lang w:val="el-GR"/>
        </w:rPr>
        <w:t>Δ</w:t>
      </w:r>
      <w:r w:rsidRPr="00BF6D7D">
        <w:rPr>
          <w:rFonts w:ascii="Arial" w:hAnsi="Arial" w:cs="Arial"/>
          <w:sz w:val="20"/>
          <w:szCs w:val="20"/>
          <w:lang w:val="en-US"/>
        </w:rPr>
        <w:t>Ex14 after 48 h cumate induction (75 µg/ml). Original blots of the cropped blots are presented in Supplementary Figure 16.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sz w:val="20"/>
          <w:szCs w:val="20"/>
          <w:lang w:val="en-US"/>
        </w:rPr>
        <w:t>C</w:t>
      </w:r>
      <w:r w:rsidRPr="00BF6D7D">
        <w:rPr>
          <w:rFonts w:ascii="Arial" w:hAnsi="Arial" w:cs="Arial"/>
          <w:sz w:val="20"/>
          <w:szCs w:val="20"/>
          <w:lang w:val="en-US"/>
        </w:rPr>
        <w:t>, Quantification of B, fold change of total cMET signal upon cumate induction, normalized against the β-actin signal (n = 3).</w:t>
      </w:r>
    </w:p>
    <w:p w14:paraId="55A84C7E" w14:textId="77777777" w:rsidR="0084124A" w:rsidRPr="00BF6D7D" w:rsidRDefault="0084124A" w:rsidP="0084124A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</w:p>
    <w:p w14:paraId="348B5943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BF6D7D">
        <w:rPr>
          <w:rFonts w:ascii="Arial" w:hAnsi="Arial" w:cs="Arial"/>
          <w:b/>
          <w:bCs/>
          <w:sz w:val="20"/>
          <w:szCs w:val="20"/>
          <w:lang w:val="en-US"/>
        </w:rPr>
        <w:t>Supplementary Figure 7 | Inhibition of cMET phosphorylation by type I and type II inhibitors.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bCs/>
          <w:sz w:val="20"/>
          <w:szCs w:val="20"/>
          <w:lang w:val="en-US"/>
        </w:rPr>
        <w:t>A,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 Chemical structures of representative type I and type II cMET inhibitors.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bCs/>
          <w:sz w:val="20"/>
          <w:szCs w:val="20"/>
          <w:lang w:val="en-US"/>
        </w:rPr>
        <w:t>B,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 Inducible cMET WT, cMET </w:t>
      </w:r>
      <w:r w:rsidRPr="00BF6D7D">
        <w:rPr>
          <w:rFonts w:ascii="Arial" w:hAnsi="Arial" w:cs="Arial"/>
          <w:sz w:val="20"/>
          <w:szCs w:val="20"/>
        </w:rPr>
        <w:t>Δ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Ex14, and cMET H1094Y cells treated overnight with the indicated inhibitors; DMSO or ethanol served as solvent controls. Cells were stimulated with 50 ng/ml HGF for 10 min before lysis. Immunoblot analysis of phospho-cMET (Tyr1234/1235), total cMET, and </w:t>
      </w:r>
      <w:r w:rsidRPr="00BF6D7D">
        <w:rPr>
          <w:rFonts w:ascii="Arial" w:hAnsi="Arial" w:cs="Arial"/>
          <w:sz w:val="20"/>
          <w:szCs w:val="20"/>
        </w:rPr>
        <w:t>β</w:t>
      </w:r>
      <w:r w:rsidRPr="00BF6D7D">
        <w:rPr>
          <w:rFonts w:ascii="Arial" w:hAnsi="Arial" w:cs="Arial"/>
          <w:sz w:val="20"/>
          <w:szCs w:val="20"/>
          <w:lang w:val="en-US"/>
        </w:rPr>
        <w:t>-actin is shown (n = 3; representative blot). Original blots of the cropped blots are presented in Supplementary Figure 17.</w:t>
      </w:r>
    </w:p>
    <w:p w14:paraId="60EC30DC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601B59BC" w14:textId="77777777" w:rsidR="0084124A" w:rsidRPr="00BF6D7D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BF6D7D">
        <w:rPr>
          <w:rFonts w:ascii="Arial" w:hAnsi="Arial" w:cs="Arial"/>
          <w:b/>
          <w:sz w:val="20"/>
          <w:szCs w:val="20"/>
          <w:lang w:val="en-US"/>
        </w:rPr>
        <w:t>Supplementary Figure 8 | Flourescence in-situ hybridization of cMET stable cell lines.</w:t>
      </w:r>
      <w:r w:rsidRPr="00BF6D7D">
        <w:rPr>
          <w:rFonts w:ascii="Arial" w:hAnsi="Arial" w:cs="Arial"/>
          <w:b/>
          <w:sz w:val="20"/>
          <w:szCs w:val="20"/>
          <w:lang w:val="en-US"/>
        </w:rPr>
        <w:br/>
      </w:r>
      <w:r w:rsidRPr="00BF6D7D">
        <w:rPr>
          <w:rFonts w:ascii="Arial" w:hAnsi="Arial" w:cs="Arial"/>
          <w:sz w:val="20"/>
          <w:szCs w:val="20"/>
          <w:lang w:val="en-US"/>
        </w:rPr>
        <w:t xml:space="preserve">FISH of cMET WT, cMET </w:t>
      </w:r>
      <w:r w:rsidRPr="00BF6D7D">
        <w:rPr>
          <w:rFonts w:ascii="Arial" w:hAnsi="Arial" w:cs="Arial"/>
          <w:sz w:val="20"/>
          <w:szCs w:val="20"/>
          <w:lang w:val="el-GR"/>
        </w:rPr>
        <w:t>Δ</w:t>
      </w:r>
      <w:r w:rsidRPr="00BF6D7D">
        <w:rPr>
          <w:rFonts w:ascii="Arial" w:hAnsi="Arial" w:cs="Arial"/>
          <w:sz w:val="20"/>
          <w:szCs w:val="20"/>
          <w:lang w:val="en-US"/>
        </w:rPr>
        <w:t>Ex14 and cMET H1094Y stable cell lines against coding region of cMET (upper rows) and cMET/CEN7 routine diagnostics hybridization probe (lower rows), 600X magnification.</w:t>
      </w:r>
    </w:p>
    <w:p w14:paraId="144E7E21" w14:textId="77777777" w:rsidR="0084124A" w:rsidRPr="00BF6D7D" w:rsidRDefault="0084124A" w:rsidP="0084124A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24982FE" w14:textId="77777777" w:rsidR="0084124A" w:rsidRPr="00754630" w:rsidRDefault="0084124A" w:rsidP="0084124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BF6D7D">
        <w:rPr>
          <w:rFonts w:ascii="Arial" w:hAnsi="Arial" w:cs="Arial"/>
          <w:b/>
          <w:bCs/>
          <w:sz w:val="20"/>
          <w:szCs w:val="20"/>
          <w:lang w:val="en-US"/>
        </w:rPr>
        <w:t>Supplementary Figure 9 | EMT induction in A549 cells expressing inducible cMET variants.</w:t>
      </w:r>
      <w:r w:rsidRPr="00BF6D7D">
        <w:rPr>
          <w:rFonts w:ascii="Arial" w:hAnsi="Arial" w:cs="Arial"/>
          <w:sz w:val="20"/>
          <w:szCs w:val="20"/>
          <w:lang w:val="en-US"/>
        </w:rPr>
        <w:br/>
        <w:t xml:space="preserve">Inducible cMET WT, cMET </w:t>
      </w:r>
      <w:r w:rsidRPr="00BF6D7D">
        <w:rPr>
          <w:rFonts w:ascii="Arial" w:hAnsi="Arial" w:cs="Arial"/>
          <w:sz w:val="20"/>
          <w:szCs w:val="20"/>
        </w:rPr>
        <w:t>Δ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Ex14, and cMET H1094Y A549 cells cultured for 7 days in the presence or absence of 150 µg/ml cumate to induce overexpression (n = 4). 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sz w:val="20"/>
          <w:szCs w:val="20"/>
          <w:lang w:val="en-US"/>
        </w:rPr>
        <w:t>A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, Representative images (200× magnification) are shown. Morphological changes consistent with epithelial–mesenchymal transition (EMT), including cell elongation, are evident. </w:t>
      </w:r>
      <w:r w:rsidRPr="00BF6D7D">
        <w:rPr>
          <w:rFonts w:ascii="Arial" w:hAnsi="Arial" w:cs="Arial"/>
          <w:sz w:val="20"/>
          <w:szCs w:val="20"/>
          <w:lang w:val="en-US"/>
        </w:rPr>
        <w:br/>
      </w:r>
      <w:r w:rsidRPr="00BF6D7D">
        <w:rPr>
          <w:rFonts w:ascii="Arial" w:hAnsi="Arial" w:cs="Arial"/>
          <w:b/>
          <w:sz w:val="20"/>
          <w:szCs w:val="20"/>
          <w:lang w:val="en-US"/>
        </w:rPr>
        <w:t>B</w:t>
      </w:r>
      <w:r w:rsidRPr="00BF6D7D">
        <w:rPr>
          <w:rFonts w:ascii="Arial" w:hAnsi="Arial" w:cs="Arial"/>
          <w:sz w:val="20"/>
          <w:szCs w:val="20"/>
          <w:lang w:val="en-US"/>
        </w:rPr>
        <w:t xml:space="preserve">, Quantification of cell length  (in  µm) of A549 WT, treated with and without EMT stimulant TGF-β and cMET variants WT, H1094Y,  </w:t>
      </w:r>
      <w:r w:rsidRPr="00BF6D7D">
        <w:rPr>
          <w:rFonts w:ascii="Arial" w:hAnsi="Arial" w:cs="Arial"/>
          <w:sz w:val="20"/>
          <w:szCs w:val="20"/>
        </w:rPr>
        <w:t>Δ</w:t>
      </w:r>
      <w:r w:rsidRPr="00BF6D7D">
        <w:rPr>
          <w:rFonts w:ascii="Arial" w:hAnsi="Arial" w:cs="Arial"/>
          <w:sz w:val="20"/>
          <w:szCs w:val="20"/>
          <w:lang w:val="en-US"/>
        </w:rPr>
        <w:t>Ex14, treated with and without cumate to induce cMET expression (n = 20).</w:t>
      </w:r>
      <w:r w:rsidRPr="00754630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523EFDE" w14:textId="77777777" w:rsidR="009542D6" w:rsidRPr="0084124A" w:rsidRDefault="009542D6">
      <w:pPr>
        <w:rPr>
          <w:lang w:val="en-US"/>
        </w:rPr>
      </w:pPr>
    </w:p>
    <w:sectPr w:rsidR="009542D6" w:rsidRPr="00841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4A"/>
    <w:rsid w:val="00264C10"/>
    <w:rsid w:val="00470242"/>
    <w:rsid w:val="00726E03"/>
    <w:rsid w:val="0075442D"/>
    <w:rsid w:val="0084124A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8CEF3"/>
  <w15:chartTrackingRefBased/>
  <w15:docId w15:val="{92074766-3BFF-453B-9543-99BFBFA5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24A"/>
    <w:pPr>
      <w:suppressAutoHyphens/>
    </w:pPr>
    <w:rPr>
      <w:rFonts w:eastAsiaTheme="minorHAnsi"/>
      <w:lang w:val="de-DE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24A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24A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24A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24A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24A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24A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24A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24A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24A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2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2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24A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841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24A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841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24A"/>
    <w:pPr>
      <w:suppressAutoHyphens w:val="0"/>
      <w:spacing w:before="160"/>
      <w:jc w:val="center"/>
    </w:pPr>
    <w:rPr>
      <w:rFonts w:eastAsiaTheme="minorEastAsia"/>
      <w:i/>
      <w:iCs/>
      <w:color w:val="404040" w:themeColor="text1" w:themeTint="BF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841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24A"/>
    <w:pPr>
      <w:suppressAutoHyphens w:val="0"/>
      <w:ind w:left="720"/>
      <w:contextualSpacing/>
    </w:pPr>
    <w:rPr>
      <w:rFonts w:eastAsiaTheme="minorEastAsia"/>
      <w:lang w:val="en-US" w:eastAsia="zh-CN"/>
    </w:rPr>
  </w:style>
  <w:style w:type="character" w:styleId="IntenseEmphasis">
    <w:name w:val="Intense Emphasis"/>
    <w:basedOn w:val="DefaultParagraphFont"/>
    <w:uiPriority w:val="21"/>
    <w:qFormat/>
    <w:rsid w:val="008412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2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2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2026-07-31T16:24:00Z</dcterms:created>
  <dcterms:modified xsi:type="dcterms:W3CDTF">2026-07-31T16:25:00Z</dcterms:modified>
</cp:coreProperties>
</file>