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5DDF2" w14:textId="77777777" w:rsidR="004F0369" w:rsidRDefault="004F0369" w:rsidP="004F0369">
      <w:pPr>
        <w:pStyle w:val="Heading1"/>
        <w:spacing w:before="0" w:line="360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Materials</w:t>
      </w:r>
    </w:p>
    <w:p w14:paraId="4B807A16" w14:textId="77777777" w:rsidR="004F0369" w:rsidRDefault="004F0369" w:rsidP="004F0369">
      <w:pPr>
        <w:spacing w:before="160" w:after="100" w:line="300" w:lineRule="auto"/>
        <w:outlineLvl w:val="0"/>
        <w:rPr>
          <w:rFonts w:eastAsia="SimSun"/>
          <w:lang w:val="en-US" w:eastAsia="zh-CN"/>
        </w:rPr>
      </w:pPr>
      <w:r>
        <w:rPr>
          <w:b/>
          <w:bCs/>
        </w:rPr>
        <w:t>Supplementary Methods</w:t>
      </w:r>
      <w:r>
        <w:rPr>
          <w:rFonts w:eastAsia="SimSun" w:hint="eastAsia"/>
          <w:b/>
          <w:bCs/>
          <w:lang w:val="en-US" w:eastAsia="zh-CN"/>
        </w:rPr>
        <w:t xml:space="preserve">: </w:t>
      </w:r>
      <w:r>
        <w:rPr>
          <w:rFonts w:hint="eastAsia"/>
        </w:rPr>
        <w:t>Net Clinical Utility composite, causal-forest specification, and sensitivity</w:t>
      </w:r>
      <w:r>
        <w:rPr>
          <w:rFonts w:eastAsia="SimSun" w:hint="eastAsia"/>
          <w:lang w:val="en-US" w:eastAsia="zh-CN"/>
        </w:rPr>
        <w:t xml:space="preserve"> </w:t>
      </w:r>
      <w:r>
        <w:rPr>
          <w:rFonts w:hint="eastAsia"/>
        </w:rPr>
        <w:t>analyses.</w:t>
      </w:r>
      <w:r>
        <w:rPr>
          <w:rFonts w:eastAsia="SimSun" w:hint="eastAsia"/>
          <w:lang w:val="en-US" w:eastAsia="zh-CN"/>
        </w:rPr>
        <w:t xml:space="preserve"> </w:t>
      </w:r>
    </w:p>
    <w:p w14:paraId="1AD86A6C" w14:textId="77777777" w:rsidR="004F0369" w:rsidRDefault="004F0369" w:rsidP="004F0369">
      <w:pPr>
        <w:spacing w:before="160" w:after="100" w:line="300" w:lineRule="auto"/>
        <w:outlineLvl w:val="0"/>
      </w:pPr>
      <w:r>
        <w:t>Supplementary Table S1</w:t>
      </w:r>
      <w:r>
        <w:rPr>
          <w:rFonts w:eastAsia="SimSun" w:hint="eastAsia"/>
          <w:lang w:eastAsia="zh-CN"/>
        </w:rPr>
        <w:t>:</w:t>
      </w:r>
      <w:r>
        <w:t xml:space="preserve"> Intraoperative procedural parameters reported descriptively and excluded from causal models. Supplementary Table S2</w:t>
      </w:r>
      <w:r>
        <w:rPr>
          <w:rFonts w:eastAsia="SimSun" w:hint="eastAsia"/>
          <w:lang w:eastAsia="zh-CN"/>
        </w:rPr>
        <w:t>:</w:t>
      </w:r>
      <w:r>
        <w:t xml:space="preserve"> Full 17 prespecified outcomes with crude comparisons and TMLE-adjusted ATEs. Supplementary Table S3</w:t>
      </w:r>
      <w:r>
        <w:rPr>
          <w:rFonts w:eastAsia="SimSun" w:hint="eastAsia"/>
          <w:lang w:eastAsia="zh-CN"/>
        </w:rPr>
        <w:t>:</w:t>
      </w:r>
      <w:r>
        <w:t xml:space="preserve"> Doubly robust value of alternative treatment strategies. Supplementary Table S4</w:t>
      </w:r>
      <w:r>
        <w:rPr>
          <w:rFonts w:eastAsia="SimSun" w:hint="eastAsia"/>
          <w:lang w:eastAsia="zh-CN"/>
        </w:rPr>
        <w:t>:</w:t>
      </w:r>
      <w:r>
        <w:t xml:space="preserve"> Sensitivity of the individualized analysis to NCU weighting. Supplementary Figure S1</w:t>
      </w:r>
      <w:r>
        <w:rPr>
          <w:rFonts w:eastAsia="SimSun" w:hint="eastAsia"/>
          <w:lang w:eastAsia="zh-CN"/>
        </w:rPr>
        <w:t>:</w:t>
      </w:r>
      <w:r>
        <w:t xml:space="preserve"> Propensity-score overlap. Supplementary Figure S2</w:t>
      </w:r>
      <w:r>
        <w:rPr>
          <w:rFonts w:eastAsia="SimSun" w:hint="eastAsia"/>
          <w:lang w:eastAsia="zh-CN"/>
        </w:rPr>
        <w:t>:</w:t>
      </w:r>
      <w:r>
        <w:t xml:space="preserve"> Causal-forest variable importance. Supplementary Figure S3</w:t>
      </w:r>
      <w:r>
        <w:rPr>
          <w:rFonts w:eastAsia="SimSun" w:hint="eastAsia"/>
          <w:lang w:eastAsia="zh-CN"/>
        </w:rPr>
        <w:t>:</w:t>
      </w:r>
      <w:r>
        <w:t xml:space="preserve"> CATE versus CT attenuation. Supplementary Figure S4</w:t>
      </w:r>
      <w:r>
        <w:rPr>
          <w:rFonts w:eastAsia="SimSun" w:hint="eastAsia"/>
          <w:lang w:eastAsia="zh-CN"/>
        </w:rPr>
        <w:t>:</w:t>
      </w:r>
      <w:r>
        <w:t xml:space="preserve"> CT × BMI interaction heat map. Supplementary Figure S5</w:t>
      </w:r>
      <w:r>
        <w:rPr>
          <w:rFonts w:eastAsia="SimSun" w:hint="eastAsia"/>
          <w:lang w:eastAsia="zh-CN"/>
        </w:rPr>
        <w:t>:</w:t>
      </w:r>
      <w:r>
        <w:t xml:space="preserve"> </w:t>
      </w:r>
      <w:r>
        <w:rPr>
          <w:rFonts w:eastAsia="SimSun" w:hint="eastAsia"/>
          <w:lang w:val="en-US" w:eastAsia="zh-CN"/>
        </w:rPr>
        <w:t>P</w:t>
      </w:r>
      <w:r>
        <w:rPr>
          <w:rFonts w:hint="eastAsia"/>
        </w:rPr>
        <w:t>articipant flow diagram</w:t>
      </w:r>
      <w:r>
        <w:t>. STROBE checklist.</w:t>
      </w:r>
    </w:p>
    <w:p w14:paraId="7B776F32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69"/>
    <w:rsid w:val="000C4033"/>
    <w:rsid w:val="00173ED8"/>
    <w:rsid w:val="002F50B1"/>
    <w:rsid w:val="004B42CB"/>
    <w:rsid w:val="004F0369"/>
    <w:rsid w:val="005F2B46"/>
    <w:rsid w:val="00646C69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0E2DB"/>
  <w15:chartTrackingRefBased/>
  <w15:docId w15:val="{B3687E98-77AE-4144-A4AD-B70EFF6EC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36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F0369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0369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0369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0369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0369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0369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0369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0369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0369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03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03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03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03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03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03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03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03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03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0369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F0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0369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F0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0369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F03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0369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F03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036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03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03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2026-06-26T01:41:00Z</dcterms:created>
  <dcterms:modified xsi:type="dcterms:W3CDTF">2026-06-26T01:41:00Z</dcterms:modified>
</cp:coreProperties>
</file>