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30DD3">
      <w:pPr>
        <w:spacing w:before="0" w:after="80" w:line="300" w:lineRule="auto"/>
        <w:jc w:val="left"/>
        <w:rPr>
          <w:rFonts w:hint="default" w:eastAsia="宋体"/>
          <w:i w:val="0"/>
          <w:iCs w:val="0"/>
          <w:lang w:val="en-US" w:eastAsia="zh-CN"/>
        </w:rPr>
      </w:pPr>
      <w:r>
        <w:rPr>
          <w:rFonts w:ascii="Times New Roman" w:hAnsi="Times New Roman" w:eastAsia="Times New Roman" w:cs="Times New Roman"/>
          <w:b/>
          <w:bCs/>
          <w:i w:val="0"/>
          <w:iCs w:val="0"/>
          <w:sz w:val="30"/>
          <w:szCs w:val="30"/>
        </w:rPr>
        <w:t xml:space="preserve">Supplementary </w:t>
      </w:r>
      <w:r>
        <w:rPr>
          <w:rFonts w:hint="eastAsia" w:eastAsia="宋体" w:cs="Times New Roman"/>
          <w:b/>
          <w:bCs/>
          <w:i w:val="0"/>
          <w:iCs w:val="0"/>
          <w:sz w:val="30"/>
          <w:szCs w:val="30"/>
          <w:lang w:val="en-US" w:eastAsia="zh-CN"/>
        </w:rPr>
        <w:t>materials</w:t>
      </w:r>
      <w:bookmarkStart w:id="0" w:name="_GoBack"/>
      <w:bookmarkEnd w:id="0"/>
    </w:p>
    <w:p w14:paraId="5B51B3CA">
      <w:pPr>
        <w:pStyle w:val="2"/>
        <w:spacing w:before="160" w:after="100" w:line="300" w:lineRule="auto"/>
        <w:rPr>
          <w:i w:val="0"/>
          <w:iCs w:val="0"/>
        </w:rPr>
      </w:pPr>
      <w:r>
        <w:rPr>
          <w:rFonts w:ascii="Times New Roman" w:hAnsi="Times New Roman" w:eastAsia="Times New Roman" w:cs="Times New Roman"/>
          <w:b/>
          <w:bCs/>
          <w:i w:val="0"/>
          <w:iCs w:val="0"/>
          <w:sz w:val="24"/>
          <w:szCs w:val="24"/>
        </w:rPr>
        <w:t>Supplementary Methods</w:t>
      </w:r>
    </w:p>
    <w:p w14:paraId="258B9AB5">
      <w:pPr>
        <w:spacing w:before="0" w:after="120" w:line="300" w:lineRule="auto"/>
        <w:rPr>
          <w:i w:val="0"/>
          <w:iCs w:val="0"/>
        </w:rPr>
      </w:pPr>
      <w:r>
        <w:rPr>
          <w:rFonts w:ascii="Times New Roman" w:hAnsi="Times New Roman" w:eastAsia="Times New Roman" w:cs="Times New Roman"/>
          <w:b w:val="0"/>
          <w:bCs w:val="0"/>
          <w:i w:val="0"/>
          <w:iCs w:val="0"/>
          <w:sz w:val="24"/>
          <w:szCs w:val="24"/>
        </w:rPr>
        <w:t>Net Clinical Utility (NCU) composite. From a baseline of 100, the NCU subtracted 40 points for failure to clear the stone at 1 month, 100 for any catastrophic event (sepsis, transfusion, or interventional hemostasis), 20 for postoperative fever in the absence of a catastrophic event, and 2 for every additional 10 minutes of operative time. The NCU was prespecified as a transparent analytic composite and is interpreted as a value framework rather than a validated clinical endpoint.</w:t>
      </w:r>
    </w:p>
    <w:p w14:paraId="59A69EE5">
      <w:pPr>
        <w:spacing w:before="0" w:after="120" w:line="300" w:lineRule="auto"/>
        <w:rPr>
          <w:i w:val="0"/>
          <w:iCs w:val="0"/>
        </w:rPr>
      </w:pPr>
      <w:r>
        <w:rPr>
          <w:rFonts w:ascii="Times New Roman" w:hAnsi="Times New Roman" w:eastAsia="Times New Roman" w:cs="Times New Roman"/>
          <w:b w:val="0"/>
          <w:bCs w:val="0"/>
          <w:i w:val="0"/>
          <w:iCs w:val="0"/>
          <w:sz w:val="24"/>
          <w:szCs w:val="24"/>
        </w:rPr>
        <w:t>Causal-forest specification. A causal forest of 2000 honest trees was fitted on the NCU using nine routine preoperative features (age, BMI, sex, hypertension, diabetes, maximum stone diameter, hydronephrosis score, calyx score, and CT attenuation). Patient-level conditional average treatment effects (CATEs) were reported with 95% confidence intervals from the forest variance estimates, and the presence of heterogeneity was tested with the forest calibration test. A depth-2 policy tree was trained on the doubly robust scores, and the value of the resulting individualized policy was compared with treat-all-SMP and treat-all-sPCNL strategies using an honest training–evaluation split.</w:t>
      </w:r>
    </w:p>
    <w:p w14:paraId="5CB24F16">
      <w:pPr>
        <w:spacing w:before="0" w:after="120" w:line="300" w:lineRule="auto"/>
        <w:rPr>
          <w:i w:val="0"/>
          <w:iCs w:val="0"/>
        </w:rPr>
      </w:pPr>
      <w:r>
        <w:rPr>
          <w:rFonts w:ascii="Times New Roman" w:hAnsi="Times New Roman" w:eastAsia="Times New Roman" w:cs="Times New Roman"/>
          <w:b w:val="0"/>
          <w:bCs w:val="0"/>
          <w:i w:val="0"/>
          <w:iCs w:val="0"/>
          <w:sz w:val="24"/>
          <w:szCs w:val="24"/>
        </w:rPr>
        <w:t>Sensitivity analyses. Robustness of each population-level estimate to unmeasured confounding was quantified with E-values. Robustness of the individualized analysis to the NCU weighting was examined across seven alternative weighting schemes plus the base weighting scheme (Supplementary Table S4). Analyses used R 4.3.1 (packages tmle, SuperLearner, grf, policytree, and EValue); missing data were handled by complete-case analysis in TMLE and by missForest imputation for the causal-forest features.</w:t>
      </w:r>
    </w:p>
    <w:p w14:paraId="50C42DDD">
      <w:pPr>
        <w:pStyle w:val="2"/>
        <w:spacing w:before="160" w:after="100" w:line="300" w:lineRule="auto"/>
        <w:rPr>
          <w:i w:val="0"/>
          <w:iCs w:val="0"/>
        </w:rPr>
      </w:pPr>
      <w:r>
        <w:rPr>
          <w:rFonts w:ascii="Times New Roman" w:hAnsi="Times New Roman" w:eastAsia="Times New Roman" w:cs="Times New Roman"/>
          <w:b/>
          <w:bCs/>
          <w:i w:val="0"/>
          <w:iCs w:val="0"/>
          <w:sz w:val="24"/>
          <w:szCs w:val="24"/>
        </w:rPr>
        <w:t>Supplementary Tables</w:t>
      </w:r>
    </w:p>
    <w:p w14:paraId="24DF10EE">
      <w:pPr>
        <w:spacing w:before="0" w:after="40" w:line="240" w:lineRule="auto"/>
        <w:rPr>
          <w:i w:val="0"/>
          <w:iCs w:val="0"/>
        </w:rPr>
      </w:pPr>
      <w:r>
        <w:rPr>
          <w:rFonts w:ascii="Times New Roman" w:hAnsi="Times New Roman" w:eastAsia="Times New Roman" w:cs="Times New Roman"/>
          <w:b/>
          <w:bCs/>
          <w:i w:val="0"/>
          <w:iCs w:val="0"/>
          <w:sz w:val="24"/>
          <w:szCs w:val="24"/>
        </w:rPr>
        <w:t>Table S1</w:t>
      </w:r>
      <w:r>
        <w:rPr>
          <w:rFonts w:ascii="Times New Roman" w:hAnsi="Times New Roman" w:eastAsia="Times New Roman" w:cs="Times New Roman"/>
          <w:b w:val="0"/>
          <w:bCs w:val="0"/>
          <w:i w:val="0"/>
          <w:iCs w:val="0"/>
          <w:sz w:val="24"/>
          <w:szCs w:val="24"/>
        </w:rPr>
        <w:t xml:space="preserve"> Intraoperative procedural parameters reported descriptively and excluded from causal models</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960"/>
        <w:gridCol w:w="1900"/>
        <w:gridCol w:w="1900"/>
        <w:gridCol w:w="1600"/>
      </w:tblGrid>
      <w:tr w14:paraId="6139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60" w:type="dxa"/>
            <w:tcBorders>
              <w:top w:val="single" w:color="000000" w:sz="12" w:space="0"/>
              <w:left w:val="nil"/>
              <w:bottom w:val="single" w:color="000000" w:sz="4" w:space="0"/>
              <w:right w:val="nil"/>
              <w:tl2br w:val="nil"/>
            </w:tcBorders>
            <w:shd w:val="clear" w:color="auto" w:fill="FFFFFF"/>
            <w:tcMar>
              <w:top w:w="40" w:type="dxa"/>
              <w:left w:w="90" w:type="dxa"/>
              <w:bottom w:w="40" w:type="dxa"/>
              <w:right w:w="90" w:type="dxa"/>
            </w:tcMar>
            <w:vAlign w:val="center"/>
          </w:tcPr>
          <w:p w14:paraId="2D9825DA">
            <w:pPr>
              <w:spacing w:after="0" w:line="240" w:lineRule="auto"/>
              <w:jc w:val="left"/>
              <w:rPr>
                <w:b w:val="0"/>
                <w:i w:val="0"/>
                <w:iCs w:val="0"/>
                <w:color w:val="000000"/>
              </w:rPr>
            </w:pPr>
            <w:r>
              <w:rPr>
                <w:rFonts w:ascii="Times New Roman" w:hAnsi="Times New Roman" w:eastAsia="Times New Roman" w:cs="Times New Roman"/>
                <w:b w:val="0"/>
                <w:bCs/>
                <w:i w:val="0"/>
                <w:iCs w:val="0"/>
                <w:color w:val="000000"/>
                <w:sz w:val="20"/>
                <w:szCs w:val="20"/>
              </w:rPr>
              <w:t>Parameter</w:t>
            </w:r>
          </w:p>
        </w:tc>
        <w:tc>
          <w:tcPr>
            <w:tcW w:w="1900" w:type="dxa"/>
            <w:tcBorders>
              <w:top w:val="single" w:color="000000" w:sz="12" w:space="0"/>
              <w:left w:val="nil"/>
              <w:bottom w:val="single" w:color="000000" w:sz="4" w:space="0"/>
              <w:right w:val="nil"/>
            </w:tcBorders>
            <w:shd w:val="clear" w:color="auto" w:fill="FFFFFF"/>
            <w:tcMar>
              <w:top w:w="40" w:type="dxa"/>
              <w:left w:w="90" w:type="dxa"/>
              <w:bottom w:w="40" w:type="dxa"/>
              <w:right w:w="90" w:type="dxa"/>
            </w:tcMar>
            <w:vAlign w:val="center"/>
          </w:tcPr>
          <w:p w14:paraId="43633DB6">
            <w:pPr>
              <w:spacing w:after="0" w:line="240" w:lineRule="auto"/>
              <w:jc w:val="center"/>
              <w:rPr>
                <w:b w:val="0"/>
                <w:i w:val="0"/>
                <w:iCs w:val="0"/>
                <w:color w:val="000000"/>
              </w:rPr>
            </w:pPr>
            <w:r>
              <w:rPr>
                <w:rFonts w:ascii="Times New Roman" w:hAnsi="Times New Roman" w:eastAsia="Times New Roman" w:cs="Times New Roman"/>
                <w:b w:val="0"/>
                <w:bCs/>
                <w:i w:val="0"/>
                <w:iCs w:val="0"/>
                <w:color w:val="000000"/>
                <w:sz w:val="20"/>
                <w:szCs w:val="20"/>
              </w:rPr>
              <w:t>SMP (n = 450)</w:t>
            </w:r>
          </w:p>
        </w:tc>
        <w:tc>
          <w:tcPr>
            <w:tcW w:w="1900" w:type="dxa"/>
            <w:tcBorders>
              <w:top w:val="single" w:color="000000" w:sz="12" w:space="0"/>
              <w:left w:val="nil"/>
              <w:bottom w:val="single" w:color="000000" w:sz="4" w:space="0"/>
              <w:right w:val="nil"/>
            </w:tcBorders>
            <w:shd w:val="clear" w:color="auto" w:fill="FFFFFF"/>
            <w:tcMar>
              <w:top w:w="40" w:type="dxa"/>
              <w:left w:w="90" w:type="dxa"/>
              <w:bottom w:w="40" w:type="dxa"/>
              <w:right w:w="90" w:type="dxa"/>
            </w:tcMar>
            <w:vAlign w:val="center"/>
          </w:tcPr>
          <w:p w14:paraId="2FF4722A">
            <w:pPr>
              <w:spacing w:after="0" w:line="240" w:lineRule="auto"/>
              <w:jc w:val="center"/>
              <w:rPr>
                <w:b w:val="0"/>
                <w:i w:val="0"/>
                <w:iCs w:val="0"/>
                <w:color w:val="000000"/>
              </w:rPr>
            </w:pPr>
            <w:r>
              <w:rPr>
                <w:rFonts w:ascii="Times New Roman" w:hAnsi="Times New Roman" w:eastAsia="Times New Roman" w:cs="Times New Roman"/>
                <w:b w:val="0"/>
                <w:bCs/>
                <w:i w:val="0"/>
                <w:iCs w:val="0"/>
                <w:color w:val="000000"/>
                <w:sz w:val="20"/>
                <w:szCs w:val="20"/>
              </w:rPr>
              <w:t>sPCNL (n = 450)</w:t>
            </w:r>
          </w:p>
        </w:tc>
        <w:tc>
          <w:tcPr>
            <w:tcW w:w="1600" w:type="dxa"/>
            <w:tcBorders>
              <w:top w:val="single" w:color="000000" w:sz="12" w:space="0"/>
              <w:left w:val="nil"/>
              <w:bottom w:val="single" w:color="000000" w:sz="4" w:space="0"/>
              <w:right w:val="nil"/>
            </w:tcBorders>
            <w:shd w:val="clear" w:color="auto" w:fill="FFFFFF"/>
            <w:tcMar>
              <w:top w:w="40" w:type="dxa"/>
              <w:left w:w="90" w:type="dxa"/>
              <w:bottom w:w="40" w:type="dxa"/>
              <w:right w:w="90" w:type="dxa"/>
            </w:tcMar>
            <w:vAlign w:val="center"/>
          </w:tcPr>
          <w:p w14:paraId="7037556F">
            <w:pPr>
              <w:spacing w:after="0" w:line="240" w:lineRule="auto"/>
              <w:jc w:val="center"/>
              <w:rPr>
                <w:b w:val="0"/>
                <w:i w:val="0"/>
                <w:iCs w:val="0"/>
                <w:color w:val="000000"/>
              </w:rPr>
            </w:pPr>
            <w:r>
              <w:rPr>
                <w:rFonts w:ascii="Times New Roman" w:hAnsi="Times New Roman" w:eastAsia="Times New Roman" w:cs="Times New Roman"/>
                <w:b w:val="0"/>
                <w:bCs/>
                <w:i w:val="0"/>
                <w:iCs w:val="0"/>
                <w:color w:val="000000"/>
                <w:sz w:val="20"/>
                <w:szCs w:val="20"/>
              </w:rPr>
              <w:t>P</w:t>
            </w:r>
          </w:p>
        </w:tc>
      </w:tr>
      <w:tr w14:paraId="564C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60" w:type="dxa"/>
            <w:tcBorders>
              <w:top w:val="single" w:color="000000" w:sz="4" w:space="0"/>
              <w:left w:val="nil"/>
              <w:bottom w:val="nil"/>
              <w:right w:val="nil"/>
            </w:tcBorders>
            <w:shd w:val="clear" w:color="auto" w:fill="FFFFFF"/>
            <w:tcMar>
              <w:top w:w="40" w:type="dxa"/>
              <w:left w:w="90" w:type="dxa"/>
              <w:bottom w:w="40" w:type="dxa"/>
              <w:right w:w="90" w:type="dxa"/>
            </w:tcMar>
            <w:vAlign w:val="center"/>
          </w:tcPr>
          <w:p w14:paraId="08FD2EA7">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Tract length ≥ 10 cm</w:t>
            </w:r>
          </w:p>
        </w:tc>
        <w:tc>
          <w:tcPr>
            <w:tcW w:w="1900" w:type="dxa"/>
            <w:tcBorders>
              <w:top w:val="single" w:color="000000" w:sz="4" w:space="0"/>
              <w:left w:val="nil"/>
              <w:bottom w:val="nil"/>
              <w:right w:val="nil"/>
            </w:tcBorders>
            <w:shd w:val="clear" w:color="auto" w:fill="FFFFFF"/>
            <w:tcMar>
              <w:top w:w="40" w:type="dxa"/>
              <w:left w:w="90" w:type="dxa"/>
              <w:bottom w:w="40" w:type="dxa"/>
              <w:right w:w="90" w:type="dxa"/>
            </w:tcMar>
            <w:vAlign w:val="center"/>
          </w:tcPr>
          <w:p w14:paraId="7CA1247D">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437/450 (97.1%)</w:t>
            </w:r>
          </w:p>
        </w:tc>
        <w:tc>
          <w:tcPr>
            <w:tcW w:w="1900" w:type="dxa"/>
            <w:tcBorders>
              <w:top w:val="single" w:color="000000" w:sz="4" w:space="0"/>
              <w:left w:val="nil"/>
              <w:bottom w:val="nil"/>
              <w:right w:val="nil"/>
            </w:tcBorders>
            <w:shd w:val="clear" w:color="auto" w:fill="FFFFFF"/>
            <w:tcMar>
              <w:top w:w="40" w:type="dxa"/>
              <w:left w:w="90" w:type="dxa"/>
              <w:bottom w:w="40" w:type="dxa"/>
              <w:right w:w="90" w:type="dxa"/>
            </w:tcMar>
            <w:vAlign w:val="center"/>
          </w:tcPr>
          <w:p w14:paraId="20A74001">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434/450 (96.4%)</w:t>
            </w:r>
          </w:p>
        </w:tc>
        <w:tc>
          <w:tcPr>
            <w:tcW w:w="1600" w:type="dxa"/>
            <w:tcBorders>
              <w:top w:val="single" w:color="000000" w:sz="4" w:space="0"/>
              <w:left w:val="nil"/>
              <w:bottom w:val="nil"/>
              <w:right w:val="nil"/>
            </w:tcBorders>
            <w:shd w:val="clear" w:color="auto" w:fill="FFFFFF"/>
            <w:tcMar>
              <w:top w:w="40" w:type="dxa"/>
              <w:left w:w="90" w:type="dxa"/>
              <w:bottom w:w="40" w:type="dxa"/>
              <w:right w:w="90" w:type="dxa"/>
            </w:tcMar>
            <w:vAlign w:val="center"/>
          </w:tcPr>
          <w:p w14:paraId="6C26CA1B">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0.571</w:t>
            </w:r>
          </w:p>
        </w:tc>
      </w:tr>
      <w:tr w14:paraId="5BC0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60" w:type="dxa"/>
            <w:tcBorders>
              <w:top w:val="nil"/>
              <w:left w:val="nil"/>
              <w:bottom w:val="nil"/>
              <w:right w:val="nil"/>
            </w:tcBorders>
            <w:shd w:val="clear" w:color="auto" w:fill="FFFFFF"/>
            <w:tcMar>
              <w:top w:w="40" w:type="dxa"/>
              <w:left w:w="90" w:type="dxa"/>
              <w:bottom w:w="40" w:type="dxa"/>
              <w:right w:w="90" w:type="dxa"/>
            </w:tcMar>
            <w:vAlign w:val="center"/>
          </w:tcPr>
          <w:p w14:paraId="701ECAAA">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Number of tracts (mean ± SD)</w:t>
            </w:r>
          </w:p>
        </w:tc>
        <w:tc>
          <w:tcPr>
            <w:tcW w:w="1900" w:type="dxa"/>
            <w:tcBorders>
              <w:top w:val="nil"/>
              <w:left w:val="nil"/>
              <w:bottom w:val="nil"/>
              <w:right w:val="nil"/>
            </w:tcBorders>
            <w:shd w:val="clear" w:color="auto" w:fill="FFFFFF"/>
            <w:tcMar>
              <w:top w:w="40" w:type="dxa"/>
              <w:left w:w="90" w:type="dxa"/>
              <w:bottom w:w="40" w:type="dxa"/>
              <w:right w:w="90" w:type="dxa"/>
            </w:tcMar>
            <w:vAlign w:val="center"/>
          </w:tcPr>
          <w:p w14:paraId="4E4D5FDD">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1.06 ± 0.23</w:t>
            </w:r>
          </w:p>
        </w:tc>
        <w:tc>
          <w:tcPr>
            <w:tcW w:w="1900" w:type="dxa"/>
            <w:tcBorders>
              <w:top w:val="nil"/>
              <w:left w:val="nil"/>
              <w:bottom w:val="nil"/>
              <w:right w:val="nil"/>
            </w:tcBorders>
            <w:shd w:val="clear" w:color="auto" w:fill="FFFFFF"/>
            <w:tcMar>
              <w:top w:w="40" w:type="dxa"/>
              <w:left w:w="90" w:type="dxa"/>
              <w:bottom w:w="40" w:type="dxa"/>
              <w:right w:w="90" w:type="dxa"/>
            </w:tcMar>
            <w:vAlign w:val="center"/>
          </w:tcPr>
          <w:p w14:paraId="0C39FDA6">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1.05 ± 0.22</w:t>
            </w:r>
          </w:p>
        </w:tc>
        <w:tc>
          <w:tcPr>
            <w:tcW w:w="1600" w:type="dxa"/>
            <w:tcBorders>
              <w:top w:val="nil"/>
              <w:left w:val="nil"/>
              <w:bottom w:val="nil"/>
              <w:right w:val="nil"/>
            </w:tcBorders>
            <w:shd w:val="clear" w:color="auto" w:fill="FFFFFF"/>
            <w:tcMar>
              <w:top w:w="40" w:type="dxa"/>
              <w:left w:w="90" w:type="dxa"/>
              <w:bottom w:w="40" w:type="dxa"/>
              <w:right w:w="90" w:type="dxa"/>
            </w:tcMar>
            <w:vAlign w:val="center"/>
          </w:tcPr>
          <w:p w14:paraId="2526A197">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0.767</w:t>
            </w:r>
          </w:p>
        </w:tc>
      </w:tr>
      <w:tr w14:paraId="24A7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60" w:type="dxa"/>
            <w:tcBorders>
              <w:top w:val="nil"/>
              <w:left w:val="nil"/>
              <w:bottom w:val="single" w:color="000000" w:sz="12" w:space="0"/>
              <w:right w:val="nil"/>
            </w:tcBorders>
            <w:shd w:val="clear" w:color="auto" w:fill="FFFFFF"/>
            <w:tcMar>
              <w:top w:w="40" w:type="dxa"/>
              <w:left w:w="90" w:type="dxa"/>
              <w:bottom w:w="40" w:type="dxa"/>
              <w:right w:w="90" w:type="dxa"/>
            </w:tcMar>
            <w:vAlign w:val="center"/>
          </w:tcPr>
          <w:p w14:paraId="3DC90B7E">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Imaging guidance (US/C-arm/combined)</w:t>
            </w:r>
          </w:p>
        </w:tc>
        <w:tc>
          <w:tcPr>
            <w:tcW w:w="1900" w:type="dxa"/>
            <w:tcBorders>
              <w:top w:val="nil"/>
              <w:left w:val="nil"/>
              <w:bottom w:val="single" w:color="000000" w:sz="12" w:space="0"/>
              <w:right w:val="nil"/>
            </w:tcBorders>
            <w:shd w:val="clear" w:color="auto" w:fill="FFFFFF"/>
            <w:tcMar>
              <w:top w:w="40" w:type="dxa"/>
              <w:left w:w="90" w:type="dxa"/>
              <w:bottom w:w="40" w:type="dxa"/>
              <w:right w:w="90" w:type="dxa"/>
            </w:tcMar>
            <w:vAlign w:val="center"/>
          </w:tcPr>
          <w:p w14:paraId="7DF3942D">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324/108/18</w:t>
            </w:r>
          </w:p>
        </w:tc>
        <w:tc>
          <w:tcPr>
            <w:tcW w:w="1900" w:type="dxa"/>
            <w:tcBorders>
              <w:top w:val="nil"/>
              <w:left w:val="nil"/>
              <w:bottom w:val="single" w:color="000000" w:sz="12" w:space="0"/>
              <w:right w:val="nil"/>
            </w:tcBorders>
            <w:shd w:val="clear" w:color="auto" w:fill="FFFFFF"/>
            <w:tcMar>
              <w:top w:w="40" w:type="dxa"/>
              <w:left w:w="90" w:type="dxa"/>
              <w:bottom w:w="40" w:type="dxa"/>
              <w:right w:w="90" w:type="dxa"/>
            </w:tcMar>
            <w:vAlign w:val="center"/>
          </w:tcPr>
          <w:p w14:paraId="52AC021E">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322/118/10</w:t>
            </w:r>
          </w:p>
        </w:tc>
        <w:tc>
          <w:tcPr>
            <w:tcW w:w="1600" w:type="dxa"/>
            <w:tcBorders>
              <w:top w:val="nil"/>
              <w:left w:val="nil"/>
              <w:bottom w:val="single" w:color="000000" w:sz="12" w:space="0"/>
              <w:right w:val="nil"/>
            </w:tcBorders>
            <w:shd w:val="clear" w:color="auto" w:fill="FFFFFF"/>
            <w:tcMar>
              <w:top w:w="40" w:type="dxa"/>
              <w:left w:w="90" w:type="dxa"/>
              <w:bottom w:w="40" w:type="dxa"/>
              <w:right w:w="90" w:type="dxa"/>
            </w:tcMar>
            <w:vAlign w:val="center"/>
          </w:tcPr>
          <w:p w14:paraId="24F9A016">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0.255</w:t>
            </w:r>
          </w:p>
        </w:tc>
      </w:tr>
    </w:tbl>
    <w:p w14:paraId="2315E30F">
      <w:pPr>
        <w:spacing w:before="40" w:after="160" w:line="240" w:lineRule="auto"/>
        <w:rPr>
          <w:i w:val="0"/>
          <w:iCs w:val="0"/>
        </w:rPr>
      </w:pPr>
      <w:r>
        <w:rPr>
          <w:rFonts w:ascii="Times New Roman" w:hAnsi="Times New Roman" w:eastAsia="Times New Roman" w:cs="Times New Roman"/>
          <w:i w:val="0"/>
          <w:iCs w:val="0"/>
          <w:sz w:val="18"/>
          <w:szCs w:val="18"/>
        </w:rPr>
        <w:t>All three parameters are post-treatment variables and were excluded from the TMLE and causal-forest covariate sets per the W → A → Y ordering. US, ultrasound; SD, standard deviation.</w:t>
      </w:r>
    </w:p>
    <w:p w14:paraId="2EF25AB5">
      <w:pPr>
        <w:spacing w:before="120" w:after="40" w:line="240" w:lineRule="auto"/>
        <w:rPr>
          <w:i w:val="0"/>
          <w:iCs w:val="0"/>
        </w:rPr>
      </w:pPr>
      <w:r>
        <w:rPr>
          <w:rFonts w:ascii="Times New Roman" w:hAnsi="Times New Roman" w:eastAsia="Times New Roman" w:cs="Times New Roman"/>
          <w:b/>
          <w:bCs/>
          <w:i w:val="0"/>
          <w:iCs w:val="0"/>
          <w:sz w:val="24"/>
          <w:szCs w:val="24"/>
        </w:rPr>
        <w:t>Table S2</w:t>
      </w:r>
      <w:r>
        <w:rPr>
          <w:rFonts w:ascii="Times New Roman" w:hAnsi="Times New Roman" w:eastAsia="Times New Roman" w:cs="Times New Roman"/>
          <w:b w:val="0"/>
          <w:bCs w:val="0"/>
          <w:i w:val="0"/>
          <w:iCs w:val="0"/>
          <w:sz w:val="24"/>
          <w:szCs w:val="24"/>
        </w:rPr>
        <w:t xml:space="preserve"> Full 17 prespecified outcomes with crude comparisons and TMLE-adjusted average treatment effects</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447"/>
        <w:gridCol w:w="1190"/>
        <w:gridCol w:w="1190"/>
        <w:gridCol w:w="2703"/>
        <w:gridCol w:w="919"/>
        <w:gridCol w:w="911"/>
      </w:tblGrid>
      <w:tr w14:paraId="7318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000000" w:sz="12" w:space="0"/>
              <w:left w:val="nil"/>
              <w:bottom w:val="single" w:color="000000" w:sz="4" w:space="0"/>
              <w:right w:val="nil"/>
              <w:tl2br w:val="nil"/>
            </w:tcBorders>
            <w:shd w:val="clear" w:color="auto" w:fill="FFFFFF"/>
            <w:tcMar>
              <w:top w:w="40" w:type="dxa"/>
              <w:left w:w="90" w:type="dxa"/>
              <w:bottom w:w="40" w:type="dxa"/>
              <w:right w:w="90" w:type="dxa"/>
            </w:tcMar>
            <w:vAlign w:val="center"/>
          </w:tcPr>
          <w:p w14:paraId="256DB079">
            <w:pPr>
              <w:spacing w:after="0" w:line="240" w:lineRule="auto"/>
              <w:jc w:val="left"/>
              <w:rPr>
                <w:b w:val="0"/>
                <w:i w:val="0"/>
                <w:iCs w:val="0"/>
                <w:color w:val="000000"/>
              </w:rPr>
            </w:pPr>
            <w:r>
              <w:rPr>
                <w:rFonts w:ascii="Times New Roman" w:hAnsi="Times New Roman" w:eastAsia="Times New Roman" w:cs="Times New Roman"/>
                <w:b w:val="0"/>
                <w:bCs/>
                <w:i w:val="0"/>
                <w:iCs w:val="0"/>
                <w:color w:val="000000"/>
                <w:sz w:val="20"/>
                <w:szCs w:val="20"/>
              </w:rPr>
              <w:t>Outcome</w:t>
            </w:r>
          </w:p>
        </w:tc>
        <w:tc>
          <w:tcPr>
            <w:tcW w:w="1080" w:type="dxa"/>
            <w:tcBorders>
              <w:top w:val="single" w:color="000000" w:sz="12" w:space="0"/>
              <w:left w:val="nil"/>
              <w:bottom w:val="single" w:color="000000" w:sz="4" w:space="0"/>
              <w:right w:val="nil"/>
            </w:tcBorders>
            <w:shd w:val="clear" w:color="auto" w:fill="FFFFFF"/>
            <w:tcMar>
              <w:top w:w="40" w:type="dxa"/>
              <w:left w:w="90" w:type="dxa"/>
              <w:bottom w:w="40" w:type="dxa"/>
              <w:right w:w="90" w:type="dxa"/>
            </w:tcMar>
            <w:vAlign w:val="center"/>
          </w:tcPr>
          <w:p w14:paraId="5EBD3D40">
            <w:pPr>
              <w:spacing w:after="0" w:line="240" w:lineRule="auto"/>
              <w:jc w:val="center"/>
              <w:rPr>
                <w:b w:val="0"/>
                <w:i w:val="0"/>
                <w:iCs w:val="0"/>
                <w:color w:val="000000"/>
              </w:rPr>
            </w:pPr>
            <w:r>
              <w:rPr>
                <w:rFonts w:ascii="Times New Roman" w:hAnsi="Times New Roman" w:eastAsia="Times New Roman" w:cs="Times New Roman"/>
                <w:b w:val="0"/>
                <w:bCs/>
                <w:i w:val="0"/>
                <w:iCs w:val="0"/>
                <w:color w:val="000000"/>
                <w:sz w:val="20"/>
                <w:szCs w:val="20"/>
              </w:rPr>
              <w:t>SMP</w:t>
            </w:r>
          </w:p>
        </w:tc>
        <w:tc>
          <w:tcPr>
            <w:tcW w:w="1080" w:type="dxa"/>
            <w:tcBorders>
              <w:top w:val="single" w:color="000000" w:sz="12" w:space="0"/>
              <w:left w:val="nil"/>
              <w:bottom w:val="single" w:color="000000" w:sz="4" w:space="0"/>
              <w:right w:val="nil"/>
            </w:tcBorders>
            <w:shd w:val="clear" w:color="auto" w:fill="FFFFFF"/>
            <w:tcMar>
              <w:top w:w="40" w:type="dxa"/>
              <w:left w:w="90" w:type="dxa"/>
              <w:bottom w:w="40" w:type="dxa"/>
              <w:right w:w="90" w:type="dxa"/>
            </w:tcMar>
            <w:vAlign w:val="center"/>
          </w:tcPr>
          <w:p w14:paraId="5BC060DA">
            <w:pPr>
              <w:spacing w:after="0" w:line="240" w:lineRule="auto"/>
              <w:jc w:val="center"/>
              <w:rPr>
                <w:b w:val="0"/>
                <w:i w:val="0"/>
                <w:iCs w:val="0"/>
                <w:color w:val="000000"/>
              </w:rPr>
            </w:pPr>
            <w:r>
              <w:rPr>
                <w:rFonts w:ascii="Times New Roman" w:hAnsi="Times New Roman" w:eastAsia="Times New Roman" w:cs="Times New Roman"/>
                <w:b w:val="0"/>
                <w:bCs/>
                <w:i w:val="0"/>
                <w:iCs w:val="0"/>
                <w:color w:val="000000"/>
                <w:sz w:val="20"/>
                <w:szCs w:val="20"/>
              </w:rPr>
              <w:t>sPCNL</w:t>
            </w:r>
          </w:p>
        </w:tc>
        <w:tc>
          <w:tcPr>
            <w:tcW w:w="2820" w:type="dxa"/>
            <w:tcBorders>
              <w:top w:val="single" w:color="000000" w:sz="12" w:space="0"/>
              <w:left w:val="nil"/>
              <w:bottom w:val="single" w:color="000000" w:sz="4" w:space="0"/>
              <w:right w:val="nil"/>
            </w:tcBorders>
            <w:shd w:val="clear" w:color="auto" w:fill="FFFFFF"/>
            <w:tcMar>
              <w:top w:w="40" w:type="dxa"/>
              <w:left w:w="90" w:type="dxa"/>
              <w:bottom w:w="40" w:type="dxa"/>
              <w:right w:w="90" w:type="dxa"/>
            </w:tcMar>
            <w:vAlign w:val="center"/>
          </w:tcPr>
          <w:p w14:paraId="1A01B598">
            <w:pPr>
              <w:spacing w:after="0" w:line="240" w:lineRule="auto"/>
              <w:jc w:val="center"/>
              <w:rPr>
                <w:b w:val="0"/>
                <w:i w:val="0"/>
                <w:iCs w:val="0"/>
                <w:color w:val="000000"/>
              </w:rPr>
            </w:pPr>
            <w:r>
              <w:rPr>
                <w:rFonts w:ascii="Times New Roman" w:hAnsi="Times New Roman" w:eastAsia="Times New Roman" w:cs="Times New Roman"/>
                <w:b w:val="0"/>
                <w:bCs/>
                <w:i w:val="0"/>
                <w:iCs w:val="0"/>
                <w:color w:val="000000"/>
                <w:sz w:val="20"/>
                <w:szCs w:val="20"/>
              </w:rPr>
              <w:t>TMLE ATE (95% CI)</w:t>
            </w:r>
          </w:p>
        </w:tc>
        <w:tc>
          <w:tcPr>
            <w:tcW w:w="930" w:type="dxa"/>
            <w:tcBorders>
              <w:top w:val="single" w:color="000000" w:sz="12" w:space="0"/>
              <w:left w:val="nil"/>
              <w:bottom w:val="single" w:color="000000" w:sz="4" w:space="0"/>
              <w:right w:val="nil"/>
            </w:tcBorders>
            <w:shd w:val="clear" w:color="auto" w:fill="FFFFFF"/>
            <w:tcMar>
              <w:top w:w="40" w:type="dxa"/>
              <w:left w:w="90" w:type="dxa"/>
              <w:bottom w:w="40" w:type="dxa"/>
              <w:right w:w="90" w:type="dxa"/>
            </w:tcMar>
            <w:vAlign w:val="center"/>
          </w:tcPr>
          <w:p w14:paraId="1ACF744B">
            <w:pPr>
              <w:spacing w:after="0" w:line="240" w:lineRule="auto"/>
              <w:jc w:val="center"/>
              <w:rPr>
                <w:b w:val="0"/>
                <w:i w:val="0"/>
                <w:iCs w:val="0"/>
                <w:color w:val="000000"/>
              </w:rPr>
            </w:pPr>
            <w:r>
              <w:rPr>
                <w:rFonts w:ascii="Times New Roman" w:hAnsi="Times New Roman" w:eastAsia="Times New Roman" w:cs="Times New Roman"/>
                <w:b w:val="0"/>
                <w:bCs/>
                <w:i w:val="0"/>
                <w:iCs w:val="0"/>
                <w:color w:val="000000"/>
                <w:sz w:val="20"/>
                <w:szCs w:val="20"/>
              </w:rPr>
              <w:t>P</w:t>
            </w:r>
          </w:p>
        </w:tc>
        <w:tc>
          <w:tcPr>
            <w:tcW w:w="930" w:type="dxa"/>
            <w:tcBorders>
              <w:top w:val="single" w:color="000000" w:sz="12" w:space="0"/>
              <w:left w:val="nil"/>
              <w:bottom w:val="single" w:color="000000" w:sz="4" w:space="0"/>
              <w:right w:val="nil"/>
            </w:tcBorders>
            <w:shd w:val="clear" w:color="auto" w:fill="FFFFFF"/>
            <w:tcMar>
              <w:top w:w="40" w:type="dxa"/>
              <w:left w:w="90" w:type="dxa"/>
              <w:bottom w:w="40" w:type="dxa"/>
              <w:right w:w="90" w:type="dxa"/>
            </w:tcMar>
            <w:vAlign w:val="center"/>
          </w:tcPr>
          <w:p w14:paraId="6987727C">
            <w:pPr>
              <w:spacing w:after="0" w:line="240" w:lineRule="auto"/>
              <w:jc w:val="center"/>
              <w:rPr>
                <w:b w:val="0"/>
                <w:i w:val="0"/>
                <w:iCs w:val="0"/>
                <w:color w:val="000000"/>
              </w:rPr>
            </w:pPr>
            <w:r>
              <w:rPr>
                <w:rFonts w:ascii="Times New Roman" w:hAnsi="Times New Roman" w:eastAsia="Times New Roman" w:cs="Times New Roman"/>
                <w:b w:val="0"/>
                <w:bCs/>
                <w:i w:val="0"/>
                <w:iCs w:val="0"/>
                <w:color w:val="000000"/>
                <w:sz w:val="20"/>
                <w:szCs w:val="20"/>
              </w:rPr>
              <w:t>E-value</w:t>
            </w:r>
          </w:p>
        </w:tc>
      </w:tr>
      <w:tr w14:paraId="4C5A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6"/>
            <w:tcBorders>
              <w:top w:val="single" w:color="000000" w:sz="4" w:space="0"/>
              <w:left w:val="nil"/>
              <w:bottom w:val="nil"/>
              <w:right w:val="nil"/>
            </w:tcBorders>
            <w:shd w:val="clear" w:color="auto" w:fill="FFFFFF"/>
            <w:tcMar>
              <w:top w:w="40" w:type="dxa"/>
              <w:left w:w="90" w:type="dxa"/>
              <w:bottom w:w="40" w:type="dxa"/>
              <w:right w:w="90" w:type="dxa"/>
            </w:tcMar>
            <w:vAlign w:val="center"/>
          </w:tcPr>
          <w:p w14:paraId="0A08794A">
            <w:pPr>
              <w:spacing w:after="0" w:line="240" w:lineRule="auto"/>
              <w:jc w:val="left"/>
              <w:rPr>
                <w:b w:val="0"/>
                <w:i w:val="0"/>
                <w:iCs w:val="0"/>
                <w:color w:val="000000"/>
              </w:rPr>
            </w:pPr>
            <w:r>
              <w:rPr>
                <w:rFonts w:ascii="Times New Roman" w:hAnsi="Times New Roman" w:eastAsia="Times New Roman" w:cs="Times New Roman"/>
                <w:b w:val="0"/>
                <w:bCs/>
                <w:i w:val="0"/>
                <w:iCs w:val="0"/>
                <w:color w:val="000000"/>
                <w:sz w:val="20"/>
                <w:szCs w:val="20"/>
              </w:rPr>
              <w:t>Primary outcomes</w:t>
            </w:r>
          </w:p>
        </w:tc>
      </w:tr>
      <w:tr w14:paraId="695C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nil"/>
              <w:left w:val="nil"/>
              <w:bottom w:val="nil"/>
              <w:right w:val="nil"/>
            </w:tcBorders>
            <w:shd w:val="clear" w:color="auto" w:fill="FFFFFF"/>
            <w:tcMar>
              <w:top w:w="40" w:type="dxa"/>
              <w:left w:w="90" w:type="dxa"/>
              <w:bottom w:w="40" w:type="dxa"/>
              <w:right w:w="90" w:type="dxa"/>
            </w:tcMar>
            <w:vAlign w:val="center"/>
          </w:tcPr>
          <w:p w14:paraId="3CB6CA42">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1-day SFR</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5F4A2BE2">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86.4%</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37314EC4">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85.3%</w:t>
            </w:r>
          </w:p>
        </w:tc>
        <w:tc>
          <w:tcPr>
            <w:tcW w:w="2820" w:type="dxa"/>
            <w:tcBorders>
              <w:top w:val="nil"/>
              <w:left w:val="nil"/>
              <w:bottom w:val="nil"/>
              <w:right w:val="nil"/>
            </w:tcBorders>
            <w:shd w:val="clear" w:color="auto" w:fill="FFFFFF"/>
            <w:tcMar>
              <w:top w:w="40" w:type="dxa"/>
              <w:left w:w="90" w:type="dxa"/>
              <w:bottom w:w="40" w:type="dxa"/>
              <w:right w:w="90" w:type="dxa"/>
            </w:tcMar>
            <w:vAlign w:val="center"/>
          </w:tcPr>
          <w:p w14:paraId="2968947F">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+2.18% (−0.68, +5.04)</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2A51804E">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0.135</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042E881C">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w:t>
            </w:r>
          </w:p>
        </w:tc>
      </w:tr>
      <w:tr w14:paraId="5330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nil"/>
              <w:left w:val="nil"/>
              <w:bottom w:val="nil"/>
              <w:right w:val="nil"/>
            </w:tcBorders>
            <w:shd w:val="clear" w:color="auto" w:fill="FFFFFF"/>
            <w:tcMar>
              <w:top w:w="40" w:type="dxa"/>
              <w:left w:w="90" w:type="dxa"/>
              <w:bottom w:w="40" w:type="dxa"/>
              <w:right w:w="90" w:type="dxa"/>
            </w:tcMar>
            <w:vAlign w:val="center"/>
          </w:tcPr>
          <w:p w14:paraId="0294E4F1">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1-month SFR</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2DF5CB46">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93.6%</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04362DD4">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92.7%</w:t>
            </w:r>
          </w:p>
        </w:tc>
        <w:tc>
          <w:tcPr>
            <w:tcW w:w="2820" w:type="dxa"/>
            <w:tcBorders>
              <w:top w:val="nil"/>
              <w:left w:val="nil"/>
              <w:bottom w:val="nil"/>
              <w:right w:val="nil"/>
            </w:tcBorders>
            <w:shd w:val="clear" w:color="auto" w:fill="FFFFFF"/>
            <w:tcMar>
              <w:top w:w="40" w:type="dxa"/>
              <w:left w:w="90" w:type="dxa"/>
              <w:bottom w:w="40" w:type="dxa"/>
              <w:right w:w="90" w:type="dxa"/>
            </w:tcMar>
            <w:vAlign w:val="center"/>
          </w:tcPr>
          <w:p w14:paraId="79B99576">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+2.05% (−0.53, +4.63)</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71C13FDE">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0.120</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488B47DE">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w:t>
            </w:r>
          </w:p>
        </w:tc>
      </w:tr>
      <w:tr w14:paraId="4F256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nil"/>
              <w:left w:val="nil"/>
              <w:bottom w:val="nil"/>
              <w:right w:val="nil"/>
            </w:tcBorders>
            <w:shd w:val="clear" w:color="auto" w:fill="FFFFFF"/>
            <w:tcMar>
              <w:top w:w="40" w:type="dxa"/>
              <w:left w:w="90" w:type="dxa"/>
              <w:bottom w:w="40" w:type="dxa"/>
              <w:right w:w="90" w:type="dxa"/>
            </w:tcMar>
            <w:vAlign w:val="center"/>
          </w:tcPr>
          <w:p w14:paraId="626966DA">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Operative time (min)</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2525D5AB">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32.68</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12A1EE4B">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32.98</w:t>
            </w:r>
          </w:p>
        </w:tc>
        <w:tc>
          <w:tcPr>
            <w:tcW w:w="2820" w:type="dxa"/>
            <w:tcBorders>
              <w:top w:val="nil"/>
              <w:left w:val="nil"/>
              <w:bottom w:val="nil"/>
              <w:right w:val="nil"/>
            </w:tcBorders>
            <w:shd w:val="clear" w:color="auto" w:fill="FFFFFF"/>
            <w:tcMar>
              <w:top w:w="40" w:type="dxa"/>
              <w:left w:w="90" w:type="dxa"/>
              <w:bottom w:w="40" w:type="dxa"/>
              <w:right w:w="90" w:type="dxa"/>
            </w:tcMar>
            <w:vAlign w:val="center"/>
          </w:tcPr>
          <w:p w14:paraId="3473C5F8">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−1.13 (−1.36, −0.91)</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628BE1B6">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&lt;0.001</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07B04FBB">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w:t>
            </w:r>
          </w:p>
        </w:tc>
      </w:tr>
      <w:tr w14:paraId="7A3C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6"/>
            <w:tcBorders>
              <w:top w:val="nil"/>
              <w:left w:val="nil"/>
              <w:bottom w:val="nil"/>
              <w:right w:val="nil"/>
            </w:tcBorders>
            <w:shd w:val="clear" w:color="auto" w:fill="FFFFFF"/>
            <w:tcMar>
              <w:top w:w="40" w:type="dxa"/>
              <w:left w:w="90" w:type="dxa"/>
              <w:bottom w:w="40" w:type="dxa"/>
              <w:right w:w="90" w:type="dxa"/>
            </w:tcMar>
            <w:vAlign w:val="center"/>
          </w:tcPr>
          <w:p w14:paraId="0B7E4111">
            <w:pPr>
              <w:spacing w:after="0" w:line="240" w:lineRule="auto"/>
              <w:jc w:val="left"/>
              <w:rPr>
                <w:b w:val="0"/>
                <w:i w:val="0"/>
                <w:iCs w:val="0"/>
                <w:color w:val="000000"/>
              </w:rPr>
            </w:pPr>
            <w:r>
              <w:rPr>
                <w:rFonts w:ascii="Times New Roman" w:hAnsi="Times New Roman" w:eastAsia="Times New Roman" w:cs="Times New Roman"/>
                <w:b w:val="0"/>
                <w:bCs/>
                <w:i w:val="0"/>
                <w:iCs w:val="0"/>
                <w:color w:val="000000"/>
                <w:sz w:val="20"/>
                <w:szCs w:val="20"/>
              </w:rPr>
              <w:t>Secondary outcomes</w:t>
            </w:r>
          </w:p>
        </w:tc>
      </w:tr>
      <w:tr w14:paraId="02DD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nil"/>
              <w:left w:val="nil"/>
              <w:bottom w:val="nil"/>
              <w:right w:val="nil"/>
            </w:tcBorders>
            <w:shd w:val="clear" w:color="auto" w:fill="FFFFFF"/>
            <w:tcMar>
              <w:top w:w="40" w:type="dxa"/>
              <w:left w:w="90" w:type="dxa"/>
              <w:bottom w:w="40" w:type="dxa"/>
              <w:right w:w="90" w:type="dxa"/>
            </w:tcMar>
            <w:vAlign w:val="center"/>
          </w:tcPr>
          <w:p w14:paraId="5B2519D1">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Hb drop (g/L)</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77245E38">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16.42</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10A15C00">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16.98</w:t>
            </w:r>
          </w:p>
        </w:tc>
        <w:tc>
          <w:tcPr>
            <w:tcW w:w="2820" w:type="dxa"/>
            <w:tcBorders>
              <w:top w:val="nil"/>
              <w:left w:val="nil"/>
              <w:bottom w:val="nil"/>
              <w:right w:val="nil"/>
            </w:tcBorders>
            <w:shd w:val="clear" w:color="auto" w:fill="FFFFFF"/>
            <w:tcMar>
              <w:top w:w="40" w:type="dxa"/>
              <w:left w:w="90" w:type="dxa"/>
              <w:bottom w:w="40" w:type="dxa"/>
              <w:right w:w="90" w:type="dxa"/>
            </w:tcMar>
            <w:vAlign w:val="center"/>
          </w:tcPr>
          <w:p w14:paraId="30F0B629">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−0.83 (−1.14, −0.52)</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2246AE73">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&lt;0.001</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30B02A12">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1.8</w:t>
            </w:r>
          </w:p>
        </w:tc>
      </w:tr>
      <w:tr w14:paraId="1052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nil"/>
              <w:left w:val="nil"/>
              <w:bottom w:val="nil"/>
              <w:right w:val="nil"/>
            </w:tcBorders>
            <w:shd w:val="clear" w:color="auto" w:fill="FFFFFF"/>
            <w:tcMar>
              <w:top w:w="40" w:type="dxa"/>
              <w:left w:w="90" w:type="dxa"/>
              <w:bottom w:w="40" w:type="dxa"/>
              <w:right w:w="90" w:type="dxa"/>
            </w:tcMar>
            <w:vAlign w:val="center"/>
          </w:tcPr>
          <w:p w14:paraId="25F39B0A">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Transfusion</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13176908">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0.4%</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18C8620A">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1.1%</w:t>
            </w:r>
          </w:p>
        </w:tc>
        <w:tc>
          <w:tcPr>
            <w:tcW w:w="2820" w:type="dxa"/>
            <w:tcBorders>
              <w:top w:val="nil"/>
              <w:left w:val="nil"/>
              <w:bottom w:val="nil"/>
              <w:right w:val="nil"/>
            </w:tcBorders>
            <w:shd w:val="clear" w:color="auto" w:fill="FFFFFF"/>
            <w:tcMar>
              <w:top w:w="40" w:type="dxa"/>
              <w:left w:w="90" w:type="dxa"/>
              <w:bottom w:w="40" w:type="dxa"/>
              <w:right w:w="90" w:type="dxa"/>
            </w:tcMar>
            <w:vAlign w:val="center"/>
          </w:tcPr>
          <w:p w14:paraId="041BE7A9">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−1.19% (−1.99, −0.40)</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321D9E39">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0.003</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274ACD24">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w:t>
            </w:r>
          </w:p>
        </w:tc>
      </w:tr>
      <w:tr w14:paraId="0CFF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nil"/>
              <w:left w:val="nil"/>
              <w:bottom w:val="nil"/>
              <w:right w:val="nil"/>
            </w:tcBorders>
            <w:shd w:val="clear" w:color="auto" w:fill="FFFFFF"/>
            <w:tcMar>
              <w:top w:w="40" w:type="dxa"/>
              <w:left w:w="90" w:type="dxa"/>
              <w:bottom w:w="40" w:type="dxa"/>
              <w:right w:w="90" w:type="dxa"/>
            </w:tcMar>
            <w:vAlign w:val="center"/>
          </w:tcPr>
          <w:p w14:paraId="14F79CFC">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Interventional hemostasis</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37008CEB">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0.2%</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61C5BEAB">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0.7%</w:t>
            </w:r>
          </w:p>
        </w:tc>
        <w:tc>
          <w:tcPr>
            <w:tcW w:w="2820" w:type="dxa"/>
            <w:tcBorders>
              <w:top w:val="nil"/>
              <w:left w:val="nil"/>
              <w:bottom w:val="nil"/>
              <w:right w:val="nil"/>
            </w:tcBorders>
            <w:shd w:val="clear" w:color="auto" w:fill="FFFFFF"/>
            <w:tcMar>
              <w:top w:w="40" w:type="dxa"/>
              <w:left w:w="90" w:type="dxa"/>
              <w:bottom w:w="40" w:type="dxa"/>
              <w:right w:w="90" w:type="dxa"/>
            </w:tcMar>
            <w:vAlign w:val="center"/>
          </w:tcPr>
          <w:p w14:paraId="389FE0B7">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−0.79% (−1.40, −0.19)</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1C331E64">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0.010</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5489924E">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w:t>
            </w:r>
          </w:p>
        </w:tc>
      </w:tr>
      <w:tr w14:paraId="1A6C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nil"/>
              <w:left w:val="nil"/>
              <w:bottom w:val="nil"/>
              <w:right w:val="nil"/>
            </w:tcBorders>
            <w:shd w:val="clear" w:color="auto" w:fill="FFFFFF"/>
            <w:tcMar>
              <w:top w:w="40" w:type="dxa"/>
              <w:left w:w="90" w:type="dxa"/>
              <w:bottom w:w="40" w:type="dxa"/>
              <w:right w:w="90" w:type="dxa"/>
            </w:tcMar>
            <w:vAlign w:val="center"/>
          </w:tcPr>
          <w:p w14:paraId="09E7706E">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VAS-6h</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3FA57518">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5.57</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3845D3E9">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5.96</w:t>
            </w:r>
          </w:p>
        </w:tc>
        <w:tc>
          <w:tcPr>
            <w:tcW w:w="2820" w:type="dxa"/>
            <w:tcBorders>
              <w:top w:val="nil"/>
              <w:left w:val="nil"/>
              <w:bottom w:val="nil"/>
              <w:right w:val="nil"/>
            </w:tcBorders>
            <w:shd w:val="clear" w:color="auto" w:fill="FFFFFF"/>
            <w:tcMar>
              <w:top w:w="40" w:type="dxa"/>
              <w:left w:w="90" w:type="dxa"/>
              <w:bottom w:w="40" w:type="dxa"/>
              <w:right w:w="90" w:type="dxa"/>
            </w:tcMar>
            <w:vAlign w:val="center"/>
          </w:tcPr>
          <w:p w14:paraId="0303FDE6">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−0.44 (−0.52, −0.36)</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3D242751">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&lt;0.001</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28A57EC2">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2.6</w:t>
            </w:r>
          </w:p>
        </w:tc>
      </w:tr>
      <w:tr w14:paraId="595D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nil"/>
              <w:left w:val="nil"/>
              <w:bottom w:val="nil"/>
              <w:right w:val="nil"/>
            </w:tcBorders>
            <w:shd w:val="clear" w:color="auto" w:fill="FFFFFF"/>
            <w:tcMar>
              <w:top w:w="40" w:type="dxa"/>
              <w:left w:w="90" w:type="dxa"/>
              <w:bottom w:w="40" w:type="dxa"/>
              <w:right w:w="90" w:type="dxa"/>
            </w:tcMar>
            <w:vAlign w:val="center"/>
          </w:tcPr>
          <w:p w14:paraId="515A2B58">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VAS-24h</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0A6C2639">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2.01</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0C8AD003">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3.00</w:t>
            </w:r>
          </w:p>
        </w:tc>
        <w:tc>
          <w:tcPr>
            <w:tcW w:w="2820" w:type="dxa"/>
            <w:tcBorders>
              <w:top w:val="nil"/>
              <w:left w:val="nil"/>
              <w:bottom w:val="nil"/>
              <w:right w:val="nil"/>
            </w:tcBorders>
            <w:shd w:val="clear" w:color="auto" w:fill="FFFFFF"/>
            <w:tcMar>
              <w:top w:w="40" w:type="dxa"/>
              <w:left w:w="90" w:type="dxa"/>
              <w:bottom w:w="40" w:type="dxa"/>
              <w:right w:w="90" w:type="dxa"/>
            </w:tcMar>
            <w:vAlign w:val="center"/>
          </w:tcPr>
          <w:p w14:paraId="10F7D7A1">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−1.02 (−1.08, −0.96)</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2302961C">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&lt;0.001</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5832B1E7">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8.4</w:t>
            </w:r>
          </w:p>
        </w:tc>
      </w:tr>
      <w:tr w14:paraId="34B8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nil"/>
              <w:left w:val="nil"/>
              <w:bottom w:val="nil"/>
              <w:right w:val="nil"/>
            </w:tcBorders>
            <w:shd w:val="clear" w:color="auto" w:fill="FFFFFF"/>
            <w:tcMar>
              <w:top w:w="40" w:type="dxa"/>
              <w:left w:w="90" w:type="dxa"/>
              <w:bottom w:w="40" w:type="dxa"/>
              <w:right w:w="90" w:type="dxa"/>
            </w:tcMar>
            <w:vAlign w:val="center"/>
          </w:tcPr>
          <w:p w14:paraId="787E6673">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Length of stay (days)</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6437DE7D">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1.89</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716B4A8B">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2.35</w:t>
            </w:r>
          </w:p>
        </w:tc>
        <w:tc>
          <w:tcPr>
            <w:tcW w:w="2820" w:type="dxa"/>
            <w:tcBorders>
              <w:top w:val="nil"/>
              <w:left w:val="nil"/>
              <w:bottom w:val="nil"/>
              <w:right w:val="nil"/>
            </w:tcBorders>
            <w:shd w:val="clear" w:color="auto" w:fill="FFFFFF"/>
            <w:tcMar>
              <w:top w:w="40" w:type="dxa"/>
              <w:left w:w="90" w:type="dxa"/>
              <w:bottom w:w="40" w:type="dxa"/>
              <w:right w:w="90" w:type="dxa"/>
            </w:tcMar>
            <w:vAlign w:val="center"/>
          </w:tcPr>
          <w:p w14:paraId="0CC0F159">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−0.53 (−0.65, −0.42)</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7A41E118">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&lt;0.001</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4A873254">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2.3</w:t>
            </w:r>
          </w:p>
        </w:tc>
      </w:tr>
      <w:tr w14:paraId="3284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nil"/>
              <w:left w:val="nil"/>
              <w:bottom w:val="nil"/>
              <w:right w:val="nil"/>
            </w:tcBorders>
            <w:shd w:val="clear" w:color="auto" w:fill="FFFFFF"/>
            <w:tcMar>
              <w:top w:w="40" w:type="dxa"/>
              <w:left w:w="90" w:type="dxa"/>
              <w:bottom w:w="40" w:type="dxa"/>
              <w:right w:w="90" w:type="dxa"/>
            </w:tcMar>
            <w:vAlign w:val="center"/>
          </w:tcPr>
          <w:p w14:paraId="5497E83D">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Tubeless rate</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727E4A08">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11.6%</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55FE11F1">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25.3%</w:t>
            </w:r>
          </w:p>
        </w:tc>
        <w:tc>
          <w:tcPr>
            <w:tcW w:w="2820" w:type="dxa"/>
            <w:tcBorders>
              <w:top w:val="nil"/>
              <w:left w:val="nil"/>
              <w:bottom w:val="nil"/>
              <w:right w:val="nil"/>
            </w:tcBorders>
            <w:shd w:val="clear" w:color="auto" w:fill="FFFFFF"/>
            <w:tcMar>
              <w:top w:w="40" w:type="dxa"/>
              <w:left w:w="90" w:type="dxa"/>
              <w:bottom w:w="40" w:type="dxa"/>
              <w:right w:w="90" w:type="dxa"/>
            </w:tcMar>
            <w:vAlign w:val="center"/>
          </w:tcPr>
          <w:p w14:paraId="39D840B0">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−9.68% (−12.45, −6.91)</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35894C3C">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&lt;0.001</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6199037F">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w:t>
            </w:r>
          </w:p>
        </w:tc>
      </w:tr>
      <w:tr w14:paraId="77EF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nil"/>
              <w:left w:val="nil"/>
              <w:bottom w:val="nil"/>
              <w:right w:val="nil"/>
            </w:tcBorders>
            <w:shd w:val="clear" w:color="auto" w:fill="FFFFFF"/>
            <w:tcMar>
              <w:top w:w="40" w:type="dxa"/>
              <w:left w:w="90" w:type="dxa"/>
              <w:bottom w:w="40" w:type="dxa"/>
              <w:right w:w="90" w:type="dxa"/>
            </w:tcMar>
            <w:vAlign w:val="center"/>
          </w:tcPr>
          <w:p w14:paraId="7EAB762F">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Postoperative fever</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7C6FCF3E">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6.7%</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27BF3A3C">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9.6%</w:t>
            </w:r>
          </w:p>
        </w:tc>
        <w:tc>
          <w:tcPr>
            <w:tcW w:w="2820" w:type="dxa"/>
            <w:tcBorders>
              <w:top w:val="nil"/>
              <w:left w:val="nil"/>
              <w:bottom w:val="nil"/>
              <w:right w:val="nil"/>
            </w:tcBorders>
            <w:shd w:val="clear" w:color="auto" w:fill="FFFFFF"/>
            <w:tcMar>
              <w:top w:w="40" w:type="dxa"/>
              <w:left w:w="90" w:type="dxa"/>
              <w:bottom w:w="40" w:type="dxa"/>
              <w:right w:w="90" w:type="dxa"/>
            </w:tcMar>
            <w:vAlign w:val="center"/>
          </w:tcPr>
          <w:p w14:paraId="54DED0E7">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−3.63% (−6.15, −1.11)</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4D2E2D63">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0.005</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0181DC4B">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2.6</w:t>
            </w:r>
          </w:p>
        </w:tc>
      </w:tr>
      <w:tr w14:paraId="3C0F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nil"/>
              <w:left w:val="nil"/>
              <w:bottom w:val="nil"/>
              <w:right w:val="nil"/>
            </w:tcBorders>
            <w:shd w:val="clear" w:color="auto" w:fill="FFFFFF"/>
            <w:tcMar>
              <w:top w:w="40" w:type="dxa"/>
              <w:left w:w="90" w:type="dxa"/>
              <w:bottom w:w="40" w:type="dxa"/>
              <w:right w:w="90" w:type="dxa"/>
            </w:tcMar>
            <w:vAlign w:val="center"/>
          </w:tcPr>
          <w:p w14:paraId="3B306E01">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Sepsis</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67C74CCC">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1.1%</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6544F6DD">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0.9%</w:t>
            </w:r>
          </w:p>
        </w:tc>
        <w:tc>
          <w:tcPr>
            <w:tcW w:w="2820" w:type="dxa"/>
            <w:tcBorders>
              <w:top w:val="nil"/>
              <w:left w:val="nil"/>
              <w:bottom w:val="nil"/>
              <w:right w:val="nil"/>
            </w:tcBorders>
            <w:shd w:val="clear" w:color="auto" w:fill="FFFFFF"/>
            <w:tcMar>
              <w:top w:w="40" w:type="dxa"/>
              <w:left w:w="90" w:type="dxa"/>
              <w:bottom w:w="40" w:type="dxa"/>
              <w:right w:w="90" w:type="dxa"/>
            </w:tcMar>
            <w:vAlign w:val="center"/>
          </w:tcPr>
          <w:p w14:paraId="485974BE">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+0.24% (−0.72, +1.19)</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21561006">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0.630</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4E9B8994">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w:t>
            </w:r>
          </w:p>
        </w:tc>
      </w:tr>
      <w:tr w14:paraId="07EC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6"/>
            <w:tcBorders>
              <w:top w:val="nil"/>
              <w:left w:val="nil"/>
              <w:bottom w:val="nil"/>
              <w:right w:val="nil"/>
            </w:tcBorders>
            <w:shd w:val="clear" w:color="auto" w:fill="FFFFFF"/>
            <w:tcMar>
              <w:top w:w="40" w:type="dxa"/>
              <w:left w:w="90" w:type="dxa"/>
              <w:bottom w:w="40" w:type="dxa"/>
              <w:right w:w="90" w:type="dxa"/>
            </w:tcMar>
            <w:vAlign w:val="center"/>
          </w:tcPr>
          <w:p w14:paraId="1021AA3E">
            <w:pPr>
              <w:spacing w:after="0" w:line="240" w:lineRule="auto"/>
              <w:jc w:val="left"/>
              <w:rPr>
                <w:b w:val="0"/>
                <w:i w:val="0"/>
                <w:iCs w:val="0"/>
                <w:color w:val="000000"/>
              </w:rPr>
            </w:pPr>
            <w:r>
              <w:rPr>
                <w:rFonts w:ascii="Times New Roman" w:hAnsi="Times New Roman" w:eastAsia="Times New Roman" w:cs="Times New Roman"/>
                <w:b w:val="0"/>
                <w:bCs/>
                <w:i w:val="0"/>
                <w:iCs w:val="0"/>
                <w:color w:val="000000"/>
                <w:sz w:val="20"/>
                <w:szCs w:val="20"/>
              </w:rPr>
              <w:t>Exploratory outcomes</w:t>
            </w:r>
          </w:p>
        </w:tc>
      </w:tr>
      <w:tr w14:paraId="5F74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nil"/>
              <w:left w:val="nil"/>
              <w:bottom w:val="nil"/>
              <w:right w:val="nil"/>
            </w:tcBorders>
            <w:shd w:val="clear" w:color="auto" w:fill="FFFFFF"/>
            <w:tcMar>
              <w:top w:w="40" w:type="dxa"/>
              <w:left w:w="90" w:type="dxa"/>
              <w:bottom w:w="40" w:type="dxa"/>
              <w:right w:w="90" w:type="dxa"/>
            </w:tcMar>
            <w:vAlign w:val="center"/>
          </w:tcPr>
          <w:p w14:paraId="22255567">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Auxiliary treatment</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7DA7703B">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0.4%</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7CE881E9">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0.7%</w:t>
            </w:r>
          </w:p>
        </w:tc>
        <w:tc>
          <w:tcPr>
            <w:tcW w:w="2820" w:type="dxa"/>
            <w:tcBorders>
              <w:top w:val="nil"/>
              <w:left w:val="nil"/>
              <w:bottom w:val="nil"/>
              <w:right w:val="nil"/>
            </w:tcBorders>
            <w:shd w:val="clear" w:color="auto" w:fill="FFFFFF"/>
            <w:tcMar>
              <w:top w:w="40" w:type="dxa"/>
              <w:left w:w="90" w:type="dxa"/>
              <w:bottom w:w="40" w:type="dxa"/>
              <w:right w:w="90" w:type="dxa"/>
            </w:tcMar>
            <w:vAlign w:val="center"/>
          </w:tcPr>
          <w:p w14:paraId="7B4C2867">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−0.37% (−1.18, +0.45)</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61E65402">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0.377</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6E486F64">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w:t>
            </w:r>
          </w:p>
        </w:tc>
      </w:tr>
      <w:tr w14:paraId="3405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nil"/>
              <w:left w:val="nil"/>
              <w:bottom w:val="nil"/>
              <w:right w:val="nil"/>
            </w:tcBorders>
            <w:shd w:val="clear" w:color="auto" w:fill="FFFFFF"/>
            <w:tcMar>
              <w:top w:w="40" w:type="dxa"/>
              <w:left w:w="90" w:type="dxa"/>
              <w:bottom w:w="40" w:type="dxa"/>
              <w:right w:w="90" w:type="dxa"/>
            </w:tcMar>
            <w:vAlign w:val="center"/>
          </w:tcPr>
          <w:p w14:paraId="458FBB50">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Analgesic use</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3A8F9449">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20.0%</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2B6E373B">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18.2%</w:t>
            </w:r>
          </w:p>
        </w:tc>
        <w:tc>
          <w:tcPr>
            <w:tcW w:w="2820" w:type="dxa"/>
            <w:tcBorders>
              <w:top w:val="nil"/>
              <w:left w:val="nil"/>
              <w:bottom w:val="nil"/>
              <w:right w:val="nil"/>
            </w:tcBorders>
            <w:shd w:val="clear" w:color="auto" w:fill="FFFFFF"/>
            <w:tcMar>
              <w:top w:w="40" w:type="dxa"/>
              <w:left w:w="90" w:type="dxa"/>
              <w:bottom w:w="40" w:type="dxa"/>
              <w:right w:w="90" w:type="dxa"/>
            </w:tcMar>
            <w:vAlign w:val="center"/>
          </w:tcPr>
          <w:p w14:paraId="5B93F1EC">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+1.37% (−2.46, +5.19)</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4C4C324D">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0.483</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35B48F5C">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w:t>
            </w:r>
          </w:p>
        </w:tc>
      </w:tr>
      <w:tr w14:paraId="58FB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nil"/>
              <w:left w:val="nil"/>
              <w:bottom w:val="nil"/>
              <w:right w:val="nil"/>
            </w:tcBorders>
            <w:shd w:val="clear" w:color="auto" w:fill="FFFFFF"/>
            <w:tcMar>
              <w:top w:w="40" w:type="dxa"/>
              <w:left w:w="90" w:type="dxa"/>
              <w:bottom w:w="40" w:type="dxa"/>
              <w:right w:w="90" w:type="dxa"/>
            </w:tcMar>
            <w:vAlign w:val="center"/>
          </w:tcPr>
          <w:p w14:paraId="4C5301E9">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Postoperative Hb (g/L)</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3AF4E1D5">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6AE45AB0">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w:t>
            </w:r>
          </w:p>
        </w:tc>
        <w:tc>
          <w:tcPr>
            <w:tcW w:w="2820" w:type="dxa"/>
            <w:tcBorders>
              <w:top w:val="nil"/>
              <w:left w:val="nil"/>
              <w:bottom w:val="nil"/>
              <w:right w:val="nil"/>
            </w:tcBorders>
            <w:shd w:val="clear" w:color="auto" w:fill="FFFFFF"/>
            <w:tcMar>
              <w:top w:w="40" w:type="dxa"/>
              <w:left w:w="90" w:type="dxa"/>
              <w:bottom w:w="40" w:type="dxa"/>
              <w:right w:w="90" w:type="dxa"/>
            </w:tcMar>
            <w:vAlign w:val="center"/>
          </w:tcPr>
          <w:p w14:paraId="271B2FA3">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+0.69 (+0.38, +1.01)</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202DF88B">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&lt;0.001</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1FC0FD13">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w:t>
            </w:r>
          </w:p>
        </w:tc>
      </w:tr>
      <w:tr w14:paraId="5249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nil"/>
              <w:left w:val="nil"/>
              <w:bottom w:val="nil"/>
              <w:right w:val="nil"/>
            </w:tcBorders>
            <w:shd w:val="clear" w:color="auto" w:fill="FFFFFF"/>
            <w:tcMar>
              <w:top w:w="40" w:type="dxa"/>
              <w:left w:w="90" w:type="dxa"/>
              <w:bottom w:w="40" w:type="dxa"/>
              <w:right w:w="90" w:type="dxa"/>
            </w:tcMar>
            <w:vAlign w:val="center"/>
          </w:tcPr>
          <w:p w14:paraId="1C500FF3">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Postoperative WBC (×10⁹/L)</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192230D1">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11.11±2.52</w:t>
            </w:r>
          </w:p>
        </w:tc>
        <w:tc>
          <w:tcPr>
            <w:tcW w:w="1080" w:type="dxa"/>
            <w:tcBorders>
              <w:top w:val="nil"/>
              <w:left w:val="nil"/>
              <w:bottom w:val="nil"/>
              <w:right w:val="nil"/>
            </w:tcBorders>
            <w:shd w:val="clear" w:color="auto" w:fill="FFFFFF"/>
            <w:tcMar>
              <w:top w:w="40" w:type="dxa"/>
              <w:left w:w="90" w:type="dxa"/>
              <w:bottom w:w="40" w:type="dxa"/>
              <w:right w:w="90" w:type="dxa"/>
            </w:tcMar>
            <w:vAlign w:val="center"/>
          </w:tcPr>
          <w:p w14:paraId="15CC3DD0">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10.96±2.39</w:t>
            </w:r>
          </w:p>
        </w:tc>
        <w:tc>
          <w:tcPr>
            <w:tcW w:w="2820" w:type="dxa"/>
            <w:tcBorders>
              <w:top w:val="nil"/>
              <w:left w:val="nil"/>
              <w:bottom w:val="nil"/>
              <w:right w:val="nil"/>
            </w:tcBorders>
            <w:shd w:val="clear" w:color="auto" w:fill="FFFFFF"/>
            <w:tcMar>
              <w:top w:w="40" w:type="dxa"/>
              <w:left w:w="90" w:type="dxa"/>
              <w:bottom w:w="40" w:type="dxa"/>
              <w:right w:w="90" w:type="dxa"/>
            </w:tcMar>
            <w:vAlign w:val="center"/>
          </w:tcPr>
          <w:p w14:paraId="31511E01">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+0.12 (−0.12, +0.36)</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040FC4D1">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0.324</w:t>
            </w:r>
          </w:p>
        </w:tc>
        <w:tc>
          <w:tcPr>
            <w:tcW w:w="930" w:type="dxa"/>
            <w:tcBorders>
              <w:top w:val="nil"/>
              <w:left w:val="nil"/>
              <w:bottom w:val="nil"/>
              <w:right w:val="nil"/>
            </w:tcBorders>
            <w:shd w:val="clear" w:color="auto" w:fill="FFFFFF"/>
            <w:tcMar>
              <w:top w:w="40" w:type="dxa"/>
              <w:left w:w="90" w:type="dxa"/>
              <w:bottom w:w="40" w:type="dxa"/>
              <w:right w:w="90" w:type="dxa"/>
            </w:tcMar>
            <w:vAlign w:val="center"/>
          </w:tcPr>
          <w:p w14:paraId="47FDF438">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w:t>
            </w:r>
          </w:p>
        </w:tc>
      </w:tr>
      <w:tr w14:paraId="4E03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nil"/>
              <w:left w:val="nil"/>
              <w:bottom w:val="single" w:color="000000" w:sz="12" w:space="0"/>
              <w:right w:val="nil"/>
            </w:tcBorders>
            <w:shd w:val="clear" w:color="auto" w:fill="FFFFFF"/>
            <w:tcMar>
              <w:top w:w="40" w:type="dxa"/>
              <w:left w:w="90" w:type="dxa"/>
              <w:bottom w:w="40" w:type="dxa"/>
              <w:right w:w="90" w:type="dxa"/>
            </w:tcMar>
            <w:vAlign w:val="center"/>
          </w:tcPr>
          <w:p w14:paraId="05FF99EB">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Postoperative creatinine (µmol/L)</w:t>
            </w:r>
          </w:p>
        </w:tc>
        <w:tc>
          <w:tcPr>
            <w:tcW w:w="1080" w:type="dxa"/>
            <w:tcBorders>
              <w:top w:val="nil"/>
              <w:left w:val="nil"/>
              <w:bottom w:val="single" w:color="000000" w:sz="12" w:space="0"/>
              <w:right w:val="nil"/>
            </w:tcBorders>
            <w:shd w:val="clear" w:color="auto" w:fill="FFFFFF"/>
            <w:tcMar>
              <w:top w:w="40" w:type="dxa"/>
              <w:left w:w="90" w:type="dxa"/>
              <w:bottom w:w="40" w:type="dxa"/>
              <w:right w:w="90" w:type="dxa"/>
            </w:tcMar>
            <w:vAlign w:val="center"/>
          </w:tcPr>
          <w:p w14:paraId="78AE8333">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84.30±16.93</w:t>
            </w:r>
          </w:p>
        </w:tc>
        <w:tc>
          <w:tcPr>
            <w:tcW w:w="1080" w:type="dxa"/>
            <w:tcBorders>
              <w:top w:val="nil"/>
              <w:left w:val="nil"/>
              <w:bottom w:val="single" w:color="000000" w:sz="12" w:space="0"/>
              <w:right w:val="nil"/>
            </w:tcBorders>
            <w:shd w:val="clear" w:color="auto" w:fill="FFFFFF"/>
            <w:tcMar>
              <w:top w:w="40" w:type="dxa"/>
              <w:left w:w="90" w:type="dxa"/>
              <w:bottom w:w="40" w:type="dxa"/>
              <w:right w:w="90" w:type="dxa"/>
            </w:tcMar>
            <w:vAlign w:val="center"/>
          </w:tcPr>
          <w:p w14:paraId="06AAE1E7">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84.10±16.88</w:t>
            </w:r>
          </w:p>
        </w:tc>
        <w:tc>
          <w:tcPr>
            <w:tcW w:w="2820" w:type="dxa"/>
            <w:tcBorders>
              <w:top w:val="nil"/>
              <w:left w:val="nil"/>
              <w:bottom w:val="single" w:color="000000" w:sz="12" w:space="0"/>
              <w:right w:val="nil"/>
            </w:tcBorders>
            <w:shd w:val="clear" w:color="auto" w:fill="FFFFFF"/>
            <w:tcMar>
              <w:top w:w="40" w:type="dxa"/>
              <w:left w:w="90" w:type="dxa"/>
              <w:bottom w:w="40" w:type="dxa"/>
              <w:right w:w="90" w:type="dxa"/>
            </w:tcMar>
            <w:vAlign w:val="center"/>
          </w:tcPr>
          <w:p w14:paraId="69DD9696">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−1.09 (−2.48, +0.29)</w:t>
            </w:r>
          </w:p>
        </w:tc>
        <w:tc>
          <w:tcPr>
            <w:tcW w:w="930" w:type="dxa"/>
            <w:tcBorders>
              <w:top w:val="nil"/>
              <w:left w:val="nil"/>
              <w:bottom w:val="single" w:color="000000" w:sz="12" w:space="0"/>
              <w:right w:val="nil"/>
            </w:tcBorders>
            <w:shd w:val="clear" w:color="auto" w:fill="FFFFFF"/>
            <w:tcMar>
              <w:top w:w="40" w:type="dxa"/>
              <w:left w:w="90" w:type="dxa"/>
              <w:bottom w:w="40" w:type="dxa"/>
              <w:right w:w="90" w:type="dxa"/>
            </w:tcMar>
            <w:vAlign w:val="center"/>
          </w:tcPr>
          <w:p w14:paraId="635DB0D3">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0.123</w:t>
            </w:r>
          </w:p>
        </w:tc>
        <w:tc>
          <w:tcPr>
            <w:tcW w:w="930" w:type="dxa"/>
            <w:tcBorders>
              <w:top w:val="nil"/>
              <w:left w:val="nil"/>
              <w:bottom w:val="single" w:color="000000" w:sz="12" w:space="0"/>
              <w:right w:val="nil"/>
            </w:tcBorders>
            <w:shd w:val="clear" w:color="auto" w:fill="FFFFFF"/>
            <w:tcMar>
              <w:top w:w="40" w:type="dxa"/>
              <w:left w:w="90" w:type="dxa"/>
              <w:bottom w:w="40" w:type="dxa"/>
              <w:right w:w="90" w:type="dxa"/>
            </w:tcMar>
            <w:vAlign w:val="center"/>
          </w:tcPr>
          <w:p w14:paraId="3E7A70F5">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w:t>
            </w:r>
          </w:p>
        </w:tc>
      </w:tr>
    </w:tbl>
    <w:p w14:paraId="4369B9E9">
      <w:pPr>
        <w:spacing w:before="40" w:after="160" w:line="240" w:lineRule="auto"/>
        <w:rPr>
          <w:i w:val="0"/>
          <w:iCs w:val="0"/>
        </w:rPr>
      </w:pPr>
      <w:r>
        <w:rPr>
          <w:rFonts w:ascii="Times New Roman" w:hAnsi="Times New Roman" w:eastAsia="Times New Roman" w:cs="Times New Roman"/>
          <w:i w:val="0"/>
          <w:iCs w:val="0"/>
          <w:sz w:val="18"/>
          <w:szCs w:val="18"/>
        </w:rPr>
        <w:t>Values are % , mean, or mean ± SD as appropriate. ATE, average treatment effect after adjustment for the prespecified preoperative covariates; CI, confidence interval; SFR, stone-free rate; VAS, visual analog scale. E-values are point-estimate E-values (confidence-bound E-value for fever ≈ 1.5). Rare-event estimates (transfusion, interventional hemostasis, sepsis) and all exploratory outcomes are hypothesis-generating. Postoperative hemoglobin is reported as the TMLE estimate only.</w:t>
      </w:r>
    </w:p>
    <w:p w14:paraId="3D58550F">
      <w:pPr>
        <w:spacing w:before="120" w:after="40" w:line="240" w:lineRule="auto"/>
        <w:rPr>
          <w:i w:val="0"/>
          <w:iCs w:val="0"/>
        </w:rPr>
      </w:pPr>
      <w:r>
        <w:rPr>
          <w:rFonts w:ascii="Times New Roman" w:hAnsi="Times New Roman" w:eastAsia="Times New Roman" w:cs="Times New Roman"/>
          <w:b/>
          <w:bCs/>
          <w:i w:val="0"/>
          <w:iCs w:val="0"/>
          <w:sz w:val="24"/>
          <w:szCs w:val="24"/>
        </w:rPr>
        <w:t>Table S3</w:t>
      </w:r>
      <w:r>
        <w:rPr>
          <w:rFonts w:ascii="Times New Roman" w:hAnsi="Times New Roman" w:eastAsia="Times New Roman" w:cs="Times New Roman"/>
          <w:b w:val="0"/>
          <w:bCs w:val="0"/>
          <w:i w:val="0"/>
          <w:iCs w:val="0"/>
          <w:sz w:val="24"/>
          <w:szCs w:val="24"/>
        </w:rPr>
        <w:t xml:space="preserve"> Doubly robust value of alternative treatment strategies based on Net Clinical Utility</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960"/>
        <w:gridCol w:w="2700"/>
        <w:gridCol w:w="2700"/>
      </w:tblGrid>
      <w:tr w14:paraId="3ED1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60" w:type="dxa"/>
            <w:tcBorders>
              <w:top w:val="single" w:color="000000" w:sz="12" w:space="0"/>
              <w:left w:val="nil"/>
              <w:bottom w:val="single" w:color="000000" w:sz="4" w:space="0"/>
              <w:right w:val="nil"/>
              <w:tl2br w:val="nil"/>
            </w:tcBorders>
            <w:shd w:val="clear" w:color="auto" w:fill="FFFFFF"/>
            <w:tcMar>
              <w:top w:w="40" w:type="dxa"/>
              <w:left w:w="90" w:type="dxa"/>
              <w:bottom w:w="40" w:type="dxa"/>
              <w:right w:w="90" w:type="dxa"/>
            </w:tcMar>
            <w:vAlign w:val="center"/>
          </w:tcPr>
          <w:p w14:paraId="0A2BC649">
            <w:pPr>
              <w:spacing w:after="0" w:line="240" w:lineRule="auto"/>
              <w:jc w:val="left"/>
              <w:rPr>
                <w:b w:val="0"/>
                <w:i w:val="0"/>
                <w:iCs w:val="0"/>
                <w:color w:val="000000"/>
              </w:rPr>
            </w:pPr>
            <w:r>
              <w:rPr>
                <w:rFonts w:ascii="Times New Roman" w:hAnsi="Times New Roman" w:eastAsia="Times New Roman" w:cs="Times New Roman"/>
                <w:b w:val="0"/>
                <w:bCs/>
                <w:i w:val="0"/>
                <w:iCs w:val="0"/>
                <w:color w:val="000000"/>
                <w:sz w:val="20"/>
                <w:szCs w:val="20"/>
              </w:rPr>
              <w:t>Strategy</w:t>
            </w:r>
          </w:p>
        </w:tc>
        <w:tc>
          <w:tcPr>
            <w:tcW w:w="2700" w:type="dxa"/>
            <w:tcBorders>
              <w:top w:val="single" w:color="000000" w:sz="12" w:space="0"/>
              <w:left w:val="nil"/>
              <w:bottom w:val="single" w:color="000000" w:sz="4" w:space="0"/>
              <w:right w:val="nil"/>
            </w:tcBorders>
            <w:shd w:val="clear" w:color="auto" w:fill="FFFFFF"/>
            <w:tcMar>
              <w:top w:w="40" w:type="dxa"/>
              <w:left w:w="90" w:type="dxa"/>
              <w:bottom w:w="40" w:type="dxa"/>
              <w:right w:w="90" w:type="dxa"/>
            </w:tcMar>
            <w:vAlign w:val="center"/>
          </w:tcPr>
          <w:p w14:paraId="03E1B25A">
            <w:pPr>
              <w:spacing w:after="0" w:line="240" w:lineRule="auto"/>
              <w:jc w:val="center"/>
              <w:rPr>
                <w:b w:val="0"/>
                <w:i w:val="0"/>
                <w:iCs w:val="0"/>
                <w:color w:val="000000"/>
              </w:rPr>
            </w:pPr>
            <w:r>
              <w:rPr>
                <w:rFonts w:ascii="Times New Roman" w:hAnsi="Times New Roman" w:eastAsia="Times New Roman" w:cs="Times New Roman"/>
                <w:b w:val="0"/>
                <w:bCs/>
                <w:i w:val="0"/>
                <w:iCs w:val="0"/>
                <w:color w:val="000000"/>
                <w:sz w:val="20"/>
                <w:szCs w:val="20"/>
              </w:rPr>
              <w:t>NCU value (SE)</w:t>
            </w:r>
          </w:p>
        </w:tc>
        <w:tc>
          <w:tcPr>
            <w:tcW w:w="2700" w:type="dxa"/>
            <w:tcBorders>
              <w:top w:val="single" w:color="000000" w:sz="12" w:space="0"/>
              <w:left w:val="nil"/>
              <w:bottom w:val="single" w:color="000000" w:sz="4" w:space="0"/>
              <w:right w:val="nil"/>
            </w:tcBorders>
            <w:shd w:val="clear" w:color="auto" w:fill="FFFFFF"/>
            <w:tcMar>
              <w:top w:w="40" w:type="dxa"/>
              <w:left w:w="90" w:type="dxa"/>
              <w:bottom w:w="40" w:type="dxa"/>
              <w:right w:w="90" w:type="dxa"/>
            </w:tcMar>
            <w:vAlign w:val="center"/>
          </w:tcPr>
          <w:p w14:paraId="1883F173">
            <w:pPr>
              <w:spacing w:after="0" w:line="240" w:lineRule="auto"/>
              <w:jc w:val="center"/>
              <w:rPr>
                <w:b w:val="0"/>
                <w:i w:val="0"/>
                <w:iCs w:val="0"/>
                <w:color w:val="000000"/>
              </w:rPr>
            </w:pPr>
            <w:r>
              <w:rPr>
                <w:rFonts w:ascii="Times New Roman" w:hAnsi="Times New Roman" w:eastAsia="Times New Roman" w:cs="Times New Roman"/>
                <w:b w:val="0"/>
                <w:bCs/>
                <w:i w:val="0"/>
                <w:iCs w:val="0"/>
                <w:color w:val="000000"/>
                <w:sz w:val="20"/>
                <w:szCs w:val="20"/>
              </w:rPr>
              <w:t>Gain vs treat-all-SMP</w:t>
            </w:r>
          </w:p>
        </w:tc>
      </w:tr>
      <w:tr w14:paraId="536E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60" w:type="dxa"/>
            <w:tcBorders>
              <w:top w:val="single" w:color="000000" w:sz="4" w:space="0"/>
              <w:left w:val="nil"/>
              <w:bottom w:val="nil"/>
              <w:right w:val="nil"/>
            </w:tcBorders>
            <w:shd w:val="clear" w:color="auto" w:fill="FFFFFF"/>
            <w:tcMar>
              <w:top w:w="40" w:type="dxa"/>
              <w:left w:w="90" w:type="dxa"/>
              <w:bottom w:w="40" w:type="dxa"/>
              <w:right w:w="90" w:type="dxa"/>
            </w:tcMar>
            <w:vAlign w:val="center"/>
          </w:tcPr>
          <w:p w14:paraId="5953301D">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Treat all with sPCNL</w:t>
            </w:r>
          </w:p>
        </w:tc>
        <w:tc>
          <w:tcPr>
            <w:tcW w:w="2700" w:type="dxa"/>
            <w:tcBorders>
              <w:top w:val="single" w:color="000000" w:sz="4" w:space="0"/>
              <w:left w:val="nil"/>
              <w:bottom w:val="nil"/>
              <w:right w:val="nil"/>
            </w:tcBorders>
            <w:shd w:val="clear" w:color="auto" w:fill="FFFFFF"/>
            <w:tcMar>
              <w:top w:w="40" w:type="dxa"/>
              <w:left w:w="90" w:type="dxa"/>
              <w:bottom w:w="40" w:type="dxa"/>
              <w:right w:w="90" w:type="dxa"/>
            </w:tcMar>
            <w:vAlign w:val="center"/>
          </w:tcPr>
          <w:p w14:paraId="646E666E">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86.1 (0.93)</w:t>
            </w:r>
          </w:p>
        </w:tc>
        <w:tc>
          <w:tcPr>
            <w:tcW w:w="2700" w:type="dxa"/>
            <w:tcBorders>
              <w:top w:val="single" w:color="000000" w:sz="4" w:space="0"/>
              <w:left w:val="nil"/>
              <w:bottom w:val="nil"/>
              <w:right w:val="nil"/>
            </w:tcBorders>
            <w:shd w:val="clear" w:color="auto" w:fill="FFFFFF"/>
            <w:tcMar>
              <w:top w:w="40" w:type="dxa"/>
              <w:left w:w="90" w:type="dxa"/>
              <w:bottom w:w="40" w:type="dxa"/>
              <w:right w:w="90" w:type="dxa"/>
            </w:tcMar>
            <w:vAlign w:val="center"/>
          </w:tcPr>
          <w:p w14:paraId="63DE3F92">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−2.5</w:t>
            </w:r>
          </w:p>
        </w:tc>
      </w:tr>
      <w:tr w14:paraId="799E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60" w:type="dxa"/>
            <w:tcBorders>
              <w:top w:val="nil"/>
              <w:left w:val="nil"/>
              <w:bottom w:val="nil"/>
              <w:right w:val="nil"/>
            </w:tcBorders>
            <w:shd w:val="clear" w:color="auto" w:fill="FFFFFF"/>
            <w:tcMar>
              <w:top w:w="40" w:type="dxa"/>
              <w:left w:w="90" w:type="dxa"/>
              <w:bottom w:w="40" w:type="dxa"/>
              <w:right w:w="90" w:type="dxa"/>
            </w:tcMar>
            <w:vAlign w:val="center"/>
          </w:tcPr>
          <w:p w14:paraId="75885AC0">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Treat all with SMP (reference)</w:t>
            </w:r>
          </w:p>
        </w:tc>
        <w:tc>
          <w:tcPr>
            <w:tcW w:w="2700" w:type="dxa"/>
            <w:tcBorders>
              <w:top w:val="nil"/>
              <w:left w:val="nil"/>
              <w:bottom w:val="nil"/>
              <w:right w:val="nil"/>
            </w:tcBorders>
            <w:shd w:val="clear" w:color="auto" w:fill="FFFFFF"/>
            <w:tcMar>
              <w:top w:w="40" w:type="dxa"/>
              <w:left w:w="90" w:type="dxa"/>
              <w:bottom w:w="40" w:type="dxa"/>
              <w:right w:w="90" w:type="dxa"/>
            </w:tcMar>
            <w:vAlign w:val="center"/>
          </w:tcPr>
          <w:p w14:paraId="62F2AB13">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88.6 (0.77)</w:t>
            </w:r>
          </w:p>
        </w:tc>
        <w:tc>
          <w:tcPr>
            <w:tcW w:w="2700" w:type="dxa"/>
            <w:tcBorders>
              <w:top w:val="nil"/>
              <w:left w:val="nil"/>
              <w:bottom w:val="nil"/>
              <w:right w:val="nil"/>
            </w:tcBorders>
            <w:shd w:val="clear" w:color="auto" w:fill="FFFFFF"/>
            <w:tcMar>
              <w:top w:w="40" w:type="dxa"/>
              <w:left w:w="90" w:type="dxa"/>
              <w:bottom w:w="40" w:type="dxa"/>
              <w:right w:w="90" w:type="dxa"/>
            </w:tcMar>
            <w:vAlign w:val="center"/>
          </w:tcPr>
          <w:p w14:paraId="4166491A">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Reference</w:t>
            </w:r>
          </w:p>
        </w:tc>
      </w:tr>
      <w:tr w14:paraId="7EBD1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60" w:type="dxa"/>
            <w:tcBorders>
              <w:top w:val="nil"/>
              <w:left w:val="nil"/>
              <w:bottom w:val="nil"/>
              <w:right w:val="nil"/>
            </w:tcBorders>
            <w:shd w:val="clear" w:color="auto" w:fill="FFFFFF"/>
            <w:tcMar>
              <w:top w:w="40" w:type="dxa"/>
              <w:left w:w="90" w:type="dxa"/>
              <w:bottom w:w="40" w:type="dxa"/>
              <w:right w:w="90" w:type="dxa"/>
            </w:tcMar>
            <w:vAlign w:val="center"/>
          </w:tcPr>
          <w:p w14:paraId="1D820B21">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Individualized by CATE sign</w:t>
            </w:r>
          </w:p>
        </w:tc>
        <w:tc>
          <w:tcPr>
            <w:tcW w:w="2700" w:type="dxa"/>
            <w:tcBorders>
              <w:top w:val="nil"/>
              <w:left w:val="nil"/>
              <w:bottom w:val="nil"/>
              <w:right w:val="nil"/>
            </w:tcBorders>
            <w:shd w:val="clear" w:color="auto" w:fill="FFFFFF"/>
            <w:tcMar>
              <w:top w:w="40" w:type="dxa"/>
              <w:left w:w="90" w:type="dxa"/>
              <w:bottom w:w="40" w:type="dxa"/>
              <w:right w:w="90" w:type="dxa"/>
            </w:tcMar>
            <w:vAlign w:val="center"/>
          </w:tcPr>
          <w:p w14:paraId="64746113">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88.7</w:t>
            </w:r>
          </w:p>
        </w:tc>
        <w:tc>
          <w:tcPr>
            <w:tcW w:w="2700" w:type="dxa"/>
            <w:tcBorders>
              <w:top w:val="nil"/>
              <w:left w:val="nil"/>
              <w:bottom w:val="nil"/>
              <w:right w:val="nil"/>
            </w:tcBorders>
            <w:shd w:val="clear" w:color="auto" w:fill="FFFFFF"/>
            <w:tcMar>
              <w:top w:w="40" w:type="dxa"/>
              <w:left w:w="90" w:type="dxa"/>
              <w:bottom w:w="40" w:type="dxa"/>
              <w:right w:w="90" w:type="dxa"/>
            </w:tcMar>
            <w:vAlign w:val="center"/>
          </w:tcPr>
          <w:p w14:paraId="387E7821">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+0.13</w:t>
            </w:r>
          </w:p>
        </w:tc>
      </w:tr>
      <w:tr w14:paraId="488A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60" w:type="dxa"/>
            <w:tcBorders>
              <w:top w:val="nil"/>
              <w:left w:val="nil"/>
              <w:bottom w:val="single" w:color="000000" w:sz="12" w:space="0"/>
              <w:right w:val="nil"/>
            </w:tcBorders>
            <w:shd w:val="clear" w:color="auto" w:fill="FFFFFF"/>
            <w:tcMar>
              <w:top w:w="40" w:type="dxa"/>
              <w:left w:w="90" w:type="dxa"/>
              <w:bottom w:w="40" w:type="dxa"/>
              <w:right w:w="90" w:type="dxa"/>
            </w:tcMar>
            <w:vAlign w:val="center"/>
          </w:tcPr>
          <w:p w14:paraId="073B2155">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Individualized policy tree (honest, out-of-sample)</w:t>
            </w:r>
          </w:p>
        </w:tc>
        <w:tc>
          <w:tcPr>
            <w:tcW w:w="2700" w:type="dxa"/>
            <w:tcBorders>
              <w:top w:val="nil"/>
              <w:left w:val="nil"/>
              <w:bottom w:val="single" w:color="000000" w:sz="12" w:space="0"/>
              <w:right w:val="nil"/>
            </w:tcBorders>
            <w:shd w:val="clear" w:color="auto" w:fill="FFFFFF"/>
            <w:tcMar>
              <w:top w:w="40" w:type="dxa"/>
              <w:left w:w="90" w:type="dxa"/>
              <w:bottom w:w="40" w:type="dxa"/>
              <w:right w:w="90" w:type="dxa"/>
            </w:tcMar>
            <w:vAlign w:val="center"/>
          </w:tcPr>
          <w:p w14:paraId="06F685AA">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w:t>
            </w:r>
          </w:p>
        </w:tc>
        <w:tc>
          <w:tcPr>
            <w:tcW w:w="2700" w:type="dxa"/>
            <w:tcBorders>
              <w:top w:val="nil"/>
              <w:left w:val="nil"/>
              <w:bottom w:val="single" w:color="000000" w:sz="12" w:space="0"/>
              <w:right w:val="nil"/>
            </w:tcBorders>
            <w:shd w:val="clear" w:color="auto" w:fill="FFFFFF"/>
            <w:tcMar>
              <w:top w:w="40" w:type="dxa"/>
              <w:left w:w="90" w:type="dxa"/>
              <w:bottom w:w="40" w:type="dxa"/>
              <w:right w:w="90" w:type="dxa"/>
            </w:tcMar>
            <w:vAlign w:val="center"/>
          </w:tcPr>
          <w:p w14:paraId="14D34D8B">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+1.2 (95% CI −0.8 to +3.2)</w:t>
            </w:r>
          </w:p>
        </w:tc>
      </w:tr>
    </w:tbl>
    <w:p w14:paraId="6025D103">
      <w:pPr>
        <w:spacing w:before="40" w:after="160" w:line="240" w:lineRule="auto"/>
        <w:rPr>
          <w:i w:val="0"/>
          <w:iCs w:val="0"/>
        </w:rPr>
      </w:pPr>
      <w:r>
        <w:rPr>
          <w:rFonts w:ascii="Times New Roman" w:hAnsi="Times New Roman" w:eastAsia="Times New Roman" w:cs="Times New Roman"/>
          <w:i w:val="0"/>
          <w:iCs w:val="0"/>
          <w:sz w:val="18"/>
          <w:szCs w:val="18"/>
        </w:rPr>
        <w:t>Values are doubly robust (AIPW) estimates. The individualized policy did not significantly outperform treating all patients with SMP. SE, standard error; CATE, conditional average treatment effect.</w:t>
      </w:r>
    </w:p>
    <w:tbl>
      <w:tblPr>
        <w:tblStyle w:val="11"/>
        <w:tblpPr w:leftFromText="180" w:rightFromText="180" w:vertAnchor="text" w:horzAnchor="page" w:tblpX="1503" w:tblpY="266"/>
        <w:tblOverlap w:val="never"/>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360"/>
        <w:gridCol w:w="1500"/>
        <w:gridCol w:w="2400"/>
        <w:gridCol w:w="2100"/>
      </w:tblGrid>
      <w:tr w14:paraId="0A4FC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60" w:type="dxa"/>
            <w:tcBorders>
              <w:top w:val="single" w:color="000000" w:sz="12" w:space="0"/>
              <w:left w:val="nil"/>
              <w:bottom w:val="single" w:color="000000" w:sz="4" w:space="0"/>
              <w:right w:val="nil"/>
              <w:tl2br w:val="nil"/>
            </w:tcBorders>
            <w:shd w:val="clear" w:color="auto" w:fill="FFFFFF"/>
            <w:tcMar>
              <w:top w:w="40" w:type="dxa"/>
              <w:left w:w="90" w:type="dxa"/>
              <w:bottom w:w="40" w:type="dxa"/>
              <w:right w:w="90" w:type="dxa"/>
            </w:tcMar>
            <w:vAlign w:val="center"/>
          </w:tcPr>
          <w:p w14:paraId="658A8C6A">
            <w:pPr>
              <w:spacing w:after="0" w:line="240" w:lineRule="auto"/>
              <w:jc w:val="left"/>
              <w:rPr>
                <w:b w:val="0"/>
                <w:i w:val="0"/>
                <w:iCs w:val="0"/>
                <w:color w:val="000000"/>
              </w:rPr>
            </w:pPr>
            <w:r>
              <w:rPr>
                <w:rFonts w:ascii="Times New Roman" w:hAnsi="Times New Roman" w:eastAsia="Times New Roman" w:cs="Times New Roman"/>
                <w:b w:val="0"/>
                <w:bCs/>
                <w:i w:val="0"/>
                <w:iCs w:val="0"/>
                <w:color w:val="000000"/>
                <w:sz w:val="20"/>
                <w:szCs w:val="20"/>
              </w:rPr>
              <w:t>Weighting scenario</w:t>
            </w:r>
          </w:p>
        </w:tc>
        <w:tc>
          <w:tcPr>
            <w:tcW w:w="1500" w:type="dxa"/>
            <w:tcBorders>
              <w:top w:val="single" w:color="000000" w:sz="12" w:space="0"/>
              <w:left w:val="nil"/>
              <w:bottom w:val="single" w:color="000000" w:sz="4" w:space="0"/>
              <w:right w:val="nil"/>
            </w:tcBorders>
            <w:shd w:val="clear" w:color="auto" w:fill="FFFFFF"/>
            <w:tcMar>
              <w:top w:w="40" w:type="dxa"/>
              <w:left w:w="90" w:type="dxa"/>
              <w:bottom w:w="40" w:type="dxa"/>
              <w:right w:w="90" w:type="dxa"/>
            </w:tcMar>
            <w:vAlign w:val="center"/>
          </w:tcPr>
          <w:p w14:paraId="2C908F0D">
            <w:pPr>
              <w:spacing w:after="0" w:line="240" w:lineRule="auto"/>
              <w:jc w:val="center"/>
              <w:rPr>
                <w:b w:val="0"/>
                <w:i w:val="0"/>
                <w:iCs w:val="0"/>
                <w:color w:val="000000"/>
              </w:rPr>
            </w:pPr>
            <w:r>
              <w:rPr>
                <w:rFonts w:ascii="Times New Roman" w:hAnsi="Times New Roman" w:eastAsia="Times New Roman" w:cs="Times New Roman"/>
                <w:b w:val="0"/>
                <w:bCs/>
                <w:i w:val="0"/>
                <w:iCs w:val="0"/>
                <w:color w:val="000000"/>
                <w:sz w:val="20"/>
                <w:szCs w:val="20"/>
              </w:rPr>
              <w:t>Mean CATE</w:t>
            </w:r>
          </w:p>
        </w:tc>
        <w:tc>
          <w:tcPr>
            <w:tcW w:w="2400" w:type="dxa"/>
            <w:tcBorders>
              <w:top w:val="single" w:color="000000" w:sz="12" w:space="0"/>
              <w:left w:val="nil"/>
              <w:bottom w:val="single" w:color="000000" w:sz="4" w:space="0"/>
              <w:right w:val="nil"/>
            </w:tcBorders>
            <w:shd w:val="clear" w:color="auto" w:fill="FFFFFF"/>
            <w:tcMar>
              <w:top w:w="40" w:type="dxa"/>
              <w:left w:w="90" w:type="dxa"/>
              <w:bottom w:w="40" w:type="dxa"/>
              <w:right w:w="90" w:type="dxa"/>
            </w:tcMar>
            <w:vAlign w:val="center"/>
          </w:tcPr>
          <w:p w14:paraId="7C9D759A">
            <w:pPr>
              <w:spacing w:after="0" w:line="240" w:lineRule="auto"/>
              <w:jc w:val="center"/>
              <w:rPr>
                <w:b w:val="0"/>
                <w:i w:val="0"/>
                <w:iCs w:val="0"/>
                <w:color w:val="000000"/>
              </w:rPr>
            </w:pPr>
            <w:r>
              <w:rPr>
                <w:rFonts w:ascii="Times New Roman" w:hAnsi="Times New Roman" w:eastAsia="Times New Roman" w:cs="Times New Roman"/>
                <w:b w:val="0"/>
                <w:bCs/>
                <w:i w:val="0"/>
                <w:iCs w:val="0"/>
                <w:color w:val="000000"/>
                <w:sz w:val="20"/>
                <w:szCs w:val="20"/>
              </w:rPr>
              <w:t>Patients favoring SMP (%)</w:t>
            </w:r>
          </w:p>
        </w:tc>
        <w:tc>
          <w:tcPr>
            <w:tcW w:w="2100" w:type="dxa"/>
            <w:tcBorders>
              <w:top w:val="single" w:color="000000" w:sz="12" w:space="0"/>
              <w:left w:val="nil"/>
              <w:bottom w:val="single" w:color="000000" w:sz="4" w:space="0"/>
              <w:right w:val="nil"/>
            </w:tcBorders>
            <w:shd w:val="clear" w:color="auto" w:fill="FFFFFF"/>
            <w:tcMar>
              <w:top w:w="40" w:type="dxa"/>
              <w:left w:w="90" w:type="dxa"/>
              <w:bottom w:w="40" w:type="dxa"/>
              <w:right w:w="90" w:type="dxa"/>
            </w:tcMar>
            <w:vAlign w:val="center"/>
          </w:tcPr>
          <w:p w14:paraId="5865AEE9">
            <w:pPr>
              <w:spacing w:after="0" w:line="240" w:lineRule="auto"/>
              <w:jc w:val="center"/>
              <w:rPr>
                <w:b w:val="0"/>
                <w:i w:val="0"/>
                <w:iCs w:val="0"/>
                <w:color w:val="000000"/>
              </w:rPr>
            </w:pPr>
            <w:r>
              <w:rPr>
                <w:rFonts w:ascii="Times New Roman" w:hAnsi="Times New Roman" w:eastAsia="Times New Roman" w:cs="Times New Roman"/>
                <w:b w:val="0"/>
                <w:bCs/>
                <w:i w:val="0"/>
                <w:iCs w:val="0"/>
                <w:color w:val="000000"/>
                <w:sz w:val="20"/>
                <w:szCs w:val="20"/>
              </w:rPr>
              <w:t>Policy-tree root split</w:t>
            </w:r>
          </w:p>
        </w:tc>
      </w:tr>
      <w:tr w14:paraId="4704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60" w:type="dxa"/>
            <w:tcBorders>
              <w:top w:val="single" w:color="000000" w:sz="4" w:space="0"/>
              <w:left w:val="nil"/>
              <w:bottom w:val="nil"/>
              <w:right w:val="nil"/>
            </w:tcBorders>
            <w:shd w:val="clear" w:color="auto" w:fill="FFFFFF"/>
            <w:tcMar>
              <w:top w:w="40" w:type="dxa"/>
              <w:left w:w="90" w:type="dxa"/>
              <w:bottom w:w="40" w:type="dxa"/>
              <w:right w:w="90" w:type="dxa"/>
            </w:tcMar>
            <w:vAlign w:val="center"/>
          </w:tcPr>
          <w:p w14:paraId="7FF9935E">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Base (SFR 40, catastrophic 100, fever 20, time 2)</w:t>
            </w:r>
          </w:p>
        </w:tc>
        <w:tc>
          <w:tcPr>
            <w:tcW w:w="1500" w:type="dxa"/>
            <w:tcBorders>
              <w:top w:val="single" w:color="000000" w:sz="4" w:space="0"/>
              <w:left w:val="nil"/>
              <w:bottom w:val="nil"/>
              <w:right w:val="nil"/>
            </w:tcBorders>
            <w:shd w:val="clear" w:color="auto" w:fill="FFFFFF"/>
            <w:tcMar>
              <w:top w:w="40" w:type="dxa"/>
              <w:left w:w="90" w:type="dxa"/>
              <w:bottom w:w="40" w:type="dxa"/>
              <w:right w:w="90" w:type="dxa"/>
            </w:tcMar>
            <w:vAlign w:val="center"/>
          </w:tcPr>
          <w:p w14:paraId="0AF35332">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2.40</w:t>
            </w:r>
          </w:p>
        </w:tc>
        <w:tc>
          <w:tcPr>
            <w:tcW w:w="2400" w:type="dxa"/>
            <w:tcBorders>
              <w:top w:val="single" w:color="000000" w:sz="4" w:space="0"/>
              <w:left w:val="nil"/>
              <w:bottom w:val="nil"/>
              <w:right w:val="nil"/>
            </w:tcBorders>
            <w:shd w:val="clear" w:color="auto" w:fill="FFFFFF"/>
            <w:tcMar>
              <w:top w:w="40" w:type="dxa"/>
              <w:left w:w="90" w:type="dxa"/>
              <w:bottom w:w="40" w:type="dxa"/>
              <w:right w:w="90" w:type="dxa"/>
            </w:tcMar>
            <w:vAlign w:val="center"/>
          </w:tcPr>
          <w:p w14:paraId="4A25EB50">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91.1</w:t>
            </w:r>
          </w:p>
        </w:tc>
        <w:tc>
          <w:tcPr>
            <w:tcW w:w="2100" w:type="dxa"/>
            <w:tcBorders>
              <w:top w:val="single" w:color="000000" w:sz="4" w:space="0"/>
              <w:left w:val="nil"/>
              <w:bottom w:val="nil"/>
              <w:right w:val="nil"/>
            </w:tcBorders>
            <w:shd w:val="clear" w:color="auto" w:fill="FFFFFF"/>
            <w:tcMar>
              <w:top w:w="40" w:type="dxa"/>
              <w:left w:w="90" w:type="dxa"/>
              <w:bottom w:w="40" w:type="dxa"/>
              <w:right w:w="90" w:type="dxa"/>
            </w:tcMar>
            <w:vAlign w:val="center"/>
          </w:tcPr>
          <w:p w14:paraId="35EED4EE">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CT attenuation (1153 HU)</w:t>
            </w:r>
          </w:p>
        </w:tc>
      </w:tr>
      <w:tr w14:paraId="3EC3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60" w:type="dxa"/>
            <w:tcBorders>
              <w:top w:val="nil"/>
              <w:left w:val="nil"/>
              <w:bottom w:val="nil"/>
              <w:right w:val="nil"/>
            </w:tcBorders>
            <w:shd w:val="clear" w:color="auto" w:fill="FFFFFF"/>
            <w:tcMar>
              <w:top w:w="40" w:type="dxa"/>
              <w:left w:w="90" w:type="dxa"/>
              <w:bottom w:w="40" w:type="dxa"/>
              <w:right w:w="90" w:type="dxa"/>
            </w:tcMar>
            <w:vAlign w:val="center"/>
          </w:tcPr>
          <w:p w14:paraId="2F5171E7">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Catastrophic event weight 50</w:t>
            </w:r>
          </w:p>
        </w:tc>
        <w:tc>
          <w:tcPr>
            <w:tcW w:w="1500" w:type="dxa"/>
            <w:tcBorders>
              <w:top w:val="nil"/>
              <w:left w:val="nil"/>
              <w:bottom w:val="nil"/>
              <w:right w:val="nil"/>
            </w:tcBorders>
            <w:shd w:val="clear" w:color="auto" w:fill="FFFFFF"/>
            <w:tcMar>
              <w:top w:w="40" w:type="dxa"/>
              <w:left w:w="90" w:type="dxa"/>
              <w:bottom w:w="40" w:type="dxa"/>
              <w:right w:w="90" w:type="dxa"/>
            </w:tcMar>
            <w:vAlign w:val="center"/>
          </w:tcPr>
          <w:p w14:paraId="40ADC03C">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2.00</w:t>
            </w:r>
          </w:p>
        </w:tc>
        <w:tc>
          <w:tcPr>
            <w:tcW w:w="2400" w:type="dxa"/>
            <w:tcBorders>
              <w:top w:val="nil"/>
              <w:left w:val="nil"/>
              <w:bottom w:val="nil"/>
              <w:right w:val="nil"/>
            </w:tcBorders>
            <w:shd w:val="clear" w:color="auto" w:fill="FFFFFF"/>
            <w:tcMar>
              <w:top w:w="40" w:type="dxa"/>
              <w:left w:w="90" w:type="dxa"/>
              <w:bottom w:w="40" w:type="dxa"/>
              <w:right w:w="90" w:type="dxa"/>
            </w:tcMar>
            <w:vAlign w:val="center"/>
          </w:tcPr>
          <w:p w14:paraId="048E50B7">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90.4</w:t>
            </w:r>
          </w:p>
        </w:tc>
        <w:tc>
          <w:tcPr>
            <w:tcW w:w="2100" w:type="dxa"/>
            <w:tcBorders>
              <w:top w:val="nil"/>
              <w:left w:val="nil"/>
              <w:bottom w:val="nil"/>
              <w:right w:val="nil"/>
            </w:tcBorders>
            <w:shd w:val="clear" w:color="auto" w:fill="FFFFFF"/>
            <w:tcMar>
              <w:top w:w="40" w:type="dxa"/>
              <w:left w:w="90" w:type="dxa"/>
              <w:bottom w:w="40" w:type="dxa"/>
              <w:right w:w="90" w:type="dxa"/>
            </w:tcMar>
            <w:vAlign w:val="center"/>
          </w:tcPr>
          <w:p w14:paraId="467379A7">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CT attenuation (1153 HU)</w:t>
            </w:r>
          </w:p>
        </w:tc>
      </w:tr>
      <w:tr w14:paraId="4F25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60" w:type="dxa"/>
            <w:tcBorders>
              <w:top w:val="nil"/>
              <w:left w:val="nil"/>
              <w:bottom w:val="nil"/>
              <w:right w:val="nil"/>
            </w:tcBorders>
            <w:shd w:val="clear" w:color="auto" w:fill="FFFFFF"/>
            <w:tcMar>
              <w:top w:w="40" w:type="dxa"/>
              <w:left w:w="90" w:type="dxa"/>
              <w:bottom w:w="40" w:type="dxa"/>
              <w:right w:w="90" w:type="dxa"/>
            </w:tcMar>
            <w:vAlign w:val="center"/>
          </w:tcPr>
          <w:p w14:paraId="455C3951">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Catastrophic event weight 150</w:t>
            </w:r>
          </w:p>
        </w:tc>
        <w:tc>
          <w:tcPr>
            <w:tcW w:w="1500" w:type="dxa"/>
            <w:tcBorders>
              <w:top w:val="nil"/>
              <w:left w:val="nil"/>
              <w:bottom w:val="nil"/>
              <w:right w:val="nil"/>
            </w:tcBorders>
            <w:shd w:val="clear" w:color="auto" w:fill="FFFFFF"/>
            <w:tcMar>
              <w:top w:w="40" w:type="dxa"/>
              <w:left w:w="90" w:type="dxa"/>
              <w:bottom w:w="40" w:type="dxa"/>
              <w:right w:w="90" w:type="dxa"/>
            </w:tcMar>
            <w:vAlign w:val="center"/>
          </w:tcPr>
          <w:p w14:paraId="24318C9E">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2.75</w:t>
            </w:r>
          </w:p>
        </w:tc>
        <w:tc>
          <w:tcPr>
            <w:tcW w:w="2400" w:type="dxa"/>
            <w:tcBorders>
              <w:top w:val="nil"/>
              <w:left w:val="nil"/>
              <w:bottom w:val="nil"/>
              <w:right w:val="nil"/>
            </w:tcBorders>
            <w:shd w:val="clear" w:color="auto" w:fill="FFFFFF"/>
            <w:tcMar>
              <w:top w:w="40" w:type="dxa"/>
              <w:left w:w="90" w:type="dxa"/>
              <w:bottom w:w="40" w:type="dxa"/>
              <w:right w:w="90" w:type="dxa"/>
            </w:tcMar>
            <w:vAlign w:val="center"/>
          </w:tcPr>
          <w:p w14:paraId="1D17B4CF">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88.2</w:t>
            </w:r>
          </w:p>
        </w:tc>
        <w:tc>
          <w:tcPr>
            <w:tcW w:w="2100" w:type="dxa"/>
            <w:tcBorders>
              <w:top w:val="nil"/>
              <w:left w:val="nil"/>
              <w:bottom w:val="nil"/>
              <w:right w:val="nil"/>
            </w:tcBorders>
            <w:shd w:val="clear" w:color="auto" w:fill="FFFFFF"/>
            <w:tcMar>
              <w:top w:w="40" w:type="dxa"/>
              <w:left w:w="90" w:type="dxa"/>
              <w:bottom w:w="40" w:type="dxa"/>
              <w:right w:w="90" w:type="dxa"/>
            </w:tcMar>
            <w:vAlign w:val="center"/>
          </w:tcPr>
          <w:p w14:paraId="2478EC10">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CT attenuation (988 HU)</w:t>
            </w:r>
          </w:p>
        </w:tc>
      </w:tr>
      <w:tr w14:paraId="29A7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60" w:type="dxa"/>
            <w:tcBorders>
              <w:top w:val="nil"/>
              <w:left w:val="nil"/>
              <w:bottom w:val="nil"/>
              <w:right w:val="nil"/>
            </w:tcBorders>
            <w:shd w:val="clear" w:color="auto" w:fill="FFFFFF"/>
            <w:tcMar>
              <w:top w:w="40" w:type="dxa"/>
              <w:left w:w="90" w:type="dxa"/>
              <w:bottom w:w="40" w:type="dxa"/>
              <w:right w:w="90" w:type="dxa"/>
            </w:tcMar>
            <w:vAlign w:val="center"/>
          </w:tcPr>
          <w:p w14:paraId="4A010C31">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Fever weight 10</w:t>
            </w:r>
          </w:p>
        </w:tc>
        <w:tc>
          <w:tcPr>
            <w:tcW w:w="1500" w:type="dxa"/>
            <w:tcBorders>
              <w:top w:val="nil"/>
              <w:left w:val="nil"/>
              <w:bottom w:val="nil"/>
              <w:right w:val="nil"/>
            </w:tcBorders>
            <w:shd w:val="clear" w:color="auto" w:fill="FFFFFF"/>
            <w:tcMar>
              <w:top w:w="40" w:type="dxa"/>
              <w:left w:w="90" w:type="dxa"/>
              <w:bottom w:w="40" w:type="dxa"/>
              <w:right w:w="90" w:type="dxa"/>
            </w:tcMar>
            <w:vAlign w:val="center"/>
          </w:tcPr>
          <w:p w14:paraId="63D269A9">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2.00</w:t>
            </w:r>
          </w:p>
        </w:tc>
        <w:tc>
          <w:tcPr>
            <w:tcW w:w="2400" w:type="dxa"/>
            <w:tcBorders>
              <w:top w:val="nil"/>
              <w:left w:val="nil"/>
              <w:bottom w:val="nil"/>
              <w:right w:val="nil"/>
            </w:tcBorders>
            <w:shd w:val="clear" w:color="auto" w:fill="FFFFFF"/>
            <w:tcMar>
              <w:top w:w="40" w:type="dxa"/>
              <w:left w:w="90" w:type="dxa"/>
              <w:bottom w:w="40" w:type="dxa"/>
              <w:right w:w="90" w:type="dxa"/>
            </w:tcMar>
            <w:vAlign w:val="center"/>
          </w:tcPr>
          <w:p w14:paraId="45E77E8F">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89.3</w:t>
            </w:r>
          </w:p>
        </w:tc>
        <w:tc>
          <w:tcPr>
            <w:tcW w:w="2100" w:type="dxa"/>
            <w:tcBorders>
              <w:top w:val="nil"/>
              <w:left w:val="nil"/>
              <w:bottom w:val="nil"/>
              <w:right w:val="nil"/>
            </w:tcBorders>
            <w:shd w:val="clear" w:color="auto" w:fill="FFFFFF"/>
            <w:tcMar>
              <w:top w:w="40" w:type="dxa"/>
              <w:left w:w="90" w:type="dxa"/>
              <w:bottom w:w="40" w:type="dxa"/>
              <w:right w:w="90" w:type="dxa"/>
            </w:tcMar>
            <w:vAlign w:val="center"/>
          </w:tcPr>
          <w:p w14:paraId="741763AF">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CT attenuation (988 HU)</w:t>
            </w:r>
          </w:p>
        </w:tc>
      </w:tr>
      <w:tr w14:paraId="2049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60" w:type="dxa"/>
            <w:tcBorders>
              <w:top w:val="nil"/>
              <w:left w:val="nil"/>
              <w:bottom w:val="nil"/>
              <w:right w:val="nil"/>
            </w:tcBorders>
            <w:shd w:val="clear" w:color="auto" w:fill="FFFFFF"/>
            <w:tcMar>
              <w:top w:w="40" w:type="dxa"/>
              <w:left w:w="90" w:type="dxa"/>
              <w:bottom w:w="40" w:type="dxa"/>
              <w:right w:w="90" w:type="dxa"/>
            </w:tcMar>
            <w:vAlign w:val="center"/>
          </w:tcPr>
          <w:p w14:paraId="14DED7B5">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Fever weight 40</w:t>
            </w:r>
          </w:p>
        </w:tc>
        <w:tc>
          <w:tcPr>
            <w:tcW w:w="1500" w:type="dxa"/>
            <w:tcBorders>
              <w:top w:val="nil"/>
              <w:left w:val="nil"/>
              <w:bottom w:val="nil"/>
              <w:right w:val="nil"/>
            </w:tcBorders>
            <w:shd w:val="clear" w:color="auto" w:fill="FFFFFF"/>
            <w:tcMar>
              <w:top w:w="40" w:type="dxa"/>
              <w:left w:w="90" w:type="dxa"/>
              <w:bottom w:w="40" w:type="dxa"/>
              <w:right w:w="90" w:type="dxa"/>
            </w:tcMar>
            <w:vAlign w:val="center"/>
          </w:tcPr>
          <w:p w14:paraId="0AF71301">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3.22</w:t>
            </w:r>
          </w:p>
        </w:tc>
        <w:tc>
          <w:tcPr>
            <w:tcW w:w="2400" w:type="dxa"/>
            <w:tcBorders>
              <w:top w:val="nil"/>
              <w:left w:val="nil"/>
              <w:bottom w:val="nil"/>
              <w:right w:val="nil"/>
            </w:tcBorders>
            <w:shd w:val="clear" w:color="auto" w:fill="FFFFFF"/>
            <w:tcMar>
              <w:top w:w="40" w:type="dxa"/>
              <w:left w:w="90" w:type="dxa"/>
              <w:bottom w:w="40" w:type="dxa"/>
              <w:right w:w="90" w:type="dxa"/>
            </w:tcMar>
            <w:vAlign w:val="center"/>
          </w:tcPr>
          <w:p w14:paraId="369E029E">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92.1</w:t>
            </w:r>
          </w:p>
        </w:tc>
        <w:tc>
          <w:tcPr>
            <w:tcW w:w="2100" w:type="dxa"/>
            <w:tcBorders>
              <w:top w:val="nil"/>
              <w:left w:val="nil"/>
              <w:bottom w:val="nil"/>
              <w:right w:val="nil"/>
            </w:tcBorders>
            <w:shd w:val="clear" w:color="auto" w:fill="FFFFFF"/>
            <w:tcMar>
              <w:top w:w="40" w:type="dxa"/>
              <w:left w:w="90" w:type="dxa"/>
              <w:bottom w:w="40" w:type="dxa"/>
              <w:right w:w="90" w:type="dxa"/>
            </w:tcMar>
            <w:vAlign w:val="center"/>
          </w:tcPr>
          <w:p w14:paraId="584D7844">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CT attenuation (1153 HU)</w:t>
            </w:r>
          </w:p>
        </w:tc>
      </w:tr>
      <w:tr w14:paraId="4B99C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60" w:type="dxa"/>
            <w:tcBorders>
              <w:top w:val="nil"/>
              <w:left w:val="nil"/>
              <w:bottom w:val="nil"/>
              <w:right w:val="nil"/>
            </w:tcBorders>
            <w:shd w:val="clear" w:color="auto" w:fill="FFFFFF"/>
            <w:tcMar>
              <w:top w:w="40" w:type="dxa"/>
              <w:left w:w="90" w:type="dxa"/>
              <w:bottom w:w="40" w:type="dxa"/>
              <w:right w:w="90" w:type="dxa"/>
            </w:tcMar>
            <w:vAlign w:val="center"/>
          </w:tcPr>
          <w:p w14:paraId="3D6A6774">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Operative-time weight 1</w:t>
            </w:r>
          </w:p>
        </w:tc>
        <w:tc>
          <w:tcPr>
            <w:tcW w:w="1500" w:type="dxa"/>
            <w:tcBorders>
              <w:top w:val="nil"/>
              <w:left w:val="nil"/>
              <w:bottom w:val="nil"/>
              <w:right w:val="nil"/>
            </w:tcBorders>
            <w:shd w:val="clear" w:color="auto" w:fill="FFFFFF"/>
            <w:tcMar>
              <w:top w:w="40" w:type="dxa"/>
              <w:left w:w="90" w:type="dxa"/>
              <w:bottom w:w="40" w:type="dxa"/>
              <w:right w:w="90" w:type="dxa"/>
            </w:tcMar>
            <w:vAlign w:val="center"/>
          </w:tcPr>
          <w:p w14:paraId="7FA05D66">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2.25</w:t>
            </w:r>
          </w:p>
        </w:tc>
        <w:tc>
          <w:tcPr>
            <w:tcW w:w="2400" w:type="dxa"/>
            <w:tcBorders>
              <w:top w:val="nil"/>
              <w:left w:val="nil"/>
              <w:bottom w:val="nil"/>
              <w:right w:val="nil"/>
            </w:tcBorders>
            <w:shd w:val="clear" w:color="auto" w:fill="FFFFFF"/>
            <w:tcMar>
              <w:top w:w="40" w:type="dxa"/>
              <w:left w:w="90" w:type="dxa"/>
              <w:bottom w:w="40" w:type="dxa"/>
              <w:right w:w="90" w:type="dxa"/>
            </w:tcMar>
            <w:vAlign w:val="center"/>
          </w:tcPr>
          <w:p w14:paraId="57A1F0DB">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89.4</w:t>
            </w:r>
          </w:p>
        </w:tc>
        <w:tc>
          <w:tcPr>
            <w:tcW w:w="2100" w:type="dxa"/>
            <w:tcBorders>
              <w:top w:val="nil"/>
              <w:left w:val="nil"/>
              <w:bottom w:val="nil"/>
              <w:right w:val="nil"/>
            </w:tcBorders>
            <w:shd w:val="clear" w:color="auto" w:fill="FFFFFF"/>
            <w:tcMar>
              <w:top w:w="40" w:type="dxa"/>
              <w:left w:w="90" w:type="dxa"/>
              <w:bottom w:w="40" w:type="dxa"/>
              <w:right w:w="90" w:type="dxa"/>
            </w:tcMar>
            <w:vAlign w:val="center"/>
          </w:tcPr>
          <w:p w14:paraId="4C47276C">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CT attenuation (1153 HU)</w:t>
            </w:r>
          </w:p>
        </w:tc>
      </w:tr>
      <w:tr w14:paraId="3E87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60" w:type="dxa"/>
            <w:tcBorders>
              <w:top w:val="nil"/>
              <w:left w:val="nil"/>
              <w:bottom w:val="nil"/>
              <w:right w:val="nil"/>
            </w:tcBorders>
            <w:shd w:val="clear" w:color="auto" w:fill="FFFFFF"/>
            <w:tcMar>
              <w:top w:w="40" w:type="dxa"/>
              <w:left w:w="90" w:type="dxa"/>
              <w:bottom w:w="40" w:type="dxa"/>
              <w:right w:w="90" w:type="dxa"/>
            </w:tcMar>
            <w:vAlign w:val="center"/>
          </w:tcPr>
          <w:p w14:paraId="30AB2BBC">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Operative-time weight 4</w:t>
            </w:r>
          </w:p>
        </w:tc>
        <w:tc>
          <w:tcPr>
            <w:tcW w:w="1500" w:type="dxa"/>
            <w:tcBorders>
              <w:top w:val="nil"/>
              <w:left w:val="nil"/>
              <w:bottom w:val="nil"/>
              <w:right w:val="nil"/>
            </w:tcBorders>
            <w:shd w:val="clear" w:color="auto" w:fill="FFFFFF"/>
            <w:tcMar>
              <w:top w:w="40" w:type="dxa"/>
              <w:left w:w="90" w:type="dxa"/>
              <w:bottom w:w="40" w:type="dxa"/>
              <w:right w:w="90" w:type="dxa"/>
            </w:tcMar>
            <w:vAlign w:val="center"/>
          </w:tcPr>
          <w:p w14:paraId="7340F4F9">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2.60</w:t>
            </w:r>
          </w:p>
        </w:tc>
        <w:tc>
          <w:tcPr>
            <w:tcW w:w="2400" w:type="dxa"/>
            <w:tcBorders>
              <w:top w:val="nil"/>
              <w:left w:val="nil"/>
              <w:bottom w:val="nil"/>
              <w:right w:val="nil"/>
            </w:tcBorders>
            <w:shd w:val="clear" w:color="auto" w:fill="FFFFFF"/>
            <w:tcMar>
              <w:top w:w="40" w:type="dxa"/>
              <w:left w:w="90" w:type="dxa"/>
              <w:bottom w:w="40" w:type="dxa"/>
              <w:right w:w="90" w:type="dxa"/>
            </w:tcMar>
            <w:vAlign w:val="center"/>
          </w:tcPr>
          <w:p w14:paraId="35115F35">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93.1</w:t>
            </w:r>
          </w:p>
        </w:tc>
        <w:tc>
          <w:tcPr>
            <w:tcW w:w="2100" w:type="dxa"/>
            <w:tcBorders>
              <w:top w:val="nil"/>
              <w:left w:val="nil"/>
              <w:bottom w:val="nil"/>
              <w:right w:val="nil"/>
            </w:tcBorders>
            <w:shd w:val="clear" w:color="auto" w:fill="FFFFFF"/>
            <w:tcMar>
              <w:top w:w="40" w:type="dxa"/>
              <w:left w:w="90" w:type="dxa"/>
              <w:bottom w:w="40" w:type="dxa"/>
              <w:right w:w="90" w:type="dxa"/>
            </w:tcMar>
            <w:vAlign w:val="center"/>
          </w:tcPr>
          <w:p w14:paraId="227709BB">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CT attenuation (988 HU)</w:t>
            </w:r>
          </w:p>
        </w:tc>
      </w:tr>
      <w:tr w14:paraId="6AE9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60" w:type="dxa"/>
            <w:tcBorders>
              <w:top w:val="nil"/>
              <w:left w:val="nil"/>
              <w:bottom w:val="single" w:color="000000" w:sz="12" w:space="0"/>
              <w:right w:val="nil"/>
            </w:tcBorders>
            <w:shd w:val="clear" w:color="auto" w:fill="FFFFFF"/>
            <w:tcMar>
              <w:top w:w="40" w:type="dxa"/>
              <w:left w:w="90" w:type="dxa"/>
              <w:bottom w:w="40" w:type="dxa"/>
              <w:right w:w="90" w:type="dxa"/>
            </w:tcMar>
            <w:vAlign w:val="center"/>
          </w:tcPr>
          <w:p w14:paraId="282E5230">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20"/>
                <w:szCs w:val="20"/>
              </w:rPr>
              <w:t>SFR-failure weight 60</w:t>
            </w:r>
          </w:p>
        </w:tc>
        <w:tc>
          <w:tcPr>
            <w:tcW w:w="1500" w:type="dxa"/>
            <w:tcBorders>
              <w:top w:val="nil"/>
              <w:left w:val="nil"/>
              <w:bottom w:val="single" w:color="000000" w:sz="12" w:space="0"/>
              <w:right w:val="nil"/>
            </w:tcBorders>
            <w:shd w:val="clear" w:color="auto" w:fill="FFFFFF"/>
            <w:tcMar>
              <w:top w:w="40" w:type="dxa"/>
              <w:left w:w="90" w:type="dxa"/>
              <w:bottom w:w="40" w:type="dxa"/>
              <w:right w:w="90" w:type="dxa"/>
            </w:tcMar>
            <w:vAlign w:val="center"/>
          </w:tcPr>
          <w:p w14:paraId="147EDE93">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2.83</w:t>
            </w:r>
          </w:p>
        </w:tc>
        <w:tc>
          <w:tcPr>
            <w:tcW w:w="2400" w:type="dxa"/>
            <w:tcBorders>
              <w:top w:val="nil"/>
              <w:left w:val="nil"/>
              <w:bottom w:val="single" w:color="000000" w:sz="12" w:space="0"/>
              <w:right w:val="nil"/>
            </w:tcBorders>
            <w:shd w:val="clear" w:color="auto" w:fill="FFFFFF"/>
            <w:tcMar>
              <w:top w:w="40" w:type="dxa"/>
              <w:left w:w="90" w:type="dxa"/>
              <w:bottom w:w="40" w:type="dxa"/>
              <w:right w:w="90" w:type="dxa"/>
            </w:tcMar>
            <w:vAlign w:val="center"/>
          </w:tcPr>
          <w:p w14:paraId="64F2E128">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89.9</w:t>
            </w:r>
          </w:p>
        </w:tc>
        <w:tc>
          <w:tcPr>
            <w:tcW w:w="2100" w:type="dxa"/>
            <w:tcBorders>
              <w:top w:val="nil"/>
              <w:left w:val="nil"/>
              <w:bottom w:val="single" w:color="000000" w:sz="12" w:space="0"/>
              <w:right w:val="nil"/>
            </w:tcBorders>
            <w:shd w:val="clear" w:color="auto" w:fill="FFFFFF"/>
            <w:tcMar>
              <w:top w:w="40" w:type="dxa"/>
              <w:left w:w="90" w:type="dxa"/>
              <w:bottom w:w="40" w:type="dxa"/>
              <w:right w:w="90" w:type="dxa"/>
            </w:tcMar>
            <w:vAlign w:val="center"/>
          </w:tcPr>
          <w:p w14:paraId="4163AD1B">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20"/>
                <w:szCs w:val="20"/>
              </w:rPr>
              <w:t>CT attenuation (1151 HU)</w:t>
            </w:r>
          </w:p>
        </w:tc>
      </w:tr>
    </w:tbl>
    <w:p w14:paraId="2DACF315">
      <w:pPr>
        <w:spacing w:before="120" w:after="40" w:line="240" w:lineRule="auto"/>
        <w:rPr>
          <w:i w:val="0"/>
          <w:iCs w:val="0"/>
        </w:rPr>
      </w:pPr>
      <w:r>
        <w:rPr>
          <w:rFonts w:ascii="Times New Roman" w:hAnsi="Times New Roman" w:eastAsia="Times New Roman" w:cs="Times New Roman"/>
          <w:b/>
          <w:bCs/>
          <w:i w:val="0"/>
          <w:iCs w:val="0"/>
          <w:sz w:val="24"/>
          <w:szCs w:val="24"/>
        </w:rPr>
        <w:t>Table S4</w:t>
      </w:r>
      <w:r>
        <w:rPr>
          <w:rFonts w:ascii="Times New Roman" w:hAnsi="Times New Roman" w:eastAsia="Times New Roman" w:cs="Times New Roman"/>
          <w:b w:val="0"/>
          <w:bCs w:val="0"/>
          <w:i w:val="0"/>
          <w:iCs w:val="0"/>
          <w:sz w:val="24"/>
          <w:szCs w:val="24"/>
        </w:rPr>
        <w:t xml:space="preserve"> Sensitivity of the individualized analysis to the Net Clinical Utility weighting scheme</w:t>
      </w:r>
    </w:p>
    <w:p w14:paraId="42068916">
      <w:pPr>
        <w:spacing w:before="40" w:after="160" w:line="240" w:lineRule="auto"/>
        <w:rPr>
          <w:i w:val="0"/>
          <w:iCs w:val="0"/>
        </w:rPr>
      </w:pPr>
      <w:r>
        <w:rPr>
          <w:rFonts w:ascii="Times New Roman" w:hAnsi="Times New Roman" w:eastAsia="Times New Roman" w:cs="Times New Roman"/>
          <w:i w:val="0"/>
          <w:iCs w:val="0"/>
          <w:sz w:val="18"/>
          <w:szCs w:val="18"/>
        </w:rPr>
        <w:t>Each scenario re-estimates the causal forest and depth-2 policy tree after changing one NCU weight from its base value; the value in parentheses is the root-split threshold on CT attenuation. Across the eight weighting scenarios (base plus seven alternatives), the share of patients with a point estimate favoring SMP stayed within 88–93%, and CT attenuation remained the primary policy-tree split, indicating that the central findings do not depend on the specific NCU weights. To keep these sensitivity re-fits computationally tractable, this analysis used 1000 trees; the base row therefore differs slightly from the main-text estimate obtained with 2000 trees (mean CATE +2.61; 92.1% favoring SMP). CATE, conditional average treatment effect; HU, Hounsfield units; SFR, stone-free rate.</w:t>
      </w:r>
    </w:p>
    <w:p w14:paraId="6D39D78C">
      <w:pPr>
        <w:pStyle w:val="2"/>
        <w:spacing w:before="160" w:after="100" w:line="300" w:lineRule="auto"/>
        <w:rPr>
          <w:i w:val="0"/>
          <w:iCs w:val="0"/>
        </w:rPr>
      </w:pPr>
      <w:r>
        <w:rPr>
          <w:rFonts w:ascii="Times New Roman" w:hAnsi="Times New Roman" w:eastAsia="Times New Roman" w:cs="Times New Roman"/>
          <w:b/>
          <w:bCs/>
          <w:i w:val="0"/>
          <w:iCs w:val="0"/>
          <w:sz w:val="24"/>
          <w:szCs w:val="24"/>
        </w:rPr>
        <w:t>Supplementary Figures</w:t>
      </w:r>
    </w:p>
    <w:p w14:paraId="3B11F277">
      <w:pPr>
        <w:spacing w:before="120" w:after="60"/>
        <w:jc w:val="center"/>
        <w:rPr>
          <w:i w:val="0"/>
          <w:iCs w:val="0"/>
        </w:rPr>
      </w:pPr>
      <w:r>
        <w:rPr>
          <w:i w:val="0"/>
          <w:iCs w:val="0"/>
        </w:rPr>
        <w:drawing>
          <wp:inline distT="0" distB="0" distL="0" distR="0">
            <wp:extent cx="4095750" cy="23812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srcRect/>
                    <a:stretch>
                      <a:fillRect/>
                    </a:stretch>
                  </pic:blipFill>
                  <pic:spPr>
                    <a:xfrm>
                      <a:off x="0" y="0"/>
                      <a:ext cx="4095750" cy="2381250"/>
                    </a:xfrm>
                    <a:prstGeom prst="rect">
                      <a:avLst/>
                    </a:prstGeom>
                  </pic:spPr>
                </pic:pic>
              </a:graphicData>
            </a:graphic>
          </wp:inline>
        </w:drawing>
      </w:r>
    </w:p>
    <w:p w14:paraId="0D7557D1">
      <w:pPr>
        <w:spacing w:after="200" w:line="240" w:lineRule="auto"/>
        <w:rPr>
          <w:i w:val="0"/>
          <w:iCs w:val="0"/>
        </w:rPr>
      </w:pPr>
      <w:r>
        <w:rPr>
          <w:rFonts w:ascii="Times New Roman" w:hAnsi="Times New Roman" w:eastAsia="Times New Roman" w:cs="Times New Roman"/>
          <w:b/>
          <w:bCs/>
          <w:i w:val="0"/>
          <w:iCs w:val="0"/>
          <w:sz w:val="24"/>
          <w:szCs w:val="24"/>
        </w:rPr>
        <w:t>Fig. S1</w:t>
      </w:r>
      <w:r>
        <w:rPr>
          <w:rFonts w:ascii="Times New Roman" w:hAnsi="Times New Roman" w:eastAsia="Times New Roman" w:cs="Times New Roman"/>
          <w:b w:val="0"/>
          <w:bCs w:val="0"/>
          <w:i w:val="0"/>
          <w:iCs w:val="0"/>
          <w:sz w:val="24"/>
          <w:szCs w:val="24"/>
        </w:rPr>
        <w:t xml:space="preserve"> Propensity-score overlap between SMP and sPCNL. Broad common support and the absence of extreme propensity scores support the positivity assumption</w:t>
      </w:r>
    </w:p>
    <w:p w14:paraId="58FF6468">
      <w:pPr>
        <w:spacing w:before="120" w:after="60"/>
        <w:jc w:val="center"/>
        <w:rPr>
          <w:i w:val="0"/>
          <w:iCs w:val="0"/>
        </w:rPr>
      </w:pPr>
      <w:r>
        <w:rPr>
          <w:i w:val="0"/>
          <w:iCs w:val="0"/>
        </w:rPr>
        <w:drawing>
          <wp:inline distT="0" distB="0" distL="0" distR="0">
            <wp:extent cx="4095750" cy="25717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srcRect/>
                    <a:stretch>
                      <a:fillRect/>
                    </a:stretch>
                  </pic:blipFill>
                  <pic:spPr>
                    <a:xfrm>
                      <a:off x="0" y="0"/>
                      <a:ext cx="4095750" cy="2571750"/>
                    </a:xfrm>
                    <a:prstGeom prst="rect">
                      <a:avLst/>
                    </a:prstGeom>
                  </pic:spPr>
                </pic:pic>
              </a:graphicData>
            </a:graphic>
          </wp:inline>
        </w:drawing>
      </w:r>
    </w:p>
    <w:p w14:paraId="33B1DD2B">
      <w:pPr>
        <w:spacing w:after="200" w:line="240" w:lineRule="auto"/>
        <w:rPr>
          <w:i w:val="0"/>
          <w:iCs w:val="0"/>
        </w:rPr>
      </w:pPr>
      <w:r>
        <w:rPr>
          <w:rFonts w:ascii="Times New Roman" w:hAnsi="Times New Roman" w:eastAsia="Times New Roman" w:cs="Times New Roman"/>
          <w:b/>
          <w:bCs/>
          <w:i w:val="0"/>
          <w:iCs w:val="0"/>
          <w:sz w:val="24"/>
          <w:szCs w:val="24"/>
        </w:rPr>
        <w:t>Fig. S2</w:t>
      </w:r>
      <w:r>
        <w:rPr>
          <w:rFonts w:ascii="Times New Roman" w:hAnsi="Times New Roman" w:eastAsia="Times New Roman" w:cs="Times New Roman"/>
          <w:b w:val="0"/>
          <w:bCs w:val="0"/>
          <w:i w:val="0"/>
          <w:iCs w:val="0"/>
          <w:sz w:val="24"/>
          <w:szCs w:val="24"/>
        </w:rPr>
        <w:t xml:space="preserve"> Causal-forest variable importance. Permutation-based importance for nine preoperative covariates. CT attenuation, BMI, age, and maximum stone diameter accounted for most of the treatment-effect heterogeneity, whereas diabetes and hypertension contributed negligibly</w:t>
      </w:r>
    </w:p>
    <w:p w14:paraId="51C9FC02">
      <w:pPr>
        <w:spacing w:before="120" w:after="60"/>
        <w:jc w:val="center"/>
        <w:rPr>
          <w:i w:val="0"/>
          <w:iCs w:val="0"/>
        </w:rPr>
      </w:pPr>
      <w:r>
        <w:rPr>
          <w:i w:val="0"/>
          <w:iCs w:val="0"/>
        </w:rPr>
        <w:drawing>
          <wp:inline distT="0" distB="0" distL="0" distR="0">
            <wp:extent cx="4191000" cy="261937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a:srcRect/>
                    <a:stretch>
                      <a:fillRect/>
                    </a:stretch>
                  </pic:blipFill>
                  <pic:spPr>
                    <a:xfrm>
                      <a:off x="0" y="0"/>
                      <a:ext cx="4191000" cy="2619375"/>
                    </a:xfrm>
                    <a:prstGeom prst="rect">
                      <a:avLst/>
                    </a:prstGeom>
                  </pic:spPr>
                </pic:pic>
              </a:graphicData>
            </a:graphic>
          </wp:inline>
        </w:drawing>
      </w:r>
    </w:p>
    <w:p w14:paraId="551CCAAF">
      <w:pPr>
        <w:spacing w:after="200" w:line="240" w:lineRule="auto"/>
        <w:rPr>
          <w:i w:val="0"/>
          <w:iCs w:val="0"/>
        </w:rPr>
      </w:pPr>
      <w:r>
        <w:rPr>
          <w:rFonts w:ascii="Times New Roman" w:hAnsi="Times New Roman" w:eastAsia="Times New Roman" w:cs="Times New Roman"/>
          <w:b/>
          <w:bCs/>
          <w:i w:val="0"/>
          <w:iCs w:val="0"/>
          <w:sz w:val="24"/>
          <w:szCs w:val="24"/>
        </w:rPr>
        <w:t>Fig. S3</w:t>
      </w:r>
      <w:r>
        <w:rPr>
          <w:rFonts w:ascii="Times New Roman" w:hAnsi="Times New Roman" w:eastAsia="Times New Roman" w:cs="Times New Roman"/>
          <w:b w:val="0"/>
          <w:bCs w:val="0"/>
          <w:i w:val="0"/>
          <w:iCs w:val="0"/>
          <w:sz w:val="24"/>
          <w:szCs w:val="24"/>
        </w:rPr>
        <w:t xml:space="preserve"> CATE versus CT attenuation. Each point is a patient-level conditional average treatment effect (expected Net Clinical Utility gain of SMP over sPCNL) against CT attenuation. Blue points have CATE &gt; 0 (point estimate favoring SMP); red points have CATE &lt; 0 (point estimate favoring sPCNL); the dashed line marks CATE = 0 and the solid curve is a LOESS fit with a 95% band</w:t>
      </w:r>
    </w:p>
    <w:p w14:paraId="2EA3EF49">
      <w:pPr>
        <w:spacing w:before="120" w:after="60"/>
        <w:jc w:val="center"/>
        <w:rPr>
          <w:i w:val="0"/>
          <w:iCs w:val="0"/>
        </w:rPr>
      </w:pPr>
      <w:r>
        <w:rPr>
          <w:i w:val="0"/>
          <w:iCs w:val="0"/>
        </w:rPr>
        <w:drawing>
          <wp:inline distT="0" distB="0" distL="0" distR="0">
            <wp:extent cx="4095750" cy="3048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8"/>
                    <a:srcRect/>
                    <a:stretch>
                      <a:fillRect/>
                    </a:stretch>
                  </pic:blipFill>
                  <pic:spPr>
                    <a:xfrm>
                      <a:off x="0" y="0"/>
                      <a:ext cx="4095750" cy="3048000"/>
                    </a:xfrm>
                    <a:prstGeom prst="rect">
                      <a:avLst/>
                    </a:prstGeom>
                  </pic:spPr>
                </pic:pic>
              </a:graphicData>
            </a:graphic>
          </wp:inline>
        </w:drawing>
      </w:r>
    </w:p>
    <w:p w14:paraId="35E7A227">
      <w:pPr>
        <w:spacing w:after="200" w:line="240" w:lineRule="auto"/>
        <w:rPr>
          <w:i w:val="0"/>
          <w:iCs w:val="0"/>
        </w:rPr>
      </w:pPr>
      <w:r>
        <w:rPr>
          <w:rFonts w:ascii="Times New Roman" w:hAnsi="Times New Roman" w:eastAsia="Times New Roman" w:cs="Times New Roman"/>
          <w:b/>
          <w:bCs/>
          <w:i w:val="0"/>
          <w:iCs w:val="0"/>
          <w:sz w:val="24"/>
          <w:szCs w:val="24"/>
        </w:rPr>
        <w:t>Fig. S4</w:t>
      </w:r>
      <w:r>
        <w:rPr>
          <w:rFonts w:ascii="Times New Roman" w:hAnsi="Times New Roman" w:eastAsia="Times New Roman" w:cs="Times New Roman"/>
          <w:b w:val="0"/>
          <w:bCs w:val="0"/>
          <w:i w:val="0"/>
          <w:iCs w:val="0"/>
          <w:sz w:val="24"/>
          <w:szCs w:val="24"/>
        </w:rPr>
        <w:t xml:space="preserve"> CATE interaction on the CT attenuation × BMI plane. CT attenuation and BMI were each binned into equal-width intervals; mean CATE was computed for cells containing at least three patients. Darker blue indicates greater SMP benefit and white denotes approximate equivalence</w:t>
      </w:r>
    </w:p>
    <w:p w14:paraId="2AF5388F">
      <w:pPr>
        <w:spacing w:before="120" w:after="60"/>
        <w:jc w:val="center"/>
        <w:rPr>
          <w:i w:val="0"/>
          <w:iCs w:val="0"/>
        </w:rPr>
      </w:pPr>
      <w:r>
        <w:rPr>
          <w:i w:val="0"/>
          <w:iCs w:val="0"/>
        </w:rPr>
        <w:drawing>
          <wp:inline distT="0" distB="0" distL="0" distR="0">
            <wp:extent cx="4000500" cy="44767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9"/>
                    <a:srcRect/>
                    <a:stretch>
                      <a:fillRect/>
                    </a:stretch>
                  </pic:blipFill>
                  <pic:spPr>
                    <a:xfrm>
                      <a:off x="0" y="0"/>
                      <a:ext cx="4000500" cy="4476750"/>
                    </a:xfrm>
                    <a:prstGeom prst="rect">
                      <a:avLst/>
                    </a:prstGeom>
                  </pic:spPr>
                </pic:pic>
              </a:graphicData>
            </a:graphic>
          </wp:inline>
        </w:drawing>
      </w:r>
    </w:p>
    <w:p w14:paraId="04AECA5D">
      <w:pPr>
        <w:spacing w:after="200" w:line="240" w:lineRule="auto"/>
        <w:rPr>
          <w:i w:val="0"/>
          <w:iCs w:val="0"/>
        </w:rPr>
      </w:pPr>
      <w:r>
        <w:rPr>
          <w:rFonts w:ascii="Times New Roman" w:hAnsi="Times New Roman" w:eastAsia="Times New Roman" w:cs="Times New Roman"/>
          <w:b/>
          <w:bCs/>
          <w:i w:val="0"/>
          <w:iCs w:val="0"/>
          <w:sz w:val="24"/>
          <w:szCs w:val="24"/>
        </w:rPr>
        <w:t>Fig. S5</w:t>
      </w:r>
      <w:r>
        <w:rPr>
          <w:rFonts w:ascii="Times New Roman" w:hAnsi="Times New Roman" w:eastAsia="Times New Roman" w:cs="Times New Roman"/>
          <w:b w:val="0"/>
          <w:bCs w:val="0"/>
          <w:i w:val="0"/>
          <w:iCs w:val="0"/>
          <w:sz w:val="24"/>
          <w:szCs w:val="24"/>
        </w:rPr>
        <w:t xml:space="preserve"> Participant flow diagram. The cohort was non-randomized; the procedure was selected by the surgical team on the basis of device availability and operator experience. Pre-enrollment screening and exclusion counts were not available in the analytic dataset, so the diagram begins with the consecutively enrolled eligible cohort. All 900 enrolled patients were included in the main treatment-strategy analysis</w:t>
      </w:r>
    </w:p>
    <w:p w14:paraId="5C5E3C28">
      <w:pPr>
        <w:pStyle w:val="2"/>
        <w:spacing w:before="160" w:after="100" w:line="300" w:lineRule="auto"/>
        <w:rPr>
          <w:i w:val="0"/>
          <w:iCs w:val="0"/>
        </w:rPr>
      </w:pPr>
      <w:r>
        <w:rPr>
          <w:rFonts w:ascii="Times New Roman" w:hAnsi="Times New Roman" w:eastAsia="Times New Roman" w:cs="Times New Roman"/>
          <w:b/>
          <w:bCs/>
          <w:i w:val="0"/>
          <w:iCs w:val="0"/>
          <w:sz w:val="24"/>
          <w:szCs w:val="24"/>
        </w:rPr>
        <w:t>STROBE checklist for cohort studies</w:t>
      </w:r>
    </w:p>
    <w:p w14:paraId="19571EBB">
      <w:pPr>
        <w:spacing w:before="0" w:after="120" w:line="240" w:lineRule="auto"/>
        <w:rPr>
          <w:i w:val="0"/>
          <w:iCs w:val="0"/>
        </w:rPr>
      </w:pPr>
      <w:r>
        <w:rPr>
          <w:rFonts w:ascii="Times New Roman" w:hAnsi="Times New Roman" w:eastAsia="Times New Roman" w:cs="Times New Roman"/>
          <w:b w:val="0"/>
          <w:bCs w:val="0"/>
          <w:i w:val="0"/>
          <w:iCs w:val="0"/>
          <w:sz w:val="18"/>
          <w:szCs w:val="18"/>
        </w:rPr>
        <w:t>Item locations refer to the main manuscript and to the supplementary materials above. Paraphrased STROBE cohort-study items are used for brevity.</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560"/>
        <w:gridCol w:w="3200"/>
        <w:gridCol w:w="2600"/>
        <w:gridCol w:w="1800"/>
      </w:tblGrid>
      <w:tr w14:paraId="6F11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000000" w:sz="12" w:space="0"/>
              <w:left w:val="nil"/>
              <w:bottom w:val="single" w:color="000000" w:sz="4" w:space="0"/>
              <w:right w:val="nil"/>
              <w:tl2br w:val="nil"/>
            </w:tcBorders>
            <w:shd w:val="clear" w:color="auto" w:fill="FFFFFF"/>
            <w:tcMar>
              <w:top w:w="40" w:type="dxa"/>
              <w:left w:w="90" w:type="dxa"/>
              <w:bottom w:w="40" w:type="dxa"/>
              <w:right w:w="90" w:type="dxa"/>
            </w:tcMar>
            <w:vAlign w:val="top"/>
          </w:tcPr>
          <w:p w14:paraId="33B15BC6">
            <w:pPr>
              <w:spacing w:after="0" w:line="240" w:lineRule="auto"/>
              <w:jc w:val="center"/>
              <w:rPr>
                <w:b w:val="0"/>
                <w:i w:val="0"/>
                <w:iCs w:val="0"/>
                <w:color w:val="000000"/>
              </w:rPr>
            </w:pPr>
            <w:r>
              <w:rPr>
                <w:rFonts w:ascii="Times New Roman" w:hAnsi="Times New Roman" w:eastAsia="Times New Roman" w:cs="Times New Roman"/>
                <w:b/>
                <w:bCs/>
                <w:i w:val="0"/>
                <w:iCs w:val="0"/>
                <w:color w:val="000000"/>
                <w:sz w:val="15"/>
                <w:szCs w:val="17"/>
              </w:rPr>
              <w:t>Section</w:t>
            </w:r>
          </w:p>
        </w:tc>
        <w:tc>
          <w:tcPr>
            <w:tcW w:w="560" w:type="dxa"/>
            <w:tcBorders>
              <w:top w:val="single" w:color="000000" w:sz="12" w:space="0"/>
              <w:left w:val="nil"/>
              <w:bottom w:val="single" w:color="000000" w:sz="4" w:space="0"/>
              <w:right w:val="nil"/>
            </w:tcBorders>
            <w:shd w:val="clear" w:color="auto" w:fill="FFFFFF"/>
            <w:tcMar>
              <w:top w:w="40" w:type="dxa"/>
              <w:left w:w="90" w:type="dxa"/>
              <w:bottom w:w="40" w:type="dxa"/>
              <w:right w:w="90" w:type="dxa"/>
            </w:tcMar>
            <w:vAlign w:val="top"/>
          </w:tcPr>
          <w:p w14:paraId="713F797E">
            <w:pPr>
              <w:spacing w:after="0" w:line="240" w:lineRule="auto"/>
              <w:jc w:val="center"/>
              <w:rPr>
                <w:b w:val="0"/>
                <w:i w:val="0"/>
                <w:iCs w:val="0"/>
                <w:color w:val="000000"/>
              </w:rPr>
            </w:pPr>
            <w:r>
              <w:rPr>
                <w:rFonts w:ascii="Times New Roman" w:hAnsi="Times New Roman" w:eastAsia="Times New Roman" w:cs="Times New Roman"/>
                <w:b/>
                <w:bCs/>
                <w:i w:val="0"/>
                <w:iCs w:val="0"/>
                <w:color w:val="000000"/>
                <w:sz w:val="15"/>
                <w:szCs w:val="17"/>
              </w:rPr>
              <w:t>Item</w:t>
            </w:r>
          </w:p>
        </w:tc>
        <w:tc>
          <w:tcPr>
            <w:tcW w:w="3200" w:type="dxa"/>
            <w:tcBorders>
              <w:top w:val="single" w:color="000000" w:sz="12" w:space="0"/>
              <w:left w:val="nil"/>
              <w:bottom w:val="single" w:color="000000" w:sz="4" w:space="0"/>
              <w:right w:val="nil"/>
            </w:tcBorders>
            <w:shd w:val="clear" w:color="auto" w:fill="FFFFFF"/>
            <w:tcMar>
              <w:top w:w="40" w:type="dxa"/>
              <w:left w:w="90" w:type="dxa"/>
              <w:bottom w:w="40" w:type="dxa"/>
              <w:right w:w="90" w:type="dxa"/>
            </w:tcMar>
            <w:vAlign w:val="top"/>
          </w:tcPr>
          <w:p w14:paraId="218F1C87">
            <w:pPr>
              <w:spacing w:after="0" w:line="240" w:lineRule="auto"/>
              <w:jc w:val="center"/>
              <w:rPr>
                <w:b w:val="0"/>
                <w:i w:val="0"/>
                <w:iCs w:val="0"/>
                <w:color w:val="000000"/>
              </w:rPr>
            </w:pPr>
            <w:r>
              <w:rPr>
                <w:rFonts w:ascii="Times New Roman" w:hAnsi="Times New Roman" w:eastAsia="Times New Roman" w:cs="Times New Roman"/>
                <w:b/>
                <w:bCs/>
                <w:i w:val="0"/>
                <w:iCs w:val="0"/>
                <w:color w:val="000000"/>
                <w:sz w:val="15"/>
                <w:szCs w:val="17"/>
              </w:rPr>
              <w:t>STROBE cohort-study item (paraphrased)</w:t>
            </w:r>
          </w:p>
        </w:tc>
        <w:tc>
          <w:tcPr>
            <w:tcW w:w="2600" w:type="dxa"/>
            <w:tcBorders>
              <w:top w:val="single" w:color="000000" w:sz="12" w:space="0"/>
              <w:left w:val="nil"/>
              <w:bottom w:val="single" w:color="000000" w:sz="4" w:space="0"/>
              <w:right w:val="nil"/>
            </w:tcBorders>
            <w:shd w:val="clear" w:color="auto" w:fill="FFFFFF"/>
            <w:tcMar>
              <w:top w:w="40" w:type="dxa"/>
              <w:left w:w="90" w:type="dxa"/>
              <w:bottom w:w="40" w:type="dxa"/>
              <w:right w:w="90" w:type="dxa"/>
            </w:tcMar>
            <w:vAlign w:val="top"/>
          </w:tcPr>
          <w:p w14:paraId="4F92D20C">
            <w:pPr>
              <w:spacing w:after="0" w:line="240" w:lineRule="auto"/>
              <w:jc w:val="center"/>
              <w:rPr>
                <w:b w:val="0"/>
                <w:i w:val="0"/>
                <w:iCs w:val="0"/>
                <w:color w:val="000000"/>
              </w:rPr>
            </w:pPr>
            <w:r>
              <w:rPr>
                <w:rFonts w:ascii="Times New Roman" w:hAnsi="Times New Roman" w:eastAsia="Times New Roman" w:cs="Times New Roman"/>
                <w:b/>
                <w:bCs/>
                <w:i w:val="0"/>
                <w:iCs w:val="0"/>
                <w:color w:val="000000"/>
                <w:sz w:val="15"/>
                <w:szCs w:val="17"/>
              </w:rPr>
              <w:t>Location in manuscript</w:t>
            </w:r>
          </w:p>
        </w:tc>
        <w:tc>
          <w:tcPr>
            <w:tcW w:w="1800" w:type="dxa"/>
            <w:tcBorders>
              <w:top w:val="single" w:color="000000" w:sz="12" w:space="0"/>
              <w:left w:val="nil"/>
              <w:bottom w:val="single" w:color="000000" w:sz="4" w:space="0"/>
              <w:right w:val="nil"/>
            </w:tcBorders>
            <w:shd w:val="clear" w:color="auto" w:fill="FFFFFF"/>
            <w:tcMar>
              <w:top w:w="40" w:type="dxa"/>
              <w:left w:w="90" w:type="dxa"/>
              <w:bottom w:w="40" w:type="dxa"/>
              <w:right w:w="90" w:type="dxa"/>
            </w:tcMar>
            <w:vAlign w:val="top"/>
          </w:tcPr>
          <w:p w14:paraId="1C826E19">
            <w:pPr>
              <w:spacing w:after="0" w:line="240" w:lineRule="auto"/>
              <w:jc w:val="center"/>
              <w:rPr>
                <w:b w:val="0"/>
                <w:i w:val="0"/>
                <w:iCs w:val="0"/>
                <w:color w:val="000000"/>
              </w:rPr>
            </w:pPr>
            <w:r>
              <w:rPr>
                <w:rFonts w:ascii="Times New Roman" w:hAnsi="Times New Roman" w:eastAsia="Times New Roman" w:cs="Times New Roman"/>
                <w:b/>
                <w:bCs/>
                <w:i w:val="0"/>
                <w:iCs w:val="0"/>
                <w:color w:val="000000"/>
                <w:sz w:val="15"/>
                <w:szCs w:val="17"/>
              </w:rPr>
              <w:t>Assessment / notes</w:t>
            </w:r>
          </w:p>
        </w:tc>
      </w:tr>
      <w:tr w14:paraId="0F8C1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000000" w:sz="4" w:space="0"/>
              <w:left w:val="nil"/>
              <w:bottom w:val="nil"/>
              <w:right w:val="nil"/>
            </w:tcBorders>
            <w:shd w:val="clear" w:color="auto" w:fill="FFFFFF"/>
            <w:tcMar>
              <w:top w:w="40" w:type="dxa"/>
              <w:left w:w="90" w:type="dxa"/>
              <w:bottom w:w="40" w:type="dxa"/>
              <w:right w:w="90" w:type="dxa"/>
            </w:tcMar>
            <w:vAlign w:val="top"/>
          </w:tcPr>
          <w:p w14:paraId="2DDB678E">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Title and abstract</w:t>
            </w:r>
          </w:p>
        </w:tc>
        <w:tc>
          <w:tcPr>
            <w:tcW w:w="560" w:type="dxa"/>
            <w:tcBorders>
              <w:top w:val="single" w:color="000000" w:sz="4" w:space="0"/>
              <w:left w:val="nil"/>
              <w:bottom w:val="nil"/>
              <w:right w:val="nil"/>
            </w:tcBorders>
            <w:shd w:val="clear" w:color="auto" w:fill="FFFFFF"/>
            <w:tcMar>
              <w:top w:w="40" w:type="dxa"/>
              <w:left w:w="90" w:type="dxa"/>
              <w:bottom w:w="40" w:type="dxa"/>
              <w:right w:w="90" w:type="dxa"/>
            </w:tcMar>
            <w:vAlign w:val="top"/>
          </w:tcPr>
          <w:p w14:paraId="7A5891AC">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1a</w:t>
            </w:r>
          </w:p>
        </w:tc>
        <w:tc>
          <w:tcPr>
            <w:tcW w:w="3200" w:type="dxa"/>
            <w:tcBorders>
              <w:top w:val="single" w:color="000000" w:sz="4" w:space="0"/>
              <w:left w:val="nil"/>
              <w:bottom w:val="nil"/>
              <w:right w:val="nil"/>
            </w:tcBorders>
            <w:shd w:val="clear" w:color="auto" w:fill="FFFFFF"/>
            <w:tcMar>
              <w:top w:w="40" w:type="dxa"/>
              <w:left w:w="90" w:type="dxa"/>
              <w:bottom w:w="40" w:type="dxa"/>
              <w:right w:w="90" w:type="dxa"/>
            </w:tcMar>
            <w:vAlign w:val="top"/>
          </w:tcPr>
          <w:p w14:paraId="2380C605">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Indicate the observational design using a common term in the title or abstract.</w:t>
            </w:r>
          </w:p>
        </w:tc>
        <w:tc>
          <w:tcPr>
            <w:tcW w:w="2600" w:type="dxa"/>
            <w:tcBorders>
              <w:top w:val="single" w:color="000000" w:sz="4" w:space="0"/>
              <w:left w:val="nil"/>
              <w:bottom w:val="nil"/>
              <w:right w:val="nil"/>
            </w:tcBorders>
            <w:shd w:val="clear" w:color="auto" w:fill="FFFFFF"/>
            <w:tcMar>
              <w:top w:w="40" w:type="dxa"/>
              <w:left w:w="90" w:type="dxa"/>
              <w:bottom w:w="40" w:type="dxa"/>
              <w:right w:w="90" w:type="dxa"/>
            </w:tcMar>
            <w:vAlign w:val="top"/>
          </w:tcPr>
          <w:p w14:paraId="3277F3AA">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Title; Abstract, Methods sentence: “prospective, single-center observational cohort”.</w:t>
            </w:r>
          </w:p>
        </w:tc>
        <w:tc>
          <w:tcPr>
            <w:tcW w:w="1800" w:type="dxa"/>
            <w:tcBorders>
              <w:top w:val="single" w:color="000000" w:sz="4" w:space="0"/>
              <w:left w:val="nil"/>
              <w:bottom w:val="nil"/>
              <w:right w:val="nil"/>
            </w:tcBorders>
            <w:shd w:val="clear" w:color="auto" w:fill="FFFFFF"/>
            <w:tcMar>
              <w:top w:w="40" w:type="dxa"/>
              <w:left w:w="90" w:type="dxa"/>
              <w:bottom w:w="40" w:type="dxa"/>
              <w:right w:w="90" w:type="dxa"/>
            </w:tcMar>
            <w:vAlign w:val="top"/>
          </w:tcPr>
          <w:p w14:paraId="121B190B">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w:t>
            </w:r>
          </w:p>
        </w:tc>
      </w:tr>
      <w:tr w14:paraId="309F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0994DFA4">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Title and abstract</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4164D4EC">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1b</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6A255B24">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Provide a balanced abstract summarizing the study question, methods, main findings, and interpretation.</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3D79A302">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Abstract: Background/Objectives, Methods, Results, Conclusions.</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09E7C337">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w:t>
            </w:r>
          </w:p>
        </w:tc>
      </w:tr>
      <w:tr w14:paraId="1941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2DD70BA7">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Introduction</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02FCABB5">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2</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6D1C2F4D">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Explain the scientific background and rationale for the investigation.</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20E5F292">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Introduction, paragraphs on mini-PCNL/sPCNL evidence, limitations of ATE-only analyses, and need for individualized treatment-effect analysis.</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584E43C9">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w:t>
            </w:r>
          </w:p>
        </w:tc>
      </w:tr>
      <w:tr w14:paraId="4002A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25A26301">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Introduction</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379B873D">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3</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46EBCBD6">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State specific objectives and, where applicable, prespecified hypotheses.</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6DE1695C">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End of Introduction: two aims—17-outcome comparison and test whether individualized tailoring improves over a uniform strategy.</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05CEE553">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w:t>
            </w:r>
          </w:p>
        </w:tc>
      </w:tr>
      <w:tr w14:paraId="5FAA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43AF3E37">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Methods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0E8037E8">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4</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3F1E8B53">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Present the key elements of the study design early in the paper.</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3743A5BB">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Methods 2.1: prospective, single-center, parallel-cohort observational study.</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4544C99C">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w:t>
            </w:r>
          </w:p>
        </w:tc>
      </w:tr>
      <w:tr w14:paraId="41211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4B6C443F">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Methods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438CDDDC">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5</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47409703">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Describe setting, location, relevant dates, exposure period, follow-up, and data collection context.</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5CD2802B">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Methods 2.1: single institution, 2021–2024 enrollment; postoperative outcomes include 1-day and 1-month SFR.</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2484D006">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Mostly addressed; add exact follow-up windows if the journal requests more detail.</w:t>
            </w:r>
          </w:p>
        </w:tc>
      </w:tr>
      <w:tr w14:paraId="78CE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6E26E207">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Methods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456EA040">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6a</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3906AE89">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Give eligibility criteria and the sources and methods of selecting participants; describe follow-up methods.</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08079D13">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Methods 2.1: consecutive patients, inclusion/exclusion criteria, PCNL for 2–4 cm kidney stones, 450 per group.</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2C3063EB">
            <w:pPr>
              <w:jc w:val="left"/>
            </w:pPr>
            <w:r>
              <w:rPr>
                <w:sz w:val="15"/>
              </w:rPr>
              <w:t>Addressed. Supplementary Figure S5 provides the flow diagram; screened/excluded pre-enrollment counts were unavailable and this is stated in the figure legend.</w:t>
            </w:r>
          </w:p>
        </w:tc>
      </w:tr>
      <w:tr w14:paraId="3D8F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2B4B1154">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Methods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218E498F">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6b</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30EF5AE6">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For matched studies, describe matching criteria and the number of exposed/unexposed participants.</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256592B0">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Not applicable. The study was not matched.</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2B7EB76B">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N/A.</w:t>
            </w:r>
          </w:p>
        </w:tc>
      </w:tr>
      <w:tr w14:paraId="7798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77B5596C">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Methods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7573200B">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7</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4F163906">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Define all outcomes, exposures, predictors, confounders, and candidate effect modifiers; give diagnostic criteria where relevant.</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29B0F7D2">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Methods 2.2–2.3: SMP/sPCNL procedures; preoperative covariates; 17 outcomes; Sepsis-3; Clavien–Dindo.</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553305F3">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w:t>
            </w:r>
          </w:p>
        </w:tc>
      </w:tr>
      <w:tr w14:paraId="4C6D9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18776427">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Methods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3601711D">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8</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114553A6">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For each variable of interest, describe sources of data and methods of measurement; if more than one group, assess comparability of measurement methods.</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786C3990">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Methods 2.3: preoperative CT/laboratory/clinical variables and postoperative outcomes; Methods 2.2 describes procedural definitions.</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44D48974">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Mostly addressed; if available, add one sentence that outcome measurement and CT/lab definitions were identical in both groups.</w:t>
            </w:r>
          </w:p>
        </w:tc>
      </w:tr>
      <w:tr w14:paraId="2C31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020E38A2">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Methods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60DDE2B1">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9</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52B58C48">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Describe efforts to address potential sources of bias.</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1CE578D3">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Methods 2.3–2.4: causal ordering W→A→Y, exclusion of intraoperative variables, TMLE with prespecified covariates, propensity-score overlap, E-values; Discussion limitations.</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0BB51804">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w:t>
            </w:r>
          </w:p>
        </w:tc>
      </w:tr>
      <w:tr w14:paraId="7600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7F8A1617">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Methods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0CCA59E6">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10</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76600BB5">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Explain how the study size was determined.</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74751D17">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Methods 2.4: original cohort size planned around SFR precision and non-inferiority considerations; present analysis focused on comparative effectiveness and heterogeneity.</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37D7407E">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Partly addressed; adequate for this manuscript, but exact calculation details could be added if requested.</w:t>
            </w:r>
          </w:p>
        </w:tc>
      </w:tr>
      <w:tr w14:paraId="101AA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346D6405">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Methods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5C80A916">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11</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708EBBD8">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Explain how quantitative variables were handled, including grouping or cut-points when applicable.</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213F8231">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Methods 2.3–2.4: continuous/categorical summaries, CT &gt;950 HU indicator, causal-forest features, exploratory CATE plots, and Table 1 summaries.</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66BB4982">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 exploratory cut-points in supplementary figures are descriptive and not clinical decision thresholds.</w:t>
            </w:r>
          </w:p>
        </w:tc>
      </w:tr>
      <w:tr w14:paraId="058D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5991C3B9">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Methods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6AAD864E">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12a</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0DB55416">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Describe statistical methods, including methods used to control for confounding.</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027E03BD">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Methods 2.4: group comparisons, SMDs, TMLE with Super Learner, E-values, causal forest, policy-value estimation.</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55BB2ED1">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w:t>
            </w:r>
          </w:p>
        </w:tc>
      </w:tr>
      <w:tr w14:paraId="691D6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3FA539BE">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Methods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57C60A36">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12b</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3EC3E699">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Describe methods used to examine subgroups and interactions.</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4B4EC3F8">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Methods 2.4: causal forest CATE estimation, forest calibration test, variable importance, policy tree.</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0C611324">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w:t>
            </w:r>
          </w:p>
        </w:tc>
      </w:tr>
      <w:tr w14:paraId="40DAA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29959131">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Methods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62A49E2A">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12c</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06D62562">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Explain how missing data were addressed.</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46B080AE">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Methods 2.4: complete-case analysis in TMLE; missForest imputation for causal-forest features.</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7B85834B">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 consider reporting missingness per variable in supplementary material if nonzero.</w:t>
            </w:r>
          </w:p>
        </w:tc>
      </w:tr>
      <w:tr w14:paraId="57EF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56007699">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Methods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66236FB4">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12d</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4413BFE3">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For cohort studies, describe how loss to follow-up was addressed.</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7823015E">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Methods/Results: 1-day and 1-month SFR outcomes specified; no separate attrition table reported.</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2AFBB8D4">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Partly addressed; add follow-up completeness or attrition counts if available.</w:t>
            </w:r>
          </w:p>
        </w:tc>
      </w:tr>
      <w:tr w14:paraId="6A05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7A9D7C51">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Methods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469E8FA0">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12e</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36F07830">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Describe sensitivity analyses.</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016FCC2C">
            <w:pPr>
              <w:jc w:val="left"/>
            </w:pPr>
            <w:r>
              <w:rPr>
                <w:sz w:val="15"/>
              </w:rPr>
              <w:t>Methods 2.4: E-values; NCU weight-sensitivity across seven alternative weighting schemes plus the base scheme.</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39C23FC2">
            <w:pPr>
              <w:jc w:val="left"/>
            </w:pPr>
            <w:r>
              <w:rPr>
                <w:sz w:val="15"/>
              </w:rPr>
              <w:t>Addressed; NCU sensitivity results are provided in Supplementary Table S4.</w:t>
            </w:r>
          </w:p>
        </w:tc>
      </w:tr>
      <w:tr w14:paraId="365F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51777198">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Results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0357563E">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13a</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33762DFE">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Report numbers of individuals at each study stage, such as eligible, included, exposed, followed, and analyzed.</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24C2086A">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Methods 2.1 and Results 3.1: 900 included/analyzed, 450 SMP and 450 sPCNL. A participant flow diagram is provided (Supplementary Figure S5).</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378886E1">
            <w:pPr>
              <w:jc w:val="left"/>
            </w:pPr>
            <w:r>
              <w:rPr>
                <w:sz w:val="15"/>
              </w:rPr>
              <w:t>Addressed within available data; Supplementary Figure S5 provides participant flow from the enrolled eligible cohort, and the absence of pre-enrollment counts is disclosed.</w:t>
            </w:r>
          </w:p>
        </w:tc>
      </w:tr>
      <w:tr w14:paraId="53D9C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5166E62E">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Results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76623D79">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13b</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5B5AFB42">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Give reasons for non-participation or exclusion at each stage.</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795B80E0">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Eligibility criteria are described, but screened/excluded counts and reasons are not separately tabulated.</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5CACCE18">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Not fully reported; add only if these data are available.</w:t>
            </w:r>
          </w:p>
        </w:tc>
      </w:tr>
      <w:tr w14:paraId="2DAF8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2D562016">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Results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2B1A4860">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13c</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00311C40">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Consider a flow diagram.</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788F6E13">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Participant flow diagram provided (Supplementary Figure S5).</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7F43F091">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w:t>
            </w:r>
          </w:p>
        </w:tc>
      </w:tr>
      <w:tr w14:paraId="4B2E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23AA901A">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Results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66CD2EE5">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14a</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0C6FB737">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Give characteristics of study participants, including exposures and potential confounders.</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545FC1B3">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Results 3.1 and Table 1: selected baseline characteristics and SMDs; Supplementary Table S1: intraoperative procedural parameters.</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42696F2F">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 a complete covariate-balance table could be supplementary if desired.</w:t>
            </w:r>
          </w:p>
        </w:tc>
      </w:tr>
      <w:tr w14:paraId="15FF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6462B478">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Results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5F744AC3">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14b</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4056239F">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Indicate the number of participants with missing data for each variable of interest.</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4A41F8BB">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Methods 2.4 states missing-data handling, but missingness per variable is not tabulated.</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1C3EF1A6">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Partly addressed; add a short missingness statement/table if missingness was non-negligible.</w:t>
            </w:r>
          </w:p>
        </w:tc>
      </w:tr>
      <w:tr w14:paraId="713CD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7AA3FEC5">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Results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4AA828E4">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14c</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6F567821">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For cohort studies, summarize follow-up time, such as average and total follow-up.</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152EB46D">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Outcomes include 1-day and 1-month SFR; follow-up time distribution is not summarized.</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0755E0A3">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Partly applicable; add follow-up completeness for 1-month SFR if available.</w:t>
            </w:r>
          </w:p>
        </w:tc>
      </w:tr>
      <w:tr w14:paraId="3466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1B21A8DE">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Results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7826D43F">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15</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6B2A8489">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Report outcome event numbers or summary measures over time.</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4EAE5C29">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Results 3.2; Table 2 primary/secondary outcomes; Supplementary Table S2 exploratory outcomes.</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022A69E5">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w:t>
            </w:r>
          </w:p>
        </w:tc>
      </w:tr>
      <w:tr w14:paraId="3EA07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34D601A8">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Results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79C56CD1">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16a</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4DF3D8A8">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Give unadjusted and adjusted estimates and precision; state which covariates were adjusted for and why.</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30F44948">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Results 3.2; Table 2; Supplementary Table S2; Methods 2.3–2.4 define prespecified covariates and causal rationale.</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15DB7683">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w:t>
            </w:r>
          </w:p>
        </w:tc>
      </w:tr>
      <w:tr w14:paraId="2FC3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08163245">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Results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36718EDA">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16b</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4EBAF097">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Report category boundaries when continuous variables are categorized.</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5F378245">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Methods 2.3: CT &gt;950 HU indicator; Supplementary Figures S3 and S4 show exploratory CATE patterns across CT and BMI.</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3CDBBCC1">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 exploratory graphical thresholds should not be interpreted as validated clinical cut-offs.</w:t>
            </w:r>
          </w:p>
        </w:tc>
      </w:tr>
      <w:tr w14:paraId="00079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7A8AF2A9">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Results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74B9DCBA">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16c</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0E6E5327">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If relevant, translate relative measures into absolute risks over a meaningful time period.</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6AD2E782">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The manuscript primarily reports absolute risk differences/ATEs for binary outcomes and mean differences for continuous outcomes.</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6C025F19">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 relative-risk translation not central here.</w:t>
            </w:r>
          </w:p>
        </w:tc>
      </w:tr>
      <w:tr w14:paraId="1A78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7C352E7C">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Results</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1A6630B3">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17</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040DE17A">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Report other analyses, such as subgroup, interaction, and sensitivity analyses.</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1B162D6F">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Results 3.3–3.4: CATE distribution, calibration, variable importance, policy-value analysis; Supplementary Figures S2–S4 and Supplementary Table S4 provide exploratory and sensitivity analyses.</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1808CD62">
            <w:pPr>
              <w:jc w:val="left"/>
            </w:pPr>
            <w:r>
              <w:rPr>
                <w:sz w:val="15"/>
              </w:rPr>
              <w:t>Addressed.</w:t>
            </w:r>
          </w:p>
        </w:tc>
      </w:tr>
      <w:tr w14:paraId="32C21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60FC9560">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Discussion</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305AF23B">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18</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3B9E89FF">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Summarize key results in relation to study objectives.</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2A46A802">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Discussion first paragraphs and Conclusions: SMP default strategy; heterogeneity detected but not actionable.</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6C15FB03">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w:t>
            </w:r>
          </w:p>
        </w:tc>
      </w:tr>
      <w:tr w14:paraId="3D64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0C8E01E1">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Discussion</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3AF1CAE8">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19</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2EC91303">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Discuss limitations, considering possible bias or imprecision.</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6145194B">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Discussion limitations: single-center cohort, domestic devices, unmeasured confounding, learning-curve trend, wide CATE intervals, unstable policy tree, NCU weights, rare events, lack of long-term outcomes.</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50EF6EC3">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w:t>
            </w:r>
          </w:p>
        </w:tc>
      </w:tr>
      <w:tr w14:paraId="0D38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22B0543E">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Discussion</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3E9EFA36">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20</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4207B00C">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Give a cautious overall interpretation considering objectives, limitations, multiplicity, and other evidence.</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3540E9F1">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Discussion and Conclusions: fever/Hb effects cautious; policy tree exploratory; CT attenuation as future candidate effect modifier.</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6639BE3E">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w:t>
            </w:r>
          </w:p>
        </w:tc>
      </w:tr>
      <w:tr w14:paraId="550EA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shd w:val="clear" w:color="auto" w:fill="FFFFFF"/>
            <w:tcMar>
              <w:top w:w="40" w:type="dxa"/>
              <w:left w:w="90" w:type="dxa"/>
              <w:bottom w:w="40" w:type="dxa"/>
              <w:right w:w="90" w:type="dxa"/>
            </w:tcMar>
            <w:vAlign w:val="top"/>
          </w:tcPr>
          <w:p w14:paraId="7185806A">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Discussion</w:t>
            </w:r>
          </w:p>
        </w:tc>
        <w:tc>
          <w:tcPr>
            <w:tcW w:w="560" w:type="dxa"/>
            <w:tcBorders>
              <w:top w:val="nil"/>
              <w:left w:val="nil"/>
              <w:bottom w:val="nil"/>
              <w:right w:val="nil"/>
            </w:tcBorders>
            <w:shd w:val="clear" w:color="auto" w:fill="FFFFFF"/>
            <w:tcMar>
              <w:top w:w="40" w:type="dxa"/>
              <w:left w:w="90" w:type="dxa"/>
              <w:bottom w:w="40" w:type="dxa"/>
              <w:right w:w="90" w:type="dxa"/>
            </w:tcMar>
            <w:vAlign w:val="top"/>
          </w:tcPr>
          <w:p w14:paraId="45DB0F72">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21</w:t>
            </w:r>
          </w:p>
        </w:tc>
        <w:tc>
          <w:tcPr>
            <w:tcW w:w="3200" w:type="dxa"/>
            <w:tcBorders>
              <w:top w:val="nil"/>
              <w:left w:val="nil"/>
              <w:bottom w:val="nil"/>
              <w:right w:val="nil"/>
            </w:tcBorders>
            <w:shd w:val="clear" w:color="auto" w:fill="FFFFFF"/>
            <w:tcMar>
              <w:top w:w="40" w:type="dxa"/>
              <w:left w:w="90" w:type="dxa"/>
              <w:bottom w:w="40" w:type="dxa"/>
              <w:right w:w="90" w:type="dxa"/>
            </w:tcMar>
            <w:vAlign w:val="top"/>
          </w:tcPr>
          <w:p w14:paraId="56C0B1E8">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Discuss generalisability or external validity.</w:t>
            </w:r>
          </w:p>
        </w:tc>
        <w:tc>
          <w:tcPr>
            <w:tcW w:w="2600" w:type="dxa"/>
            <w:tcBorders>
              <w:top w:val="nil"/>
              <w:left w:val="nil"/>
              <w:bottom w:val="nil"/>
              <w:right w:val="nil"/>
            </w:tcBorders>
            <w:shd w:val="clear" w:color="auto" w:fill="FFFFFF"/>
            <w:tcMar>
              <w:top w:w="40" w:type="dxa"/>
              <w:left w:w="90" w:type="dxa"/>
              <w:bottom w:w="40" w:type="dxa"/>
              <w:right w:w="90" w:type="dxa"/>
            </w:tcMar>
            <w:vAlign w:val="top"/>
          </w:tcPr>
          <w:p w14:paraId="35AAA364">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Discussion limitations and Conclusions: need external, prospective, multicenter validation; standard PCNL remains comparable when SMP not feasible.</w:t>
            </w:r>
          </w:p>
        </w:tc>
        <w:tc>
          <w:tcPr>
            <w:tcW w:w="1800" w:type="dxa"/>
            <w:tcBorders>
              <w:top w:val="nil"/>
              <w:left w:val="nil"/>
              <w:bottom w:val="nil"/>
              <w:right w:val="nil"/>
            </w:tcBorders>
            <w:shd w:val="clear" w:color="auto" w:fill="FFFFFF"/>
            <w:tcMar>
              <w:top w:w="40" w:type="dxa"/>
              <w:left w:w="90" w:type="dxa"/>
              <w:bottom w:w="40" w:type="dxa"/>
              <w:right w:w="90" w:type="dxa"/>
            </w:tcMar>
            <w:vAlign w:val="top"/>
          </w:tcPr>
          <w:p w14:paraId="7EE96139">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w:t>
            </w:r>
          </w:p>
        </w:tc>
      </w:tr>
      <w:tr w14:paraId="154C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single" w:color="000000" w:sz="12" w:space="0"/>
              <w:right w:val="nil"/>
            </w:tcBorders>
            <w:shd w:val="clear" w:color="auto" w:fill="FFFFFF"/>
            <w:tcMar>
              <w:top w:w="40" w:type="dxa"/>
              <w:left w:w="90" w:type="dxa"/>
              <w:bottom w:w="40" w:type="dxa"/>
              <w:right w:w="90" w:type="dxa"/>
            </w:tcMar>
            <w:vAlign w:val="top"/>
          </w:tcPr>
          <w:p w14:paraId="4AADE2DF">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Other information</w:t>
            </w:r>
          </w:p>
        </w:tc>
        <w:tc>
          <w:tcPr>
            <w:tcW w:w="560" w:type="dxa"/>
            <w:tcBorders>
              <w:top w:val="nil"/>
              <w:left w:val="nil"/>
              <w:bottom w:val="single" w:color="000000" w:sz="12" w:space="0"/>
              <w:right w:val="nil"/>
            </w:tcBorders>
            <w:shd w:val="clear" w:color="auto" w:fill="FFFFFF"/>
            <w:tcMar>
              <w:top w:w="40" w:type="dxa"/>
              <w:left w:w="90" w:type="dxa"/>
              <w:bottom w:w="40" w:type="dxa"/>
              <w:right w:w="90" w:type="dxa"/>
            </w:tcMar>
            <w:vAlign w:val="top"/>
          </w:tcPr>
          <w:p w14:paraId="6E621B40">
            <w:pPr>
              <w:spacing w:after="0" w:line="240" w:lineRule="auto"/>
              <w:jc w:val="center"/>
              <w:rPr>
                <w:b w:val="0"/>
                <w:i w:val="0"/>
                <w:iCs w:val="0"/>
                <w:color w:val="000000"/>
              </w:rPr>
            </w:pPr>
            <w:r>
              <w:rPr>
                <w:rFonts w:ascii="Times New Roman" w:hAnsi="Times New Roman" w:eastAsia="Times New Roman" w:cs="Times New Roman"/>
                <w:b w:val="0"/>
                <w:bCs w:val="0"/>
                <w:i w:val="0"/>
                <w:iCs w:val="0"/>
                <w:color w:val="000000"/>
                <w:sz w:val="15"/>
                <w:szCs w:val="17"/>
              </w:rPr>
              <w:t>22</w:t>
            </w:r>
          </w:p>
        </w:tc>
        <w:tc>
          <w:tcPr>
            <w:tcW w:w="3200" w:type="dxa"/>
            <w:tcBorders>
              <w:top w:val="nil"/>
              <w:left w:val="nil"/>
              <w:bottom w:val="single" w:color="000000" w:sz="12" w:space="0"/>
              <w:right w:val="nil"/>
            </w:tcBorders>
            <w:shd w:val="clear" w:color="auto" w:fill="FFFFFF"/>
            <w:tcMar>
              <w:top w:w="40" w:type="dxa"/>
              <w:left w:w="90" w:type="dxa"/>
              <w:bottom w:w="40" w:type="dxa"/>
              <w:right w:w="90" w:type="dxa"/>
            </w:tcMar>
            <w:vAlign w:val="top"/>
          </w:tcPr>
          <w:p w14:paraId="39052607">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Give the funding source and role of funders.</w:t>
            </w:r>
          </w:p>
        </w:tc>
        <w:tc>
          <w:tcPr>
            <w:tcW w:w="2600" w:type="dxa"/>
            <w:tcBorders>
              <w:top w:val="nil"/>
              <w:left w:val="nil"/>
              <w:bottom w:val="single" w:color="000000" w:sz="12" w:space="0"/>
              <w:right w:val="nil"/>
            </w:tcBorders>
            <w:shd w:val="clear" w:color="auto" w:fill="FFFFFF"/>
            <w:tcMar>
              <w:top w:w="40" w:type="dxa"/>
              <w:left w:w="90" w:type="dxa"/>
              <w:bottom w:w="40" w:type="dxa"/>
              <w:right w:w="90" w:type="dxa"/>
            </w:tcMar>
            <w:vAlign w:val="top"/>
          </w:tcPr>
          <w:p w14:paraId="6D1A919E">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Funding statement: no external funding.</w:t>
            </w:r>
          </w:p>
        </w:tc>
        <w:tc>
          <w:tcPr>
            <w:tcW w:w="1800" w:type="dxa"/>
            <w:tcBorders>
              <w:top w:val="nil"/>
              <w:left w:val="nil"/>
              <w:bottom w:val="single" w:color="000000" w:sz="12" w:space="0"/>
              <w:right w:val="nil"/>
            </w:tcBorders>
            <w:shd w:val="clear" w:color="auto" w:fill="FFFFFF"/>
            <w:tcMar>
              <w:top w:w="40" w:type="dxa"/>
              <w:left w:w="90" w:type="dxa"/>
              <w:bottom w:w="40" w:type="dxa"/>
              <w:right w:w="90" w:type="dxa"/>
            </w:tcMar>
            <w:vAlign w:val="top"/>
          </w:tcPr>
          <w:p w14:paraId="66032532">
            <w:pPr>
              <w:spacing w:after="0" w:line="240" w:lineRule="auto"/>
              <w:jc w:val="left"/>
              <w:rPr>
                <w:b w:val="0"/>
                <w:i w:val="0"/>
                <w:iCs w:val="0"/>
                <w:color w:val="000000"/>
              </w:rPr>
            </w:pPr>
            <w:r>
              <w:rPr>
                <w:rFonts w:ascii="Times New Roman" w:hAnsi="Times New Roman" w:eastAsia="Times New Roman" w:cs="Times New Roman"/>
                <w:b w:val="0"/>
                <w:bCs w:val="0"/>
                <w:i w:val="0"/>
                <w:iCs w:val="0"/>
                <w:color w:val="000000"/>
                <w:sz w:val="15"/>
                <w:szCs w:val="17"/>
              </w:rPr>
              <w:t>Addressed.</w:t>
            </w:r>
          </w:p>
        </w:tc>
      </w:tr>
    </w:tbl>
    <w:p w14:paraId="497724CA">
      <w:pPr>
        <w:spacing w:before="120" w:after="120" w:line="240" w:lineRule="auto"/>
        <w:rPr>
          <w:i w:val="0"/>
          <w:iCs w:val="0"/>
        </w:rPr>
      </w:pPr>
      <w:r>
        <w:rPr>
          <w:rFonts w:ascii="Times New Roman" w:hAnsi="Times New Roman" w:eastAsia="Times New Roman" w:cs="Times New Roman"/>
          <w:b w:val="0"/>
          <w:bCs w:val="0"/>
          <w:i w:val="0"/>
          <w:iCs w:val="0"/>
          <w:sz w:val="18"/>
          <w:szCs w:val="18"/>
        </w:rPr>
        <w:t>STROBE reference: von Elm E, Altman DG, Egger M, Pocock SJ, Gøtzsche PC, Vandenbroucke JP; STROBE Initiative (2008) The Strengthening the Reporting of Observational Studies in Epidemiology (STROBE) Statement: guidelines for reporting observational studies. J Clin Epidemiol 61:344–349.</w:t>
      </w:r>
    </w:p>
    <w:sectPr>
      <w:footerReference r:id="rId3" w:type="default"/>
      <w:pgSz w:w="12240" w:h="15840"/>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9792E">
    <w:pPr>
      <w:jc w:val="center"/>
    </w:pPr>
    <w:r>
      <w:rPr>
        <w:rFonts w:ascii="Times New Roman" w:hAnsi="Times New Roman" w:eastAsia="Times New Roman" w:cs="Times New Roman"/>
        <w:sz w:val="20"/>
        <w:szCs w:val="20"/>
      </w:rPr>
      <w:fldChar w:fldCharType="begin"/>
    </w:r>
    <w:r>
      <w:rPr>
        <w:rFonts w:ascii="Times New Roman" w:hAnsi="Times New Roman" w:eastAsia="Times New Roman" w:cs="Times New Roman"/>
        <w:sz w:val="20"/>
        <w:szCs w:val="20"/>
      </w:rPr>
      <w:instrText xml:space="preserve">PAGE</w:instrText>
    </w:r>
    <w:r>
      <w:rPr>
        <w:rFonts w:ascii="Times New Roman" w:hAnsi="Times New Roman" w:eastAsia="Times New Roman" w:cs="Times New Roman"/>
        <w:sz w:val="20"/>
        <w:szCs w:val="20"/>
      </w:rPr>
      <w:fldChar w:fldCharType="separate"/>
    </w:r>
    <w:r>
      <w:rPr>
        <w:rFonts w:ascii="Times New Roman" w:hAnsi="Times New Roman" w:eastAsia="Times New Roman" w:cs="Times New Roman"/>
        <w:sz w:val="20"/>
        <w:szCs w:val="20"/>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displayBackgroundShape w:val="1"/>
  <w:documentProtection w:enforcement="0"/>
  <w:compat>
    <w:useFELayout/>
    <w:compatSetting w:name="compatibilityMode" w:uri="http://schemas.microsoft.com/office/word" w:val="15"/>
  </w:compat>
  <w:rsids>
    <w:rsidRoot w:val="00000000"/>
    <w:rsid w:val="24A35F2C"/>
    <w:rsid w:val="7AE901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imes New Roman" w:cs="Times New Roman"/>
      <w:sz w:val="24"/>
      <w:szCs w:val="24"/>
    </w:rPr>
  </w:style>
  <w:style w:type="paragraph" w:styleId="2">
    <w:name w:val="heading 1"/>
    <w:next w:val="1"/>
    <w:qFormat/>
    <w:uiPriority w:val="0"/>
    <w:pPr>
      <w:spacing w:before="200" w:after="100"/>
      <w:outlineLvl w:val="0"/>
    </w:pPr>
    <w:rPr>
      <w:rFonts w:ascii="Times New Roman" w:hAnsi="Times New Roman" w:eastAsia="Times New Roman" w:cs="Times New Roman"/>
      <w:b/>
      <w:bCs/>
      <w:sz w:val="26"/>
      <w:szCs w:val="26"/>
    </w:rPr>
  </w:style>
  <w:style w:type="paragraph" w:styleId="3">
    <w:name w:val="heading 2"/>
    <w:next w:val="1"/>
    <w:qFormat/>
    <w:uiPriority w:val="0"/>
    <w:rPr>
      <w:rFonts w:ascii="Times New Roman" w:hAnsi="Times New Roman" w:eastAsia="Times New Roman" w:cs="Times New Roman"/>
      <w:color w:val="2E74B5"/>
      <w:sz w:val="26"/>
      <w:szCs w:val="26"/>
    </w:rPr>
  </w:style>
  <w:style w:type="paragraph" w:styleId="4">
    <w:name w:val="heading 3"/>
    <w:next w:val="1"/>
    <w:qFormat/>
    <w:uiPriority w:val="0"/>
    <w:rPr>
      <w:rFonts w:ascii="Times New Roman" w:hAnsi="Times New Roman" w:eastAsia="Times New Roman" w:cs="Times New Roman"/>
      <w:color w:val="1F4D78"/>
      <w:sz w:val="24"/>
      <w:szCs w:val="24"/>
    </w:rPr>
  </w:style>
  <w:style w:type="paragraph" w:styleId="5">
    <w:name w:val="heading 4"/>
    <w:next w:val="1"/>
    <w:qFormat/>
    <w:uiPriority w:val="0"/>
    <w:rPr>
      <w:rFonts w:ascii="Times New Roman" w:hAnsi="Times New Roman" w:eastAsia="Times New Roman" w:cs="Times New Roman"/>
      <w:i/>
      <w:iCs/>
      <w:color w:val="2E74B5"/>
      <w:sz w:val="24"/>
      <w:szCs w:val="24"/>
    </w:rPr>
  </w:style>
  <w:style w:type="paragraph" w:styleId="6">
    <w:name w:val="heading 5"/>
    <w:next w:val="1"/>
    <w:qFormat/>
    <w:uiPriority w:val="0"/>
    <w:rPr>
      <w:rFonts w:ascii="Times New Roman" w:hAnsi="Times New Roman" w:eastAsia="Times New Roman" w:cs="Times New Roman"/>
      <w:color w:val="2E74B5"/>
      <w:sz w:val="24"/>
      <w:szCs w:val="24"/>
    </w:rPr>
  </w:style>
  <w:style w:type="paragraph" w:styleId="7">
    <w:name w:val="heading 6"/>
    <w:next w:val="1"/>
    <w:qFormat/>
    <w:uiPriority w:val="0"/>
    <w:rPr>
      <w:rFonts w:ascii="Times New Roman" w:hAnsi="Times New Roman" w:eastAsia="Times New Roman" w:cs="Times New Roman"/>
      <w:color w:val="1F4D78"/>
      <w:sz w:val="24"/>
      <w:szCs w:val="24"/>
    </w:rPr>
  </w:style>
  <w:style w:type="character" w:default="1" w:styleId="12">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endnote text"/>
    <w:link w:val="18"/>
    <w:semiHidden/>
    <w:unhideWhenUsed/>
    <w:qFormat/>
    <w:uiPriority w:val="99"/>
    <w:pPr>
      <w:spacing w:after="0" w:line="240" w:lineRule="auto"/>
    </w:pPr>
    <w:rPr>
      <w:rFonts w:ascii="Times New Roman" w:hAnsi="Times New Roman" w:eastAsia="Times New Roman" w:cs="Times New Roman"/>
      <w:sz w:val="20"/>
      <w:szCs w:val="20"/>
    </w:rPr>
  </w:style>
  <w:style w:type="paragraph" w:styleId="9">
    <w:name w:val="footnote text"/>
    <w:link w:val="17"/>
    <w:semiHidden/>
    <w:unhideWhenUsed/>
    <w:qFormat/>
    <w:uiPriority w:val="99"/>
    <w:pPr>
      <w:spacing w:after="0" w:line="240" w:lineRule="auto"/>
    </w:pPr>
    <w:rPr>
      <w:rFonts w:ascii="Times New Roman" w:hAnsi="Times New Roman" w:eastAsia="Times New Roman" w:cs="Times New Roman"/>
      <w:sz w:val="20"/>
      <w:szCs w:val="20"/>
    </w:rPr>
  </w:style>
  <w:style w:type="paragraph" w:styleId="10">
    <w:name w:val="Title"/>
    <w:qFormat/>
    <w:uiPriority w:val="0"/>
    <w:rPr>
      <w:rFonts w:ascii="Times New Roman" w:hAnsi="Times New Roman" w:eastAsia="Times New Roman" w:cs="Times New Roman"/>
      <w:sz w:val="56"/>
      <w:szCs w:val="56"/>
    </w:rPr>
  </w:style>
  <w:style w:type="character" w:styleId="13">
    <w:name w:val="endnote reference"/>
    <w:semiHidden/>
    <w:unhideWhenUsed/>
    <w:qFormat/>
    <w:uiPriority w:val="99"/>
    <w:rPr>
      <w:vertAlign w:val="superscript"/>
    </w:rPr>
  </w:style>
  <w:style w:type="character" w:styleId="14">
    <w:name w:val="Hyperlink"/>
    <w:unhideWhenUsed/>
    <w:qFormat/>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rPr>
      <w:rFonts w:ascii="Times New Roman" w:hAnsi="Times New Roman" w:eastAsia="Times New Roman" w:cs="Times New Roman"/>
      <w:sz w:val="24"/>
      <w:szCs w:val="24"/>
    </w:rPr>
  </w:style>
  <w:style w:type="character" w:customStyle="1" w:styleId="17">
    <w:name w:val="Footnote Text Char"/>
    <w:link w:val="9"/>
    <w:semiHidden/>
    <w:unhideWhenUsed/>
    <w:qFormat/>
    <w:uiPriority w:val="99"/>
    <w:rPr>
      <w:sz w:val="20"/>
      <w:szCs w:val="20"/>
    </w:rPr>
  </w:style>
  <w:style w:type="character" w:customStyle="1" w:styleId="18">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1200</Words>
  <Characters>7087</Characters>
  <TotalTime>0</TotalTime>
  <ScaleCrop>false</ScaleCrop>
  <LinksUpToDate>false</LinksUpToDate>
  <CharactersWithSpaces>8075</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2026-06-04T15:26:00Z</dcterms:created>
  <dc:creator>Un-named</dc:creator>
  <cp:lastModifiedBy>杨彦</cp:lastModifiedBy>
  <dcterms:modified xsi:type="dcterms:W3CDTF">2026-06-04T15:46:51Z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eyJoZGlkIjoiNTJlMDU0NDRlMzA2MWI4ZTM4Mjc4ZWJmOTJmZmU0YjkiLCJ1c2VySWQiOiI0MjM4MTg1MzEifQ==</vt:lpwstr>
  </property>
  <property fmtid="{D5CDD505-2E9C-101B-9397-08002B2CF9AE}" pid="3" name="KSOProductBuildVer">
    <vt:lpwstr>2052-12.1.0.26375</vt:lpwstr>
  </property>
  <property fmtid="{D5CDD505-2E9C-101B-9397-08002B2CF9AE}" pid="4" name="ICV">
    <vt:lpwstr>AA3566CA37F34DE893C6A2F79B1B684A_12</vt:lpwstr>
  </property>
</Properties>
</file>