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AE34" w14:textId="77777777" w:rsidR="00C934AC" w:rsidRDefault="00C934AC" w:rsidP="00C934AC">
      <w:r>
        <w:rPr>
          <w:noProof/>
        </w:rPr>
        <w:drawing>
          <wp:inline distT="0" distB="0" distL="0" distR="0" wp14:anchorId="4644F5AB" wp14:editId="10AAE413">
            <wp:extent cx="5610225" cy="2857500"/>
            <wp:effectExtent l="0" t="0" r="9525" b="0"/>
            <wp:docPr id="7" name="Picture 7" descr="C:\Users\Dr.Ghanbari.DrGhanbari-PC\Downloads\image(7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Ghanbari.DrGhanbari-PC\Downloads\image(7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5FF12" w14:textId="77777777" w:rsidR="00C934AC" w:rsidRDefault="00C934AC" w:rsidP="00C934AC">
      <w:pPr>
        <w:pStyle w:val="ds-markdown-paragraph"/>
      </w:pPr>
      <w:r>
        <w:rPr>
          <w:rStyle w:val="Strong"/>
        </w:rPr>
        <w:t>Supplementary Figure S1. Dose-response relationship between coating weight and seedling dry biomass under drought stress (-0.8 MPa).</w:t>
      </w:r>
      <w:r>
        <w:t xml:space="preserve"> (a) Germination percentage and (b) seedling dry biomass across four coating weights (0%, 2%, 3.72%, and 5% w/w). Data are mean ± SEM (n=3 biological replicates, 50 seeds per replicate). The optimal coating weight of 3.72% (indicated by dashed line) maximizes biomass without impeding germination. Values at 0% and 5% are significantly lower than at 3.72% (P &lt; 0.05, Tukey's HSD test).</w:t>
      </w:r>
    </w:p>
    <w:p w14:paraId="75472AE1" w14:textId="77777777" w:rsidR="00C934AC" w:rsidRDefault="00C934AC" w:rsidP="00C934AC"/>
    <w:p w14:paraId="7084DEEA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AC"/>
    <w:rsid w:val="00061C85"/>
    <w:rsid w:val="003C2EF4"/>
    <w:rsid w:val="00446799"/>
    <w:rsid w:val="006A7E07"/>
    <w:rsid w:val="00701021"/>
    <w:rsid w:val="00B74216"/>
    <w:rsid w:val="00C934AC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C1C05"/>
  <w15:chartTrackingRefBased/>
  <w15:docId w15:val="{20737C39-39FB-4DC8-84F9-E4409480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4AC"/>
    <w:pPr>
      <w:spacing w:after="0" w:line="240" w:lineRule="auto"/>
      <w:jc w:val="both"/>
    </w:pPr>
    <w:rPr>
      <w:rFonts w:ascii="Times New Roman" w:hAnsi="Times New Roman" w:cs="B Nazani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4A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4A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4A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4A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4A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4A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4A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4A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4A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4A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3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4A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3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4A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3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4AC"/>
    <w:pPr>
      <w:spacing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3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4A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934AC"/>
    <w:rPr>
      <w:b/>
      <w:bCs/>
    </w:rPr>
  </w:style>
  <w:style w:type="paragraph" w:customStyle="1" w:styleId="ds-markdown-paragraph">
    <w:name w:val="ds-markdown-paragraph"/>
    <w:basedOn w:val="Normal"/>
    <w:rsid w:val="00C934AC"/>
    <w:pPr>
      <w:spacing w:before="100" w:beforeAutospacing="1" w:after="100" w:afterAutospacing="1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Springer Nature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2026-06-17T07:54:00Z</dcterms:created>
  <dcterms:modified xsi:type="dcterms:W3CDTF">2026-06-17T07:55:00Z</dcterms:modified>
</cp:coreProperties>
</file>