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92671" w14:textId="37FDE431" w:rsidR="001A2827" w:rsidRPr="001C7A3C" w:rsidRDefault="001A2827" w:rsidP="00035559">
      <w:pPr>
        <w:pStyle w:val="FirstParagraph"/>
        <w:spacing w:line="240" w:lineRule="auto"/>
        <w:rPr>
          <w:rFonts w:ascii="Cambria" w:hAnsi="Cambria" w:cs="Arial"/>
          <w:b/>
          <w:bCs/>
          <w:sz w:val="28"/>
          <w:szCs w:val="28"/>
        </w:rPr>
      </w:pPr>
      <w:r w:rsidRPr="001C7A3C">
        <w:rPr>
          <w:rFonts w:ascii="Cambria" w:hAnsi="Cambria" w:cs="Arial"/>
          <w:b/>
          <w:bCs/>
          <w:sz w:val="28"/>
          <w:szCs w:val="28"/>
        </w:rPr>
        <w:t>Supplementary M</w:t>
      </w:r>
      <w:r w:rsidR="00FD4670" w:rsidRPr="001C7A3C">
        <w:rPr>
          <w:rFonts w:ascii="Cambria" w:hAnsi="Cambria" w:cs="Arial"/>
          <w:b/>
          <w:bCs/>
          <w:sz w:val="28"/>
          <w:szCs w:val="28"/>
        </w:rPr>
        <w:t>aterial</w:t>
      </w:r>
    </w:p>
    <w:p w14:paraId="054BDABB" w14:textId="77777777" w:rsidR="000D683D" w:rsidRPr="001C7A3C" w:rsidRDefault="000D683D" w:rsidP="00035559">
      <w:pPr>
        <w:pStyle w:val="BodyText"/>
        <w:spacing w:line="240" w:lineRule="auto"/>
        <w:rPr>
          <w:rFonts w:ascii="Cambria" w:hAnsi="Cambria" w:cs="Arial"/>
          <w:sz w:val="20"/>
          <w:szCs w:val="20"/>
          <w:lang w:val="en-US"/>
        </w:rPr>
      </w:pPr>
    </w:p>
    <w:sdt>
      <w:sdtPr>
        <w:rPr>
          <w:rFonts w:ascii="Cambria" w:eastAsiaTheme="minorEastAsia" w:hAnsi="Cambria" w:cs="Arial"/>
          <w:b w:val="0"/>
          <w:bCs w:val="0"/>
          <w:smallCaps w:val="0"/>
          <w:color w:val="auto"/>
          <w:sz w:val="20"/>
          <w:szCs w:val="20"/>
        </w:rPr>
        <w:id w:val="1522672610"/>
        <w:docPartObj>
          <w:docPartGallery w:val="Table of Contents"/>
          <w:docPartUnique/>
        </w:docPartObj>
      </w:sdtPr>
      <w:sdtEndPr/>
      <w:sdtContent>
        <w:p w14:paraId="00F1E3A4" w14:textId="082C7A6E" w:rsidR="000D683D" w:rsidRPr="001C7A3C" w:rsidRDefault="000D683D" w:rsidP="00035559">
          <w:pPr>
            <w:pStyle w:val="TOCHeading"/>
            <w:numPr>
              <w:ilvl w:val="0"/>
              <w:numId w:val="0"/>
            </w:numPr>
            <w:spacing w:line="240" w:lineRule="auto"/>
            <w:ind w:left="432" w:hanging="432"/>
            <w:rPr>
              <w:rFonts w:ascii="Cambria" w:hAnsi="Cambria" w:cs="Arial"/>
              <w:sz w:val="18"/>
              <w:szCs w:val="18"/>
            </w:rPr>
          </w:pPr>
          <w:r w:rsidRPr="001C7A3C">
            <w:rPr>
              <w:rFonts w:ascii="Cambria" w:hAnsi="Cambria" w:cs="Arial"/>
              <w:sz w:val="18"/>
              <w:szCs w:val="18"/>
            </w:rPr>
            <w:t>Contents</w:t>
          </w:r>
        </w:p>
        <w:p w14:paraId="231B3461" w14:textId="7D0EF80B" w:rsidR="001C7A3C" w:rsidRPr="001C7A3C" w:rsidRDefault="000D683D">
          <w:pPr>
            <w:pStyle w:val="TOC1"/>
            <w:tabs>
              <w:tab w:val="left" w:pos="440"/>
              <w:tab w:val="right" w:leader="dot" w:pos="9016"/>
            </w:tabs>
            <w:rPr>
              <w:rFonts w:ascii="Cambria" w:hAnsi="Cambria"/>
              <w:noProof/>
              <w:lang w:eastAsia="en-GB"/>
            </w:rPr>
          </w:pPr>
          <w:r w:rsidRPr="001C7A3C">
            <w:rPr>
              <w:rFonts w:ascii="Cambria" w:hAnsi="Cambria" w:cs="Arial"/>
              <w:sz w:val="18"/>
              <w:szCs w:val="18"/>
            </w:rPr>
            <w:fldChar w:fldCharType="begin"/>
          </w:r>
          <w:r w:rsidRPr="001C7A3C">
            <w:rPr>
              <w:rFonts w:ascii="Cambria" w:hAnsi="Cambria" w:cs="Arial"/>
              <w:sz w:val="18"/>
              <w:szCs w:val="18"/>
            </w:rPr>
            <w:instrText xml:space="preserve"> TOC \o "1-3" \h \z \u </w:instrText>
          </w:r>
          <w:r w:rsidRPr="001C7A3C">
            <w:rPr>
              <w:rFonts w:ascii="Cambria" w:hAnsi="Cambria" w:cs="Arial"/>
              <w:sz w:val="18"/>
              <w:szCs w:val="18"/>
            </w:rPr>
            <w:fldChar w:fldCharType="separate"/>
          </w:r>
          <w:hyperlink w:anchor="_Toc225780167" w:history="1">
            <w:r w:rsidR="001C7A3C" w:rsidRPr="001C7A3C">
              <w:rPr>
                <w:rStyle w:val="Hyperlink"/>
                <w:rFonts w:ascii="Cambria" w:hAnsi="Cambria" w:cs="Arial"/>
                <w:noProof/>
                <w:lang w:val="en-US"/>
              </w:rPr>
              <w:t>1</w:t>
            </w:r>
            <w:r w:rsidR="001C7A3C" w:rsidRPr="001C7A3C">
              <w:rPr>
                <w:rFonts w:ascii="Cambria" w:hAnsi="Cambria"/>
                <w:noProof/>
                <w:lang w:eastAsia="en-GB"/>
              </w:rPr>
              <w:tab/>
            </w:r>
            <w:r w:rsidR="001C7A3C" w:rsidRPr="001C7A3C">
              <w:rPr>
                <w:rStyle w:val="Hyperlink"/>
                <w:rFonts w:ascii="Cambria" w:hAnsi="Cambria" w:cs="Arial"/>
                <w:noProof/>
                <w:lang w:val="en-US"/>
              </w:rPr>
              <w:t>Supplementary Method 1: Processing Prescriptions and Defining Prescription Episodes</w:t>
            </w:r>
            <w:r w:rsidR="001C7A3C" w:rsidRPr="001C7A3C">
              <w:rPr>
                <w:rFonts w:ascii="Cambria" w:hAnsi="Cambria"/>
                <w:noProof/>
                <w:webHidden/>
              </w:rPr>
              <w:tab/>
            </w:r>
            <w:r w:rsidR="001C7A3C" w:rsidRPr="001C7A3C">
              <w:rPr>
                <w:rFonts w:ascii="Cambria" w:hAnsi="Cambria"/>
                <w:noProof/>
                <w:webHidden/>
              </w:rPr>
              <w:fldChar w:fldCharType="begin"/>
            </w:r>
            <w:r w:rsidR="001C7A3C" w:rsidRPr="001C7A3C">
              <w:rPr>
                <w:rFonts w:ascii="Cambria" w:hAnsi="Cambria"/>
                <w:noProof/>
                <w:webHidden/>
              </w:rPr>
              <w:instrText xml:space="preserve"> PAGEREF _Toc225780167 \h </w:instrText>
            </w:r>
            <w:r w:rsidR="001C7A3C" w:rsidRPr="001C7A3C">
              <w:rPr>
                <w:rFonts w:ascii="Cambria" w:hAnsi="Cambria"/>
                <w:noProof/>
                <w:webHidden/>
              </w:rPr>
            </w:r>
            <w:r w:rsidR="001C7A3C" w:rsidRPr="001C7A3C">
              <w:rPr>
                <w:rFonts w:ascii="Cambria" w:hAnsi="Cambria"/>
                <w:noProof/>
                <w:webHidden/>
              </w:rPr>
              <w:fldChar w:fldCharType="separate"/>
            </w:r>
            <w:r w:rsidR="001C7A3C" w:rsidRPr="001C7A3C">
              <w:rPr>
                <w:rFonts w:ascii="Cambria" w:hAnsi="Cambria"/>
                <w:noProof/>
                <w:webHidden/>
              </w:rPr>
              <w:t>2</w:t>
            </w:r>
            <w:r w:rsidR="001C7A3C" w:rsidRPr="001C7A3C">
              <w:rPr>
                <w:rFonts w:ascii="Cambria" w:hAnsi="Cambria"/>
                <w:noProof/>
                <w:webHidden/>
              </w:rPr>
              <w:fldChar w:fldCharType="end"/>
            </w:r>
          </w:hyperlink>
        </w:p>
        <w:p w14:paraId="65B543B4" w14:textId="3F9ABA5D" w:rsidR="001C7A3C" w:rsidRPr="001C7A3C" w:rsidRDefault="006F0006">
          <w:pPr>
            <w:pStyle w:val="TOC1"/>
            <w:tabs>
              <w:tab w:val="left" w:pos="440"/>
              <w:tab w:val="right" w:leader="dot" w:pos="9016"/>
            </w:tabs>
            <w:rPr>
              <w:rFonts w:ascii="Cambria" w:hAnsi="Cambria"/>
              <w:noProof/>
              <w:lang w:eastAsia="en-GB"/>
            </w:rPr>
          </w:pPr>
          <w:hyperlink w:anchor="_Toc225780168" w:history="1">
            <w:r w:rsidR="001C7A3C" w:rsidRPr="001C7A3C">
              <w:rPr>
                <w:rStyle w:val="Hyperlink"/>
                <w:rFonts w:ascii="Cambria" w:hAnsi="Cambria"/>
                <w:noProof/>
                <w:lang w:val="en-US"/>
              </w:rPr>
              <w:t>2</w:t>
            </w:r>
            <w:r w:rsidR="001C7A3C" w:rsidRPr="001C7A3C">
              <w:rPr>
                <w:rFonts w:ascii="Cambria" w:hAnsi="Cambria"/>
                <w:noProof/>
                <w:lang w:eastAsia="en-GB"/>
              </w:rPr>
              <w:tab/>
            </w:r>
            <w:r w:rsidR="001C7A3C" w:rsidRPr="001C7A3C">
              <w:rPr>
                <w:rStyle w:val="Hyperlink"/>
                <w:rFonts w:ascii="Cambria" w:hAnsi="Cambria"/>
                <w:noProof/>
                <w:lang w:val="en-US"/>
              </w:rPr>
              <w:t>Supplementary Method 2: Defining Antidepressant Outcomes</w:t>
            </w:r>
            <w:r w:rsidR="001C7A3C" w:rsidRPr="001C7A3C">
              <w:rPr>
                <w:rFonts w:ascii="Cambria" w:hAnsi="Cambria"/>
                <w:noProof/>
                <w:webHidden/>
              </w:rPr>
              <w:tab/>
            </w:r>
            <w:r w:rsidR="001C7A3C" w:rsidRPr="001C7A3C">
              <w:rPr>
                <w:rFonts w:ascii="Cambria" w:hAnsi="Cambria"/>
                <w:noProof/>
                <w:webHidden/>
              </w:rPr>
              <w:fldChar w:fldCharType="begin"/>
            </w:r>
            <w:r w:rsidR="001C7A3C" w:rsidRPr="001C7A3C">
              <w:rPr>
                <w:rFonts w:ascii="Cambria" w:hAnsi="Cambria"/>
                <w:noProof/>
                <w:webHidden/>
              </w:rPr>
              <w:instrText xml:space="preserve"> PAGEREF _Toc225780168 \h </w:instrText>
            </w:r>
            <w:r w:rsidR="001C7A3C" w:rsidRPr="001C7A3C">
              <w:rPr>
                <w:rFonts w:ascii="Cambria" w:hAnsi="Cambria"/>
                <w:noProof/>
                <w:webHidden/>
              </w:rPr>
            </w:r>
            <w:r w:rsidR="001C7A3C" w:rsidRPr="001C7A3C">
              <w:rPr>
                <w:rFonts w:ascii="Cambria" w:hAnsi="Cambria"/>
                <w:noProof/>
                <w:webHidden/>
              </w:rPr>
              <w:fldChar w:fldCharType="separate"/>
            </w:r>
            <w:r w:rsidR="001C7A3C" w:rsidRPr="001C7A3C">
              <w:rPr>
                <w:rFonts w:ascii="Cambria" w:hAnsi="Cambria"/>
                <w:noProof/>
                <w:webHidden/>
              </w:rPr>
              <w:t>3</w:t>
            </w:r>
            <w:r w:rsidR="001C7A3C" w:rsidRPr="001C7A3C">
              <w:rPr>
                <w:rFonts w:ascii="Cambria" w:hAnsi="Cambria"/>
                <w:noProof/>
                <w:webHidden/>
              </w:rPr>
              <w:fldChar w:fldCharType="end"/>
            </w:r>
          </w:hyperlink>
        </w:p>
        <w:p w14:paraId="75F341C1" w14:textId="3D001A9D" w:rsidR="001C7A3C" w:rsidRPr="001C7A3C" w:rsidRDefault="006F0006">
          <w:pPr>
            <w:pStyle w:val="TOC1"/>
            <w:tabs>
              <w:tab w:val="left" w:pos="440"/>
              <w:tab w:val="right" w:leader="dot" w:pos="9016"/>
            </w:tabs>
            <w:rPr>
              <w:rFonts w:ascii="Cambria" w:hAnsi="Cambria"/>
              <w:noProof/>
              <w:lang w:eastAsia="en-GB"/>
            </w:rPr>
          </w:pPr>
          <w:hyperlink w:anchor="_Toc225780169" w:history="1">
            <w:r w:rsidR="001C7A3C" w:rsidRPr="001C7A3C">
              <w:rPr>
                <w:rStyle w:val="Hyperlink"/>
                <w:rFonts w:ascii="Cambria" w:hAnsi="Cambria"/>
                <w:noProof/>
                <w:lang w:val="en-US"/>
              </w:rPr>
              <w:t>3</w:t>
            </w:r>
            <w:r w:rsidR="001C7A3C" w:rsidRPr="001C7A3C">
              <w:rPr>
                <w:rFonts w:ascii="Cambria" w:hAnsi="Cambria"/>
                <w:noProof/>
                <w:lang w:eastAsia="en-GB"/>
              </w:rPr>
              <w:tab/>
            </w:r>
            <w:r w:rsidR="001C7A3C" w:rsidRPr="001C7A3C">
              <w:rPr>
                <w:rStyle w:val="Hyperlink"/>
                <w:rFonts w:ascii="Cambria" w:hAnsi="Cambria"/>
                <w:noProof/>
                <w:lang w:val="en-US"/>
              </w:rPr>
              <w:t>Supplementary Methods 3: Pooled Antidepressant Outcomes</w:t>
            </w:r>
            <w:r w:rsidR="001C7A3C" w:rsidRPr="001C7A3C">
              <w:rPr>
                <w:rFonts w:ascii="Cambria" w:hAnsi="Cambria"/>
                <w:noProof/>
                <w:webHidden/>
              </w:rPr>
              <w:tab/>
            </w:r>
            <w:r w:rsidR="001C7A3C" w:rsidRPr="001C7A3C">
              <w:rPr>
                <w:rFonts w:ascii="Cambria" w:hAnsi="Cambria"/>
                <w:noProof/>
                <w:webHidden/>
              </w:rPr>
              <w:fldChar w:fldCharType="begin"/>
            </w:r>
            <w:r w:rsidR="001C7A3C" w:rsidRPr="001C7A3C">
              <w:rPr>
                <w:rFonts w:ascii="Cambria" w:hAnsi="Cambria"/>
                <w:noProof/>
                <w:webHidden/>
              </w:rPr>
              <w:instrText xml:space="preserve"> PAGEREF _Toc225780169 \h </w:instrText>
            </w:r>
            <w:r w:rsidR="001C7A3C" w:rsidRPr="001C7A3C">
              <w:rPr>
                <w:rFonts w:ascii="Cambria" w:hAnsi="Cambria"/>
                <w:noProof/>
                <w:webHidden/>
              </w:rPr>
            </w:r>
            <w:r w:rsidR="001C7A3C" w:rsidRPr="001C7A3C">
              <w:rPr>
                <w:rFonts w:ascii="Cambria" w:hAnsi="Cambria"/>
                <w:noProof/>
                <w:webHidden/>
              </w:rPr>
              <w:fldChar w:fldCharType="separate"/>
            </w:r>
            <w:r w:rsidR="001C7A3C" w:rsidRPr="001C7A3C">
              <w:rPr>
                <w:rFonts w:ascii="Cambria" w:hAnsi="Cambria"/>
                <w:noProof/>
                <w:webHidden/>
              </w:rPr>
              <w:t>5</w:t>
            </w:r>
            <w:r w:rsidR="001C7A3C" w:rsidRPr="001C7A3C">
              <w:rPr>
                <w:rFonts w:ascii="Cambria" w:hAnsi="Cambria"/>
                <w:noProof/>
                <w:webHidden/>
              </w:rPr>
              <w:fldChar w:fldCharType="end"/>
            </w:r>
          </w:hyperlink>
        </w:p>
        <w:p w14:paraId="102E8280" w14:textId="7F97BB0D" w:rsidR="001C7A3C" w:rsidRPr="001C7A3C" w:rsidRDefault="006F0006">
          <w:pPr>
            <w:pStyle w:val="TOC1"/>
            <w:tabs>
              <w:tab w:val="left" w:pos="440"/>
              <w:tab w:val="right" w:leader="dot" w:pos="9016"/>
            </w:tabs>
            <w:rPr>
              <w:rFonts w:ascii="Cambria" w:hAnsi="Cambria"/>
              <w:noProof/>
              <w:lang w:eastAsia="en-GB"/>
            </w:rPr>
          </w:pPr>
          <w:hyperlink w:anchor="_Toc225780170" w:history="1">
            <w:r w:rsidR="001C7A3C" w:rsidRPr="001C7A3C">
              <w:rPr>
                <w:rStyle w:val="Hyperlink"/>
                <w:rFonts w:ascii="Cambria" w:hAnsi="Cambria"/>
                <w:noProof/>
                <w:lang w:val="en-US"/>
              </w:rPr>
              <w:t>4</w:t>
            </w:r>
            <w:r w:rsidR="001C7A3C" w:rsidRPr="001C7A3C">
              <w:rPr>
                <w:rFonts w:ascii="Cambria" w:hAnsi="Cambria"/>
                <w:noProof/>
                <w:lang w:eastAsia="en-GB"/>
              </w:rPr>
              <w:tab/>
            </w:r>
            <w:r w:rsidR="001C7A3C" w:rsidRPr="001C7A3C">
              <w:rPr>
                <w:rStyle w:val="Hyperlink"/>
                <w:rFonts w:ascii="Cambria" w:hAnsi="Cambria"/>
                <w:noProof/>
                <w:lang w:val="en-US"/>
              </w:rPr>
              <w:t>Supplementary Results 1: Associations of Covariates with Pooled Antidepressant Switching</w:t>
            </w:r>
            <w:r w:rsidR="001C7A3C" w:rsidRPr="001C7A3C">
              <w:rPr>
                <w:rFonts w:ascii="Cambria" w:hAnsi="Cambria"/>
                <w:noProof/>
                <w:webHidden/>
              </w:rPr>
              <w:tab/>
            </w:r>
            <w:r w:rsidR="001C7A3C" w:rsidRPr="001C7A3C">
              <w:rPr>
                <w:rFonts w:ascii="Cambria" w:hAnsi="Cambria"/>
                <w:noProof/>
                <w:webHidden/>
              </w:rPr>
              <w:fldChar w:fldCharType="begin"/>
            </w:r>
            <w:r w:rsidR="001C7A3C" w:rsidRPr="001C7A3C">
              <w:rPr>
                <w:rFonts w:ascii="Cambria" w:hAnsi="Cambria"/>
                <w:noProof/>
                <w:webHidden/>
              </w:rPr>
              <w:instrText xml:space="preserve"> PAGEREF _Toc225780170 \h </w:instrText>
            </w:r>
            <w:r w:rsidR="001C7A3C" w:rsidRPr="001C7A3C">
              <w:rPr>
                <w:rFonts w:ascii="Cambria" w:hAnsi="Cambria"/>
                <w:noProof/>
                <w:webHidden/>
              </w:rPr>
            </w:r>
            <w:r w:rsidR="001C7A3C" w:rsidRPr="001C7A3C">
              <w:rPr>
                <w:rFonts w:ascii="Cambria" w:hAnsi="Cambria"/>
                <w:noProof/>
                <w:webHidden/>
              </w:rPr>
              <w:fldChar w:fldCharType="separate"/>
            </w:r>
            <w:r w:rsidR="001C7A3C" w:rsidRPr="001C7A3C">
              <w:rPr>
                <w:rFonts w:ascii="Cambria" w:hAnsi="Cambria"/>
                <w:noProof/>
                <w:webHidden/>
              </w:rPr>
              <w:t>5</w:t>
            </w:r>
            <w:r w:rsidR="001C7A3C" w:rsidRPr="001C7A3C">
              <w:rPr>
                <w:rFonts w:ascii="Cambria" w:hAnsi="Cambria"/>
                <w:noProof/>
                <w:webHidden/>
              </w:rPr>
              <w:fldChar w:fldCharType="end"/>
            </w:r>
          </w:hyperlink>
        </w:p>
        <w:p w14:paraId="635125DD" w14:textId="6B04600E" w:rsidR="001C7A3C" w:rsidRPr="001C7A3C" w:rsidRDefault="006F0006">
          <w:pPr>
            <w:pStyle w:val="TOC1"/>
            <w:tabs>
              <w:tab w:val="left" w:pos="440"/>
              <w:tab w:val="right" w:leader="dot" w:pos="9016"/>
            </w:tabs>
            <w:rPr>
              <w:rFonts w:ascii="Cambria" w:hAnsi="Cambria"/>
              <w:noProof/>
              <w:lang w:eastAsia="en-GB"/>
            </w:rPr>
          </w:pPr>
          <w:hyperlink w:anchor="_Toc225780171" w:history="1">
            <w:r w:rsidR="001C7A3C" w:rsidRPr="001C7A3C">
              <w:rPr>
                <w:rStyle w:val="Hyperlink"/>
                <w:rFonts w:ascii="Cambria" w:hAnsi="Cambria" w:cs="Arial"/>
                <w:noProof/>
              </w:rPr>
              <w:t>5</w:t>
            </w:r>
            <w:r w:rsidR="001C7A3C" w:rsidRPr="001C7A3C">
              <w:rPr>
                <w:rFonts w:ascii="Cambria" w:hAnsi="Cambria"/>
                <w:noProof/>
                <w:lang w:eastAsia="en-GB"/>
              </w:rPr>
              <w:tab/>
            </w:r>
            <w:r w:rsidR="001C7A3C" w:rsidRPr="001C7A3C">
              <w:rPr>
                <w:rStyle w:val="Hyperlink"/>
                <w:rFonts w:ascii="Cambria" w:hAnsi="Cambria" w:cs="Arial"/>
                <w:noProof/>
              </w:rPr>
              <w:t>References</w:t>
            </w:r>
            <w:r w:rsidR="001C7A3C" w:rsidRPr="001C7A3C">
              <w:rPr>
                <w:rFonts w:ascii="Cambria" w:hAnsi="Cambria"/>
                <w:noProof/>
                <w:webHidden/>
              </w:rPr>
              <w:tab/>
            </w:r>
            <w:r w:rsidR="001C7A3C" w:rsidRPr="001C7A3C">
              <w:rPr>
                <w:rFonts w:ascii="Cambria" w:hAnsi="Cambria"/>
                <w:noProof/>
                <w:webHidden/>
              </w:rPr>
              <w:fldChar w:fldCharType="begin"/>
            </w:r>
            <w:r w:rsidR="001C7A3C" w:rsidRPr="001C7A3C">
              <w:rPr>
                <w:rFonts w:ascii="Cambria" w:hAnsi="Cambria"/>
                <w:noProof/>
                <w:webHidden/>
              </w:rPr>
              <w:instrText xml:space="preserve"> PAGEREF _Toc225780171 \h </w:instrText>
            </w:r>
            <w:r w:rsidR="001C7A3C" w:rsidRPr="001C7A3C">
              <w:rPr>
                <w:rFonts w:ascii="Cambria" w:hAnsi="Cambria"/>
                <w:noProof/>
                <w:webHidden/>
              </w:rPr>
            </w:r>
            <w:r w:rsidR="001C7A3C" w:rsidRPr="001C7A3C">
              <w:rPr>
                <w:rFonts w:ascii="Cambria" w:hAnsi="Cambria"/>
                <w:noProof/>
                <w:webHidden/>
              </w:rPr>
              <w:fldChar w:fldCharType="separate"/>
            </w:r>
            <w:r w:rsidR="001C7A3C" w:rsidRPr="001C7A3C">
              <w:rPr>
                <w:rFonts w:ascii="Cambria" w:hAnsi="Cambria"/>
                <w:noProof/>
                <w:webHidden/>
              </w:rPr>
              <w:t>6</w:t>
            </w:r>
            <w:r w:rsidR="001C7A3C" w:rsidRPr="001C7A3C">
              <w:rPr>
                <w:rFonts w:ascii="Cambria" w:hAnsi="Cambria"/>
                <w:noProof/>
                <w:webHidden/>
              </w:rPr>
              <w:fldChar w:fldCharType="end"/>
            </w:r>
          </w:hyperlink>
        </w:p>
        <w:p w14:paraId="5AB6CD0A" w14:textId="3B26866C" w:rsidR="000D683D" w:rsidRPr="001C7A3C" w:rsidRDefault="000D683D" w:rsidP="00035559">
          <w:pPr>
            <w:spacing w:line="240" w:lineRule="auto"/>
            <w:rPr>
              <w:rFonts w:ascii="Cambria" w:hAnsi="Cambria" w:cs="Arial"/>
              <w:sz w:val="20"/>
              <w:szCs w:val="20"/>
            </w:rPr>
          </w:pPr>
          <w:r w:rsidRPr="001C7A3C">
            <w:rPr>
              <w:rFonts w:ascii="Cambria" w:hAnsi="Cambria" w:cs="Arial"/>
              <w:b/>
              <w:bCs/>
              <w:sz w:val="18"/>
              <w:szCs w:val="18"/>
            </w:rPr>
            <w:fldChar w:fldCharType="end"/>
          </w:r>
        </w:p>
      </w:sdtContent>
    </w:sdt>
    <w:p w14:paraId="51C9F93B" w14:textId="77777777" w:rsidR="000D683D" w:rsidRPr="001C7A3C" w:rsidRDefault="000D683D" w:rsidP="00035559">
      <w:pPr>
        <w:pStyle w:val="BodyText"/>
        <w:spacing w:line="240" w:lineRule="auto"/>
        <w:rPr>
          <w:rFonts w:ascii="Cambria" w:hAnsi="Cambria" w:cs="Arial"/>
          <w:sz w:val="20"/>
          <w:szCs w:val="20"/>
          <w:lang w:val="en-US"/>
        </w:rPr>
      </w:pPr>
    </w:p>
    <w:p w14:paraId="322A2604" w14:textId="77777777" w:rsidR="00332E8A" w:rsidRPr="001C7A3C" w:rsidRDefault="00332E8A" w:rsidP="00035559">
      <w:pPr>
        <w:pStyle w:val="BodyText"/>
        <w:spacing w:line="240" w:lineRule="auto"/>
        <w:rPr>
          <w:rFonts w:ascii="Cambria" w:hAnsi="Cambria" w:cs="Arial"/>
          <w:b/>
          <w:bCs/>
          <w:sz w:val="20"/>
          <w:szCs w:val="20"/>
          <w:lang w:val="en-US"/>
        </w:rPr>
      </w:pPr>
    </w:p>
    <w:p w14:paraId="4572971D" w14:textId="44D6A20A" w:rsidR="00332E8A" w:rsidRPr="001C7A3C" w:rsidRDefault="00F21763" w:rsidP="00F21763">
      <w:pPr>
        <w:pStyle w:val="BodyText"/>
        <w:tabs>
          <w:tab w:val="left" w:pos="5850"/>
        </w:tabs>
        <w:spacing w:line="240" w:lineRule="auto"/>
        <w:rPr>
          <w:rFonts w:ascii="Cambria" w:hAnsi="Cambria" w:cs="Arial"/>
          <w:b/>
          <w:bCs/>
          <w:sz w:val="20"/>
          <w:szCs w:val="20"/>
          <w:lang w:val="en-US"/>
        </w:rPr>
      </w:pPr>
      <w:r w:rsidRPr="001C7A3C">
        <w:rPr>
          <w:rFonts w:ascii="Cambria" w:hAnsi="Cambria" w:cs="Arial"/>
          <w:b/>
          <w:bCs/>
          <w:sz w:val="20"/>
          <w:szCs w:val="20"/>
          <w:lang w:val="en-US"/>
        </w:rPr>
        <w:tab/>
      </w:r>
    </w:p>
    <w:p w14:paraId="46767657" w14:textId="77777777" w:rsidR="00332E8A" w:rsidRPr="001C7A3C" w:rsidRDefault="00332E8A" w:rsidP="00035559">
      <w:pPr>
        <w:pStyle w:val="BodyText"/>
        <w:spacing w:line="240" w:lineRule="auto"/>
        <w:rPr>
          <w:rFonts w:ascii="Cambria" w:hAnsi="Cambria" w:cs="Arial"/>
          <w:b/>
          <w:bCs/>
          <w:sz w:val="20"/>
          <w:szCs w:val="20"/>
          <w:lang w:val="en-US"/>
        </w:rPr>
      </w:pPr>
    </w:p>
    <w:p w14:paraId="1F0730B0" w14:textId="3ECC079B" w:rsidR="00332E8A" w:rsidRPr="001C7A3C" w:rsidRDefault="00332E8A" w:rsidP="00035559">
      <w:pPr>
        <w:pStyle w:val="BodyText"/>
        <w:spacing w:line="240" w:lineRule="auto"/>
        <w:rPr>
          <w:rFonts w:ascii="Cambria" w:hAnsi="Cambria" w:cs="Arial"/>
          <w:b/>
          <w:bCs/>
          <w:sz w:val="20"/>
          <w:szCs w:val="20"/>
          <w:lang w:val="en-US"/>
        </w:rPr>
      </w:pPr>
    </w:p>
    <w:p w14:paraId="12CD4D4F" w14:textId="77777777" w:rsidR="00A057A5" w:rsidRPr="001C7A3C" w:rsidRDefault="00A057A5" w:rsidP="00035559">
      <w:pPr>
        <w:pStyle w:val="BodyText"/>
        <w:spacing w:line="240" w:lineRule="auto"/>
        <w:rPr>
          <w:rFonts w:ascii="Cambria" w:hAnsi="Cambria" w:cs="Arial"/>
          <w:b/>
          <w:bCs/>
          <w:sz w:val="20"/>
          <w:szCs w:val="20"/>
          <w:lang w:val="en-US"/>
        </w:rPr>
      </w:pPr>
    </w:p>
    <w:p w14:paraId="5E08B817" w14:textId="77777777" w:rsidR="00A057A5" w:rsidRPr="001C7A3C" w:rsidRDefault="00A057A5" w:rsidP="00035559">
      <w:pPr>
        <w:pStyle w:val="BodyText"/>
        <w:spacing w:line="240" w:lineRule="auto"/>
        <w:rPr>
          <w:rFonts w:ascii="Cambria" w:hAnsi="Cambria" w:cs="Arial"/>
          <w:b/>
          <w:bCs/>
          <w:sz w:val="20"/>
          <w:szCs w:val="20"/>
          <w:lang w:val="en-US"/>
        </w:rPr>
      </w:pPr>
    </w:p>
    <w:p w14:paraId="68EF98B6" w14:textId="77777777" w:rsidR="00A057A5" w:rsidRPr="001C7A3C" w:rsidRDefault="00A057A5" w:rsidP="00035559">
      <w:pPr>
        <w:pStyle w:val="BodyText"/>
        <w:spacing w:line="240" w:lineRule="auto"/>
        <w:rPr>
          <w:rFonts w:ascii="Cambria" w:hAnsi="Cambria" w:cs="Arial"/>
          <w:b/>
          <w:bCs/>
          <w:sz w:val="20"/>
          <w:szCs w:val="20"/>
          <w:lang w:val="en-US"/>
        </w:rPr>
      </w:pPr>
    </w:p>
    <w:p w14:paraId="2104F204" w14:textId="77777777" w:rsidR="00A057A5" w:rsidRPr="001C7A3C" w:rsidRDefault="00A057A5" w:rsidP="00035559">
      <w:pPr>
        <w:pStyle w:val="BodyText"/>
        <w:spacing w:line="240" w:lineRule="auto"/>
        <w:rPr>
          <w:rFonts w:ascii="Cambria" w:hAnsi="Cambria" w:cs="Arial"/>
          <w:b/>
          <w:bCs/>
          <w:sz w:val="20"/>
          <w:szCs w:val="20"/>
          <w:lang w:val="en-US"/>
        </w:rPr>
      </w:pPr>
    </w:p>
    <w:p w14:paraId="0E17A940" w14:textId="77777777" w:rsidR="00A057A5" w:rsidRPr="001C7A3C" w:rsidRDefault="00A057A5" w:rsidP="00035559">
      <w:pPr>
        <w:pStyle w:val="BodyText"/>
        <w:spacing w:line="240" w:lineRule="auto"/>
        <w:rPr>
          <w:rFonts w:ascii="Cambria" w:hAnsi="Cambria" w:cs="Arial"/>
          <w:b/>
          <w:bCs/>
          <w:sz w:val="20"/>
          <w:szCs w:val="20"/>
          <w:lang w:val="en-US"/>
        </w:rPr>
      </w:pPr>
    </w:p>
    <w:p w14:paraId="62C9AAE4" w14:textId="77777777" w:rsidR="00A057A5" w:rsidRPr="001C7A3C" w:rsidRDefault="00A057A5" w:rsidP="00035559">
      <w:pPr>
        <w:pStyle w:val="BodyText"/>
        <w:spacing w:line="240" w:lineRule="auto"/>
        <w:rPr>
          <w:rFonts w:ascii="Cambria" w:hAnsi="Cambria" w:cs="Arial"/>
          <w:b/>
          <w:bCs/>
          <w:sz w:val="20"/>
          <w:szCs w:val="20"/>
          <w:lang w:val="en-US"/>
        </w:rPr>
      </w:pPr>
    </w:p>
    <w:p w14:paraId="440961FA" w14:textId="77777777" w:rsidR="00A057A5" w:rsidRPr="001C7A3C" w:rsidRDefault="00A057A5" w:rsidP="00035559">
      <w:pPr>
        <w:pStyle w:val="BodyText"/>
        <w:spacing w:line="240" w:lineRule="auto"/>
        <w:rPr>
          <w:rFonts w:ascii="Cambria" w:hAnsi="Cambria" w:cs="Arial"/>
          <w:b/>
          <w:bCs/>
          <w:sz w:val="20"/>
          <w:szCs w:val="20"/>
          <w:lang w:val="en-US"/>
        </w:rPr>
      </w:pPr>
    </w:p>
    <w:p w14:paraId="293675DD" w14:textId="77777777" w:rsidR="00A057A5" w:rsidRPr="001C7A3C" w:rsidRDefault="00A057A5" w:rsidP="00035559">
      <w:pPr>
        <w:pStyle w:val="BodyText"/>
        <w:spacing w:line="240" w:lineRule="auto"/>
        <w:rPr>
          <w:rFonts w:ascii="Cambria" w:hAnsi="Cambria" w:cs="Arial"/>
          <w:b/>
          <w:bCs/>
          <w:sz w:val="20"/>
          <w:szCs w:val="20"/>
          <w:lang w:val="en-US"/>
        </w:rPr>
      </w:pPr>
    </w:p>
    <w:p w14:paraId="274D6298" w14:textId="77777777" w:rsidR="00A057A5" w:rsidRPr="001C7A3C" w:rsidRDefault="00A057A5" w:rsidP="00035559">
      <w:pPr>
        <w:pStyle w:val="BodyText"/>
        <w:spacing w:line="240" w:lineRule="auto"/>
        <w:rPr>
          <w:rFonts w:ascii="Cambria" w:hAnsi="Cambria" w:cs="Arial"/>
          <w:b/>
          <w:bCs/>
          <w:sz w:val="20"/>
          <w:szCs w:val="20"/>
          <w:lang w:val="en-US"/>
        </w:rPr>
      </w:pPr>
    </w:p>
    <w:p w14:paraId="59451FAD" w14:textId="77777777" w:rsidR="00A057A5" w:rsidRPr="001C7A3C" w:rsidRDefault="00A057A5" w:rsidP="00035559">
      <w:pPr>
        <w:pStyle w:val="BodyText"/>
        <w:spacing w:line="240" w:lineRule="auto"/>
        <w:rPr>
          <w:rFonts w:ascii="Cambria" w:hAnsi="Cambria" w:cs="Arial"/>
          <w:b/>
          <w:bCs/>
          <w:sz w:val="20"/>
          <w:szCs w:val="20"/>
          <w:lang w:val="en-US"/>
        </w:rPr>
      </w:pPr>
    </w:p>
    <w:p w14:paraId="7AEEA96A" w14:textId="77777777" w:rsidR="00A057A5" w:rsidRPr="001C7A3C" w:rsidRDefault="00A057A5" w:rsidP="00035559">
      <w:pPr>
        <w:pStyle w:val="BodyText"/>
        <w:spacing w:line="240" w:lineRule="auto"/>
        <w:rPr>
          <w:rFonts w:ascii="Cambria" w:hAnsi="Cambria" w:cs="Arial"/>
          <w:b/>
          <w:bCs/>
          <w:sz w:val="20"/>
          <w:szCs w:val="20"/>
          <w:lang w:val="en-US"/>
        </w:rPr>
      </w:pPr>
    </w:p>
    <w:p w14:paraId="0D87E0CC" w14:textId="77777777" w:rsidR="00A057A5" w:rsidRPr="001C7A3C" w:rsidRDefault="00A057A5" w:rsidP="00035559">
      <w:pPr>
        <w:pStyle w:val="BodyText"/>
        <w:spacing w:line="240" w:lineRule="auto"/>
        <w:rPr>
          <w:rFonts w:ascii="Cambria" w:hAnsi="Cambria" w:cs="Arial"/>
          <w:b/>
          <w:bCs/>
          <w:sz w:val="20"/>
          <w:szCs w:val="20"/>
          <w:lang w:val="en-US"/>
        </w:rPr>
      </w:pPr>
    </w:p>
    <w:p w14:paraId="78C03F49" w14:textId="77777777" w:rsidR="00A057A5" w:rsidRPr="001C7A3C" w:rsidRDefault="00A057A5" w:rsidP="00035559">
      <w:pPr>
        <w:pStyle w:val="BodyText"/>
        <w:spacing w:line="240" w:lineRule="auto"/>
        <w:rPr>
          <w:rFonts w:ascii="Cambria" w:hAnsi="Cambria" w:cs="Arial"/>
          <w:b/>
          <w:bCs/>
          <w:sz w:val="20"/>
          <w:szCs w:val="20"/>
          <w:lang w:val="en-US"/>
        </w:rPr>
      </w:pPr>
    </w:p>
    <w:p w14:paraId="3FEF065F" w14:textId="77777777" w:rsidR="00A057A5" w:rsidRPr="001C7A3C" w:rsidRDefault="00A057A5" w:rsidP="00035559">
      <w:pPr>
        <w:pStyle w:val="BodyText"/>
        <w:spacing w:line="240" w:lineRule="auto"/>
        <w:rPr>
          <w:rFonts w:ascii="Cambria" w:hAnsi="Cambria" w:cs="Arial"/>
          <w:b/>
          <w:bCs/>
          <w:sz w:val="20"/>
          <w:szCs w:val="20"/>
          <w:lang w:val="en-US"/>
        </w:rPr>
      </w:pPr>
    </w:p>
    <w:p w14:paraId="1A04DF44" w14:textId="77777777" w:rsidR="00A057A5" w:rsidRPr="001C7A3C" w:rsidRDefault="00A057A5" w:rsidP="00035559">
      <w:pPr>
        <w:pStyle w:val="BodyText"/>
        <w:spacing w:line="240" w:lineRule="auto"/>
        <w:rPr>
          <w:rFonts w:ascii="Cambria" w:hAnsi="Cambria" w:cs="Arial"/>
          <w:b/>
          <w:bCs/>
          <w:sz w:val="20"/>
          <w:szCs w:val="20"/>
          <w:lang w:val="en-US"/>
        </w:rPr>
      </w:pPr>
    </w:p>
    <w:p w14:paraId="41001262" w14:textId="77777777" w:rsidR="00A057A5" w:rsidRPr="001C7A3C" w:rsidRDefault="00A057A5" w:rsidP="00035559">
      <w:pPr>
        <w:pStyle w:val="BodyText"/>
        <w:spacing w:line="240" w:lineRule="auto"/>
        <w:rPr>
          <w:rFonts w:ascii="Cambria" w:hAnsi="Cambria" w:cs="Arial"/>
          <w:b/>
          <w:bCs/>
          <w:sz w:val="20"/>
          <w:szCs w:val="20"/>
          <w:lang w:val="en-US"/>
        </w:rPr>
      </w:pPr>
    </w:p>
    <w:p w14:paraId="0C150706" w14:textId="77777777" w:rsidR="00A057A5" w:rsidRPr="001C7A3C" w:rsidRDefault="00A057A5" w:rsidP="00035559">
      <w:pPr>
        <w:pStyle w:val="BodyText"/>
        <w:spacing w:line="240" w:lineRule="auto"/>
        <w:rPr>
          <w:rFonts w:ascii="Cambria" w:hAnsi="Cambria" w:cs="Arial"/>
          <w:b/>
          <w:bCs/>
          <w:sz w:val="20"/>
          <w:szCs w:val="20"/>
          <w:lang w:val="en-US"/>
        </w:rPr>
      </w:pPr>
    </w:p>
    <w:p w14:paraId="2F6313BD" w14:textId="77777777" w:rsidR="00A057A5" w:rsidRPr="001C7A3C" w:rsidRDefault="00A057A5" w:rsidP="00035559">
      <w:pPr>
        <w:pStyle w:val="BodyText"/>
        <w:spacing w:line="240" w:lineRule="auto"/>
        <w:rPr>
          <w:rFonts w:ascii="Cambria" w:hAnsi="Cambria" w:cs="Arial"/>
          <w:b/>
          <w:bCs/>
          <w:sz w:val="20"/>
          <w:szCs w:val="20"/>
          <w:lang w:val="en-US"/>
        </w:rPr>
      </w:pPr>
    </w:p>
    <w:p w14:paraId="1B8DB143" w14:textId="77777777" w:rsidR="00A057A5" w:rsidRPr="001C7A3C" w:rsidRDefault="00A057A5" w:rsidP="00035559">
      <w:pPr>
        <w:pStyle w:val="BodyText"/>
        <w:spacing w:line="240" w:lineRule="auto"/>
        <w:rPr>
          <w:rFonts w:ascii="Cambria" w:hAnsi="Cambria" w:cs="Arial"/>
          <w:b/>
          <w:bCs/>
          <w:sz w:val="20"/>
          <w:szCs w:val="20"/>
          <w:lang w:val="en-US"/>
        </w:rPr>
      </w:pPr>
    </w:p>
    <w:p w14:paraId="21862D49" w14:textId="77777777" w:rsidR="00A057A5" w:rsidRPr="001C7A3C" w:rsidRDefault="00A057A5" w:rsidP="00035559">
      <w:pPr>
        <w:pStyle w:val="BodyText"/>
        <w:spacing w:line="240" w:lineRule="auto"/>
        <w:rPr>
          <w:rFonts w:ascii="Cambria" w:hAnsi="Cambria" w:cs="Arial"/>
          <w:b/>
          <w:bCs/>
          <w:sz w:val="20"/>
          <w:szCs w:val="20"/>
          <w:lang w:val="en-US"/>
        </w:rPr>
      </w:pPr>
    </w:p>
    <w:p w14:paraId="52B81C7B" w14:textId="77777777" w:rsidR="003F07D8" w:rsidRPr="001C7A3C" w:rsidRDefault="003F07D8" w:rsidP="00035559">
      <w:pPr>
        <w:pStyle w:val="BodyText"/>
        <w:spacing w:line="240" w:lineRule="auto"/>
        <w:rPr>
          <w:rFonts w:ascii="Cambria" w:hAnsi="Cambria" w:cs="Arial"/>
          <w:b/>
          <w:bCs/>
          <w:sz w:val="20"/>
          <w:szCs w:val="20"/>
          <w:lang w:val="en-US"/>
        </w:rPr>
      </w:pPr>
    </w:p>
    <w:p w14:paraId="235A24BA" w14:textId="77777777" w:rsidR="003F07D8" w:rsidRPr="001C7A3C" w:rsidRDefault="003F07D8" w:rsidP="00035559">
      <w:pPr>
        <w:pStyle w:val="BodyText"/>
        <w:spacing w:line="240" w:lineRule="auto"/>
        <w:rPr>
          <w:rFonts w:ascii="Cambria" w:hAnsi="Cambria" w:cs="Arial"/>
          <w:b/>
          <w:bCs/>
          <w:sz w:val="20"/>
          <w:szCs w:val="20"/>
          <w:lang w:val="en-US"/>
        </w:rPr>
      </w:pPr>
    </w:p>
    <w:p w14:paraId="41C01B0A" w14:textId="77777777" w:rsidR="0095567F" w:rsidRPr="001C7A3C" w:rsidRDefault="0095567F" w:rsidP="00035559">
      <w:pPr>
        <w:pStyle w:val="BodyText"/>
        <w:spacing w:line="240" w:lineRule="auto"/>
        <w:rPr>
          <w:rFonts w:ascii="Cambria" w:hAnsi="Cambria" w:cs="Arial"/>
          <w:b/>
          <w:bCs/>
          <w:sz w:val="20"/>
          <w:szCs w:val="20"/>
          <w:lang w:val="en-US"/>
        </w:rPr>
      </w:pPr>
    </w:p>
    <w:p w14:paraId="09AEA858" w14:textId="1BEE8DEF" w:rsidR="00332E8A" w:rsidRPr="001C7A3C" w:rsidRDefault="00F8239F" w:rsidP="00BD00A3">
      <w:pPr>
        <w:pStyle w:val="Heading1"/>
        <w:spacing w:line="240" w:lineRule="auto"/>
        <w:rPr>
          <w:rFonts w:ascii="Cambria" w:hAnsi="Cambria" w:cs="Arial"/>
          <w:b w:val="0"/>
          <w:bCs w:val="0"/>
          <w:lang w:val="en-US"/>
        </w:rPr>
      </w:pPr>
      <w:bookmarkStart w:id="0" w:name="_Toc225780167"/>
      <w:r w:rsidRPr="001C7A3C">
        <w:rPr>
          <w:rFonts w:ascii="Cambria" w:hAnsi="Cambria" w:cs="Arial"/>
          <w:b w:val="0"/>
          <w:bCs w:val="0"/>
          <w:lang w:val="en-US"/>
        </w:rPr>
        <w:t>Supplementary M</w:t>
      </w:r>
      <w:r w:rsidR="00D62C47" w:rsidRPr="001C7A3C">
        <w:rPr>
          <w:rFonts w:ascii="Cambria" w:hAnsi="Cambria" w:cs="Arial"/>
          <w:b w:val="0"/>
          <w:bCs w:val="0"/>
          <w:lang w:val="en-US"/>
        </w:rPr>
        <w:t>ethod</w:t>
      </w:r>
      <w:r w:rsidRPr="001C7A3C">
        <w:rPr>
          <w:rFonts w:ascii="Cambria" w:hAnsi="Cambria" w:cs="Arial"/>
          <w:b w:val="0"/>
          <w:bCs w:val="0"/>
          <w:lang w:val="en-US"/>
        </w:rPr>
        <w:t xml:space="preserve"> 1: </w:t>
      </w:r>
      <w:r w:rsidR="00F86C3F" w:rsidRPr="001C7A3C">
        <w:rPr>
          <w:rFonts w:ascii="Cambria" w:hAnsi="Cambria" w:cs="Arial"/>
          <w:b w:val="0"/>
          <w:bCs w:val="0"/>
          <w:lang w:val="en-US"/>
        </w:rPr>
        <w:t xml:space="preserve">Processing </w:t>
      </w:r>
      <w:r w:rsidR="00A27AA4" w:rsidRPr="001C7A3C">
        <w:rPr>
          <w:rFonts w:ascii="Cambria" w:hAnsi="Cambria" w:cs="Arial"/>
          <w:b w:val="0"/>
          <w:bCs w:val="0"/>
          <w:lang w:val="en-US"/>
        </w:rPr>
        <w:t xml:space="preserve">Prescriptions </w:t>
      </w:r>
      <w:r w:rsidR="00F86C3F" w:rsidRPr="001C7A3C">
        <w:rPr>
          <w:rFonts w:ascii="Cambria" w:hAnsi="Cambria" w:cs="Arial"/>
          <w:b w:val="0"/>
          <w:bCs w:val="0"/>
          <w:lang w:val="en-US"/>
        </w:rPr>
        <w:t>and Defining Prescription Episodes</w:t>
      </w:r>
      <w:bookmarkEnd w:id="0"/>
    </w:p>
    <w:p w14:paraId="425E5980" w14:textId="12880A62" w:rsidR="001A2827" w:rsidRPr="001C7A3C" w:rsidRDefault="001A2827" w:rsidP="00035559">
      <w:pPr>
        <w:pStyle w:val="FirstParagraph"/>
        <w:spacing w:line="240" w:lineRule="auto"/>
        <w:rPr>
          <w:rFonts w:ascii="Cambria" w:hAnsi="Cambria" w:cs="Arial"/>
          <w:b/>
          <w:bCs/>
          <w:sz w:val="20"/>
          <w:szCs w:val="20"/>
        </w:rPr>
      </w:pPr>
      <w:r w:rsidRPr="001C7A3C">
        <w:rPr>
          <w:rFonts w:ascii="Cambria" w:hAnsi="Cambria" w:cs="Arial"/>
          <w:b/>
          <w:bCs/>
          <w:sz w:val="20"/>
          <w:szCs w:val="20"/>
        </w:rPr>
        <w:t xml:space="preserve">Identifying </w:t>
      </w:r>
      <w:r w:rsidR="00AA4336" w:rsidRPr="001C7A3C">
        <w:rPr>
          <w:rFonts w:ascii="Cambria" w:hAnsi="Cambria" w:cs="Arial"/>
          <w:b/>
          <w:bCs/>
          <w:sz w:val="20"/>
          <w:szCs w:val="20"/>
        </w:rPr>
        <w:t xml:space="preserve">episodes of </w:t>
      </w:r>
      <w:r w:rsidR="00C46796" w:rsidRPr="001C7A3C">
        <w:rPr>
          <w:rFonts w:ascii="Cambria" w:hAnsi="Cambria" w:cs="Arial"/>
          <w:b/>
          <w:bCs/>
          <w:sz w:val="20"/>
          <w:szCs w:val="20"/>
        </w:rPr>
        <w:t xml:space="preserve">antidepressant </w:t>
      </w:r>
      <w:r w:rsidR="00AA4336" w:rsidRPr="001C7A3C">
        <w:rPr>
          <w:rFonts w:ascii="Cambria" w:hAnsi="Cambria" w:cs="Arial"/>
          <w:b/>
          <w:bCs/>
          <w:sz w:val="20"/>
          <w:szCs w:val="20"/>
        </w:rPr>
        <w:t>prescriptions</w:t>
      </w:r>
    </w:p>
    <w:p w14:paraId="0EFA17A2" w14:textId="3732F8B0" w:rsidR="00E14E9B" w:rsidRPr="00223B6C" w:rsidRDefault="00134E49" w:rsidP="00035559">
      <w:pPr>
        <w:pStyle w:val="FirstParagraph"/>
        <w:spacing w:line="240" w:lineRule="auto"/>
        <w:rPr>
          <w:rFonts w:ascii="Cambria" w:hAnsi="Cambria" w:cs="Arial"/>
          <w:sz w:val="20"/>
          <w:szCs w:val="20"/>
        </w:rPr>
      </w:pPr>
      <w:r>
        <w:rPr>
          <w:rFonts w:ascii="Cambria" w:hAnsi="Cambria" w:cs="Arial"/>
          <w:sz w:val="20"/>
          <w:szCs w:val="20"/>
        </w:rPr>
        <w:t xml:space="preserve">There were </w:t>
      </w:r>
      <w:r w:rsidR="00223B6C" w:rsidRPr="00223B6C">
        <w:rPr>
          <w:rFonts w:ascii="Cambria" w:hAnsi="Cambria" w:cs="Arial"/>
          <w:sz w:val="20"/>
          <w:szCs w:val="20"/>
        </w:rPr>
        <w:t>135,789</w:t>
      </w:r>
      <w:r w:rsidR="00223B6C">
        <w:rPr>
          <w:rFonts w:ascii="Cambria" w:hAnsi="Cambria" w:cs="Arial"/>
          <w:sz w:val="20"/>
          <w:szCs w:val="20"/>
        </w:rPr>
        <w:t xml:space="preserve"> total participants with at least one antidepressant prescription</w:t>
      </w:r>
      <w:r w:rsidR="00EB7B64">
        <w:rPr>
          <w:rFonts w:ascii="Cambria" w:hAnsi="Cambria" w:cs="Arial"/>
          <w:sz w:val="20"/>
          <w:szCs w:val="20"/>
        </w:rPr>
        <w:t xml:space="preserve">, based on the </w:t>
      </w:r>
      <w:r w:rsidR="009238D8">
        <w:rPr>
          <w:rFonts w:ascii="Cambria" w:hAnsi="Cambria" w:cs="Arial"/>
          <w:sz w:val="20"/>
          <w:szCs w:val="20"/>
        </w:rPr>
        <w:t xml:space="preserve">AoU concepts IDs </w:t>
      </w:r>
      <w:r w:rsidR="009238D8" w:rsidRPr="009238D8">
        <w:rPr>
          <w:rFonts w:ascii="Cambria" w:hAnsi="Cambria" w:cs="Arial"/>
          <w:sz w:val="20"/>
          <w:szCs w:val="20"/>
        </w:rPr>
        <w:t xml:space="preserve">21604686, 21604729, </w:t>
      </w:r>
      <w:r w:rsidR="009238D8">
        <w:rPr>
          <w:rFonts w:ascii="Cambria" w:hAnsi="Cambria" w:cs="Arial"/>
          <w:sz w:val="20"/>
          <w:szCs w:val="20"/>
        </w:rPr>
        <w:t xml:space="preserve">and </w:t>
      </w:r>
      <w:r w:rsidR="009238D8" w:rsidRPr="009238D8">
        <w:rPr>
          <w:rFonts w:ascii="Cambria" w:hAnsi="Cambria" w:cs="Arial"/>
          <w:sz w:val="20"/>
          <w:szCs w:val="20"/>
        </w:rPr>
        <w:t>21604788</w:t>
      </w:r>
      <w:r w:rsidR="00223B6C">
        <w:rPr>
          <w:rFonts w:ascii="Cambria" w:hAnsi="Cambria" w:cs="Arial"/>
          <w:sz w:val="20"/>
          <w:szCs w:val="20"/>
        </w:rPr>
        <w:t xml:space="preserve">. </w:t>
      </w:r>
      <w:r w:rsidR="009238D8">
        <w:rPr>
          <w:rFonts w:ascii="Cambria" w:hAnsi="Cambria" w:cs="Arial"/>
          <w:sz w:val="20"/>
          <w:szCs w:val="20"/>
        </w:rPr>
        <w:t>First</w:t>
      </w:r>
      <w:r w:rsidR="00CA6235">
        <w:rPr>
          <w:rFonts w:ascii="Cambria" w:hAnsi="Cambria" w:cs="Arial"/>
          <w:sz w:val="20"/>
          <w:szCs w:val="20"/>
        </w:rPr>
        <w:t xml:space="preserve">, </w:t>
      </w:r>
      <w:r w:rsidR="009238D8">
        <w:rPr>
          <w:rFonts w:ascii="Cambria" w:hAnsi="Cambria" w:cs="Arial"/>
          <w:sz w:val="20"/>
          <w:szCs w:val="20"/>
        </w:rPr>
        <w:t xml:space="preserve">all amino acid </w:t>
      </w:r>
      <w:r w:rsidR="00CA6235">
        <w:rPr>
          <w:rFonts w:ascii="Cambria" w:hAnsi="Cambria" w:cs="Arial"/>
          <w:sz w:val="20"/>
          <w:szCs w:val="20"/>
        </w:rPr>
        <w:t>prescriptions</w:t>
      </w:r>
      <w:r w:rsidR="009238D8">
        <w:rPr>
          <w:rFonts w:ascii="Cambria" w:hAnsi="Cambria" w:cs="Arial"/>
          <w:sz w:val="20"/>
          <w:szCs w:val="20"/>
        </w:rPr>
        <w:t xml:space="preserve"> were removed</w:t>
      </w:r>
      <w:r w:rsidR="00E94E7A">
        <w:rPr>
          <w:rFonts w:ascii="Cambria" w:hAnsi="Cambria" w:cs="Arial"/>
          <w:sz w:val="20"/>
          <w:szCs w:val="20"/>
        </w:rPr>
        <w:t xml:space="preserve">, </w:t>
      </w:r>
      <w:r w:rsidR="00CA6235">
        <w:rPr>
          <w:rFonts w:ascii="Cambria" w:hAnsi="Cambria" w:cs="Arial"/>
          <w:sz w:val="20"/>
          <w:szCs w:val="20"/>
        </w:rPr>
        <w:t xml:space="preserve">resulting in </w:t>
      </w:r>
      <w:r w:rsidR="00CA6235" w:rsidRPr="00CA6235">
        <w:rPr>
          <w:rFonts w:ascii="Cambria" w:hAnsi="Cambria" w:cs="Arial"/>
          <w:sz w:val="20"/>
          <w:szCs w:val="20"/>
        </w:rPr>
        <w:t>135</w:t>
      </w:r>
      <w:r w:rsidR="00CA6235">
        <w:rPr>
          <w:rFonts w:ascii="Cambria" w:hAnsi="Cambria" w:cs="Arial"/>
          <w:sz w:val="20"/>
          <w:szCs w:val="20"/>
        </w:rPr>
        <w:t>,</w:t>
      </w:r>
      <w:r w:rsidR="00CA6235" w:rsidRPr="00CA6235">
        <w:rPr>
          <w:rFonts w:ascii="Cambria" w:hAnsi="Cambria" w:cs="Arial"/>
          <w:sz w:val="20"/>
          <w:szCs w:val="20"/>
        </w:rPr>
        <w:t>498</w:t>
      </w:r>
      <w:r w:rsidR="00CA6235">
        <w:rPr>
          <w:rFonts w:ascii="Cambria" w:hAnsi="Cambria" w:cs="Arial"/>
          <w:sz w:val="20"/>
          <w:szCs w:val="20"/>
        </w:rPr>
        <w:t xml:space="preserve"> participants. </w:t>
      </w:r>
      <w:r w:rsidR="000713A0" w:rsidRPr="001C7A3C">
        <w:rPr>
          <w:rFonts w:ascii="Cambria" w:hAnsi="Cambria" w:cs="Arial"/>
          <w:sz w:val="20"/>
          <w:szCs w:val="20"/>
        </w:rPr>
        <w:t>For the majority of prescriptions (~9</w:t>
      </w:r>
      <w:r w:rsidR="00FB3D89">
        <w:rPr>
          <w:rFonts w:ascii="Cambria" w:hAnsi="Cambria" w:cs="Arial"/>
          <w:sz w:val="20"/>
          <w:szCs w:val="20"/>
        </w:rPr>
        <w:t>4</w:t>
      </w:r>
      <w:r w:rsidR="000713A0" w:rsidRPr="001C7A3C">
        <w:rPr>
          <w:rFonts w:ascii="Cambria" w:hAnsi="Cambria" w:cs="Arial"/>
          <w:sz w:val="20"/>
          <w:szCs w:val="20"/>
        </w:rPr>
        <w:t xml:space="preserve">%), sufficient information was available to estimate prescription duration (PD), either through an explicit exposure end date or </w:t>
      </w:r>
      <w:r w:rsidR="00D0042D" w:rsidRPr="001C7A3C">
        <w:rPr>
          <w:rFonts w:ascii="Cambria" w:hAnsi="Cambria" w:cs="Arial"/>
          <w:sz w:val="20"/>
          <w:szCs w:val="20"/>
        </w:rPr>
        <w:t xml:space="preserve">simply </w:t>
      </w:r>
      <w:r w:rsidR="000713A0" w:rsidRPr="001C7A3C">
        <w:rPr>
          <w:rFonts w:ascii="Cambria" w:hAnsi="Cambria" w:cs="Arial"/>
          <w:sz w:val="20"/>
          <w:szCs w:val="20"/>
        </w:rPr>
        <w:t xml:space="preserve">through </w:t>
      </w:r>
      <w:r w:rsidR="00A60950" w:rsidRPr="001C7A3C">
        <w:rPr>
          <w:rFonts w:ascii="Cambria" w:hAnsi="Cambria" w:cs="Arial"/>
          <w:sz w:val="20"/>
          <w:szCs w:val="20"/>
        </w:rPr>
        <w:t xml:space="preserve">days’ supply </w:t>
      </w:r>
      <w:r w:rsidR="000713A0" w:rsidRPr="001C7A3C">
        <w:rPr>
          <w:rFonts w:ascii="Cambria" w:hAnsi="Cambria" w:cs="Arial"/>
          <w:sz w:val="20"/>
          <w:szCs w:val="20"/>
        </w:rPr>
        <w:t>information.</w:t>
      </w:r>
      <w:r w:rsidR="00D0042D" w:rsidRPr="001C7A3C">
        <w:rPr>
          <w:rFonts w:ascii="Cambria" w:hAnsi="Cambria" w:cs="Arial"/>
          <w:sz w:val="20"/>
          <w:szCs w:val="20"/>
        </w:rPr>
        <w:t xml:space="preserve"> </w:t>
      </w:r>
      <w:r w:rsidR="00A60950" w:rsidRPr="001C7A3C">
        <w:rPr>
          <w:rFonts w:ascii="Cambria" w:hAnsi="Cambria" w:cs="Arial"/>
          <w:sz w:val="20"/>
          <w:szCs w:val="20"/>
          <w:lang w:val="en-GB"/>
        </w:rPr>
        <w:t xml:space="preserve">When </w:t>
      </w:r>
      <w:r w:rsidR="00E14E9B" w:rsidRPr="001C7A3C">
        <w:rPr>
          <w:rFonts w:ascii="Cambria" w:hAnsi="Cambria" w:cs="Arial"/>
          <w:sz w:val="20"/>
          <w:szCs w:val="20"/>
          <w:lang w:val="en-GB"/>
        </w:rPr>
        <w:t xml:space="preserve">an explicit end date was available, PD was calculated as the difference between the end date and the start date of the prescription. All time variables were expressed in days. Prescriptions with an estimated PD of less than 1 day were considered implausible and excluded, as these likely reflect substantial inconsistencies in recorded </w:t>
      </w:r>
      <w:r w:rsidR="0017348C">
        <w:rPr>
          <w:rFonts w:ascii="Cambria" w:hAnsi="Cambria" w:cs="Arial"/>
          <w:sz w:val="20"/>
          <w:szCs w:val="20"/>
          <w:lang w:val="en-GB"/>
        </w:rPr>
        <w:t xml:space="preserve">day’s supply </w:t>
      </w:r>
      <w:r w:rsidR="00E14E9B" w:rsidRPr="001C7A3C">
        <w:rPr>
          <w:rFonts w:ascii="Cambria" w:hAnsi="Cambria" w:cs="Arial"/>
          <w:sz w:val="20"/>
          <w:szCs w:val="20"/>
          <w:lang w:val="en-GB"/>
        </w:rPr>
        <w:t xml:space="preserve">or </w:t>
      </w:r>
      <w:r w:rsidR="0017348C">
        <w:rPr>
          <w:rFonts w:ascii="Cambria" w:hAnsi="Cambria" w:cs="Arial"/>
          <w:sz w:val="20"/>
          <w:szCs w:val="20"/>
          <w:lang w:val="en-GB"/>
        </w:rPr>
        <w:t xml:space="preserve">exposure end date fields. </w:t>
      </w:r>
      <w:r w:rsidR="00E14E9B" w:rsidRPr="001C7A3C">
        <w:rPr>
          <w:rFonts w:ascii="Cambria" w:hAnsi="Cambria" w:cs="Arial"/>
          <w:sz w:val="20"/>
          <w:szCs w:val="20"/>
          <w:lang w:val="en-GB"/>
        </w:rPr>
        <w:t xml:space="preserve">For prescriptions with insufficient information to calculate PD (approximately </w:t>
      </w:r>
      <w:r w:rsidR="00FB3D89">
        <w:rPr>
          <w:rFonts w:ascii="Cambria" w:hAnsi="Cambria" w:cs="Arial"/>
          <w:sz w:val="20"/>
          <w:szCs w:val="20"/>
          <w:lang w:val="en-GB"/>
        </w:rPr>
        <w:t>6</w:t>
      </w:r>
      <w:r w:rsidR="00E14E9B" w:rsidRPr="001C7A3C">
        <w:rPr>
          <w:rFonts w:ascii="Cambria" w:hAnsi="Cambria" w:cs="Arial"/>
          <w:sz w:val="20"/>
          <w:szCs w:val="20"/>
          <w:lang w:val="en-GB"/>
        </w:rPr>
        <w:t xml:space="preserve">%), including missing </w:t>
      </w:r>
      <w:r w:rsidR="0026226D">
        <w:rPr>
          <w:rFonts w:ascii="Cambria" w:hAnsi="Cambria" w:cs="Arial"/>
          <w:sz w:val="20"/>
          <w:szCs w:val="20"/>
          <w:lang w:val="en-GB"/>
        </w:rPr>
        <w:t xml:space="preserve">day’s supply </w:t>
      </w:r>
      <w:r w:rsidR="00E14E9B" w:rsidRPr="001C7A3C">
        <w:rPr>
          <w:rFonts w:ascii="Cambria" w:hAnsi="Cambria" w:cs="Arial"/>
          <w:sz w:val="20"/>
          <w:szCs w:val="20"/>
          <w:lang w:val="en-GB"/>
        </w:rPr>
        <w:t>(e.g., recorded as zero, for which PD could not be calculated), a fixed duration equal to the median antidepressant prescription duration was assigned (30 days), reflecting typical dispensing practices.</w:t>
      </w:r>
    </w:p>
    <w:p w14:paraId="3ECE6662" w14:textId="77777777" w:rsidR="008134C3" w:rsidRPr="001C7A3C" w:rsidRDefault="008134C3" w:rsidP="008134C3">
      <w:pPr>
        <w:pStyle w:val="FirstParagraph"/>
        <w:spacing w:line="240" w:lineRule="auto"/>
        <w:rPr>
          <w:rFonts w:ascii="Cambria" w:hAnsi="Cambria" w:cs="Arial"/>
          <w:sz w:val="20"/>
          <w:szCs w:val="20"/>
        </w:rPr>
      </w:pPr>
      <w:r w:rsidRPr="001C7A3C">
        <w:rPr>
          <w:rFonts w:ascii="Cambria" w:hAnsi="Cambria" w:cs="Arial"/>
          <w:sz w:val="20"/>
          <w:szCs w:val="20"/>
          <w:lang w:val="en-GB"/>
        </w:rPr>
        <w:t xml:space="preserve">Next, for each individual, prescriptions were indexed by order of dispensing i and by drug k, such that </w:t>
      </w:r>
      <m:oMath>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oMath>
      <w:r w:rsidRPr="001C7A3C">
        <w:rPr>
          <w:rFonts w:ascii="Cambria" w:hAnsi="Cambria" w:cs="Arial"/>
          <w:iCs/>
          <w:sz w:val="20"/>
          <w:szCs w:val="20"/>
        </w:rPr>
        <w:t xml:space="preserve"> </w:t>
      </w:r>
      <w:r w:rsidRPr="001C7A3C">
        <w:rPr>
          <w:rFonts w:ascii="Cambria" w:hAnsi="Cambria" w:cs="Arial"/>
          <w:sz w:val="20"/>
          <w:szCs w:val="20"/>
          <w:lang w:val="en-GB"/>
        </w:rPr>
        <w:t xml:space="preserve">denotes the i-th dispensed prescription of drug k. </w:t>
      </w:r>
      <w:r w:rsidRPr="001C7A3C">
        <w:rPr>
          <w:rFonts w:ascii="Cambria" w:hAnsi="Cambria" w:cs="Arial"/>
          <w:sz w:val="20"/>
          <w:szCs w:val="20"/>
        </w:rPr>
        <w:t xml:space="preserve">The expected end date of a prescription </w:t>
      </w:r>
      <m:oMath>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oMath>
      <w:r w:rsidRPr="001C7A3C">
        <w:rPr>
          <w:rFonts w:ascii="Cambria" w:hAnsi="Cambria" w:cs="Arial"/>
          <w:sz w:val="20"/>
          <w:szCs w:val="20"/>
        </w:rPr>
        <w:t xml:space="preserve">, denoted </w:t>
      </w:r>
      <m:oMath>
        <m:r>
          <w:rPr>
            <w:rFonts w:ascii="Cambria Math" w:hAnsi="Cambria Math" w:cs="Arial"/>
            <w:sz w:val="20"/>
            <w:szCs w:val="20"/>
          </w:rPr>
          <m:t>EE</m:t>
        </m:r>
        <m:r>
          <w:rPr>
            <w:rFonts w:ascii="Cambria Math" w:hAnsi="Cambria Math" w:cs="Arial"/>
            <w:sz w:val="20"/>
            <w:szCs w:val="20"/>
            <w:lang w:val="en-GB"/>
          </w:rPr>
          <m:t>D(</m:t>
        </m:r>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r>
          <w:rPr>
            <w:rFonts w:ascii="Cambria Math" w:hAnsi="Cambria Math" w:cs="Arial"/>
            <w:sz w:val="20"/>
            <w:szCs w:val="20"/>
          </w:rPr>
          <m:t>)</m:t>
        </m:r>
      </m:oMath>
      <w:r w:rsidRPr="001C7A3C">
        <w:rPr>
          <w:rFonts w:ascii="Cambria" w:hAnsi="Cambria" w:cs="Arial"/>
          <w:sz w:val="20"/>
          <w:szCs w:val="20"/>
        </w:rPr>
        <w:t xml:space="preserve">, was calculated by adding the estimated prescription duration, </w:t>
      </w:r>
      <m:oMath>
        <m:sSub>
          <m:sSubPr>
            <m:ctrlPr>
              <w:rPr>
                <w:rFonts w:ascii="Cambria Math" w:hAnsi="Cambria Math" w:cs="Arial"/>
                <w:i/>
                <w:iCs/>
                <w:sz w:val="20"/>
                <w:szCs w:val="20"/>
              </w:rPr>
            </m:ctrlPr>
          </m:sSubPr>
          <m:e>
            <m:r>
              <w:rPr>
                <w:rFonts w:ascii="Cambria Math" w:hAnsi="Cambria Math" w:cs="Arial"/>
                <w:sz w:val="20"/>
                <w:szCs w:val="20"/>
              </w:rPr>
              <m:t>PD</m:t>
            </m:r>
          </m:e>
          <m:sub>
            <m:r>
              <w:rPr>
                <w:rFonts w:ascii="Cambria Math" w:hAnsi="Cambria Math" w:cs="Arial"/>
                <w:sz w:val="20"/>
                <w:szCs w:val="20"/>
              </w:rPr>
              <m:t>i,k</m:t>
            </m:r>
          </m:sub>
        </m:sSub>
      </m:oMath>
      <w:r w:rsidRPr="001C7A3C">
        <w:rPr>
          <w:rFonts w:ascii="Cambria" w:hAnsi="Cambria" w:cs="Arial"/>
          <w:sz w:val="20"/>
          <w:szCs w:val="20"/>
        </w:rPr>
        <w:t xml:space="preserve">, to the dispense date, </w:t>
      </w:r>
      <m:oMath>
        <m:r>
          <w:rPr>
            <w:rFonts w:ascii="Cambria Math" w:hAnsi="Cambria Math" w:cs="Arial"/>
            <w:sz w:val="20"/>
            <w:szCs w:val="20"/>
            <w:lang w:val="en-GB"/>
          </w:rPr>
          <m:t>DD(</m:t>
        </m:r>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r>
          <w:rPr>
            <w:rFonts w:ascii="Cambria Math" w:hAnsi="Cambria Math" w:cs="Arial"/>
            <w:sz w:val="20"/>
            <w:szCs w:val="20"/>
          </w:rPr>
          <m:t>)</m:t>
        </m:r>
        <m:r>
          <w:rPr>
            <w:rFonts w:ascii="Cambria Math" w:hAnsi="Cambria Math" w:cs="Arial"/>
            <w:sz w:val="20"/>
            <w:szCs w:val="20"/>
            <w:lang w:val="en-GB"/>
          </w:rPr>
          <m:t xml:space="preserve">, </m:t>
        </m:r>
      </m:oMath>
      <w:r w:rsidRPr="001C7A3C">
        <w:rPr>
          <w:rFonts w:ascii="Cambria" w:hAnsi="Cambria" w:cs="Arial"/>
          <w:sz w:val="20"/>
          <w:szCs w:val="20"/>
        </w:rPr>
        <w:t>of the prescription, assuming individuals take the first dose on the day of dispense.</w:t>
      </w:r>
    </w:p>
    <w:p w14:paraId="61096367" w14:textId="0F008093" w:rsidR="001A2827" w:rsidRPr="001C7A3C" w:rsidRDefault="00661B9C" w:rsidP="00035559">
      <w:pPr>
        <w:pStyle w:val="FirstParagraph"/>
        <w:spacing w:line="240" w:lineRule="auto"/>
        <w:rPr>
          <w:rFonts w:ascii="Cambria" w:hAnsi="Cambria" w:cs="Arial"/>
          <w:sz w:val="20"/>
          <w:szCs w:val="20"/>
        </w:rPr>
      </w:pPr>
      <m:oMathPara>
        <m:oMath>
          <m:r>
            <w:rPr>
              <w:rFonts w:ascii="Cambria Math" w:hAnsi="Cambria Math" w:cs="Arial"/>
              <w:sz w:val="20"/>
              <w:szCs w:val="20"/>
            </w:rPr>
            <m:t>EE</m:t>
          </m:r>
          <m:r>
            <w:rPr>
              <w:rFonts w:ascii="Cambria Math" w:hAnsi="Cambria Math" w:cs="Arial"/>
              <w:sz w:val="20"/>
              <w:szCs w:val="20"/>
              <w:lang w:val="en-GB"/>
            </w:rPr>
            <m:t>D(</m:t>
          </m:r>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r>
            <m:rPr>
              <m:sty m:val="p"/>
            </m:rPr>
            <w:rPr>
              <w:rFonts w:ascii="Cambria Math" w:hAnsi="Cambria Math" w:cs="Arial"/>
              <w:sz w:val="20"/>
              <w:szCs w:val="20"/>
            </w:rPr>
            <m:t>)=</m:t>
          </m:r>
          <m:r>
            <w:rPr>
              <w:rFonts w:ascii="Cambria Math" w:hAnsi="Cambria Math" w:cs="Arial"/>
              <w:sz w:val="20"/>
              <w:szCs w:val="20"/>
              <w:lang w:val="en-GB"/>
            </w:rPr>
            <m:t>DD(</m:t>
          </m:r>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r>
            <w:rPr>
              <w:rFonts w:ascii="Cambria Math" w:hAnsi="Cambria Math" w:cs="Arial"/>
              <w:sz w:val="20"/>
              <w:szCs w:val="20"/>
            </w:rPr>
            <m:t>)</m:t>
          </m:r>
          <m:r>
            <w:rPr>
              <w:rFonts w:ascii="Cambria Math" w:hAnsi="Cambria Math" w:cs="Arial"/>
              <w:sz w:val="20"/>
              <w:szCs w:val="20"/>
              <w:lang w:val="en-GB"/>
            </w:rPr>
            <m:t xml:space="preserve"> </m:t>
          </m:r>
          <m:r>
            <m:rPr>
              <m:sty m:val="p"/>
            </m:rP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PD</m:t>
              </m:r>
            </m:e>
            <m:sub>
              <m:r>
                <w:rPr>
                  <w:rFonts w:ascii="Cambria Math" w:hAnsi="Cambria Math" w:cs="Arial"/>
                  <w:sz w:val="20"/>
                  <w:szCs w:val="20"/>
                </w:rPr>
                <m:t>i,k</m:t>
              </m:r>
            </m:sub>
          </m:sSub>
        </m:oMath>
      </m:oMathPara>
    </w:p>
    <w:p w14:paraId="0F1E37BA" w14:textId="77777777" w:rsidR="00D03AAE" w:rsidRPr="001C7A3C" w:rsidRDefault="00D03AAE" w:rsidP="00D03AAE">
      <w:pPr>
        <w:pStyle w:val="FirstParagraph"/>
        <w:spacing w:line="240" w:lineRule="auto"/>
        <w:rPr>
          <w:rFonts w:ascii="Cambria" w:hAnsi="Cambria" w:cs="Arial"/>
          <w:sz w:val="20"/>
          <w:szCs w:val="20"/>
        </w:rPr>
      </w:pPr>
      <w:r w:rsidRPr="001C7A3C">
        <w:rPr>
          <w:rFonts w:ascii="Cambria" w:hAnsi="Cambria" w:cs="Arial"/>
          <w:sz w:val="20"/>
          <w:szCs w:val="20"/>
        </w:rPr>
        <w:t xml:space="preserve">For each individual i, prescriptions for drug k were grouped into prescription episodes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oMath>
      <w:r w:rsidRPr="001C7A3C">
        <w:rPr>
          <w:rFonts w:ascii="Cambria" w:hAnsi="Cambria" w:cs="Arial"/>
          <w:sz w:val="20"/>
          <w:szCs w:val="20"/>
        </w:rPr>
        <w:t xml:space="preserve"> over the follow-up period. The first prescription </w:t>
      </w:r>
      <m:oMath>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1,k</m:t>
            </m:r>
          </m:sub>
        </m:sSub>
      </m:oMath>
      <w:r w:rsidRPr="001C7A3C">
        <w:rPr>
          <w:rFonts w:ascii="Cambria" w:hAnsi="Cambria" w:cs="Arial"/>
          <w:iCs/>
          <w:sz w:val="20"/>
          <w:szCs w:val="20"/>
        </w:rPr>
        <w:t xml:space="preserve">, was assigned to the first episode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1,k</m:t>
            </m:r>
          </m:sub>
        </m:sSub>
      </m:oMath>
      <w:r w:rsidRPr="001C7A3C">
        <w:rPr>
          <w:rFonts w:ascii="Cambria" w:hAnsi="Cambria" w:cs="Arial"/>
          <w:sz w:val="20"/>
          <w:szCs w:val="20"/>
        </w:rPr>
        <w:t>. Each subsequent prescription was assigned to an episode according to the following rule:</w:t>
      </w:r>
    </w:p>
    <w:p w14:paraId="795C5F60" w14:textId="2AE2A7FE" w:rsidR="00022E7D" w:rsidRPr="001C7A3C" w:rsidRDefault="00022E7D" w:rsidP="00022E7D">
      <w:pPr>
        <w:pStyle w:val="FirstParagraph"/>
        <w:spacing w:line="240" w:lineRule="auto"/>
        <w:rPr>
          <w:rFonts w:ascii="Cambria" w:hAnsi="Cambria" w:cs="Arial"/>
          <w:sz w:val="20"/>
          <w:szCs w:val="20"/>
        </w:rPr>
      </w:pPr>
      <w:r w:rsidRPr="001C7A3C">
        <w:rPr>
          <w:rFonts w:ascii="Cambria" w:hAnsi="Cambria" w:cs="Arial"/>
          <w:sz w:val="20"/>
          <w:szCs w:val="20"/>
        </w:rPr>
        <w:t>If the dispense date of the prescription i+1 occurred less than 90-days after the expected end date of the prescription i, it would be assigned to the same prescription episode as prescription i (i.e., requiring a 90-day clearing period between consecutive prescription episodes as done in a prior study</w:t>
      </w:r>
      <w:r w:rsidRPr="001C7A3C">
        <w:rPr>
          <w:rFonts w:ascii="Cambria" w:hAnsi="Cambria" w:cs="Arial"/>
          <w:sz w:val="20"/>
          <w:szCs w:val="20"/>
        </w:rPr>
        <w:fldChar w:fldCharType="begin">
          <w:fldData xml:space="preserve">PEVuZE5vdGU+PENpdGU+PEF1dGhvcj5CYWhhcjwvQXV0aG9yPjxZZWFyPjIwMjA8L1llYXI+PFJl
Y051bT4yMDwvUmVjTnVtPjxEaXNwbGF5VGV4dD48c3R5bGUgZmFjZT0ic3VwZXJzY3JpcHQiPjE8
L3N0eWxlPjwvRGlzcGxheVRleHQ+PHJlY29yZD48cmVjLW51bWJlcj4yMDwvcmVjLW51bWJlcj48
Zm9yZWlnbi1rZXlzPjxrZXkgYXBwPSJFTiIgZGItaWQ9InA5dnB3NWF4ZzB6MHhqZXZ6ZGp2NXhz
cHplcmQ5OTB2OWVwZiIgdGltZXN0YW1wPSIxNzY3NzExMDcyIj4yMDwva2V5PjwvZm9yZWlnbi1r
ZXlzPjxyZWYtdHlwZSBuYW1lPSJKb3VybmFsIEFydGljbGUiPjE3PC9yZWYtdHlwZT48Y29udHJp
YnV0b3JzPjxhdXRob3JzPjxhdXRob3I+QmFoYXIsIE0uIEEuPC9hdXRob3I+PGF1dGhvcj5MYW50
aW5nLCBQLjwvYXV0aG9yPjxhdXRob3I+Qm9zLCBKLiBILiBKLjwvYXV0aG9yPjxhdXRob3I+U2lq
bW9ucywgUi4gSC48L2F1dGhvcj48YXV0aG9yPkhhaywgRS48L2F1dGhvcj48YXV0aG9yPldpbGZm
ZXJ0LCBCLjwvYXV0aG9yPjwvYXV0aG9ycz48L2NvbnRyaWJ1dG9ycz48YXV0aC1hZGRyZXNzPkRl
cGFydG1lbnQgb2YgUGhhcm1hY29UaGVyYXB5LCAtRXBpZGVtaW9sb2d5ICZhbXA7IC1FY29ub21p
Y3MsIFVuaXZlcnNpdHkgb2YgR3JvbmluZ2VuLCA5NzEzIEFWIEdyb25pbmdlbiwgVGhlIE5ldGhl
cmxhbmRzLiYjeEQ7RmFjdWx0eSBvZiBQaGFybWFjeSwgVW5pdmVyc2l0YXMgSGFzYW51ZGRpbiwg
TWFrYXNzYXIgOTAyNDUsIEluZG9uZXNpYS4mI3hEO0RlcGFydG1lbnQgb2YgR2VuZXRpY3MsIEdy
b25pbmdlbiwgVW5pdmVyc2l0eSBNZWRpY2FsIENlbnRlciBHcm9uaW5nZW4sIFVuaXZlcnNpdHkg
b2YgR3JvbmluZ2VuLCA5NzEzIEFWIEdyb25pbmdlbiwgVGhlIE5ldGhlcmxhbmRzLiYjeEQ7RGVw
YXJ0bWVudCBvZiBDbGluaWNhbCBQaGFybWFjeSBhbmQgUGhhcm1hY29sb2d5LCBVbml2ZXJzaXR5
IE1lZGljYWwgQ2VudGVyIEdyb25pbmdlbiwgVW5pdmVyc2l0eSBvZiBHcm9uaW5nZW4sIDk3MTMg
QVYgR3JvbmluZ2VuLCBUaGUgTmV0aGVybGFuZHMuPC9hdXRoLWFkZHJlc3M+PHRpdGxlcz48dGl0
bGU+SW1wYWN0IG9mIERydWctR2VuZS1JbnRlcmFjdGlvbiwgRHJ1Zy1EcnVnLUludGVyYWN0aW9u
LCBhbmQgRHJ1Zy1EcnVnLUdlbmUtSW50ZXJhY3Rpb24gb24gKGVzKUNpdGFsb3ByYW0gVGhlcmFw
eTogVGhlIFBoYXJtTGluZXMgSW5pdGlhdGl2ZTwvdGl0bGU+PHNlY29uZGFyeS10aXRsZT5KIFBl
cnMgTWVkPC9zZWNvbmRhcnktdGl0bGU+PC90aXRsZXM+PHBlcmlvZGljYWw+PGZ1bGwtdGl0bGU+
SiBQZXJzIE1lZDwvZnVsbC10aXRsZT48L3BlcmlvZGljYWw+PHZvbHVtZT4xMDwvdm9sdW1lPjxu
dW1iZXI+NDwvbnVtYmVyPjxlZGl0aW9uPjIwMjAxMTI4PC9lZGl0aW9uPjxrZXl3b3Jkcz48a2V5
d29yZD4oZXMpY2l0YWxvcHJhbTwva2V5d29yZD48a2V5d29yZD5kcnVnLWRydWctZ2VuZS1pbnRl
cmFjdGlvbjwva2V5d29yZD48a2V5d29yZD5kcnVnLWRydWctaW50ZXJhY3Rpb248L2tleXdvcmQ+
PGtleXdvcmQ+ZHJ1Zy1nZW5lLWludGVyYWN0aW9uPC9rZXl3b3JkPjxrZXl3b3JkPnRoZSBQaGFy
bUxpbmVzIGluaXRpYXRpdmU8L2tleXdvcmQ+PC9rZXl3b3Jkcz48ZGF0ZXM+PHllYXI+MjAyMDwv
eWVhcj48cHViLWRhdGVzPjxkYXRlPk5vdiAyODwvZGF0ZT48L3B1Yi1kYXRlcz48L2RhdGVzPjxp
c2JuPjIwNzUtNDQyNiAoUHJpbnQpJiN4RDsyMDc1LTQ0MjYgKEVsZWN0cm9uaWMpJiN4RDsyMDc1
LTQ0MjYgKExpbmtpbmcpPC9pc2JuPjxhY2Nlc3Npb24tbnVtPjMzMjYwNzA1PC9hY2Nlc3Npb24t
bnVtPjx1cmxzPjxyZWxhdGVkLXVybHM+PHVybD5odHRwczovL3d3dy5uY2JpLm5sbS5uaWguZ292
L3B1Ym1lZC8zMzI2MDcwNTwvdXJsPjwvcmVsYXRlZC11cmxzPjwvdXJscz48Y3VzdG9tMT5UaGUg
YXV0aG9ycyBkZWNsYXJlIG5vIGNvbmZsaWN0IG9mIGludGVyZXN0LjwvY3VzdG9tMT48Y3VzdG9t
Mj5QTUM3NzIwMTI2PC9jdXN0b20yPjxlbGVjdHJvbmljLXJlc291cmNlLW51bT4xMC4zMzkwL2pw
bTEwMDQwMjU2PC9lbGVjdHJvbmljLXJlc291cmNlLW51bT48cmVtb3RlLWRhdGFiYXNlLW5hbWU+
UHViTWVkLW5vdC1NRURMSU5FPC9yZW1vdGUtZGF0YWJhc2UtbmFtZT48cmVtb3RlLWRhdGFiYXNl
LXByb3ZpZGVyPk5MTTwvcmVtb3RlLWRhdGFiYXNlLXByb3ZpZGVyPjwvcmVjb3JkPjwvQ2l0ZT48
L0VuZE5vdGU+
</w:fldData>
        </w:fldChar>
      </w:r>
      <w:r w:rsidR="005C19BB" w:rsidRPr="001C7A3C">
        <w:rPr>
          <w:rFonts w:ascii="Cambria" w:hAnsi="Cambria" w:cs="Arial"/>
          <w:sz w:val="20"/>
          <w:szCs w:val="20"/>
        </w:rPr>
        <w:instrText xml:space="preserve"> ADDIN EN.CITE </w:instrText>
      </w:r>
      <w:r w:rsidR="005C19BB" w:rsidRPr="001C7A3C">
        <w:rPr>
          <w:rFonts w:ascii="Cambria" w:hAnsi="Cambria" w:cs="Arial"/>
          <w:sz w:val="20"/>
          <w:szCs w:val="20"/>
        </w:rPr>
        <w:fldChar w:fldCharType="begin">
          <w:fldData xml:space="preserve">PEVuZE5vdGU+PENpdGU+PEF1dGhvcj5CYWhhcjwvQXV0aG9yPjxZZWFyPjIwMjA8L1llYXI+PFJl
Y051bT4yMDwvUmVjTnVtPjxEaXNwbGF5VGV4dD48c3R5bGUgZmFjZT0ic3VwZXJzY3JpcHQiPjE8
L3N0eWxlPjwvRGlzcGxheVRleHQ+PHJlY29yZD48cmVjLW51bWJlcj4yMDwvcmVjLW51bWJlcj48
Zm9yZWlnbi1rZXlzPjxrZXkgYXBwPSJFTiIgZGItaWQ9InA5dnB3NWF4ZzB6MHhqZXZ6ZGp2NXhz
cHplcmQ5OTB2OWVwZiIgdGltZXN0YW1wPSIxNzY3NzExMDcyIj4yMDwva2V5PjwvZm9yZWlnbi1r
ZXlzPjxyZWYtdHlwZSBuYW1lPSJKb3VybmFsIEFydGljbGUiPjE3PC9yZWYtdHlwZT48Y29udHJp
YnV0b3JzPjxhdXRob3JzPjxhdXRob3I+QmFoYXIsIE0uIEEuPC9hdXRob3I+PGF1dGhvcj5MYW50
aW5nLCBQLjwvYXV0aG9yPjxhdXRob3I+Qm9zLCBKLiBILiBKLjwvYXV0aG9yPjxhdXRob3I+U2lq
bW9ucywgUi4gSC48L2F1dGhvcj48YXV0aG9yPkhhaywgRS48L2F1dGhvcj48YXV0aG9yPldpbGZm
ZXJ0LCBCLjwvYXV0aG9yPjwvYXV0aG9ycz48L2NvbnRyaWJ1dG9ycz48YXV0aC1hZGRyZXNzPkRl
cGFydG1lbnQgb2YgUGhhcm1hY29UaGVyYXB5LCAtRXBpZGVtaW9sb2d5ICZhbXA7IC1FY29ub21p
Y3MsIFVuaXZlcnNpdHkgb2YgR3JvbmluZ2VuLCA5NzEzIEFWIEdyb25pbmdlbiwgVGhlIE5ldGhl
cmxhbmRzLiYjeEQ7RmFjdWx0eSBvZiBQaGFybWFjeSwgVW5pdmVyc2l0YXMgSGFzYW51ZGRpbiwg
TWFrYXNzYXIgOTAyNDUsIEluZG9uZXNpYS4mI3hEO0RlcGFydG1lbnQgb2YgR2VuZXRpY3MsIEdy
b25pbmdlbiwgVW5pdmVyc2l0eSBNZWRpY2FsIENlbnRlciBHcm9uaW5nZW4sIFVuaXZlcnNpdHkg
b2YgR3JvbmluZ2VuLCA5NzEzIEFWIEdyb25pbmdlbiwgVGhlIE5ldGhlcmxhbmRzLiYjeEQ7RGVw
YXJ0bWVudCBvZiBDbGluaWNhbCBQaGFybWFjeSBhbmQgUGhhcm1hY29sb2d5LCBVbml2ZXJzaXR5
IE1lZGljYWwgQ2VudGVyIEdyb25pbmdlbiwgVW5pdmVyc2l0eSBvZiBHcm9uaW5nZW4sIDk3MTMg
QVYgR3JvbmluZ2VuLCBUaGUgTmV0aGVybGFuZHMuPC9hdXRoLWFkZHJlc3M+PHRpdGxlcz48dGl0
bGU+SW1wYWN0IG9mIERydWctR2VuZS1JbnRlcmFjdGlvbiwgRHJ1Zy1EcnVnLUludGVyYWN0aW9u
LCBhbmQgRHJ1Zy1EcnVnLUdlbmUtSW50ZXJhY3Rpb24gb24gKGVzKUNpdGFsb3ByYW0gVGhlcmFw
eTogVGhlIFBoYXJtTGluZXMgSW5pdGlhdGl2ZTwvdGl0bGU+PHNlY29uZGFyeS10aXRsZT5KIFBl
cnMgTWVkPC9zZWNvbmRhcnktdGl0bGU+PC90aXRsZXM+PHBlcmlvZGljYWw+PGZ1bGwtdGl0bGU+
SiBQZXJzIE1lZDwvZnVsbC10aXRsZT48L3BlcmlvZGljYWw+PHZvbHVtZT4xMDwvdm9sdW1lPjxu
dW1iZXI+NDwvbnVtYmVyPjxlZGl0aW9uPjIwMjAxMTI4PC9lZGl0aW9uPjxrZXl3b3Jkcz48a2V5
d29yZD4oZXMpY2l0YWxvcHJhbTwva2V5d29yZD48a2V5d29yZD5kcnVnLWRydWctZ2VuZS1pbnRl
cmFjdGlvbjwva2V5d29yZD48a2V5d29yZD5kcnVnLWRydWctaW50ZXJhY3Rpb248L2tleXdvcmQ+
PGtleXdvcmQ+ZHJ1Zy1nZW5lLWludGVyYWN0aW9uPC9rZXl3b3JkPjxrZXl3b3JkPnRoZSBQaGFy
bUxpbmVzIGluaXRpYXRpdmU8L2tleXdvcmQ+PC9rZXl3b3Jkcz48ZGF0ZXM+PHllYXI+MjAyMDwv
eWVhcj48cHViLWRhdGVzPjxkYXRlPk5vdiAyODwvZGF0ZT48L3B1Yi1kYXRlcz48L2RhdGVzPjxp
c2JuPjIwNzUtNDQyNiAoUHJpbnQpJiN4RDsyMDc1LTQ0MjYgKEVsZWN0cm9uaWMpJiN4RDsyMDc1
LTQ0MjYgKExpbmtpbmcpPC9pc2JuPjxhY2Nlc3Npb24tbnVtPjMzMjYwNzA1PC9hY2Nlc3Npb24t
bnVtPjx1cmxzPjxyZWxhdGVkLXVybHM+PHVybD5odHRwczovL3d3dy5uY2JpLm5sbS5uaWguZ292
L3B1Ym1lZC8zMzI2MDcwNTwvdXJsPjwvcmVsYXRlZC11cmxzPjwvdXJscz48Y3VzdG9tMT5UaGUg
YXV0aG9ycyBkZWNsYXJlIG5vIGNvbmZsaWN0IG9mIGludGVyZXN0LjwvY3VzdG9tMT48Y3VzdG9t
Mj5QTUM3NzIwMTI2PC9jdXN0b20yPjxlbGVjdHJvbmljLXJlc291cmNlLW51bT4xMC4zMzkwL2pw
bTEwMDQwMjU2PC9lbGVjdHJvbmljLXJlc291cmNlLW51bT48cmVtb3RlLWRhdGFiYXNlLW5hbWU+
UHViTWVkLW5vdC1NRURMSU5FPC9yZW1vdGUtZGF0YWJhc2UtbmFtZT48cmVtb3RlLWRhdGFiYXNl
LXByb3ZpZGVyPk5MTTwvcmVtb3RlLWRhdGFiYXNlLXByb3ZpZGVyPjwvcmVjb3JkPjwvQ2l0ZT48
L0VuZE5vdGU+
</w:fldData>
        </w:fldChar>
      </w:r>
      <w:r w:rsidR="005C19BB" w:rsidRPr="001C7A3C">
        <w:rPr>
          <w:rFonts w:ascii="Cambria" w:hAnsi="Cambria" w:cs="Arial"/>
          <w:sz w:val="20"/>
          <w:szCs w:val="20"/>
        </w:rPr>
        <w:instrText xml:space="preserve"> ADDIN EN.CITE.DATA </w:instrText>
      </w:r>
      <w:r w:rsidR="005C19BB" w:rsidRPr="001C7A3C">
        <w:rPr>
          <w:rFonts w:ascii="Cambria" w:hAnsi="Cambria" w:cs="Arial"/>
          <w:sz w:val="20"/>
          <w:szCs w:val="20"/>
        </w:rPr>
      </w:r>
      <w:r w:rsidR="005C19BB" w:rsidRPr="001C7A3C">
        <w:rPr>
          <w:rFonts w:ascii="Cambria" w:hAnsi="Cambria" w:cs="Arial"/>
          <w:sz w:val="20"/>
          <w:szCs w:val="20"/>
        </w:rPr>
        <w:fldChar w:fldCharType="end"/>
      </w:r>
      <w:r w:rsidRPr="001C7A3C">
        <w:rPr>
          <w:rFonts w:ascii="Cambria" w:hAnsi="Cambria" w:cs="Arial"/>
          <w:sz w:val="20"/>
          <w:szCs w:val="20"/>
        </w:rPr>
      </w:r>
      <w:r w:rsidRPr="001C7A3C">
        <w:rPr>
          <w:rFonts w:ascii="Cambria" w:hAnsi="Cambria" w:cs="Arial"/>
          <w:sz w:val="20"/>
          <w:szCs w:val="20"/>
        </w:rPr>
        <w:fldChar w:fldCharType="separate"/>
      </w:r>
      <w:r w:rsidRPr="001C7A3C">
        <w:rPr>
          <w:rFonts w:ascii="Cambria" w:hAnsi="Cambria" w:cs="Arial"/>
          <w:noProof/>
          <w:sz w:val="20"/>
          <w:szCs w:val="20"/>
          <w:vertAlign w:val="superscript"/>
        </w:rPr>
        <w:t>1</w:t>
      </w:r>
      <w:r w:rsidRPr="001C7A3C">
        <w:rPr>
          <w:rFonts w:ascii="Cambria" w:hAnsi="Cambria" w:cs="Arial"/>
          <w:sz w:val="20"/>
          <w:szCs w:val="20"/>
        </w:rPr>
        <w:fldChar w:fldCharType="end"/>
      </w:r>
      <w:r w:rsidRPr="001C7A3C">
        <w:rPr>
          <w:rFonts w:ascii="Cambria" w:hAnsi="Cambria" w:cs="Arial"/>
          <w:sz w:val="20"/>
          <w:szCs w:val="20"/>
        </w:rPr>
        <w:t>). Otherwise, if the dispense date occurred 90-days or more after the expected end date of the previous prescription, it would be assigned to a new prescription episode.</w:t>
      </w:r>
    </w:p>
    <w:p w14:paraId="520FD8DD" w14:textId="77777777" w:rsidR="001A2827" w:rsidRPr="001C7A3C" w:rsidRDefault="001A2827" w:rsidP="00035559">
      <w:pPr>
        <w:pStyle w:val="BodyText"/>
        <w:spacing w:line="240" w:lineRule="auto"/>
        <w:rPr>
          <w:rFonts w:ascii="Cambria" w:hAnsi="Cambria" w:cs="Arial"/>
          <w:sz w:val="20"/>
          <w:szCs w:val="20"/>
          <w:lang w:val="en-US"/>
        </w:rPr>
      </w:pPr>
      <w:r w:rsidRPr="001C7A3C">
        <w:rPr>
          <w:rFonts w:ascii="Cambria" w:hAnsi="Cambria" w:cs="Arial"/>
          <w:sz w:val="20"/>
          <w:szCs w:val="20"/>
          <w:lang w:val="en-US"/>
        </w:rPr>
        <w:t>Mathematically:</w:t>
      </w:r>
    </w:p>
    <w:p w14:paraId="16ED6842" w14:textId="446FE114" w:rsidR="001A2827" w:rsidRPr="001C7A3C" w:rsidRDefault="001A2827" w:rsidP="004047BD">
      <w:pPr>
        <w:pStyle w:val="FirstParagraph"/>
        <w:spacing w:line="240" w:lineRule="auto"/>
        <w:jc w:val="center"/>
        <w:rPr>
          <w:rFonts w:ascii="Cambria" w:hAnsi="Cambria" w:cs="Arial"/>
          <w:sz w:val="20"/>
          <w:szCs w:val="20"/>
        </w:rPr>
      </w:pPr>
      <m:oMath>
        <m:r>
          <w:rPr>
            <w:rFonts w:ascii="Cambria Math" w:hAnsi="Cambria Math" w:cs="Arial"/>
            <w:sz w:val="20"/>
            <w:szCs w:val="20"/>
          </w:rPr>
          <m:t xml:space="preserve">if </m:t>
        </m:r>
        <m:r>
          <w:rPr>
            <w:rFonts w:ascii="Cambria Math" w:hAnsi="Cambria Math" w:cs="Arial"/>
            <w:sz w:val="20"/>
            <w:szCs w:val="20"/>
            <w:lang w:val="en-GB"/>
          </w:rPr>
          <m:t>DD(</m:t>
        </m:r>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r>
          <w:rPr>
            <w:rFonts w:ascii="Cambria Math" w:hAnsi="Cambria Math" w:cs="Arial"/>
            <w:sz w:val="20"/>
            <w:szCs w:val="20"/>
          </w:rPr>
          <m:t>)</m:t>
        </m:r>
        <m:r>
          <w:rPr>
            <w:rFonts w:ascii="Cambria Math" w:hAnsi="Cambria Math" w:cs="Arial"/>
            <w:sz w:val="20"/>
            <w:szCs w:val="20"/>
            <w:lang w:val="en-GB"/>
          </w:rPr>
          <m:t xml:space="preserve"> </m:t>
        </m:r>
        <m:r>
          <m:rPr>
            <m:sty m:val="p"/>
          </m:rPr>
          <w:rPr>
            <w:rFonts w:ascii="Cambria Math" w:hAnsi="Cambria Math" w:cs="Arial"/>
            <w:sz w:val="20"/>
            <w:szCs w:val="20"/>
          </w:rPr>
          <m:t>-</m:t>
        </m:r>
        <m:r>
          <w:rPr>
            <w:rFonts w:ascii="Cambria Math" w:hAnsi="Cambria Math" w:cs="Arial"/>
            <w:sz w:val="20"/>
            <w:szCs w:val="20"/>
          </w:rPr>
          <m:t>EE</m:t>
        </m:r>
        <m:r>
          <w:rPr>
            <w:rFonts w:ascii="Cambria Math" w:hAnsi="Cambria Math" w:cs="Arial"/>
            <w:sz w:val="20"/>
            <w:szCs w:val="20"/>
            <w:lang w:val="en-GB"/>
          </w:rPr>
          <m:t>D(</m:t>
        </m:r>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i-1,k</m:t>
            </m:r>
          </m:sub>
        </m:sSub>
        <m:r>
          <w:rPr>
            <w:rFonts w:ascii="Cambria Math" w:hAnsi="Cambria Math" w:cs="Arial"/>
            <w:sz w:val="20"/>
            <w:szCs w:val="20"/>
          </w:rPr>
          <m:t>)&lt;90</m:t>
        </m:r>
        <m:r>
          <m:rPr>
            <m:sty m:val="p"/>
          </m:rPr>
          <w:rPr>
            <w:rFonts w:ascii="Cambria Math" w:hAnsi="Cambria Math" w:cs="Arial"/>
            <w:sz w:val="20"/>
            <w:szCs w:val="20"/>
          </w:rPr>
          <m:t>:</m:t>
        </m:r>
      </m:oMath>
      <w:r w:rsidR="004047BD" w:rsidRPr="001C7A3C">
        <w:rPr>
          <w:rFonts w:ascii="Cambria" w:hAnsi="Cambria"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 xml:space="preserve">  P</m:t>
            </m:r>
          </m:e>
          <m:sub>
            <m:r>
              <w:rPr>
                <w:rFonts w:ascii="Cambria Math" w:hAnsi="Cambria Math" w:cs="Arial"/>
                <w:sz w:val="20"/>
                <w:szCs w:val="20"/>
              </w:rPr>
              <m:t>i,k</m:t>
            </m:r>
          </m:sub>
        </m:sSub>
        <m:r>
          <m:rPr>
            <m:sty m:val="p"/>
          </m:rPr>
          <w:rPr>
            <w:rFonts w:ascii="Cambria Math" w:hAnsi="Cambria Math" w:cs="Arial"/>
            <w:sz w:val="20"/>
            <w:szCs w:val="20"/>
          </w:rPr>
          <m:t xml:space="preserve"> ∈</m:t>
        </m:r>
        <m:sSub>
          <m:sSubPr>
            <m:ctrlPr>
              <w:rPr>
                <w:rFonts w:ascii="Cambria Math" w:hAnsi="Cambria Math" w:cs="Arial"/>
                <w:i/>
                <w:sz w:val="20"/>
                <w:szCs w:val="20"/>
                <w:lang w:val="en-GB"/>
              </w:rPr>
            </m:ctrlPr>
          </m:sSubPr>
          <m:e>
            <m:r>
              <w:rPr>
                <w:rFonts w:ascii="Cambria Math" w:hAnsi="Cambria Math" w:cs="Arial"/>
                <w:sz w:val="20"/>
                <w:szCs w:val="20"/>
              </w:rPr>
              <m:t xml:space="preserve"> T</m:t>
            </m:r>
          </m:e>
          <m:sub>
            <m:r>
              <w:rPr>
                <w:rFonts w:ascii="Cambria Math" w:hAnsi="Cambria Math" w:cs="Arial"/>
                <w:sz w:val="20"/>
                <w:szCs w:val="20"/>
              </w:rPr>
              <m:t>j,k</m:t>
            </m:r>
          </m:sub>
        </m:sSub>
        <m:r>
          <m:rPr>
            <m:sty m:val="p"/>
          </m:rPr>
          <w:rPr>
            <w:rFonts w:ascii="Cambria Math" w:hAnsi="Cambria Math" w:cs="Arial"/>
            <w:sz w:val="20"/>
            <w:szCs w:val="20"/>
          </w:rPr>
          <m:t>​</m:t>
        </m:r>
      </m:oMath>
    </w:p>
    <w:p w14:paraId="2CC557BC" w14:textId="57859EEF" w:rsidR="001A2827" w:rsidRPr="001C7A3C" w:rsidRDefault="001A2827" w:rsidP="004047BD">
      <w:pPr>
        <w:pStyle w:val="FirstParagraph"/>
        <w:spacing w:line="240" w:lineRule="auto"/>
        <w:jc w:val="center"/>
        <w:rPr>
          <w:rFonts w:ascii="Cambria" w:hAnsi="Cambria" w:cs="Arial"/>
          <w:sz w:val="20"/>
          <w:szCs w:val="20"/>
        </w:rPr>
      </w:pPr>
      <m:oMathPara>
        <m:oMath>
          <m:r>
            <w:rPr>
              <w:rFonts w:ascii="Cambria Math" w:hAnsi="Cambria Math" w:cs="Arial"/>
              <w:sz w:val="20"/>
              <w:szCs w:val="20"/>
            </w:rPr>
            <m:t>else:</m:t>
          </m:r>
        </m:oMath>
      </m:oMathPara>
    </w:p>
    <w:p w14:paraId="29C3A422" w14:textId="48A13969" w:rsidR="001A2827" w:rsidRPr="001C7A3C" w:rsidRDefault="006F0006" w:rsidP="00035559">
      <w:pPr>
        <w:pStyle w:val="FirstParagraph"/>
        <w:spacing w:line="240" w:lineRule="auto"/>
        <w:ind w:left="3600" w:firstLine="720"/>
        <w:rPr>
          <w:rFonts w:ascii="Cambria" w:hAnsi="Cambria" w:cs="Arial"/>
          <w:sz w:val="20"/>
          <w:szCs w:val="20"/>
          <w:lang w:val="en-GB"/>
        </w:rPr>
      </w:pPr>
      <m:oMathPara>
        <m:oMathParaPr>
          <m:jc m:val="left"/>
        </m:oMathPara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i,k</m:t>
              </m:r>
            </m:sub>
          </m:sSub>
          <m:r>
            <m:rPr>
              <m:sty m:val="p"/>
            </m:rPr>
            <w:rPr>
              <w:rFonts w:ascii="Cambria Math" w:hAnsi="Cambria Math" w:cs="Arial"/>
              <w:sz w:val="20"/>
              <w:szCs w:val="20"/>
            </w:rPr>
            <m:t>∈</m:t>
          </m:r>
          <m:sSub>
            <m:sSubPr>
              <m:ctrlPr>
                <w:rPr>
                  <w:rFonts w:ascii="Cambria Math"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j+1,k</m:t>
              </m:r>
            </m:sub>
          </m:sSub>
          <m:r>
            <m:rPr>
              <m:sty m:val="p"/>
            </m:rPr>
            <w:rPr>
              <w:rFonts w:ascii="Cambria Math" w:hAnsi="Cambria Math" w:cs="Arial"/>
              <w:sz w:val="20"/>
              <w:szCs w:val="20"/>
            </w:rPr>
            <m:t>​</m:t>
          </m:r>
        </m:oMath>
      </m:oMathPara>
    </w:p>
    <w:p w14:paraId="0B799B23" w14:textId="1F69F749" w:rsidR="00FE4585" w:rsidRPr="001C7A3C" w:rsidRDefault="00FE4585" w:rsidP="00035559">
      <w:pPr>
        <w:pStyle w:val="BodyText"/>
        <w:spacing w:line="240" w:lineRule="auto"/>
        <w:rPr>
          <w:rFonts w:ascii="Cambria" w:hAnsi="Cambria" w:cs="Arial"/>
          <w:sz w:val="20"/>
          <w:szCs w:val="20"/>
        </w:rPr>
      </w:pPr>
      <w:r w:rsidRPr="001C7A3C">
        <w:rPr>
          <w:rFonts w:ascii="Cambria" w:hAnsi="Cambria" w:cs="Arial"/>
          <w:sz w:val="20"/>
          <w:szCs w:val="20"/>
          <w:lang w:val="en-US"/>
        </w:rPr>
        <w:t xml:space="preserve">Each prescription episode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oMath>
      <w:r w:rsidRPr="001C7A3C">
        <w:rPr>
          <w:rFonts w:ascii="Cambria" w:hAnsi="Cambria" w:cs="Arial"/>
          <w:sz w:val="20"/>
          <w:szCs w:val="20"/>
        </w:rPr>
        <w:t>, was then defined as:</w:t>
      </w:r>
    </w:p>
    <w:p w14:paraId="26AE159A" w14:textId="62487E3E" w:rsidR="00FE4585" w:rsidRPr="001C7A3C" w:rsidRDefault="00FE4585" w:rsidP="00035559">
      <w:pPr>
        <w:pStyle w:val="BodyText"/>
        <w:numPr>
          <w:ilvl w:val="0"/>
          <w:numId w:val="9"/>
        </w:numPr>
        <w:spacing w:line="240" w:lineRule="auto"/>
        <w:rPr>
          <w:rFonts w:ascii="Cambria" w:hAnsi="Cambria" w:cs="Arial"/>
          <w:sz w:val="20"/>
          <w:szCs w:val="20"/>
          <w:lang w:val="en-US"/>
        </w:rPr>
      </w:pPr>
      <w:r w:rsidRPr="001C7A3C">
        <w:rPr>
          <w:rFonts w:ascii="Cambria" w:hAnsi="Cambria" w:cs="Arial"/>
          <w:sz w:val="20"/>
          <w:szCs w:val="20"/>
          <w:lang w:val="en-US"/>
        </w:rPr>
        <w:t>Starting on the dispense date of the first prescription in that episode</w:t>
      </w:r>
      <w:r w:rsidR="374C7D18" w:rsidRPr="001C7A3C">
        <w:rPr>
          <w:rFonts w:ascii="Cambria" w:hAnsi="Cambria" w:cs="Arial"/>
          <w:sz w:val="20"/>
          <w:szCs w:val="20"/>
          <w:lang w:val="en-US"/>
        </w:rPr>
        <w:t>, start date (SD)</w:t>
      </w:r>
      <w:r w:rsidRPr="001C7A3C">
        <w:rPr>
          <w:rFonts w:ascii="Cambria" w:hAnsi="Cambria" w:cs="Arial"/>
          <w:sz w:val="20"/>
          <w:szCs w:val="20"/>
          <w:lang w:val="en-US"/>
        </w:rPr>
        <w:t>:</w:t>
      </w:r>
    </w:p>
    <w:p w14:paraId="501E4DA0" w14:textId="2E23A33C" w:rsidR="00FE4585" w:rsidRPr="001C7A3C" w:rsidRDefault="006F0006" w:rsidP="00035559">
      <w:pPr>
        <w:pStyle w:val="BodyText"/>
        <w:spacing w:line="240" w:lineRule="auto"/>
        <w:ind w:left="720"/>
        <w:rPr>
          <w:rFonts w:ascii="Cambria" w:hAnsi="Cambria"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SD(T</m:t>
              </m:r>
            </m:e>
            <m:sub>
              <m:r>
                <m:rPr>
                  <m:sty m:val="p"/>
                </m:rPr>
                <w:rPr>
                  <w:rFonts w:ascii="Cambria Math" w:hAnsi="Cambria Math" w:cs="Arial"/>
                  <w:sz w:val="20"/>
                  <w:szCs w:val="20"/>
                </w:rPr>
                <m:t>j,k</m:t>
              </m:r>
            </m:sub>
          </m:sSub>
          <m:r>
            <w:rPr>
              <w:rFonts w:ascii="Cambria Math" w:hAnsi="Cambria Math" w:cs="Arial"/>
              <w:sz w:val="20"/>
              <w:szCs w:val="20"/>
            </w:rPr>
            <m:t>)=min</m:t>
          </m:r>
          <m:d>
            <m:dPr>
              <m:begChr m:val="{"/>
              <m:endChr m:val="}"/>
              <m:ctrlPr>
                <w:rPr>
                  <w:rFonts w:ascii="Cambria Math" w:hAnsi="Cambria Math" w:cs="Arial"/>
                  <w:i/>
                  <w:sz w:val="20"/>
                  <w:szCs w:val="20"/>
                </w:rPr>
              </m:ctrlPr>
            </m:dPr>
            <m:e>
              <m:r>
                <w:rPr>
                  <w:rFonts w:ascii="Cambria Math" w:hAnsi="Cambria Math" w:cs="Arial"/>
                  <w:sz w:val="20"/>
                  <w:szCs w:val="20"/>
                </w:rPr>
                <m:t>DD</m:t>
              </m:r>
              <m:d>
                <m:dPr>
                  <m:ctrlPr>
                    <w:rPr>
                      <w:rFonts w:ascii="Cambria Math" w:hAnsi="Cambria Math" w:cs="Arial"/>
                      <w:i/>
                      <w:sz w:val="20"/>
                      <w:szCs w:val="20"/>
                    </w:rPr>
                  </m:ctrlPr>
                </m:dPr>
                <m:e>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ctrlPr>
                    <w:rPr>
                      <w:rFonts w:ascii="Cambria Math" w:hAnsi="Cambria Math" w:cs="Arial"/>
                      <w:i/>
                      <w:iCs/>
                      <w:sz w:val="20"/>
                      <w:szCs w:val="20"/>
                    </w:rPr>
                  </m:ctrlPr>
                </m:e>
              </m:d>
              <m:r>
                <w:rPr>
                  <w:rFonts w:ascii="Cambria Math" w:hAnsi="Cambria Math" w:cs="Arial"/>
                  <w:sz w:val="20"/>
                  <w:szCs w:val="20"/>
                </w:rPr>
                <m:t xml:space="preserve"> </m:t>
              </m:r>
              <m:r>
                <m:rPr>
                  <m:sty m:val="p"/>
                </m:rP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e>
          </m:d>
        </m:oMath>
      </m:oMathPara>
    </w:p>
    <w:p w14:paraId="5A42095E" w14:textId="22420F86" w:rsidR="00CE07C0" w:rsidRPr="001C7A3C" w:rsidRDefault="00CE07C0" w:rsidP="00035559">
      <w:pPr>
        <w:pStyle w:val="BodyText"/>
        <w:numPr>
          <w:ilvl w:val="0"/>
          <w:numId w:val="9"/>
        </w:numPr>
        <w:spacing w:line="240" w:lineRule="auto"/>
        <w:rPr>
          <w:rFonts w:ascii="Cambria" w:hAnsi="Cambria" w:cs="Arial"/>
          <w:sz w:val="20"/>
          <w:szCs w:val="20"/>
          <w:lang w:val="en-US"/>
        </w:rPr>
      </w:pPr>
      <w:r w:rsidRPr="001C7A3C">
        <w:rPr>
          <w:rFonts w:ascii="Cambria" w:hAnsi="Cambria" w:cs="Arial"/>
          <w:sz w:val="20"/>
          <w:szCs w:val="20"/>
          <w:lang w:val="en-US"/>
        </w:rPr>
        <w:t>Ending on the expected end date of the last prescription in that episode:</w:t>
      </w:r>
    </w:p>
    <w:p w14:paraId="30A4B34E" w14:textId="7763E0F7" w:rsidR="00CE07C0" w:rsidRPr="001C7A3C" w:rsidRDefault="00CE07C0" w:rsidP="00035559">
      <w:pPr>
        <w:pStyle w:val="BodyText"/>
        <w:spacing w:line="240" w:lineRule="auto"/>
        <w:ind w:left="720"/>
        <w:rPr>
          <w:rFonts w:ascii="Cambria" w:hAnsi="Cambria" w:cs="Arial"/>
          <w:sz w:val="20"/>
          <w:szCs w:val="20"/>
          <w:lang w:val="en-US"/>
        </w:rPr>
      </w:pPr>
      <m:oMathPara>
        <m:oMath>
          <m:r>
            <w:rPr>
              <w:rFonts w:ascii="Cambria Math" w:hAnsi="Cambria Math" w:cs="Arial"/>
              <w:sz w:val="20"/>
              <w:szCs w:val="20"/>
            </w:rPr>
            <m:t>EE</m:t>
          </m:r>
          <m:sSub>
            <m:sSubPr>
              <m:ctrlPr>
                <w:rPr>
                  <w:rFonts w:ascii="Cambria Math" w:hAnsi="Cambria Math" w:cs="Arial"/>
                  <w:sz w:val="20"/>
                  <w:szCs w:val="20"/>
                </w:rPr>
              </m:ctrlPr>
            </m:sSubPr>
            <m:e>
              <m:r>
                <w:rPr>
                  <w:rFonts w:ascii="Cambria Math" w:hAnsi="Cambria Math" w:cs="Arial"/>
                  <w:sz w:val="20"/>
                  <w:szCs w:val="20"/>
                </w:rPr>
                <m:t>D(T</m:t>
              </m:r>
            </m:e>
            <m:sub>
              <m:r>
                <m:rPr>
                  <m:sty m:val="p"/>
                </m:rPr>
                <w:rPr>
                  <w:rFonts w:ascii="Cambria Math" w:hAnsi="Cambria Math" w:cs="Arial"/>
                  <w:sz w:val="20"/>
                  <w:szCs w:val="20"/>
                </w:rPr>
                <m:t>j,k</m:t>
              </m:r>
            </m:sub>
          </m:sSub>
          <m:r>
            <w:rPr>
              <w:rFonts w:ascii="Cambria Math" w:hAnsi="Cambria Math" w:cs="Arial"/>
              <w:sz w:val="20"/>
              <w:szCs w:val="20"/>
            </w:rPr>
            <m:t>)= max</m:t>
          </m:r>
          <m:d>
            <m:dPr>
              <m:begChr m:val="{"/>
              <m:endChr m:val="}"/>
              <m:ctrlPr>
                <w:rPr>
                  <w:rFonts w:ascii="Cambria Math" w:hAnsi="Cambria Math" w:cs="Arial"/>
                  <w:i/>
                  <w:sz w:val="20"/>
                  <w:szCs w:val="20"/>
                </w:rPr>
              </m:ctrlPr>
            </m:dPr>
            <m:e>
              <m:r>
                <w:rPr>
                  <w:rFonts w:ascii="Cambria Math" w:hAnsi="Cambria Math" w:cs="Arial"/>
                  <w:sz w:val="20"/>
                  <w:szCs w:val="20"/>
                </w:rPr>
                <m:t>EED(</m:t>
              </m:r>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i,k</m:t>
                  </m:r>
                </m:sub>
              </m:sSub>
              <m:r>
                <w:rPr>
                  <w:rFonts w:ascii="Cambria Math" w:hAnsi="Cambria Math" w:cs="Arial"/>
                  <w:sz w:val="20"/>
                  <w:szCs w:val="20"/>
                </w:rPr>
                <m:t xml:space="preserve">) </m:t>
              </m:r>
              <m:r>
                <m:rPr>
                  <m:sty m:val="p"/>
                </m:rP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e>
          </m:d>
        </m:oMath>
      </m:oMathPara>
    </w:p>
    <w:p w14:paraId="5C390594" w14:textId="6AFDCEB2" w:rsidR="007275D6" w:rsidRPr="001C7A3C" w:rsidRDefault="007275D6" w:rsidP="007275D6">
      <w:pPr>
        <w:pStyle w:val="BodyText"/>
        <w:spacing w:line="240" w:lineRule="auto"/>
        <w:rPr>
          <w:rFonts w:ascii="Cambria" w:hAnsi="Cambria" w:cs="Arial"/>
          <w:b/>
          <w:bCs/>
          <w:sz w:val="20"/>
          <w:szCs w:val="20"/>
          <w:lang w:val="en-US"/>
        </w:rPr>
      </w:pPr>
      <w:r w:rsidRPr="001C7A3C">
        <w:rPr>
          <w:rFonts w:ascii="Cambria" w:hAnsi="Cambria" w:cs="Arial"/>
          <w:b/>
          <w:bCs/>
          <w:sz w:val="20"/>
          <w:szCs w:val="20"/>
          <w:lang w:val="en-US"/>
        </w:rPr>
        <w:t>Identifying antidepressant monotherapy episodes</w:t>
      </w:r>
    </w:p>
    <w:p w14:paraId="3B0E750B" w14:textId="6886F69A" w:rsidR="00AB2685" w:rsidRPr="001C7A3C" w:rsidRDefault="007275D6" w:rsidP="007275D6">
      <w:pPr>
        <w:spacing w:line="240" w:lineRule="auto"/>
        <w:rPr>
          <w:rFonts w:ascii="Cambria" w:hAnsi="Cambria" w:cs="Arial"/>
          <w:sz w:val="20"/>
          <w:szCs w:val="20"/>
          <w:lang w:val="en-US"/>
        </w:rPr>
      </w:pPr>
      <w:r w:rsidRPr="001C7A3C">
        <w:rPr>
          <w:rFonts w:ascii="Cambria" w:hAnsi="Cambria" w:cs="Arial"/>
          <w:sz w:val="20"/>
          <w:szCs w:val="20"/>
          <w:lang w:val="en-US"/>
        </w:rPr>
        <w:t xml:space="preserve">Monotherapy episodes were defined as periods of continuous dispensing of a single antidepressant, allowing brief (≤28 days) cross-tapers (i.e., overlapping prescriptions) at episode boundaries. Cross-tapers at the start of an episode were excluded from the episode duration by shifting the effective start date to the end of the overlap period (index date of index episode). Cross-tapers at the end of an episode were permitted only if two conditions were met: (i) the overlap began at least 28 days after the episode </w:t>
      </w:r>
      <w:r w:rsidRPr="001C7A3C">
        <w:rPr>
          <w:rFonts w:ascii="Cambria" w:hAnsi="Cambria" w:cs="Arial"/>
          <w:sz w:val="20"/>
          <w:szCs w:val="20"/>
          <w:lang w:val="en-US"/>
        </w:rPr>
        <w:lastRenderedPageBreak/>
        <w:t xml:space="preserve">index date, ensuring a minimum of 28 days of monotherapy, and (ii) the overlap occurred within the final 28 days before the prescription episode end. In such cases, the cross-taper period was excluded from the final monotherapy episode duration, </w:t>
      </w:r>
      <m:oMath>
        <m:r>
          <w:rPr>
            <w:rFonts w:ascii="Cambria Math" w:hAnsi="Cambria Math" w:cs="Arial"/>
            <w:sz w:val="20"/>
            <w:szCs w:val="20"/>
            <w:lang w:val="en-US"/>
          </w:rPr>
          <m:t>D</m:t>
        </m:r>
        <m:d>
          <m:dPr>
            <m:ctrlPr>
              <w:rPr>
                <w:rFonts w:ascii="Cambria Math" w:hAnsi="Cambria Math" w:cs="Arial"/>
                <w:i/>
                <w:sz w:val="20"/>
                <w:szCs w:val="20"/>
                <w:lang w:val="en-US"/>
              </w:rPr>
            </m:ctrlPr>
          </m:dPr>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ctrlPr>
              <w:rPr>
                <w:rFonts w:ascii="Cambria Math" w:hAnsi="Cambria Math" w:cs="Arial"/>
                <w:i/>
                <w:sz w:val="20"/>
                <w:szCs w:val="20"/>
              </w:rPr>
            </m:ctrlPr>
          </m:e>
        </m:d>
      </m:oMath>
      <w:r w:rsidRPr="001C7A3C">
        <w:rPr>
          <w:rFonts w:ascii="Cambria" w:hAnsi="Cambria" w:cs="Arial"/>
          <w:sz w:val="20"/>
          <w:szCs w:val="20"/>
          <w:lang w:val="en-US"/>
        </w:rPr>
        <w:t>. As a result of these restrictions, some prescription episodes had zero duration of monotherapy</w:t>
      </w:r>
    </w:p>
    <w:p w14:paraId="535609A6" w14:textId="21DCD5C0" w:rsidR="005C19BB" w:rsidRPr="001C7A3C" w:rsidRDefault="005C19BB" w:rsidP="005C19BB">
      <w:pPr>
        <w:pStyle w:val="BodyText"/>
        <w:spacing w:line="240" w:lineRule="auto"/>
        <w:rPr>
          <w:rFonts w:ascii="Cambria" w:hAnsi="Cambria" w:cs="Arial"/>
          <w:b/>
          <w:bCs/>
          <w:sz w:val="20"/>
          <w:szCs w:val="20"/>
          <w:lang w:val="en-US"/>
        </w:rPr>
      </w:pPr>
      <w:r w:rsidRPr="001C7A3C">
        <w:rPr>
          <w:rFonts w:ascii="Cambria" w:hAnsi="Cambria" w:cs="Arial"/>
          <w:b/>
          <w:bCs/>
          <w:sz w:val="20"/>
          <w:szCs w:val="20"/>
          <w:lang w:val="en-US"/>
        </w:rPr>
        <w:t>Labelling individual prescription episodes: Continuation or Discontinuation</w:t>
      </w:r>
    </w:p>
    <w:p w14:paraId="26BCFE79" w14:textId="32F22656" w:rsidR="005C19BB" w:rsidRPr="001C7A3C" w:rsidRDefault="005C19BB" w:rsidP="005C19BB">
      <w:pPr>
        <w:pStyle w:val="BodyText"/>
        <w:spacing w:line="240" w:lineRule="auto"/>
        <w:rPr>
          <w:rFonts w:ascii="Cambria" w:hAnsi="Cambria" w:cs="Arial"/>
          <w:sz w:val="20"/>
          <w:szCs w:val="20"/>
        </w:rPr>
      </w:pPr>
      <w:r w:rsidRPr="001C7A3C">
        <w:rPr>
          <w:rFonts w:ascii="Cambria" w:hAnsi="Cambria" w:cs="Arial"/>
          <w:sz w:val="20"/>
          <w:szCs w:val="20"/>
          <w:lang w:val="en-US"/>
        </w:rPr>
        <w:t xml:space="preserve">Over the follow-up period, individuals could have multiple prescription episodes for the same </w:t>
      </w:r>
      <w:r w:rsidR="005F46B0" w:rsidRPr="001C7A3C">
        <w:rPr>
          <w:rFonts w:ascii="Cambria" w:hAnsi="Cambria" w:cs="Arial"/>
          <w:sz w:val="20"/>
          <w:szCs w:val="20"/>
          <w:lang w:val="en-US"/>
        </w:rPr>
        <w:t xml:space="preserve">k-th </w:t>
      </w:r>
      <w:r w:rsidRPr="001C7A3C">
        <w:rPr>
          <w:rFonts w:ascii="Cambria" w:hAnsi="Cambria" w:cs="Arial"/>
          <w:sz w:val="20"/>
          <w:szCs w:val="20"/>
          <w:lang w:val="en-US"/>
        </w:rPr>
        <w:t xml:space="preserve">antidepressant drug, reflecting treatment interruptions or restarts. </w:t>
      </w:r>
    </w:p>
    <w:p w14:paraId="270B4F4B" w14:textId="3DEE0981" w:rsidR="005C19BB" w:rsidRPr="001C7A3C" w:rsidRDefault="005C19BB" w:rsidP="005C19BB">
      <w:pPr>
        <w:pStyle w:val="BodyText"/>
        <w:spacing w:line="240" w:lineRule="auto"/>
        <w:rPr>
          <w:rFonts w:ascii="Cambria" w:hAnsi="Cambria" w:cs="Arial"/>
          <w:sz w:val="20"/>
          <w:szCs w:val="20"/>
        </w:rPr>
      </w:pPr>
      <w:r w:rsidRPr="001C7A3C">
        <w:rPr>
          <w:rFonts w:ascii="Cambria" w:hAnsi="Cambria" w:cs="Arial"/>
          <w:sz w:val="20"/>
          <w:szCs w:val="20"/>
        </w:rPr>
        <w:t>We selected a 90-day follow-up period from prescription episode effective episode start date to assess each antidepressant prescription episode outcome</w:t>
      </w:r>
      <w:r w:rsidR="00011887" w:rsidRPr="001C7A3C">
        <w:rPr>
          <w:rFonts w:ascii="Cambria" w:hAnsi="Cambria" w:cs="Arial"/>
          <w:sz w:val="20"/>
          <w:szCs w:val="20"/>
        </w:rPr>
        <w:t xml:space="preserve"> (continuation or discontinuation)</w:t>
      </w:r>
      <w:r w:rsidRPr="001C7A3C">
        <w:rPr>
          <w:rFonts w:ascii="Cambria" w:hAnsi="Cambria" w:cs="Arial"/>
          <w:sz w:val="20"/>
          <w:szCs w:val="20"/>
        </w:rPr>
        <w:t xml:space="preserve">, based on preliminary analyses within the </w:t>
      </w:r>
      <w:r w:rsidR="005F46B0" w:rsidRPr="001C7A3C">
        <w:rPr>
          <w:rFonts w:ascii="Cambria" w:hAnsi="Cambria" w:cs="Arial"/>
          <w:sz w:val="20"/>
          <w:szCs w:val="20"/>
        </w:rPr>
        <w:t xml:space="preserve">All of Us prescription </w:t>
      </w:r>
      <w:r w:rsidRPr="001C7A3C">
        <w:rPr>
          <w:rFonts w:ascii="Cambria" w:hAnsi="Cambria" w:cs="Arial"/>
          <w:sz w:val="20"/>
          <w:szCs w:val="20"/>
        </w:rPr>
        <w:t xml:space="preserve">database. In </w:t>
      </w:r>
      <w:r w:rsidR="005F46B0" w:rsidRPr="001C7A3C">
        <w:rPr>
          <w:rFonts w:ascii="Cambria" w:hAnsi="Cambria" w:cs="Arial"/>
          <w:sz w:val="20"/>
          <w:szCs w:val="20"/>
        </w:rPr>
        <w:t>All of Us</w:t>
      </w:r>
      <w:r w:rsidRPr="001C7A3C">
        <w:rPr>
          <w:rFonts w:ascii="Cambria" w:hAnsi="Cambria" w:cs="Arial"/>
          <w:sz w:val="20"/>
          <w:szCs w:val="20"/>
        </w:rPr>
        <w:t>, N06A prescriptions are most commonly dispensed for 30 days, as such</w:t>
      </w:r>
      <w:r w:rsidR="00751655" w:rsidRPr="001C7A3C">
        <w:rPr>
          <w:rFonts w:ascii="Cambria" w:hAnsi="Cambria" w:cs="Arial"/>
          <w:sz w:val="20"/>
          <w:szCs w:val="20"/>
        </w:rPr>
        <w:t xml:space="preserve"> a 90-day continuous prescription episode likely reflect 2-3 consecutive prescriptions of the same drug. </w:t>
      </w:r>
      <w:r w:rsidR="00D44E80" w:rsidRPr="001C7A3C">
        <w:rPr>
          <w:rFonts w:ascii="Cambria" w:hAnsi="Cambria" w:cs="Arial"/>
          <w:sz w:val="20"/>
          <w:szCs w:val="20"/>
        </w:rPr>
        <w:t xml:space="preserve">We defined a ≥90-day monotherapy prescription episode as “Continuation”, indicating an adequate trial of the drug. </w:t>
      </w:r>
    </w:p>
    <w:p w14:paraId="7DB878E8" w14:textId="03085DEF" w:rsidR="005C19BB" w:rsidRPr="001C7A3C" w:rsidRDefault="005C19BB" w:rsidP="005C19BB">
      <w:pPr>
        <w:pStyle w:val="BodyText"/>
        <w:spacing w:line="240" w:lineRule="auto"/>
        <w:rPr>
          <w:rFonts w:ascii="Cambria" w:hAnsi="Cambria" w:cs="Arial"/>
          <w:sz w:val="20"/>
          <w:szCs w:val="20"/>
        </w:rPr>
      </w:pPr>
      <w:r w:rsidRPr="001C7A3C">
        <w:rPr>
          <w:rFonts w:ascii="Cambria" w:hAnsi="Cambria" w:cs="Arial"/>
          <w:sz w:val="20"/>
          <w:szCs w:val="20"/>
        </w:rPr>
        <w:t xml:space="preserve">Accordingly, if </w:t>
      </w:r>
      <w:r w:rsidRPr="001C7A3C">
        <w:rPr>
          <w:rFonts w:ascii="Cambria" w:hAnsi="Cambria" w:cs="Arial"/>
          <w:sz w:val="20"/>
          <w:szCs w:val="20"/>
          <w:lang w:val="en-US"/>
        </w:rPr>
        <w:t xml:space="preserve">the monotherapy duration of the </w:t>
      </w:r>
      <w:r w:rsidRPr="001C7A3C">
        <w:rPr>
          <w:rFonts w:ascii="Cambria" w:hAnsi="Cambria" w:cs="Arial"/>
          <w:i/>
          <w:iCs/>
          <w:sz w:val="20"/>
          <w:szCs w:val="20"/>
          <w:lang w:val="en-US"/>
        </w:rPr>
        <w:t>j</w:t>
      </w:r>
      <w:r w:rsidRPr="001C7A3C">
        <w:rPr>
          <w:rFonts w:ascii="Cambria" w:hAnsi="Cambria" w:cs="Arial"/>
          <w:sz w:val="20"/>
          <w:szCs w:val="20"/>
          <w:lang w:val="en-US"/>
        </w:rPr>
        <w:t xml:space="preserve">-th prescription episode for the </w:t>
      </w:r>
      <w:r w:rsidRPr="001C7A3C">
        <w:rPr>
          <w:rFonts w:ascii="Cambria" w:hAnsi="Cambria" w:cs="Arial"/>
          <w:i/>
          <w:iCs/>
          <w:sz w:val="20"/>
          <w:szCs w:val="20"/>
          <w:lang w:val="en-US"/>
        </w:rPr>
        <w:t>k</w:t>
      </w:r>
      <w:r w:rsidRPr="001C7A3C">
        <w:rPr>
          <w:rFonts w:ascii="Cambria" w:hAnsi="Cambria" w:cs="Arial"/>
          <w:sz w:val="20"/>
          <w:szCs w:val="20"/>
          <w:lang w:val="en-US"/>
        </w:rPr>
        <w:t xml:space="preserve">-th drug, </w:t>
      </w:r>
      <m:oMath>
        <m:r>
          <w:rPr>
            <w:rFonts w:ascii="Cambria Math" w:hAnsi="Cambria Math" w:cs="Arial"/>
            <w:sz w:val="20"/>
            <w:szCs w:val="20"/>
            <w:lang w:val="en-US"/>
          </w:rPr>
          <m:t>D</m:t>
        </m:r>
        <m:d>
          <m:dPr>
            <m:ctrlPr>
              <w:rPr>
                <w:rFonts w:ascii="Cambria Math" w:hAnsi="Cambria Math" w:cs="Arial"/>
                <w:i/>
                <w:sz w:val="20"/>
                <w:szCs w:val="20"/>
                <w:lang w:val="en-US"/>
              </w:rPr>
            </m:ctrlPr>
          </m:dPr>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ctrlPr>
              <w:rPr>
                <w:rFonts w:ascii="Cambria Math" w:hAnsi="Cambria Math" w:cs="Arial"/>
                <w:i/>
                <w:sz w:val="20"/>
                <w:szCs w:val="20"/>
              </w:rPr>
            </m:ctrlPr>
          </m:e>
        </m:d>
      </m:oMath>
      <w:r w:rsidRPr="001C7A3C">
        <w:rPr>
          <w:rFonts w:ascii="Cambria" w:hAnsi="Cambria" w:cs="Arial"/>
          <w:sz w:val="20"/>
          <w:szCs w:val="20"/>
        </w:rPr>
        <w:t xml:space="preserve"> was ≥ 90-days, it was labelled as ‘continuation’, otherwise, it was labelled as ‘discontinuation’.</w:t>
      </w:r>
      <w:r w:rsidRPr="001C7A3C">
        <w:rPr>
          <w:rFonts w:ascii="Cambria" w:hAnsi="Cambria" w:cs="Arial"/>
          <w:sz w:val="20"/>
          <w:szCs w:val="20"/>
          <w:lang w:val="en-US"/>
        </w:rPr>
        <w:t xml:space="preserve"> </w:t>
      </w:r>
      <w:r w:rsidRPr="001C7A3C">
        <w:rPr>
          <w:rFonts w:ascii="Cambria" w:hAnsi="Cambria" w:cs="Arial"/>
          <w:sz w:val="20"/>
          <w:szCs w:val="20"/>
        </w:rPr>
        <w:t>Individuals could have multiple prescription episodes with different outcomes for the same drug.</w:t>
      </w:r>
    </w:p>
    <w:p w14:paraId="29034D80" w14:textId="77777777" w:rsidR="005C19BB" w:rsidRPr="001C7A3C" w:rsidRDefault="005C19BB" w:rsidP="005C19BB">
      <w:pPr>
        <w:spacing w:line="240" w:lineRule="auto"/>
        <w:rPr>
          <w:rFonts w:ascii="Cambria" w:hAnsi="Cambria" w:cs="Arial"/>
          <w:sz w:val="20"/>
          <w:szCs w:val="20"/>
        </w:rPr>
      </w:pPr>
      <w:r w:rsidRPr="001C7A3C">
        <w:rPr>
          <w:rFonts w:ascii="Cambria" w:hAnsi="Cambria" w:cs="Arial"/>
          <w:sz w:val="20"/>
          <w:szCs w:val="20"/>
        </w:rPr>
        <w:t>Mathematically:</w:t>
      </w:r>
    </w:p>
    <w:p w14:paraId="7EC0ECA8" w14:textId="73084415" w:rsidR="005C19BB" w:rsidRPr="001C7A3C" w:rsidRDefault="005C19BB" w:rsidP="005C19BB">
      <w:pPr>
        <w:spacing w:line="240" w:lineRule="auto"/>
        <w:rPr>
          <w:rFonts w:ascii="Cambria" w:hAnsi="Cambria" w:cs="Arial"/>
          <w:sz w:val="20"/>
          <w:szCs w:val="20"/>
          <w:lang w:val="en-US"/>
        </w:rPr>
      </w:pPr>
      <m:oMathPara>
        <m:oMath>
          <m:r>
            <w:rPr>
              <w:rFonts w:ascii="Cambria Math" w:hAnsi="Cambria Math" w:cs="Arial"/>
              <w:sz w:val="20"/>
              <w:szCs w:val="20"/>
              <w:lang w:val="en-US"/>
            </w:rPr>
            <m:t>OUTCOME</m:t>
          </m:r>
          <m:d>
            <m:dPr>
              <m:ctrlPr>
                <w:rPr>
                  <w:rFonts w:ascii="Cambria Math" w:hAnsi="Cambria Math" w:cs="Arial"/>
                  <w:i/>
                  <w:sz w:val="20"/>
                  <w:szCs w:val="20"/>
                  <w:lang w:val="en-US"/>
                </w:rPr>
              </m:ctrlPr>
            </m:dPr>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e>
          </m:d>
          <m:r>
            <w:rPr>
              <w:rFonts w:ascii="Cambria Math" w:hAnsi="Cambria Math" w:cs="Arial"/>
              <w:sz w:val="20"/>
              <w:szCs w:val="20"/>
              <w:lang w:val="en-US"/>
            </w:rPr>
            <m:t>=</m:t>
          </m:r>
          <m:d>
            <m:dPr>
              <m:begChr m:val="{"/>
              <m:endChr m:val=""/>
              <m:ctrlPr>
                <w:rPr>
                  <w:rFonts w:ascii="Cambria Math" w:hAnsi="Cambria Math" w:cs="Arial"/>
                  <w:i/>
                  <w:sz w:val="20"/>
                  <w:szCs w:val="20"/>
                  <w:lang w:val="en-US"/>
                </w:rPr>
              </m:ctrlPr>
            </m:dPr>
            <m:e>
              <m:eqArr>
                <m:eqArrPr>
                  <m:ctrlPr>
                    <w:rPr>
                      <w:rFonts w:ascii="Cambria Math" w:hAnsi="Cambria Math" w:cs="Arial"/>
                      <w:i/>
                      <w:sz w:val="20"/>
                      <w:szCs w:val="20"/>
                      <w:lang w:val="en-US"/>
                    </w:rPr>
                  </m:ctrlPr>
                </m:eqArrPr>
                <m:e>
                  <m:r>
                    <w:rPr>
                      <w:rFonts w:ascii="Cambria Math" w:hAnsi="Cambria Math" w:cs="Arial"/>
                      <w:sz w:val="20"/>
                      <w:szCs w:val="20"/>
                      <w:lang w:val="en-US"/>
                    </w:rPr>
                    <m:t>'continuatio</m:t>
                  </m:r>
                  <m:sSup>
                    <m:sSupPr>
                      <m:ctrlPr>
                        <w:rPr>
                          <w:rFonts w:ascii="Cambria Math" w:hAnsi="Cambria Math" w:cs="Arial"/>
                          <w:i/>
                          <w:sz w:val="20"/>
                          <w:szCs w:val="20"/>
                          <w:lang w:val="en-US"/>
                        </w:rPr>
                      </m:ctrlPr>
                    </m:sSupPr>
                    <m:e>
                      <m:r>
                        <w:rPr>
                          <w:rFonts w:ascii="Cambria Math" w:hAnsi="Cambria Math" w:cs="Arial"/>
                          <w:sz w:val="20"/>
                          <w:szCs w:val="20"/>
                          <w:lang w:val="en-US"/>
                        </w:rPr>
                        <m:t>n</m:t>
                      </m:r>
                    </m:e>
                    <m:sup>
                      <m:r>
                        <w:rPr>
                          <w:rFonts w:ascii="Cambria Math" w:hAnsi="Cambria Math" w:cs="Arial"/>
                          <w:sz w:val="20"/>
                          <w:szCs w:val="20"/>
                          <w:lang w:val="en-US"/>
                        </w:rPr>
                        <m:t>'</m:t>
                      </m:r>
                    </m:sup>
                  </m:sSup>
                  <m:r>
                    <w:rPr>
                      <w:rFonts w:ascii="Cambria Math" w:hAnsi="Cambria Math" w:cs="Arial"/>
                      <w:sz w:val="20"/>
                      <w:szCs w:val="20"/>
                      <w:lang w:val="en-US"/>
                    </w:rPr>
                    <m:t>,                      if D</m:t>
                  </m:r>
                  <m:d>
                    <m:dPr>
                      <m:ctrlPr>
                        <w:rPr>
                          <w:rFonts w:ascii="Cambria Math" w:hAnsi="Cambria Math" w:cs="Arial"/>
                          <w:i/>
                          <w:sz w:val="20"/>
                          <w:szCs w:val="20"/>
                          <w:lang w:val="en-US"/>
                        </w:rPr>
                      </m:ctrlPr>
                    </m:dPr>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ctrlPr>
                        <w:rPr>
                          <w:rFonts w:ascii="Cambria Math" w:hAnsi="Cambria Math" w:cs="Arial"/>
                          <w:i/>
                          <w:sz w:val="20"/>
                          <w:szCs w:val="20"/>
                        </w:rPr>
                      </m:ctrlPr>
                    </m:e>
                  </m:d>
                  <m:r>
                    <w:rPr>
                      <w:rFonts w:ascii="Cambria Math" w:hAnsi="Cambria Math" w:cs="Arial"/>
                      <w:sz w:val="20"/>
                      <w:szCs w:val="20"/>
                    </w:rPr>
                    <m:t xml:space="preserve"> ≥90     </m:t>
                  </m:r>
                </m:e>
                <m:e>
                  <m:r>
                    <w:rPr>
                      <w:rFonts w:ascii="Cambria Math" w:hAnsi="Cambria Math" w:cs="Arial"/>
                      <w:sz w:val="20"/>
                      <w:szCs w:val="20"/>
                      <w:lang w:val="en-US"/>
                    </w:rPr>
                    <m:t>'discontinuatio</m:t>
                  </m:r>
                  <m:sSup>
                    <m:sSupPr>
                      <m:ctrlPr>
                        <w:rPr>
                          <w:rFonts w:ascii="Cambria Math" w:hAnsi="Cambria Math" w:cs="Arial"/>
                          <w:i/>
                          <w:sz w:val="20"/>
                          <w:szCs w:val="20"/>
                          <w:lang w:val="en-US"/>
                        </w:rPr>
                      </m:ctrlPr>
                    </m:sSupPr>
                    <m:e>
                      <m:r>
                        <w:rPr>
                          <w:rFonts w:ascii="Cambria Math" w:hAnsi="Cambria Math" w:cs="Arial"/>
                          <w:sz w:val="20"/>
                          <w:szCs w:val="20"/>
                          <w:lang w:val="en-US"/>
                        </w:rPr>
                        <m:t>n</m:t>
                      </m:r>
                    </m:e>
                    <m:sup>
                      <m:r>
                        <w:rPr>
                          <w:rFonts w:ascii="Cambria Math" w:hAnsi="Cambria Math" w:cs="Arial"/>
                          <w:sz w:val="20"/>
                          <w:szCs w:val="20"/>
                          <w:lang w:val="en-US"/>
                        </w:rPr>
                        <m:t>'</m:t>
                      </m:r>
                    </m:sup>
                  </m:sSup>
                  <m:r>
                    <w:rPr>
                      <w:rFonts w:ascii="Cambria Math" w:hAnsi="Cambria Math" w:cs="Arial"/>
                      <w:sz w:val="20"/>
                      <w:szCs w:val="20"/>
                      <w:lang w:val="en-US"/>
                    </w:rPr>
                    <m:t xml:space="preserve">,                otherwise </m:t>
                  </m:r>
                </m:e>
              </m:eqArr>
            </m:e>
          </m:d>
        </m:oMath>
      </m:oMathPara>
    </w:p>
    <w:p w14:paraId="6AA19174" w14:textId="77777777" w:rsidR="005C19BB" w:rsidRPr="001C7A3C" w:rsidRDefault="005C19BB" w:rsidP="007275D6">
      <w:pPr>
        <w:spacing w:line="240" w:lineRule="auto"/>
        <w:rPr>
          <w:rFonts w:ascii="Cambria" w:hAnsi="Cambria" w:cs="Arial"/>
          <w:sz w:val="20"/>
          <w:szCs w:val="20"/>
          <w:lang w:val="en-US"/>
        </w:rPr>
      </w:pPr>
    </w:p>
    <w:p w14:paraId="7853B183" w14:textId="0B37D6FE" w:rsidR="00F86C3F" w:rsidRPr="001C7A3C" w:rsidRDefault="00F86C3F" w:rsidP="00F86C3F">
      <w:pPr>
        <w:pStyle w:val="Heading1"/>
        <w:rPr>
          <w:rFonts w:ascii="Cambria" w:hAnsi="Cambria"/>
          <w:b w:val="0"/>
          <w:bCs w:val="0"/>
          <w:lang w:val="en-US"/>
        </w:rPr>
      </w:pPr>
      <w:bookmarkStart w:id="1" w:name="_Toc225780168"/>
      <w:r w:rsidRPr="001C7A3C">
        <w:rPr>
          <w:rFonts w:ascii="Cambria" w:hAnsi="Cambria"/>
          <w:b w:val="0"/>
          <w:bCs w:val="0"/>
          <w:lang w:val="en-US"/>
        </w:rPr>
        <w:t>Supplementary Method 2: Defining Antidepressant Outcomes</w:t>
      </w:r>
      <w:bookmarkEnd w:id="1"/>
    </w:p>
    <w:p w14:paraId="24EDDC48" w14:textId="7EC0187B" w:rsidR="001A2827" w:rsidRPr="001C7A3C" w:rsidRDefault="007275D6" w:rsidP="00035559">
      <w:pPr>
        <w:spacing w:line="240" w:lineRule="auto"/>
        <w:rPr>
          <w:rFonts w:ascii="Cambria" w:hAnsi="Cambria" w:cs="Arial"/>
          <w:b/>
          <w:bCs/>
          <w:sz w:val="20"/>
          <w:szCs w:val="20"/>
        </w:rPr>
      </w:pPr>
      <w:r w:rsidRPr="001C7A3C">
        <w:rPr>
          <w:rFonts w:ascii="Cambria" w:hAnsi="Cambria" w:cs="Arial"/>
          <w:b/>
          <w:bCs/>
          <w:sz w:val="20"/>
          <w:szCs w:val="20"/>
        </w:rPr>
        <w:t>A</w:t>
      </w:r>
      <w:r w:rsidR="001A2827" w:rsidRPr="001C7A3C">
        <w:rPr>
          <w:rFonts w:ascii="Cambria" w:hAnsi="Cambria" w:cs="Arial"/>
          <w:b/>
          <w:bCs/>
          <w:sz w:val="20"/>
          <w:szCs w:val="20"/>
        </w:rPr>
        <w:t xml:space="preserve">ssigning </w:t>
      </w:r>
      <w:r w:rsidR="0033063D" w:rsidRPr="001C7A3C">
        <w:rPr>
          <w:rFonts w:ascii="Cambria" w:hAnsi="Cambria" w:cs="Arial"/>
          <w:b/>
          <w:bCs/>
          <w:sz w:val="20"/>
          <w:szCs w:val="20"/>
        </w:rPr>
        <w:t xml:space="preserve">antidepressant </w:t>
      </w:r>
      <w:r w:rsidR="00465C90" w:rsidRPr="001C7A3C">
        <w:rPr>
          <w:rFonts w:ascii="Cambria" w:hAnsi="Cambria" w:cs="Arial"/>
          <w:b/>
          <w:bCs/>
          <w:sz w:val="20"/>
          <w:szCs w:val="20"/>
        </w:rPr>
        <w:t>outcomes</w:t>
      </w:r>
      <w:r w:rsidR="001A2827" w:rsidRPr="001C7A3C">
        <w:rPr>
          <w:rFonts w:ascii="Cambria" w:hAnsi="Cambria" w:cs="Arial"/>
          <w:b/>
          <w:bCs/>
          <w:sz w:val="20"/>
          <w:szCs w:val="20"/>
        </w:rPr>
        <w:t>: Switching</w:t>
      </w:r>
      <w:r w:rsidR="0033063D" w:rsidRPr="001C7A3C">
        <w:rPr>
          <w:rFonts w:ascii="Cambria" w:hAnsi="Cambria" w:cs="Arial"/>
          <w:b/>
          <w:bCs/>
          <w:sz w:val="20"/>
          <w:szCs w:val="20"/>
        </w:rPr>
        <w:t xml:space="preserve"> or </w:t>
      </w:r>
      <w:r w:rsidR="000F1783" w:rsidRPr="001C7A3C">
        <w:rPr>
          <w:rFonts w:ascii="Cambria" w:hAnsi="Cambria" w:cs="Arial"/>
          <w:b/>
          <w:bCs/>
          <w:sz w:val="20"/>
          <w:szCs w:val="20"/>
        </w:rPr>
        <w:t>Continuation</w:t>
      </w:r>
    </w:p>
    <w:p w14:paraId="1CE4920E" w14:textId="671236CA" w:rsidR="00337574" w:rsidRPr="001C7A3C" w:rsidRDefault="000418CC" w:rsidP="00337574">
      <w:pPr>
        <w:pStyle w:val="BodyText"/>
        <w:spacing w:line="240" w:lineRule="auto"/>
        <w:rPr>
          <w:rFonts w:ascii="Cambria" w:hAnsi="Cambria" w:cs="Arial"/>
          <w:sz w:val="20"/>
          <w:szCs w:val="20"/>
          <w:lang w:val="en-US"/>
        </w:rPr>
      </w:pPr>
      <w:r w:rsidRPr="001C7A3C">
        <w:rPr>
          <w:rFonts w:ascii="Cambria" w:hAnsi="Cambria" w:cs="Arial"/>
          <w:sz w:val="20"/>
          <w:szCs w:val="20"/>
          <w:lang w:val="en-US"/>
        </w:rPr>
        <w:t>All</w:t>
      </w:r>
      <w:r w:rsidR="00337574" w:rsidRPr="001C7A3C">
        <w:rPr>
          <w:rFonts w:ascii="Cambria" w:hAnsi="Cambria" w:cs="Arial"/>
          <w:sz w:val="20"/>
          <w:szCs w:val="20"/>
          <w:lang w:val="en-US"/>
        </w:rPr>
        <w:t xml:space="preserve"> treatment outcomes were defined at the person level as summary phenotypes derived from an individual’s complete observed antidepressant treatment history, rather than being restricted to the first eligible treatment episode. This approach captures broader treatment trajectories, that may unfold across multiple treatment attempts, and is therefore more reflective of real-world clinical management of depressive disorders.</w:t>
      </w:r>
      <w:r w:rsidR="009F47BF">
        <w:rPr>
          <w:rFonts w:ascii="Cambria" w:hAnsi="Cambria" w:cs="Arial"/>
          <w:sz w:val="20"/>
          <w:szCs w:val="20"/>
          <w:lang w:val="en-US"/>
        </w:rPr>
        <w:t xml:space="preserve"> See </w:t>
      </w:r>
      <w:r w:rsidR="009F47BF" w:rsidRPr="009F47BF">
        <w:rPr>
          <w:rFonts w:ascii="Cambria" w:hAnsi="Cambria" w:cs="Arial"/>
          <w:b/>
          <w:bCs/>
          <w:sz w:val="20"/>
          <w:szCs w:val="20"/>
          <w:lang w:val="en-US"/>
        </w:rPr>
        <w:t>Supplementary Figure S1</w:t>
      </w:r>
      <w:r w:rsidR="009F47BF">
        <w:rPr>
          <w:rFonts w:ascii="Cambria" w:hAnsi="Cambria" w:cs="Arial"/>
          <w:sz w:val="20"/>
          <w:szCs w:val="20"/>
          <w:lang w:val="en-US"/>
        </w:rPr>
        <w:t xml:space="preserve"> for a representation of the main treatment outcomes (switching and continuation). </w:t>
      </w:r>
    </w:p>
    <w:p w14:paraId="032C4323" w14:textId="45A917F1" w:rsidR="00DB1707" w:rsidRPr="001C7A3C" w:rsidRDefault="00EF1A2A" w:rsidP="00DB1707">
      <w:pPr>
        <w:spacing w:line="240" w:lineRule="auto"/>
        <w:rPr>
          <w:rFonts w:ascii="Cambria" w:hAnsi="Cambria" w:cs="Arial"/>
          <w:sz w:val="20"/>
          <w:szCs w:val="20"/>
        </w:rPr>
      </w:pPr>
      <w:r w:rsidRPr="001C7A3C">
        <w:rPr>
          <w:rFonts w:ascii="Cambria" w:hAnsi="Cambria" w:cs="Arial"/>
          <w:sz w:val="20"/>
          <w:szCs w:val="20"/>
          <w:lang w:val="en-US"/>
        </w:rPr>
        <w:t>Initially, f</w:t>
      </w:r>
      <w:r w:rsidR="00DB1707" w:rsidRPr="001C7A3C">
        <w:rPr>
          <w:rFonts w:ascii="Cambria" w:hAnsi="Cambria" w:cs="Arial"/>
          <w:sz w:val="20"/>
          <w:szCs w:val="20"/>
          <w:lang w:val="en-US"/>
        </w:rPr>
        <w:t>or each drug, if at least one monotherapy prescription episode was classified as a ‘continuation’, the individual was considered to have continued treatment with that drug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k</m:t>
            </m:r>
          </m:sub>
        </m:sSub>
        <m:r>
          <w:rPr>
            <w:rFonts w:ascii="Cambria Math" w:hAnsi="Cambria Math" w:cs="Arial"/>
            <w:sz w:val="20"/>
            <w:szCs w:val="20"/>
          </w:rPr>
          <m:t>=1)</m:t>
        </m:r>
      </m:oMath>
      <w:r w:rsidR="00DB1707" w:rsidRPr="001C7A3C">
        <w:rPr>
          <w:rFonts w:ascii="Cambria" w:hAnsi="Cambria" w:cs="Arial"/>
          <w:sz w:val="20"/>
          <w:szCs w:val="20"/>
        </w:rPr>
        <w:t>. As it indicates if an individual was able to maintain treatment with the drug at least once, suggesting tolerability, effectiveness or clinical appropriateness. This conservative approach ensures that isolated discontinuation episodes do not overshadow evidence of successful long-term use. On the other hand, if all monotherapy prescription episodes for that drug were classified as ‘discontinuation’, the individual was considered to have discontinued the drug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k</m:t>
            </m:r>
          </m:sub>
        </m:sSub>
        <m:r>
          <w:rPr>
            <w:rFonts w:ascii="Cambria Math" w:hAnsi="Cambria Math" w:cs="Arial"/>
            <w:sz w:val="20"/>
            <w:szCs w:val="20"/>
          </w:rPr>
          <m:t>=0</m:t>
        </m:r>
      </m:oMath>
      <w:r w:rsidR="00DB1707" w:rsidRPr="001C7A3C">
        <w:rPr>
          <w:rFonts w:ascii="Cambria" w:hAnsi="Cambria" w:cs="Arial"/>
          <w:sz w:val="20"/>
          <w:szCs w:val="20"/>
        </w:rPr>
        <w:t>). This provides stronger evidence of persistent issues with tolerability, adherence, or efficacy of the drug.</w:t>
      </w:r>
    </w:p>
    <w:p w14:paraId="5418363C" w14:textId="77777777" w:rsidR="00DB1707" w:rsidRPr="001C7A3C" w:rsidRDefault="00DB1707" w:rsidP="00DB1707">
      <w:pPr>
        <w:pStyle w:val="BodyText"/>
        <w:spacing w:line="240" w:lineRule="auto"/>
        <w:rPr>
          <w:rFonts w:ascii="Cambria" w:hAnsi="Cambria" w:cs="Arial"/>
          <w:sz w:val="20"/>
          <w:szCs w:val="20"/>
          <w:lang w:val="en-US"/>
        </w:rPr>
      </w:pPr>
    </w:p>
    <w:p w14:paraId="3FE56F32" w14:textId="77777777" w:rsidR="00DB1707" w:rsidRPr="001C7A3C" w:rsidRDefault="00DB1707" w:rsidP="00DB1707">
      <w:pPr>
        <w:pStyle w:val="BodyText"/>
        <w:spacing w:line="240" w:lineRule="auto"/>
        <w:rPr>
          <w:rFonts w:ascii="Cambria" w:hAnsi="Cambria" w:cs="Arial"/>
          <w:sz w:val="20"/>
          <w:szCs w:val="20"/>
        </w:rPr>
      </w:pPr>
      <w:r w:rsidRPr="001C7A3C">
        <w:rPr>
          <w:rFonts w:ascii="Cambria" w:hAnsi="Cambria" w:cs="Arial"/>
          <w:sz w:val="20"/>
          <w:szCs w:val="20"/>
        </w:rPr>
        <w:t>Mathematically:</w:t>
      </w:r>
    </w:p>
    <w:p w14:paraId="5FE7A203" w14:textId="77777777" w:rsidR="00DB1707" w:rsidRPr="001C7A3C" w:rsidRDefault="006F0006" w:rsidP="00DB1707">
      <w:pPr>
        <w:pStyle w:val="BodyText"/>
        <w:spacing w:line="240" w:lineRule="auto"/>
        <w:rPr>
          <w:rFonts w:ascii="Cambria" w:hAnsi="Cambria" w:cs="Arial"/>
          <w:sz w:val="20"/>
          <w:szCs w:val="20"/>
        </w:rPr>
      </w:pPr>
      <m:oMathPara>
        <m:oMathParaPr>
          <m:jc m:val="center"/>
        </m:oMathParaP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k</m:t>
              </m:r>
            </m:sub>
          </m:sSub>
          <m:r>
            <w:rPr>
              <w:rFonts w:ascii="Cambria Math" w:hAnsi="Cambria Math" w:cs="Arial"/>
              <w:sz w:val="20"/>
              <w:szCs w:val="20"/>
            </w:rPr>
            <m:t>=</m:t>
          </m:r>
          <m:d>
            <m:dPr>
              <m:begChr m:val="{"/>
              <m:endChr m:val=""/>
              <m:ctrlPr>
                <w:rPr>
                  <w:rFonts w:ascii="Cambria Math" w:hAnsi="Cambria Math" w:cs="Arial"/>
                  <w:i/>
                  <w:sz w:val="20"/>
                  <w:szCs w:val="20"/>
                </w:rPr>
              </m:ctrlPr>
            </m:dPr>
            <m:e>
              <m:eqArr>
                <m:eqArrPr>
                  <m:ctrlPr>
                    <w:rPr>
                      <w:rFonts w:ascii="Cambria Math" w:hAnsi="Cambria Math" w:cs="Arial"/>
                      <w:i/>
                      <w:sz w:val="20"/>
                      <w:szCs w:val="20"/>
                    </w:rPr>
                  </m:ctrlPr>
                </m:eqArrPr>
                <m:e>
                  <m:r>
                    <w:rPr>
                      <w:rFonts w:ascii="Cambria Math" w:hAnsi="Cambria Math" w:cs="Arial"/>
                      <w:sz w:val="20"/>
                      <w:szCs w:val="20"/>
                    </w:rPr>
                    <m:t xml:space="preserve">1,  if </m:t>
                  </m:r>
                  <m:nary>
                    <m:naryPr>
                      <m:chr m:val="∑"/>
                      <m:limLoc m:val="subSup"/>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lang w:val="en-US"/>
                        </w:rPr>
                        <m:t>1</m:t>
                      </m:r>
                      <m:d>
                        <m:dPr>
                          <m:ctrlPr>
                            <w:rPr>
                              <w:rFonts w:ascii="Cambria Math" w:hAnsi="Cambria Math" w:cs="Arial"/>
                              <w:i/>
                              <w:sz w:val="20"/>
                              <w:szCs w:val="20"/>
                              <w:lang w:val="en-US"/>
                            </w:rPr>
                          </m:ctrlPr>
                        </m:dPr>
                        <m:e>
                          <m:r>
                            <w:rPr>
                              <w:rFonts w:ascii="Cambria Math" w:hAnsi="Cambria Math" w:cs="Arial"/>
                              <w:sz w:val="20"/>
                              <w:szCs w:val="20"/>
                              <w:lang w:val="en-US"/>
                            </w:rPr>
                            <m:t>OUTCOME</m:t>
                          </m:r>
                          <m:d>
                            <m:dPr>
                              <m:ctrlPr>
                                <w:rPr>
                                  <w:rFonts w:ascii="Cambria Math" w:hAnsi="Cambria Math" w:cs="Arial"/>
                                  <w:i/>
                                  <w:sz w:val="20"/>
                                  <w:szCs w:val="20"/>
                                  <w:lang w:val="en-US"/>
                                </w:rPr>
                              </m:ctrlPr>
                            </m:dPr>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e>
                          </m:d>
                          <m:r>
                            <w:rPr>
                              <w:rFonts w:ascii="Cambria Math" w:hAnsi="Cambria Math" w:cs="Arial"/>
                              <w:sz w:val="20"/>
                              <w:szCs w:val="20"/>
                              <w:lang w:val="en-US"/>
                            </w:rPr>
                            <m:t>=continuation</m:t>
                          </m:r>
                        </m:e>
                      </m:d>
                      <m:r>
                        <w:rPr>
                          <w:rFonts w:ascii="Cambria Math" w:hAnsi="Cambria Math" w:cs="Arial"/>
                          <w:sz w:val="20"/>
                          <w:szCs w:val="20"/>
                        </w:rPr>
                        <m:t xml:space="preserve"> ≥ 1</m:t>
                      </m:r>
                    </m:e>
                  </m:nary>
                </m:e>
                <m:e>
                  <m:r>
                    <w:rPr>
                      <w:rFonts w:ascii="Cambria Math" w:hAnsi="Cambria Math" w:cs="Arial"/>
                      <w:sz w:val="20"/>
                      <w:szCs w:val="20"/>
                    </w:rPr>
                    <m:t>0,  otherwise.</m:t>
                  </m:r>
                </m:e>
              </m:eqArr>
            </m:e>
          </m:d>
        </m:oMath>
      </m:oMathPara>
    </w:p>
    <w:p w14:paraId="5848FD5A" w14:textId="77777777" w:rsidR="00DB1707" w:rsidRPr="001C7A3C" w:rsidRDefault="00DB1707" w:rsidP="00337574">
      <w:pPr>
        <w:pStyle w:val="BodyText"/>
        <w:spacing w:line="240" w:lineRule="auto"/>
        <w:rPr>
          <w:rFonts w:ascii="Cambria" w:hAnsi="Cambria" w:cs="Arial"/>
          <w:sz w:val="20"/>
          <w:szCs w:val="20"/>
          <w:lang w:val="en-US"/>
        </w:rPr>
      </w:pPr>
    </w:p>
    <w:p w14:paraId="324C0DC9" w14:textId="77777777" w:rsidR="004E1AB5" w:rsidRPr="001C7A3C" w:rsidRDefault="004E1AB5" w:rsidP="00337574">
      <w:pPr>
        <w:pStyle w:val="BodyText"/>
        <w:spacing w:line="240" w:lineRule="auto"/>
        <w:rPr>
          <w:rFonts w:ascii="Cambria" w:hAnsi="Cambria" w:cs="Arial"/>
          <w:sz w:val="20"/>
          <w:szCs w:val="20"/>
          <w:lang w:val="en-US"/>
        </w:rPr>
      </w:pPr>
    </w:p>
    <w:p w14:paraId="79E389B2" w14:textId="77777777" w:rsidR="00984415" w:rsidRPr="001C7A3C" w:rsidRDefault="00984415" w:rsidP="00984415">
      <w:pPr>
        <w:pStyle w:val="BodyText"/>
        <w:spacing w:line="240" w:lineRule="auto"/>
        <w:rPr>
          <w:rFonts w:ascii="Cambria" w:hAnsi="Cambria" w:cs="Arial"/>
          <w:sz w:val="20"/>
          <w:szCs w:val="20"/>
        </w:rPr>
      </w:pPr>
      <w:r w:rsidRPr="001C7A3C">
        <w:rPr>
          <w:rFonts w:ascii="Cambria" w:hAnsi="Cambria" w:cs="Arial"/>
          <w:sz w:val="20"/>
          <w:szCs w:val="20"/>
        </w:rPr>
        <w:lastRenderedPageBreak/>
        <w:t>Next, we determined the final treatment outcome for the k-th drug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r>
          <w:rPr>
            <w:rFonts w:ascii="Cambria Math" w:hAnsi="Cambria Math" w:cs="Arial"/>
            <w:sz w:val="20"/>
            <w:szCs w:val="20"/>
          </w:rPr>
          <m:t xml:space="preserve">), </m:t>
        </m:r>
      </m:oMath>
      <w:r w:rsidRPr="001C7A3C">
        <w:rPr>
          <w:rFonts w:ascii="Cambria" w:hAnsi="Cambria" w:cs="Arial"/>
          <w:sz w:val="20"/>
          <w:szCs w:val="20"/>
        </w:rPr>
        <w:t>based on the dispensing behaviour for both the k-th drug and all other antidepressants. Switching was defined as a change to a different antidepressant drug, including switches both within and across mechanism-of-action (MOA) groups (e.g., SSRIs, SNRIs, TCAs)</w:t>
      </w:r>
      <w:r w:rsidRPr="001C7A3C">
        <w:rPr>
          <w:rFonts w:ascii="Cambria" w:hAnsi="Cambria" w:cs="Arial"/>
          <w:sz w:val="20"/>
          <w:szCs w:val="20"/>
          <w:lang w:val="en-US"/>
        </w:rPr>
        <w:t xml:space="preserve">. </w:t>
      </w:r>
      <w:r w:rsidRPr="001C7A3C">
        <w:rPr>
          <w:rFonts w:ascii="Cambria" w:hAnsi="Cambria" w:cs="Arial"/>
          <w:sz w:val="20"/>
          <w:szCs w:val="20"/>
        </w:rPr>
        <w:t>The final per-drug outcome reflects whether the individual switched, discontinued early, or continued treatment with the k-th drug.</w:t>
      </w:r>
    </w:p>
    <w:p w14:paraId="136C9C7A" w14:textId="685A5103" w:rsidR="003E10DF" w:rsidRPr="001C7A3C" w:rsidRDefault="00BC25FE" w:rsidP="00490771">
      <w:pPr>
        <w:pStyle w:val="BodyText"/>
        <w:spacing w:line="240" w:lineRule="auto"/>
        <w:rPr>
          <w:rFonts w:ascii="Cambria" w:hAnsi="Cambria" w:cs="Arial"/>
          <w:sz w:val="20"/>
          <w:szCs w:val="20"/>
          <w:lang w:val="en-US"/>
        </w:rPr>
      </w:pPr>
      <w:r w:rsidRPr="001C7A3C">
        <w:rPr>
          <w:rFonts w:ascii="Cambria" w:hAnsi="Cambria" w:cs="Arial"/>
          <w:sz w:val="20"/>
          <w:szCs w:val="20"/>
        </w:rPr>
        <w:t>Building on the Lancet definition of switching</w:t>
      </w:r>
      <w:r w:rsidR="00E206CC" w:rsidRPr="001C7A3C">
        <w:rPr>
          <w:rFonts w:ascii="Cambria" w:hAnsi="Cambria" w:cs="Arial"/>
          <w:sz w:val="20"/>
          <w:szCs w:val="20"/>
        </w:rPr>
        <w:t xml:space="preserve"> </w:t>
      </w:r>
      <w:r w:rsidR="00C9781C" w:rsidRPr="001C7A3C">
        <w:rPr>
          <w:rFonts w:ascii="Cambria" w:hAnsi="Cambria" w:cs="Arial"/>
          <w:sz w:val="20"/>
          <w:szCs w:val="20"/>
        </w:rPr>
        <w:t>in TRD</w:t>
      </w:r>
      <w:r w:rsidR="00F054EF" w:rsidRPr="001C7A3C">
        <w:rPr>
          <w:rFonts w:ascii="Cambria" w:hAnsi="Cambria" w:cs="Arial"/>
          <w:sz w:val="20"/>
          <w:szCs w:val="20"/>
        </w:rPr>
        <w:fldChar w:fldCharType="begin">
          <w:fldData xml:space="preserve">PEVuZE5vdGU+PENpdGU+PEF1dGhvcj5Lb2NoPC9BdXRob3I+PFllYXI+MjAyNTwvWWVhcj48UmVj
TnVtPjI1MzwvUmVjTnVtPjxEaXNwbGF5VGV4dD48c3R5bGUgZmFjZT0ic3VwZXJzY3JpcHQiPjI8
L3N0eWxlPjwvRGlzcGxheVRleHQ+PHJlY29yZD48cmVjLW51bWJlcj4yNTM8L3JlYy1udW1iZXI+
PGZvcmVpZ24ta2V5cz48a2V5IGFwcD0iRU4iIGRiLWlkPSJhOTB3MDl2Mmt4ZGFwY2V6c3Q0eHhk
d2w5c3RyZHR4d2QweHAiIHRpbWVzdGFtcD0iMTc0ODQzNjgwMSI+MjUzPC9rZXk+PC9mb3JlaWdu
LWtleXM+PHJlZi10eXBlIG5hbWU9IkpvdXJuYWwgQXJ0aWNsZSI+MTc8L3JlZi10eXBlPjxjb250
cmlidXRvcnM+PGF1dGhvcnM+PGF1dGhvcj5Lb2NoLCBFLjwvYXV0aG9yPjxhdXRob3I+U21hcnQs
IFMuPC9hdXRob3I+PGF1dGhvcj5FaW5hcnNzb24sIEcuPC9hdXRob3I+PGF1dGhvcj5LYW1wZSwg
QS48L2F1dGhvcj48YXV0aG9yPkpvbnNzb24sIEwuPC9hdXRob3I+PGF1dGhvcj5BbHZlciwgTS48
L2F1dGhvcj48YXV0aG9yPkl2ZXNvbiwgTS48L2F1dGhvcj48YXV0aG9yPkdvdGVzb24sIEEuPC9h
dXRob3I+PGF1dGhvcj5QYXJkaW5hcywgQS4gRi48L2F1dGhvcj48YXV0aG9yPlNvbmRlcmJ5LCBJ
LiBFLjwvYXV0aG9yPjxhdXRob3I+TyZhcG9zO0Nvbm5lbGwsIEsuIFMuPC9hdXRob3I+PGF1dGhv
cj5MaSwgUS48L2F1dGhvcj48YXV0aG9yPkx1LCBZLjwvYXV0aG9yPjxhdXRob3I+U3RlZmFuc3Nv
biwgSC48L2F1dGhvcj48YXV0aG9yPlN0ZWZhbnNzb24sIEsuPC9hdXRob3I+PGF1dGhvcj5XaGFs
bGV5LCBILjwvYXV0aG9yPjxhdXRob3I+TGFuZGVuLCBNLjwvYXV0aG9yPjxhdXRob3I+TyZhcG9z
O0Rvbm92YW4sIE0uIEMuPC9hdXRob3I+PGF1dGhvcj5TbWVydWQsIEsuPC9hdXRob3I+PGF1dGhv
cj5EYXdzb24sIEcuIFIuPC9hdXRob3I+PGF1dGhvcj5XZXJnZSwgVC48L2F1dGhvcj48YXV0aG9y
PkJ1aWwsIEEuPC9hdXRob3I+PGF1dGhvcj5SZWlmLCBBLjwvYXV0aG9yPjxhdXRob3I+TWlsYW5p
LCBMLjwvYXV0aG9yPjxhdXRob3I+TW9sZGVuLCBFLjwvYXV0aG9yPjxhdXRob3I+RmFiYnJpLCBD
LjwvYXV0aG9yPjxhdXRob3I+U2VycmV0dGksIEEuPC9hdXRob3I+PGF1dGhvcj5XYWx0ZXJzLCBK
LjwvYXV0aG9yPjxhdXRob3I+TGV3aXMsIEMuIE0uPC9hdXRob3I+PGF1dGhvcj5BbmRyZWFzc2Vu
LCBPLiBBLjwvYXV0aG9yPjwvYXV0aG9ycz48L2NvbnRyaWJ1dG9ycz48YXV0aC1hZGRyZXNzPkNl
bnRlciBmb3IgUHJlY2lzaW9uIFBzeWNoaWF0cnksIERpdmlzaW9uIG9mIE1lbnRhbCBIZWFsdGgg
YW5kIEFkZGljdGlvbiwgT3NsbyBVbml2ZXJzaXR5IEhvc3BpdGFsLCBPc2xvLCBOb3J3YXk7IElu
c3RpdHV0ZSBvZiBDbGluaWNhbCBNZWRpY2luZSwgVW5pdmVyc2l0eSBvZiBPc2xvLCBPc2xvLCBO
b3J3YXkuJiN4RDtDZW50cmUgZm9yIE5ldXJvcHN5Y2hpYXRyaWMgR2VuZXRpY3MgYW5kIEdlbm9t
aWNzLCBEaXZpc2lvbiBvZiBQc3ljaG9sb2dpY2FsIE1lZGljaW5lIGFuZCBDbGluaWNhbCBOZXVy
b3NjaWVuY2VzLCBDYXJkaWZmIFVuaXZlcnNpdHksIENhcmRpZmYsIFVLLiYjeEQ7ZGVDT0RFIEdl
bmV0aWNzLCBSZXlramF2aWssIEljZWxhbmQuJiN4RDtJbnN0aXR1dGUgZm9yIE1vbGVjdWxhciBN
ZWRpY2luZSBGaW5sYW5kIChGSU1NKSwgSGVsc2lua2ksIEZpbmxhbmQ7IERlcGFydG1lbnQgb2Yg
TW9sZWN1bGFyIE1lZGljaW5lIGFuZCBTdXJnZXJ5IChNTUspLCBLYXJvbGluc2thIEluc3RpdHV0
ZXQsIFN0b2NraG9sbSwgU3dlZGVuLiYjeEQ7RGVwYXJ0bWVudCBvZiBQc3ljaGlhdHJ5IGFuZCBO
ZXVyb2NoZW1pc3RyeSwgSW5zdGl0dXRlIG9mIE5ldXJvc2NpZW5jZSBhbmQgUGh5c2lvbG9neSBh
dCB0aGUgU2FobGdyZW5za2EgQWNhZGVteSwgVW5pdmVyc2l0eSBvZiBHb3RoZW5idXJnLCBHb3Ro
ZW5idXJnLCBTd2VkZW4uJiN4RDtFc3RvbmlhbiBHZW5vbWUgQ2VudHJlLCBJbnN0aXR1dGUgb2Yg
R2Vub21pY3MsIFVuaXZlcnNpdHkgb2YgVGFydHUsIFRhcnR1LCBFc3RvbmlhLiYjeEQ7Q2VudHJl
IGZvciBDbGluaWNhbCBCcmFpbiBTY2llbmNlcywgVW5pdmVyc2l0eSBvZiBFZGluYnVyZ2gsIEVk
aW5idXJnaCwgVUsuJiN4RDtDZW50ZXIgZm9yIFByZWNpc2lvbiBQc3ljaGlhdHJ5LCBEaXZpc2lv
biBvZiBNZW50YWwgSGVhbHRoIGFuZCBBZGRpY3Rpb24sIE9zbG8gVW5pdmVyc2l0eSBIb3NwaXRh
bCwgT3NsbywgTm9yd2F5OyBJbnN0aXR1dGUgb2YgQ2xpbmljYWwgTWVkaWNpbmUsIFVuaXZlcnNp
dHkgb2YgT3NsbywgT3NsbywgTm9yd2F5OyBEZXBhcnRtZW50IG9mIE1lZGljYWwgR2VuZXRpY3Ms
IE9zbG8gVW5pdmVyc2l0eSBIb3NwaXRhbCwgT3NsbywgTm9yd2F5OyBLRyBKZWJzZW4gQ2VudHJl
IGZvciBOZXVyb2RldmVsb3BtZW50YWwgRGlzb3JkZXJzLCBVbml2ZXJzaXR5IG9mIE9zbG8sIE9z
bG8sIE5vcndheTsgT3NsbyBVbml2ZXJzaXR5IEhvc3BpdGFsLCBPc2xvLCBOb3J3YXkuJiN4RDtK
YW5zc2VuIFJlc2VhcmNoIGFuZCBEZXZlbG9wbWVudCwgTmV1cm9zY2llbmNlLCBUaXR1c3ZpbGxl
LCBOSiwgVVNBLiYjeEQ7RGVwYXJ0bWVudCBvZiBNZWRpY2FsIEVwaWRlbWlvbG9neSBhbmQgQmlv
c3RhdGlzdGljcywgS2Fyb2xpbnNrYSBJbnN0aXR1dGV0LCBTdG9ja2hvbG0sIFN3ZWRlbi4mI3hE
O2RlQ09ERSBHZW5ldGljcywgUmV5a2phdmlrLCBJY2VsYW5kOyBGYWN1bHR5IG9mIE1lZGljaW5l
LCBVbml2ZXJzaXR5IG9mIEljZWxhbmQsIFJleWtqYXZpaywgSWNlbGFuZC4mI3hEO0NlbnRyZSBm
b3IgQ2xpbmljYWwgQnJhaW4gU2NpZW5jZXMsIFVuaXZlcnNpdHkgb2YgRWRpbmJ1cmdoLCBFZGlu
YnVyZ2gsIFVLOyBHZW5lcmF0aW9uIFNjb3RsYW5kLCBDZW50cmUgZm9yIE1lZGljYWwgSW5mb3Jt
YXRpY3MsIFVuaXZlcnNpdHkgb2YgRWRpbmJ1cmdoLCBFZGluYnVyZ2gsIFVLLiYjeEQ7RGVwYXJ0
bWVudCBvZiBQc3ljaGlhdHJ5IGFuZCBOZXVyb2NoZW1pc3RyeSwgSW5zdGl0dXRlIG9mIE5ldXJv
c2NpZW5jZSBhbmQgUGh5c2lvbG9neSBhdCB0aGUgU2FobGdyZW5za2EgQWNhZGVteSwgVW5pdmVy
c2l0eSBvZiBHb3RoZW5idXJnLCBHb3RoZW5idXJnLCBTd2VkZW47IERlcGFydG1lbnQgb2YgTWVk
aWNhbCBFcGlkZW1pb2xvZ3kgYW5kIEJpb3N0YXRpc3RpY3MsIEthcm9saW5za2EgSW5zdGl0dXRl
dCwgU3RvY2tob2xtLCBTd2VkZW4uJiN4RDtTbWVydWQgTWVkaWNhbCBSZXNlYXJjaCBJbnRlcm5h
dGlvbmFsIEFTLCBPc2xvLCBOb3J3YXkuJiN4RDtQMXZpdGFsLCBXYWxsaW5nZm9yZCwgVUsuJiN4
RDtJbnN0aXR1dGUgb2YgQmlvbG9naWNhbCBQc3ljaGlhdHJ5LCBNZW50YWwgSGVhbHRoIFNlcnZp
Y2VzLCBDb3BlbmhhZ2VuIFVuaXZlcnNpdHkgSG9zcGl0YWwsIENvcGVuaGFnZW4sIERlbm1hcms7
IERlcGFydG1lbnQgb2YgQ2xpbmljYWwgTWVkaWNpbmUsIFVuaXZlcnNpdHkgb2YgQ29wZW5oYWdl
biwgRGVubWFyay4mI3hEO0luc3RpdHV0ZSBvZiBCaW9sb2dpY2FsIFBzeWNoaWF0cnksIE1lbnRh
bCBIZWFsdGggU2VydmljZXMsIENvcGVuaGFnZW4gVW5pdmVyc2l0eSBIb3NwaXRhbCwgQ29wZW5o
YWdlbiwgRGVubWFyay4mI3hEO0RlcGFydG1lbnQgb2YgUHN5Y2hpYXRyeSwgUHN5Y2hvc29tYXRp
YyBNZWRpY2luZSBhbmQgUHN5Y2hvdGhlcmFweSwgVW5pdmVyc2l0eSBNZWRpY2FsIENlbnRyZSBG
cmFua2Z1cnQsIEZyYW5rZnVydCwgR2VybWFueTsgRnJhdW5ob2ZlciBJbnN0aXR1dGUgZm9yIFRy
YW5zbGF0aW9uYWwgTWVkaWNpbmUgYW5kIFBoYXJtYWNvbG9neSBJVE1QLCBGcmFua2Z1cnQsIEdl
cm1hbnkuJiN4RDtDZW50ZXIgZm9yIFBzeWNob3BoYXJtYWNvbG9neSwgRGlha29uaGplbW1ldCBI
b3NwaXRhbCwgT3NsbywgTm9yd2F5OyBEZXBhcnRtZW50IG9mIFBoYXJtYWN5LCBVbml2ZXJzaXR5
IG9mIE9zbG8sIE9zbG8sIE5vcndheS4mI3hEO0RlcGFydG1lbnQgb2YgQmlvbWVkaWNhbCBhbmQg
TmV1cm9Nb3RvciBTY2llbmNlcywgVW5pdmVyc2l0eSBvZiBCb2xvZ25hLCBCb2xvZ25hLCBJdGFs
eS4mI3hEO0RlcGFydG1lbnQgb2YgTWVkaWNpbmUgYW5kIFN1cmdlcnksIEtvcmUgVW5pdmVyc2l0
eSBvZiBFbm5hLCBFbm5hLCBJdGFseTsgT2FzaSBSZXNlYXJjaCBJbnN0aXR1dGUtSVJDQ1MsIFRy
b2luYSwgVHJvaW5hLCBJdGFseS4mI3hEO1NvY2lhbCwgR2VuZXRpYyBhbmQgRGV2ZWxvcG1lbnRh
bCBQc3ljaGlhdHJ5IENlbnRyZSwgS2luZyZhcG9zO3MgQ29sbGVnZSBMb25kb24sIExvbmRvbiwg
VUs7IE5JSFIgTWF1ZHNsZXkgQmlvbWVkaWNhbCBSZXNlYXJjaCBDZW50cmUsIFNvdXRoIExvbmRv
biBhbmQgTWF1ZHNsZXkgTkhTIFRydXN0LCBMb25kb24sIFVLLiYjeEQ7Q2VudGVyIGZvciBQcmVj
aXNpb24gUHN5Y2hpYXRyeSwgRGl2aXNpb24gb2YgTWVudGFsIEhlYWx0aCBhbmQgQWRkaWN0aW9u
LCBPc2xvIFVuaXZlcnNpdHkgSG9zcGl0YWwsIE9zbG8sIE5vcndheTsgSW5zdGl0dXRlIG9mIENs
aW5pY2FsIE1lZGljaW5lLCBVbml2ZXJzaXR5IG9mIE9zbG8sIE9zbG8sIE5vcndheTsgS0cgSmVi
c2VuIENlbnRyZSBmb3IgTmV1cm9kZXZlbG9wbWVudGFsIERpc29yZGVycywgVW5pdmVyc2l0eSBv
ZiBPc2xvLCBPc2xvLCBOb3J3YXk7IE9zbG8gVW5pdmVyc2l0eSBIb3NwaXRhbCwgT3NsbywgTm9y
d2F5LiBFbGVjdHJvbmljIGFkZHJlc3M6IG9sZS5hbmRyZWFzc2VuQG1lZGlzaW4udWlvLm5vLjwv
YXV0aC1hZGRyZXNzPjx0aXRsZXM+PHRpdGxlPlJlY29tbWVuZGF0aW9ucyBmb3IgZGVmaW5pbmcg
dHJlYXRtZW50IG91dGNvbWVzIGluIG1ham9yIHBzeWNoaWF0cmljIGRpc29yZGVycyB1c2luZyBy
ZWFsLXdvcmxkIGRhdGE8L3RpdGxlPjxzZWNvbmRhcnktdGl0bGU+TGFuY2V0IFBzeWNoaWF0cnk8
L3NlY29uZGFyeS10aXRsZT48L3RpdGxlcz48cGVyaW9kaWNhbD48ZnVsbC10aXRsZT5MYW5jZXQg
UHN5Y2hpYXRyeTwvZnVsbC10aXRsZT48L3BlcmlvZGljYWw+PHBhZ2VzPjQ1Ny00Njg8L3BhZ2Vz
Pjx2b2x1bWU+MTI8L3ZvbHVtZT48bnVtYmVyPjY8L251bWJlcj48ZWRpdGlvbj4yMDI1MDQxMDwv
ZWRpdGlvbj48a2V5d29yZHM+PGtleXdvcmQ+SHVtYW5zPC9rZXl3b3JkPjxrZXl3b3JkPipNZW50
YWwgRGlzb3JkZXJzL2RydWcgdGhlcmFweTwva2V5d29yZD48a2V5d29yZD4qQW50aWRlcHJlc3Np
dmUgQWdlbnRzL3RoZXJhcGV1dGljIHVzZTwva2V5d29yZD48a2V5d29yZD4qQW50aXBzeWNob3Rp
YyBBZ2VudHMvdGhlcmFwZXV0aWMgdXNlPC9rZXl3b3JkPjxrZXl3b3JkPlRyZWF0bWVudCBPdXRj
b21lPC9rZXl3b3JkPjxrZXl3b3JkPipPdXRjb21lIEFzc2Vzc21lbnQsIEhlYWx0aCBDYXJlPC9r
ZXl3b3JkPjxrZXl3b3JkPipQc3ljaG90cm9waWMgRHJ1Z3MvdGhlcmFwZXV0aWMgdXNlPC9rZXl3
b3JkPjwva2V5d29yZHM+PGRhdGVzPjx5ZWFyPjIwMjU8L3llYXI+PHB1Yi1kYXRlcz48ZGF0ZT5K
dW48L2RhdGU+PC9wdWItZGF0ZXM+PC9kYXRlcz48aXNibj4yMjE1LTAzNzQgKEVsZWN0cm9uaWMp
JiN4RDsyMjE1LTAzNjYgKExpbmtpbmcpPC9pc2JuPjxhY2Nlc3Npb24tbnVtPjQwMjIyMzg1PC9h
Y2Nlc3Npb24tbnVtPjx1cmxzPjxyZWxhdGVkLXVybHM+PHVybD5odHRwczovL3d3dy5uY2JpLm5s
bS5uaWguZ292L3B1Ym1lZC80MDIyMjM4NTwvdXJsPjwvcmVsYXRlZC11cmxzPjwvdXJscz48Y3Vz
dG9tMT5EZWNsYXJhdGlvbiBvZiBpbnRlcmVzdHMgT0FBIGhhcyByZWNlaXZlZCBzcGVha2VyIGZl
ZXMgZnJvbSBMdW5kYmVjaywgSmFuc3NlbiwgT3RzdWthLCBhbmQgU3Vub3Zpb24gYW5kIGlzIGEg
Y29uc3VsdGFudCB0byBDb3J0ZWNocy5haS4gYW5kIFByZWNpc2lvbiBIZWFsdGguIENNTCBzaXRz
IG9uIHRoZSBzY2llbnRpZmljIGFkdmlzb3J5IGJvYXJkIGZvciBNeXJpYWQgTmV1cm9zY2llbmNl
LiBBUyBoYXMgc2VydmVkIGFzIGEgY29uc3VsdGFudCBvciBzcGVha2VyIGZvciBBYmJvdHQsIEFi
YlZpZSwgQW5nZWxpbmkgUGhhcm1hLCBBc3RyYVplbmVjYSBDbGluaWNhbCBEYXRhLCBCb2Vocmlu
Z2VyIEluZ2VsaGVpbSwgQnJpc3RvbCBNeWVycyBTcXVpYmIsIEVsaSBMaWxseSwgR2xheG9TbWl0
aEtsaW5lLCBJbm5vdmFQaGFybSwgSXRhbGZhcm1hY28sIEphbnNzZW4sIEx1bmRiZWNrLCBOYXVy
ZXgsIFBmaXplciwgUG9saWZhcm1hLCBTYW5vZmksIFNlcnZpZXIsIGFuZCBUYWxpYXouIEVNIGhh
cyByZWNlaXZlZCBzcGVha2VyJmFwb3M7cyBob25vcmFyaWEgZnJvbSBMdW5kYmVjayBhbmQgT3Rz
dWthLiBHUkQgaXMgdGhlIG93bmVyIG9mIFAxdml0YWwuIEdFLCBLU3QsIGFuZCBIUyBhcmUgZW1w
bG95ZWQgYXQgZGVDT0RFIGdlbmV0aWNzLCBhIHN1YnNpZGlhcnkgb2YgQW1nZW4uPC9jdXN0b20x
PjxlbGVjdHJvbmljLXJlc291cmNlLW51bT4xMC4xMDE2L1MyMjE1LTAzNjYoMjUpMDAwNjEtNjwv
ZWxlY3Ryb25pYy1yZXNvdXJjZS1udW0+PHJlbW90ZS1kYXRhYmFzZS1uYW1lPk1lZGxpbmU8L3Jl
bW90ZS1kYXRhYmFzZS1uYW1lPjxyZW1vdGUtZGF0YWJhc2UtcHJvdmlkZXI+TkxNPC9yZW1vdGUt
ZGF0YWJhc2UtcHJvdmlkZXI+PC9yZWNvcmQ+PC9DaXRlPjwvRW5kTm90ZT4A
</w:fldData>
        </w:fldChar>
      </w:r>
      <w:r w:rsidR="00D44E80" w:rsidRPr="001C7A3C">
        <w:rPr>
          <w:rFonts w:ascii="Cambria" w:hAnsi="Cambria" w:cs="Arial"/>
          <w:sz w:val="20"/>
          <w:szCs w:val="20"/>
        </w:rPr>
        <w:instrText xml:space="preserve"> ADDIN EN.CITE </w:instrText>
      </w:r>
      <w:r w:rsidR="00D44E80" w:rsidRPr="001C7A3C">
        <w:rPr>
          <w:rFonts w:ascii="Cambria" w:hAnsi="Cambria" w:cs="Arial"/>
          <w:sz w:val="20"/>
          <w:szCs w:val="20"/>
        </w:rPr>
        <w:fldChar w:fldCharType="begin">
          <w:fldData xml:space="preserve">PEVuZE5vdGU+PENpdGU+PEF1dGhvcj5Lb2NoPC9BdXRob3I+PFllYXI+MjAyNTwvWWVhcj48UmVj
TnVtPjI1MzwvUmVjTnVtPjxEaXNwbGF5VGV4dD48c3R5bGUgZmFjZT0ic3VwZXJzY3JpcHQiPjI8
L3N0eWxlPjwvRGlzcGxheVRleHQ+PHJlY29yZD48cmVjLW51bWJlcj4yNTM8L3JlYy1udW1iZXI+
PGZvcmVpZ24ta2V5cz48a2V5IGFwcD0iRU4iIGRiLWlkPSJhOTB3MDl2Mmt4ZGFwY2V6c3Q0eHhk
d2w5c3RyZHR4d2QweHAiIHRpbWVzdGFtcD0iMTc0ODQzNjgwMSI+MjUzPC9rZXk+PC9mb3JlaWdu
LWtleXM+PHJlZi10eXBlIG5hbWU9IkpvdXJuYWwgQXJ0aWNsZSI+MTc8L3JlZi10eXBlPjxjb250
cmlidXRvcnM+PGF1dGhvcnM+PGF1dGhvcj5Lb2NoLCBFLjwvYXV0aG9yPjxhdXRob3I+U21hcnQs
IFMuPC9hdXRob3I+PGF1dGhvcj5FaW5hcnNzb24sIEcuPC9hdXRob3I+PGF1dGhvcj5LYW1wZSwg
QS48L2F1dGhvcj48YXV0aG9yPkpvbnNzb24sIEwuPC9hdXRob3I+PGF1dGhvcj5BbHZlciwgTS48
L2F1dGhvcj48YXV0aG9yPkl2ZXNvbiwgTS48L2F1dGhvcj48YXV0aG9yPkdvdGVzb24sIEEuPC9h
dXRob3I+PGF1dGhvcj5QYXJkaW5hcywgQS4gRi48L2F1dGhvcj48YXV0aG9yPlNvbmRlcmJ5LCBJ
LiBFLjwvYXV0aG9yPjxhdXRob3I+TyZhcG9zO0Nvbm5lbGwsIEsuIFMuPC9hdXRob3I+PGF1dGhv
cj5MaSwgUS48L2F1dGhvcj48YXV0aG9yPkx1LCBZLjwvYXV0aG9yPjxhdXRob3I+U3RlZmFuc3Nv
biwgSC48L2F1dGhvcj48YXV0aG9yPlN0ZWZhbnNzb24sIEsuPC9hdXRob3I+PGF1dGhvcj5XaGFs
bGV5LCBILjwvYXV0aG9yPjxhdXRob3I+TGFuZGVuLCBNLjwvYXV0aG9yPjxhdXRob3I+TyZhcG9z
O0Rvbm92YW4sIE0uIEMuPC9hdXRob3I+PGF1dGhvcj5TbWVydWQsIEsuPC9hdXRob3I+PGF1dGhv
cj5EYXdzb24sIEcuIFIuPC9hdXRob3I+PGF1dGhvcj5XZXJnZSwgVC48L2F1dGhvcj48YXV0aG9y
PkJ1aWwsIEEuPC9hdXRob3I+PGF1dGhvcj5SZWlmLCBBLjwvYXV0aG9yPjxhdXRob3I+TWlsYW5p
LCBMLjwvYXV0aG9yPjxhdXRob3I+TW9sZGVuLCBFLjwvYXV0aG9yPjxhdXRob3I+RmFiYnJpLCBD
LjwvYXV0aG9yPjxhdXRob3I+U2VycmV0dGksIEEuPC9hdXRob3I+PGF1dGhvcj5XYWx0ZXJzLCBK
LjwvYXV0aG9yPjxhdXRob3I+TGV3aXMsIEMuIE0uPC9hdXRob3I+PGF1dGhvcj5BbmRyZWFzc2Vu
LCBPLiBBLjwvYXV0aG9yPjwvYXV0aG9ycz48L2NvbnRyaWJ1dG9ycz48YXV0aC1hZGRyZXNzPkNl
bnRlciBmb3IgUHJlY2lzaW9uIFBzeWNoaWF0cnksIERpdmlzaW9uIG9mIE1lbnRhbCBIZWFsdGgg
YW5kIEFkZGljdGlvbiwgT3NsbyBVbml2ZXJzaXR5IEhvc3BpdGFsLCBPc2xvLCBOb3J3YXk7IElu
c3RpdHV0ZSBvZiBDbGluaWNhbCBNZWRpY2luZSwgVW5pdmVyc2l0eSBvZiBPc2xvLCBPc2xvLCBO
b3J3YXkuJiN4RDtDZW50cmUgZm9yIE5ldXJvcHN5Y2hpYXRyaWMgR2VuZXRpY3MgYW5kIEdlbm9t
aWNzLCBEaXZpc2lvbiBvZiBQc3ljaG9sb2dpY2FsIE1lZGljaW5lIGFuZCBDbGluaWNhbCBOZXVy
b3NjaWVuY2VzLCBDYXJkaWZmIFVuaXZlcnNpdHksIENhcmRpZmYsIFVLLiYjeEQ7ZGVDT0RFIEdl
bmV0aWNzLCBSZXlramF2aWssIEljZWxhbmQuJiN4RDtJbnN0aXR1dGUgZm9yIE1vbGVjdWxhciBN
ZWRpY2luZSBGaW5sYW5kIChGSU1NKSwgSGVsc2lua2ksIEZpbmxhbmQ7IERlcGFydG1lbnQgb2Yg
TW9sZWN1bGFyIE1lZGljaW5lIGFuZCBTdXJnZXJ5IChNTUspLCBLYXJvbGluc2thIEluc3RpdHV0
ZXQsIFN0b2NraG9sbSwgU3dlZGVuLiYjeEQ7RGVwYXJ0bWVudCBvZiBQc3ljaGlhdHJ5IGFuZCBO
ZXVyb2NoZW1pc3RyeSwgSW5zdGl0dXRlIG9mIE5ldXJvc2NpZW5jZSBhbmQgUGh5c2lvbG9neSBh
dCB0aGUgU2FobGdyZW5za2EgQWNhZGVteSwgVW5pdmVyc2l0eSBvZiBHb3RoZW5idXJnLCBHb3Ro
ZW5idXJnLCBTd2VkZW4uJiN4RDtFc3RvbmlhbiBHZW5vbWUgQ2VudHJlLCBJbnN0aXR1dGUgb2Yg
R2Vub21pY3MsIFVuaXZlcnNpdHkgb2YgVGFydHUsIFRhcnR1LCBFc3RvbmlhLiYjeEQ7Q2VudHJl
IGZvciBDbGluaWNhbCBCcmFpbiBTY2llbmNlcywgVW5pdmVyc2l0eSBvZiBFZGluYnVyZ2gsIEVk
aW5idXJnaCwgVUsuJiN4RDtDZW50ZXIgZm9yIFByZWNpc2lvbiBQc3ljaGlhdHJ5LCBEaXZpc2lv
biBvZiBNZW50YWwgSGVhbHRoIGFuZCBBZGRpY3Rpb24sIE9zbG8gVW5pdmVyc2l0eSBIb3NwaXRh
bCwgT3NsbywgTm9yd2F5OyBJbnN0aXR1dGUgb2YgQ2xpbmljYWwgTWVkaWNpbmUsIFVuaXZlcnNp
dHkgb2YgT3NsbywgT3NsbywgTm9yd2F5OyBEZXBhcnRtZW50IG9mIE1lZGljYWwgR2VuZXRpY3Ms
IE9zbG8gVW5pdmVyc2l0eSBIb3NwaXRhbCwgT3NsbywgTm9yd2F5OyBLRyBKZWJzZW4gQ2VudHJl
IGZvciBOZXVyb2RldmVsb3BtZW50YWwgRGlzb3JkZXJzLCBVbml2ZXJzaXR5IG9mIE9zbG8sIE9z
bG8sIE5vcndheTsgT3NsbyBVbml2ZXJzaXR5IEhvc3BpdGFsLCBPc2xvLCBOb3J3YXkuJiN4RDtK
YW5zc2VuIFJlc2VhcmNoIGFuZCBEZXZlbG9wbWVudCwgTmV1cm9zY2llbmNlLCBUaXR1c3ZpbGxl
LCBOSiwgVVNBLiYjeEQ7RGVwYXJ0bWVudCBvZiBNZWRpY2FsIEVwaWRlbWlvbG9neSBhbmQgQmlv
c3RhdGlzdGljcywgS2Fyb2xpbnNrYSBJbnN0aXR1dGV0LCBTdG9ja2hvbG0sIFN3ZWRlbi4mI3hE
O2RlQ09ERSBHZW5ldGljcywgUmV5a2phdmlrLCBJY2VsYW5kOyBGYWN1bHR5IG9mIE1lZGljaW5l
LCBVbml2ZXJzaXR5IG9mIEljZWxhbmQsIFJleWtqYXZpaywgSWNlbGFuZC4mI3hEO0NlbnRyZSBm
b3IgQ2xpbmljYWwgQnJhaW4gU2NpZW5jZXMsIFVuaXZlcnNpdHkgb2YgRWRpbmJ1cmdoLCBFZGlu
YnVyZ2gsIFVLOyBHZW5lcmF0aW9uIFNjb3RsYW5kLCBDZW50cmUgZm9yIE1lZGljYWwgSW5mb3Jt
YXRpY3MsIFVuaXZlcnNpdHkgb2YgRWRpbmJ1cmdoLCBFZGluYnVyZ2gsIFVLLiYjeEQ7RGVwYXJ0
bWVudCBvZiBQc3ljaGlhdHJ5IGFuZCBOZXVyb2NoZW1pc3RyeSwgSW5zdGl0dXRlIG9mIE5ldXJv
c2NpZW5jZSBhbmQgUGh5c2lvbG9neSBhdCB0aGUgU2FobGdyZW5za2EgQWNhZGVteSwgVW5pdmVy
c2l0eSBvZiBHb3RoZW5idXJnLCBHb3RoZW5idXJnLCBTd2VkZW47IERlcGFydG1lbnQgb2YgTWVk
aWNhbCBFcGlkZW1pb2xvZ3kgYW5kIEJpb3N0YXRpc3RpY3MsIEthcm9saW5za2EgSW5zdGl0dXRl
dCwgU3RvY2tob2xtLCBTd2VkZW4uJiN4RDtTbWVydWQgTWVkaWNhbCBSZXNlYXJjaCBJbnRlcm5h
dGlvbmFsIEFTLCBPc2xvLCBOb3J3YXkuJiN4RDtQMXZpdGFsLCBXYWxsaW5nZm9yZCwgVUsuJiN4
RDtJbnN0aXR1dGUgb2YgQmlvbG9naWNhbCBQc3ljaGlhdHJ5LCBNZW50YWwgSGVhbHRoIFNlcnZp
Y2VzLCBDb3BlbmhhZ2VuIFVuaXZlcnNpdHkgSG9zcGl0YWwsIENvcGVuaGFnZW4sIERlbm1hcms7
IERlcGFydG1lbnQgb2YgQ2xpbmljYWwgTWVkaWNpbmUsIFVuaXZlcnNpdHkgb2YgQ29wZW5oYWdl
biwgRGVubWFyay4mI3hEO0luc3RpdHV0ZSBvZiBCaW9sb2dpY2FsIFBzeWNoaWF0cnksIE1lbnRh
bCBIZWFsdGggU2VydmljZXMsIENvcGVuaGFnZW4gVW5pdmVyc2l0eSBIb3NwaXRhbCwgQ29wZW5o
YWdlbiwgRGVubWFyay4mI3hEO0RlcGFydG1lbnQgb2YgUHN5Y2hpYXRyeSwgUHN5Y2hvc29tYXRp
YyBNZWRpY2luZSBhbmQgUHN5Y2hvdGhlcmFweSwgVW5pdmVyc2l0eSBNZWRpY2FsIENlbnRyZSBG
cmFua2Z1cnQsIEZyYW5rZnVydCwgR2VybWFueTsgRnJhdW5ob2ZlciBJbnN0aXR1dGUgZm9yIFRy
YW5zbGF0aW9uYWwgTWVkaWNpbmUgYW5kIFBoYXJtYWNvbG9neSBJVE1QLCBGcmFua2Z1cnQsIEdl
cm1hbnkuJiN4RDtDZW50ZXIgZm9yIFBzeWNob3BoYXJtYWNvbG9neSwgRGlha29uaGplbW1ldCBI
b3NwaXRhbCwgT3NsbywgTm9yd2F5OyBEZXBhcnRtZW50IG9mIFBoYXJtYWN5LCBVbml2ZXJzaXR5
IG9mIE9zbG8sIE9zbG8sIE5vcndheS4mI3hEO0RlcGFydG1lbnQgb2YgQmlvbWVkaWNhbCBhbmQg
TmV1cm9Nb3RvciBTY2llbmNlcywgVW5pdmVyc2l0eSBvZiBCb2xvZ25hLCBCb2xvZ25hLCBJdGFs
eS4mI3hEO0RlcGFydG1lbnQgb2YgTWVkaWNpbmUgYW5kIFN1cmdlcnksIEtvcmUgVW5pdmVyc2l0
eSBvZiBFbm5hLCBFbm5hLCBJdGFseTsgT2FzaSBSZXNlYXJjaCBJbnN0aXR1dGUtSVJDQ1MsIFRy
b2luYSwgVHJvaW5hLCBJdGFseS4mI3hEO1NvY2lhbCwgR2VuZXRpYyBhbmQgRGV2ZWxvcG1lbnRh
bCBQc3ljaGlhdHJ5IENlbnRyZSwgS2luZyZhcG9zO3MgQ29sbGVnZSBMb25kb24sIExvbmRvbiwg
VUs7IE5JSFIgTWF1ZHNsZXkgQmlvbWVkaWNhbCBSZXNlYXJjaCBDZW50cmUsIFNvdXRoIExvbmRv
biBhbmQgTWF1ZHNsZXkgTkhTIFRydXN0LCBMb25kb24sIFVLLiYjeEQ7Q2VudGVyIGZvciBQcmVj
aXNpb24gUHN5Y2hpYXRyeSwgRGl2aXNpb24gb2YgTWVudGFsIEhlYWx0aCBhbmQgQWRkaWN0aW9u
LCBPc2xvIFVuaXZlcnNpdHkgSG9zcGl0YWwsIE9zbG8sIE5vcndheTsgSW5zdGl0dXRlIG9mIENs
aW5pY2FsIE1lZGljaW5lLCBVbml2ZXJzaXR5IG9mIE9zbG8sIE9zbG8sIE5vcndheTsgS0cgSmVi
c2VuIENlbnRyZSBmb3IgTmV1cm9kZXZlbG9wbWVudGFsIERpc29yZGVycywgVW5pdmVyc2l0eSBv
ZiBPc2xvLCBPc2xvLCBOb3J3YXk7IE9zbG8gVW5pdmVyc2l0eSBIb3NwaXRhbCwgT3NsbywgTm9y
d2F5LiBFbGVjdHJvbmljIGFkZHJlc3M6IG9sZS5hbmRyZWFzc2VuQG1lZGlzaW4udWlvLm5vLjwv
YXV0aC1hZGRyZXNzPjx0aXRsZXM+PHRpdGxlPlJlY29tbWVuZGF0aW9ucyBmb3IgZGVmaW5pbmcg
dHJlYXRtZW50IG91dGNvbWVzIGluIG1ham9yIHBzeWNoaWF0cmljIGRpc29yZGVycyB1c2luZyBy
ZWFsLXdvcmxkIGRhdGE8L3RpdGxlPjxzZWNvbmRhcnktdGl0bGU+TGFuY2V0IFBzeWNoaWF0cnk8
L3NlY29uZGFyeS10aXRsZT48L3RpdGxlcz48cGVyaW9kaWNhbD48ZnVsbC10aXRsZT5MYW5jZXQg
UHN5Y2hpYXRyeTwvZnVsbC10aXRsZT48L3BlcmlvZGljYWw+PHBhZ2VzPjQ1Ny00Njg8L3BhZ2Vz
Pjx2b2x1bWU+MTI8L3ZvbHVtZT48bnVtYmVyPjY8L251bWJlcj48ZWRpdGlvbj4yMDI1MDQxMDwv
ZWRpdGlvbj48a2V5d29yZHM+PGtleXdvcmQ+SHVtYW5zPC9rZXl3b3JkPjxrZXl3b3JkPipNZW50
YWwgRGlzb3JkZXJzL2RydWcgdGhlcmFweTwva2V5d29yZD48a2V5d29yZD4qQW50aWRlcHJlc3Np
dmUgQWdlbnRzL3RoZXJhcGV1dGljIHVzZTwva2V5d29yZD48a2V5d29yZD4qQW50aXBzeWNob3Rp
YyBBZ2VudHMvdGhlcmFwZXV0aWMgdXNlPC9rZXl3b3JkPjxrZXl3b3JkPlRyZWF0bWVudCBPdXRj
b21lPC9rZXl3b3JkPjxrZXl3b3JkPipPdXRjb21lIEFzc2Vzc21lbnQsIEhlYWx0aCBDYXJlPC9r
ZXl3b3JkPjxrZXl3b3JkPipQc3ljaG90cm9waWMgRHJ1Z3MvdGhlcmFwZXV0aWMgdXNlPC9rZXl3
b3JkPjwva2V5d29yZHM+PGRhdGVzPjx5ZWFyPjIwMjU8L3llYXI+PHB1Yi1kYXRlcz48ZGF0ZT5K
dW48L2RhdGU+PC9wdWItZGF0ZXM+PC9kYXRlcz48aXNibj4yMjE1LTAzNzQgKEVsZWN0cm9uaWMp
JiN4RDsyMjE1LTAzNjYgKExpbmtpbmcpPC9pc2JuPjxhY2Nlc3Npb24tbnVtPjQwMjIyMzg1PC9h
Y2Nlc3Npb24tbnVtPjx1cmxzPjxyZWxhdGVkLXVybHM+PHVybD5odHRwczovL3d3dy5uY2JpLm5s
bS5uaWguZ292L3B1Ym1lZC80MDIyMjM4NTwvdXJsPjwvcmVsYXRlZC11cmxzPjwvdXJscz48Y3Vz
dG9tMT5EZWNsYXJhdGlvbiBvZiBpbnRlcmVzdHMgT0FBIGhhcyByZWNlaXZlZCBzcGVha2VyIGZl
ZXMgZnJvbSBMdW5kYmVjaywgSmFuc3NlbiwgT3RzdWthLCBhbmQgU3Vub3Zpb24gYW5kIGlzIGEg
Y29uc3VsdGFudCB0byBDb3J0ZWNocy5haS4gYW5kIFByZWNpc2lvbiBIZWFsdGguIENNTCBzaXRz
IG9uIHRoZSBzY2llbnRpZmljIGFkdmlzb3J5IGJvYXJkIGZvciBNeXJpYWQgTmV1cm9zY2llbmNl
LiBBUyBoYXMgc2VydmVkIGFzIGEgY29uc3VsdGFudCBvciBzcGVha2VyIGZvciBBYmJvdHQsIEFi
YlZpZSwgQW5nZWxpbmkgUGhhcm1hLCBBc3RyYVplbmVjYSBDbGluaWNhbCBEYXRhLCBCb2Vocmlu
Z2VyIEluZ2VsaGVpbSwgQnJpc3RvbCBNeWVycyBTcXVpYmIsIEVsaSBMaWxseSwgR2xheG9TbWl0
aEtsaW5lLCBJbm5vdmFQaGFybSwgSXRhbGZhcm1hY28sIEphbnNzZW4sIEx1bmRiZWNrLCBOYXVy
ZXgsIFBmaXplciwgUG9saWZhcm1hLCBTYW5vZmksIFNlcnZpZXIsIGFuZCBUYWxpYXouIEVNIGhh
cyByZWNlaXZlZCBzcGVha2VyJmFwb3M7cyBob25vcmFyaWEgZnJvbSBMdW5kYmVjayBhbmQgT3Rz
dWthLiBHUkQgaXMgdGhlIG93bmVyIG9mIFAxdml0YWwuIEdFLCBLU3QsIGFuZCBIUyBhcmUgZW1w
bG95ZWQgYXQgZGVDT0RFIGdlbmV0aWNzLCBhIHN1YnNpZGlhcnkgb2YgQW1nZW4uPC9jdXN0b20x
PjxlbGVjdHJvbmljLXJlc291cmNlLW51bT4xMC4xMDE2L1MyMjE1LTAzNjYoMjUpMDAwNjEtNjwv
ZWxlY3Ryb25pYy1yZXNvdXJjZS1udW0+PHJlbW90ZS1kYXRhYmFzZS1uYW1lPk1lZGxpbmU8L3Jl
bW90ZS1kYXRhYmFzZS1uYW1lPjxyZW1vdGUtZGF0YWJhc2UtcHJvdmlkZXI+TkxNPC9yZW1vdGUt
ZGF0YWJhc2UtcHJvdmlkZXI+PC9yZWNvcmQ+PC9DaXRlPjwvRW5kTm90ZT4A
</w:fldData>
        </w:fldChar>
      </w:r>
      <w:r w:rsidR="00D44E80" w:rsidRPr="001C7A3C">
        <w:rPr>
          <w:rFonts w:ascii="Cambria" w:hAnsi="Cambria" w:cs="Arial"/>
          <w:sz w:val="20"/>
          <w:szCs w:val="20"/>
        </w:rPr>
        <w:instrText xml:space="preserve"> ADDIN EN.CITE.DATA </w:instrText>
      </w:r>
      <w:r w:rsidR="00D44E80" w:rsidRPr="001C7A3C">
        <w:rPr>
          <w:rFonts w:ascii="Cambria" w:hAnsi="Cambria" w:cs="Arial"/>
          <w:sz w:val="20"/>
          <w:szCs w:val="20"/>
        </w:rPr>
      </w:r>
      <w:r w:rsidR="00D44E80" w:rsidRPr="001C7A3C">
        <w:rPr>
          <w:rFonts w:ascii="Cambria" w:hAnsi="Cambria" w:cs="Arial"/>
          <w:sz w:val="20"/>
          <w:szCs w:val="20"/>
        </w:rPr>
        <w:fldChar w:fldCharType="end"/>
      </w:r>
      <w:r w:rsidR="00F054EF" w:rsidRPr="001C7A3C">
        <w:rPr>
          <w:rFonts w:ascii="Cambria" w:hAnsi="Cambria" w:cs="Arial"/>
          <w:sz w:val="20"/>
          <w:szCs w:val="20"/>
        </w:rPr>
      </w:r>
      <w:r w:rsidR="00F054EF" w:rsidRPr="001C7A3C">
        <w:rPr>
          <w:rFonts w:ascii="Cambria" w:hAnsi="Cambria" w:cs="Arial"/>
          <w:sz w:val="20"/>
          <w:szCs w:val="20"/>
        </w:rPr>
        <w:fldChar w:fldCharType="separate"/>
      </w:r>
      <w:r w:rsidR="00D44E80" w:rsidRPr="001C7A3C">
        <w:rPr>
          <w:rFonts w:ascii="Cambria" w:hAnsi="Cambria" w:cs="Arial"/>
          <w:noProof/>
          <w:sz w:val="20"/>
          <w:szCs w:val="20"/>
          <w:vertAlign w:val="superscript"/>
        </w:rPr>
        <w:t>2</w:t>
      </w:r>
      <w:r w:rsidR="00F054EF" w:rsidRPr="001C7A3C">
        <w:rPr>
          <w:rFonts w:ascii="Cambria" w:hAnsi="Cambria" w:cs="Arial"/>
          <w:sz w:val="20"/>
          <w:szCs w:val="20"/>
        </w:rPr>
        <w:fldChar w:fldCharType="end"/>
      </w:r>
      <w:r w:rsidR="007640C9" w:rsidRPr="001C7A3C">
        <w:rPr>
          <w:rFonts w:ascii="Cambria" w:hAnsi="Cambria" w:cs="Arial"/>
          <w:sz w:val="20"/>
          <w:szCs w:val="20"/>
        </w:rPr>
        <w:t xml:space="preserve">, </w:t>
      </w:r>
      <w:r w:rsidR="00B93380" w:rsidRPr="001C7A3C">
        <w:rPr>
          <w:rFonts w:ascii="Cambria" w:hAnsi="Cambria" w:cs="Arial"/>
          <w:sz w:val="20"/>
          <w:szCs w:val="20"/>
        </w:rPr>
        <w:t>we adapted the criteria to better reflect real-world clinical practice and prescribing delays. The Lancet definition imposes a rigid initiation window, classifying a switch when a new antidepressant is dispensed 6–14 weeks (42–98 days) after initiation of the previous antidepressant, regardless of episode end. However, in practice, treatment durations vary: some patients may remain on an antidepressant for ≥14 weeks before switching, while others may discontinue earlier. Because the Lancet definition anchors the switching window to the start of treatment, it results in a variable effective “clearing window” that depends on how long the initial treatment lasted. For example, individuals who discontinue early have a longer remaining window to switch than those who remain on treatment longer, resulting in inconsistent clearing periods across patients.</w:t>
      </w:r>
    </w:p>
    <w:p w14:paraId="0E44FFED" w14:textId="49E9E0BA" w:rsidR="00654496" w:rsidRPr="001C7A3C" w:rsidRDefault="00A678A4" w:rsidP="00654496">
      <w:pPr>
        <w:pStyle w:val="BodyText"/>
        <w:spacing w:line="240" w:lineRule="auto"/>
        <w:rPr>
          <w:rFonts w:ascii="Cambria" w:hAnsi="Cambria" w:cs="Arial"/>
          <w:sz w:val="20"/>
          <w:szCs w:val="20"/>
        </w:rPr>
      </w:pPr>
      <w:r w:rsidRPr="001C7A3C">
        <w:rPr>
          <w:rFonts w:ascii="Cambria" w:hAnsi="Cambria" w:cs="Arial"/>
          <w:sz w:val="20"/>
          <w:szCs w:val="20"/>
        </w:rPr>
        <w:t xml:space="preserve">To address this limitation and better reflect real-world clinical practice, we defined switching relative to the end of a monotherapy episode (including any brief ≤28-day end-of-episode cross-taper). Monotherapy episodes were required to have an effective duration of ≥28 days (4 weeks; “adequate trial”), consistent with the lower bound of standard clinical practice for antidepressant treatment </w:t>
      </w:r>
      <w:r w:rsidR="00654496" w:rsidRPr="001C7A3C">
        <w:rPr>
          <w:rFonts w:ascii="Cambria" w:hAnsi="Cambria" w:cs="Arial"/>
          <w:sz w:val="20"/>
          <w:szCs w:val="20"/>
        </w:rPr>
        <w:t>(typically 4-8 weeks</w:t>
      </w:r>
      <w:r w:rsidR="00FA20F8">
        <w:rPr>
          <w:rFonts w:ascii="Cambria" w:hAnsi="Cambria" w:cs="Arial"/>
          <w:sz w:val="20"/>
          <w:szCs w:val="20"/>
        </w:rPr>
        <w:fldChar w:fldCharType="begin"/>
      </w:r>
      <w:r w:rsidR="00FA20F8">
        <w:rPr>
          <w:rFonts w:ascii="Cambria" w:hAnsi="Cambria" w:cs="Arial"/>
          <w:sz w:val="20"/>
          <w:szCs w:val="20"/>
        </w:rPr>
        <w:instrText xml:space="preserve"> ADDIN EN.CITE &lt;EndNote&gt;&lt;Cite&gt;&lt;Author&gt;Association&lt;/Author&gt;&lt;Year&gt;2000&lt;/Year&gt;&lt;RecNum&gt;31&lt;/RecNum&gt;&lt;DisplayText&gt;&lt;style face="superscript"&gt;3&lt;/style&gt;&lt;/DisplayText&gt;&lt;record&gt;&lt;rec-number&gt;31&lt;/rec-number&gt;&lt;foreign-keys&gt;&lt;key app="EN" db-id="p9vpw5axg0z0xjevzdjv5xspzerd990v9epf" timestamp="1767731868"&gt;31&lt;/key&gt;&lt;/foreign-keys&gt;&lt;ref-type name="Journal Article"&gt;17&lt;/ref-type&gt;&lt;contributors&gt;&lt;authors&gt;&lt;author&gt; American Psychiatric Association&lt;/author&gt;&lt;/authors&gt;&lt;/contributors&gt;&lt;titles&gt;&lt;title&gt;Practice guideline for the treatment of patients with major depressive disorder (revision). American Psychiatric Association&lt;/title&gt;&lt;secondary-title&gt;Am J Psychiatry&lt;/secondary-title&gt;&lt;/titles&gt;&lt;periodical&gt;&lt;full-title&gt;Am J Psychiatry&lt;/full-title&gt;&lt;/periodical&gt;&lt;pages&gt;1-45&lt;/pages&gt;&lt;volume&gt;157&lt;/volume&gt;&lt;number&gt;4 Suppl&lt;/number&gt;&lt;keywords&gt;&lt;keyword&gt;Antidepressive Agents/administration &amp;amp; dosage/adverse effects/*therapeutic use&lt;/keyword&gt;&lt;keyword&gt;Combined Modality Therapy&lt;/keyword&gt;&lt;keyword&gt;Decision Trees&lt;/keyword&gt;&lt;keyword&gt;Depressive Disorder/diagnosis/drug therapy/*therapy&lt;/keyword&gt;&lt;keyword&gt;Drug Administration Schedule&lt;/keyword&gt;&lt;keyword&gt;Electroconvulsive Therapy/adverse effects&lt;/keyword&gt;&lt;keyword&gt;Humans&lt;/keyword&gt;&lt;keyword&gt;Patient Compliance&lt;/keyword&gt;&lt;keyword&gt;Phototherapy&lt;/keyword&gt;&lt;keyword&gt;*Psychotherapy&lt;/keyword&gt;&lt;keyword&gt;Secondary Prevention&lt;/keyword&gt;&lt;keyword&gt;Treatment Outcome&lt;/keyword&gt;&lt;/keywords&gt;&lt;dates&gt;&lt;year&gt;2000&lt;/year&gt;&lt;pub-dates&gt;&lt;date&gt;Apr&lt;/date&gt;&lt;/pub-dates&gt;&lt;/dates&gt;&lt;isbn&gt;0002-953X (Print)&amp;#xD;0002-953X (Linking)&lt;/isbn&gt;&lt;accession-num&gt;10767867&lt;/accession-num&gt;&lt;urls&gt;&lt;related-urls&gt;&lt;url&gt;https://www.ncbi.nlm.nih.gov/pubmed/10767867&lt;/url&gt;&lt;/related-urls&gt;&lt;/urls&gt;&lt;remote-database-name&gt;Medline&lt;/remote-database-name&gt;&lt;remote-database-provider&gt;NLM&lt;/remote-database-provider&gt;&lt;/record&gt;&lt;/Cite&gt;&lt;/EndNote&gt;</w:instrText>
      </w:r>
      <w:r w:rsidR="00FA20F8">
        <w:rPr>
          <w:rFonts w:ascii="Cambria" w:hAnsi="Cambria" w:cs="Arial"/>
          <w:sz w:val="20"/>
          <w:szCs w:val="20"/>
        </w:rPr>
        <w:fldChar w:fldCharType="separate"/>
      </w:r>
      <w:r w:rsidR="00FA20F8" w:rsidRPr="00FA20F8">
        <w:rPr>
          <w:rFonts w:ascii="Cambria" w:hAnsi="Cambria" w:cs="Arial"/>
          <w:noProof/>
          <w:sz w:val="20"/>
          <w:szCs w:val="20"/>
          <w:vertAlign w:val="superscript"/>
        </w:rPr>
        <w:t>3</w:t>
      </w:r>
      <w:r w:rsidR="00FA20F8">
        <w:rPr>
          <w:rFonts w:ascii="Cambria" w:hAnsi="Cambria" w:cs="Arial"/>
          <w:sz w:val="20"/>
          <w:szCs w:val="20"/>
        </w:rPr>
        <w:fldChar w:fldCharType="end"/>
      </w:r>
      <w:r w:rsidR="00654496" w:rsidRPr="001C7A3C">
        <w:rPr>
          <w:rFonts w:ascii="Cambria" w:hAnsi="Cambria" w:cs="Arial"/>
          <w:sz w:val="20"/>
          <w:szCs w:val="20"/>
        </w:rPr>
        <w:t xml:space="preserve">), </w:t>
      </w:r>
      <w:r w:rsidR="001F4AFD" w:rsidRPr="001C7A3C">
        <w:rPr>
          <w:rFonts w:ascii="Cambria" w:hAnsi="Cambria" w:cs="Arial"/>
          <w:sz w:val="20"/>
          <w:szCs w:val="20"/>
        </w:rPr>
        <w:t>thereby excluding very early discontinuations likely driven by non-adherence. A switch was identified when a different antidepressant was initiated: (i) ≥28 days after the adjusted episode start date, (ii) no earlier than 28 days before the episode end date, and (iii) within 90 days after the episode end date. In summary, switching was defined relative to the end of a treatment episode, allowing overlap in the final 28 days and up to 90 days after discontinuation. Importantly, the new antidepressant did not need to form part of a subsequent monotherapy episode of ≥28 days; discontinuation of the index drug followed by even a single subsequent antidepressant prescription was considered indicative of non-response. This definition captures two clinically distinct switching patterns: (1) switches via end-of-episode cross-tapers, where the new drug begins during the final 28 days of the index episode, and (2) switches following treatment discontinuation, where the new drug is initiated after a gap of up to 90 days. The 90-day post-episode window provides a consistent clearing period across individuals, allowing for delays in clinical review and dispensing. This definition was intended to allow clinically plausible switching while avoiding misclassification of augmentation or combination therapy as switching. Furthermore, we used this episode-based definition, rather than the Lancet switching within TRD criterion (anchored to treatment initiation), because our dispensing data include explicit prescription end dates (or durations from which end dates can be derived), allowing reconstruction of true treatment episodes and real-world delays in initiating the next antidepressant.</w:t>
      </w:r>
    </w:p>
    <w:p w14:paraId="1E3C72AF" w14:textId="420D0B4B" w:rsidR="00AD3260" w:rsidRPr="001C7A3C" w:rsidRDefault="00AD3260" w:rsidP="00654496">
      <w:pPr>
        <w:pStyle w:val="BodyText"/>
        <w:spacing w:line="240" w:lineRule="auto"/>
        <w:rPr>
          <w:rFonts w:ascii="Cambria" w:hAnsi="Cambria" w:cs="Arial"/>
          <w:sz w:val="20"/>
          <w:szCs w:val="20"/>
        </w:rPr>
      </w:pPr>
      <w:r w:rsidRPr="001C7A3C">
        <w:rPr>
          <w:rFonts w:ascii="Cambria" w:hAnsi="Cambria" w:cs="Arial"/>
          <w:sz w:val="20"/>
          <w:szCs w:val="20"/>
        </w:rPr>
        <w:t>Ultimately, each individual for each k-th drug was hierarchically classified into switching or continuation (two mutually exclusive outcomes). Formally, the antidepressant drug k was classified as</w:t>
      </w:r>
    </w:p>
    <w:p w14:paraId="094E18B1" w14:textId="76A1F28A" w:rsidR="005F59DD" w:rsidRPr="001C7A3C" w:rsidRDefault="005F59DD" w:rsidP="005F59DD">
      <w:pPr>
        <w:pStyle w:val="BodyText"/>
        <w:numPr>
          <w:ilvl w:val="0"/>
          <w:numId w:val="1"/>
        </w:numPr>
        <w:spacing w:line="240" w:lineRule="auto"/>
        <w:rPr>
          <w:rFonts w:ascii="Cambria" w:hAnsi="Cambria" w:cs="Arial"/>
          <w:b/>
          <w:bCs/>
          <w:sz w:val="20"/>
          <w:szCs w:val="20"/>
        </w:rPr>
      </w:pPr>
      <w:r w:rsidRPr="001C7A3C">
        <w:rPr>
          <w:rStyle w:val="vlist-s"/>
          <w:rFonts w:ascii="Cambria" w:hAnsi="Cambria" w:cs="Arial"/>
          <w:b/>
          <w:bCs/>
          <w:sz w:val="20"/>
          <w:szCs w:val="20"/>
        </w:rPr>
        <w:t>Switching</w:t>
      </w:r>
    </w:p>
    <w:p w14:paraId="1415FFA4" w14:textId="77777777" w:rsidR="005F59DD" w:rsidRPr="001C7A3C" w:rsidRDefault="005F59DD" w:rsidP="005F59DD">
      <w:pPr>
        <w:pStyle w:val="BodyText"/>
        <w:ind w:firstLine="720"/>
        <w:rPr>
          <w:rFonts w:ascii="Cambria" w:hAnsi="Cambria" w:cs="Arial"/>
          <w:sz w:val="20"/>
          <w:szCs w:val="20"/>
        </w:rPr>
      </w:pPr>
      <w:r w:rsidRPr="001C7A3C">
        <w:rPr>
          <w:rFonts w:ascii="Cambria" w:hAnsi="Cambria" w:cs="Arial"/>
          <w:sz w:val="20"/>
          <w:szCs w:val="20"/>
        </w:rPr>
        <w:t xml:space="preserve">If there existed at least one prescription episode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oMath>
      <w:r w:rsidRPr="001C7A3C">
        <w:rPr>
          <w:rFonts w:ascii="Cambria" w:hAnsi="Cambria" w:cs="Arial"/>
          <w:sz w:val="20"/>
          <w:szCs w:val="20"/>
        </w:rPr>
        <w:t>​ such that:</w:t>
      </w:r>
    </w:p>
    <w:p w14:paraId="2AFCF90B" w14:textId="77777777" w:rsidR="005F59DD" w:rsidRPr="001C7A3C" w:rsidRDefault="005F59DD" w:rsidP="005F59DD">
      <w:pPr>
        <w:pStyle w:val="BodyText"/>
        <w:numPr>
          <w:ilvl w:val="1"/>
          <w:numId w:val="1"/>
        </w:numPr>
        <w:rPr>
          <w:rFonts w:ascii="Cambria" w:hAnsi="Cambria" w:cs="Arial"/>
          <w:sz w:val="20"/>
          <w:szCs w:val="20"/>
        </w:rPr>
      </w:pPr>
      <w:r w:rsidRPr="001C7A3C">
        <w:rPr>
          <w:rFonts w:ascii="Cambria" w:hAnsi="Cambria" w:cs="Arial"/>
          <w:sz w:val="20"/>
          <w:szCs w:val="20"/>
        </w:rPr>
        <w:t>the effective monotherapy episode duration D(</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oMath>
      <w:r w:rsidRPr="001C7A3C">
        <w:rPr>
          <w:rFonts w:ascii="Cambria" w:hAnsi="Cambria" w:cs="Arial"/>
          <w:sz w:val="20"/>
          <w:szCs w:val="20"/>
        </w:rPr>
        <w:t>) ≥ 28 days, and</w:t>
      </w:r>
    </w:p>
    <w:p w14:paraId="45EAD2E4" w14:textId="77777777" w:rsidR="005F59DD" w:rsidRPr="001C7A3C" w:rsidRDefault="005F59DD" w:rsidP="005F59DD">
      <w:pPr>
        <w:pStyle w:val="BodyText"/>
        <w:numPr>
          <w:ilvl w:val="1"/>
          <w:numId w:val="1"/>
        </w:numPr>
        <w:rPr>
          <w:rFonts w:ascii="Cambria" w:hAnsi="Cambria" w:cs="Arial"/>
          <w:sz w:val="20"/>
          <w:szCs w:val="20"/>
        </w:rPr>
      </w:pPr>
      <w:r w:rsidRPr="001C7A3C">
        <w:rPr>
          <w:rFonts w:ascii="Cambria" w:hAnsi="Cambria" w:cs="Arial"/>
          <w:sz w:val="20"/>
          <w:szCs w:val="20"/>
        </w:rPr>
        <w:t xml:space="preserve">a different antidepressant drug was dispensed within −28 to +90 days relative to the original end date of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j,k</m:t>
            </m:r>
          </m:sub>
        </m:sSub>
      </m:oMath>
    </w:p>
    <w:p w14:paraId="416347ED" w14:textId="32D6DBFB" w:rsidR="005F59DD" w:rsidRPr="001C7A3C" w:rsidRDefault="005F59DD" w:rsidP="005F59DD">
      <w:pPr>
        <w:pStyle w:val="BodyText"/>
        <w:numPr>
          <w:ilvl w:val="0"/>
          <w:numId w:val="1"/>
        </w:numPr>
        <w:spacing w:line="240" w:lineRule="auto"/>
        <w:rPr>
          <w:rFonts w:ascii="Cambria" w:hAnsi="Cambria" w:cs="Arial"/>
          <w:b/>
          <w:bCs/>
          <w:sz w:val="20"/>
          <w:szCs w:val="20"/>
        </w:rPr>
      </w:pPr>
      <w:r w:rsidRPr="001C7A3C">
        <w:rPr>
          <w:rFonts w:ascii="Cambria" w:hAnsi="Cambria" w:cs="Arial"/>
          <w:b/>
          <w:bCs/>
          <w:sz w:val="20"/>
          <w:szCs w:val="20"/>
        </w:rPr>
        <w:t>Continuation</w:t>
      </w:r>
    </w:p>
    <w:p w14:paraId="18CB3142" w14:textId="77777777" w:rsidR="005F59DD" w:rsidRPr="001C7A3C" w:rsidRDefault="005F59DD" w:rsidP="005F59DD">
      <w:pPr>
        <w:pStyle w:val="BodyText"/>
        <w:spacing w:line="240" w:lineRule="auto"/>
        <w:ind w:left="720"/>
        <w:rPr>
          <w:rFonts w:ascii="Cambria" w:hAnsi="Cambria" w:cs="Arial"/>
          <w:sz w:val="20"/>
          <w:szCs w:val="20"/>
        </w:rPr>
      </w:pPr>
      <w:r w:rsidRPr="001C7A3C">
        <w:rPr>
          <w:rStyle w:val="vlist-s"/>
          <w:rFonts w:ascii="Cambria" w:hAnsi="Cambria" w:cs="Arial"/>
          <w:sz w:val="20"/>
          <w:szCs w:val="20"/>
        </w:rPr>
        <w:t xml:space="preserve">If the switching condition is not met, and </w:t>
      </w:r>
      <m:oMath>
        <m:sSub>
          <m:sSubPr>
            <m:ctrlPr>
              <w:rPr>
                <w:rStyle w:val="vlist-s"/>
                <w:rFonts w:ascii="Cambria Math" w:hAnsi="Cambria Math" w:cs="Arial"/>
                <w:i/>
                <w:sz w:val="20"/>
                <w:szCs w:val="20"/>
              </w:rPr>
            </m:ctrlPr>
          </m:sSubPr>
          <m:e>
            <m:r>
              <w:rPr>
                <w:rStyle w:val="vlist-s"/>
                <w:rFonts w:ascii="Cambria Math" w:hAnsi="Cambria Math" w:cs="Arial"/>
                <w:sz w:val="20"/>
                <w:szCs w:val="20"/>
              </w:rPr>
              <m:t>C</m:t>
            </m:r>
          </m:e>
          <m:sub>
            <m:r>
              <m:rPr>
                <m:sty m:val="p"/>
              </m:rPr>
              <w:rPr>
                <w:rStyle w:val="mord"/>
                <w:rFonts w:ascii="Cambria Math" w:hAnsi="Cambria Math" w:cs="Arial"/>
                <w:sz w:val="20"/>
                <w:szCs w:val="20"/>
              </w:rPr>
              <m:t>k</m:t>
            </m:r>
          </m:sub>
        </m:sSub>
        <m:r>
          <w:rPr>
            <w:rStyle w:val="vlist-s"/>
            <w:rFonts w:ascii="Cambria Math" w:hAnsi="Cambria Math" w:cs="Arial"/>
            <w:sz w:val="20"/>
            <w:szCs w:val="20"/>
          </w:rPr>
          <m:t>=1</m:t>
        </m:r>
      </m:oMath>
      <w:r w:rsidRPr="001C7A3C">
        <w:rPr>
          <w:rStyle w:val="vlist-s"/>
          <w:rFonts w:ascii="Cambria" w:hAnsi="Cambria" w:cs="Arial"/>
          <w:sz w:val="20"/>
          <w:szCs w:val="20"/>
        </w:rPr>
        <w:t xml:space="preserve"> (i.e., drug k was continued for ≥90 days monotherapy for at least one prescription episode).</w:t>
      </w:r>
    </w:p>
    <w:p w14:paraId="61C41762" w14:textId="19D2C8BA" w:rsidR="00EF6018" w:rsidRPr="001C7A3C" w:rsidRDefault="007C64FB" w:rsidP="00035559">
      <w:pPr>
        <w:pStyle w:val="BodyText"/>
        <w:spacing w:line="240" w:lineRule="auto"/>
        <w:rPr>
          <w:rFonts w:ascii="Cambria" w:hAnsi="Cambria" w:cs="Arial"/>
          <w:sz w:val="20"/>
          <w:szCs w:val="20"/>
        </w:rPr>
      </w:pPr>
      <w:r w:rsidRPr="007C64FB">
        <w:rPr>
          <w:rFonts w:ascii="Cambria" w:hAnsi="Cambria" w:cs="Arial"/>
          <w:sz w:val="20"/>
          <w:szCs w:val="20"/>
        </w:rPr>
        <w:t xml:space="preserve">It is important to note that those who did not qualify for switching or continuation analyses for the k-th drug (i.e., those who only had sub-threshold [&lt;90-day] monotherapy prescription episodes for the k-th drug) were excluded from these analyses. Among individuals who met the switching definition for the k-th drug, the index date was the first dispensing date of the new drug in the first switching-eligible episode (i.e., the earliest episode that defined a switch from the k-th drug). Any earlier, non-switching episodes occurring prior to this first switching event were not used for exposure assignment. For continuers, the index date was </w:t>
      </w:r>
      <w:r w:rsidR="00A00D30" w:rsidRPr="00A00D30">
        <w:rPr>
          <w:rFonts w:ascii="Cambria" w:hAnsi="Cambria" w:cs="Arial"/>
          <w:sz w:val="20"/>
          <w:szCs w:val="20"/>
        </w:rPr>
        <w:t>the start of the first eligible ≥90-day monotherapy episode</w:t>
      </w:r>
      <w:r w:rsidR="00A00D30">
        <w:rPr>
          <w:rFonts w:ascii="Cambria" w:hAnsi="Cambria" w:cs="Arial"/>
          <w:sz w:val="20"/>
          <w:szCs w:val="20"/>
        </w:rPr>
        <w:t>.</w:t>
      </w:r>
    </w:p>
    <w:p w14:paraId="3D487EFF" w14:textId="77777777" w:rsidR="00EF6018" w:rsidRPr="001C7A3C" w:rsidRDefault="00EF6018" w:rsidP="00035559">
      <w:pPr>
        <w:pStyle w:val="BodyText"/>
        <w:spacing w:line="240" w:lineRule="auto"/>
        <w:rPr>
          <w:rFonts w:ascii="Cambria" w:hAnsi="Cambria" w:cs="Arial"/>
          <w:sz w:val="20"/>
          <w:szCs w:val="20"/>
        </w:rPr>
      </w:pPr>
    </w:p>
    <w:p w14:paraId="74B8D9DF" w14:textId="2AF99A8A" w:rsidR="00A27AA4" w:rsidRPr="001C7A3C" w:rsidRDefault="00A27AA4" w:rsidP="00F50D61">
      <w:pPr>
        <w:pStyle w:val="BodyText"/>
        <w:rPr>
          <w:rFonts w:ascii="Cambria" w:hAnsi="Cambria" w:cs="Arial"/>
          <w:sz w:val="20"/>
          <w:szCs w:val="20"/>
        </w:rPr>
      </w:pPr>
    </w:p>
    <w:p w14:paraId="6B035D09" w14:textId="43FE8E4F" w:rsidR="004B788A" w:rsidRPr="001C7A3C" w:rsidRDefault="002F5332" w:rsidP="002F5332">
      <w:pPr>
        <w:pStyle w:val="Heading1"/>
        <w:rPr>
          <w:rFonts w:ascii="Cambria" w:hAnsi="Cambria"/>
          <w:b w:val="0"/>
          <w:bCs w:val="0"/>
          <w:lang w:val="en-US"/>
        </w:rPr>
      </w:pPr>
      <w:bookmarkStart w:id="2" w:name="_Toc225780169"/>
      <w:r w:rsidRPr="001C7A3C">
        <w:rPr>
          <w:rFonts w:ascii="Cambria" w:hAnsi="Cambria"/>
          <w:b w:val="0"/>
          <w:bCs w:val="0"/>
          <w:lang w:val="en-US"/>
        </w:rPr>
        <w:t>Supplementary Methods 3: Pooled Antidepressant Outcomes</w:t>
      </w:r>
      <w:bookmarkEnd w:id="2"/>
    </w:p>
    <w:p w14:paraId="5E9708B4" w14:textId="77777777" w:rsidR="002F5332" w:rsidRPr="001C7A3C" w:rsidRDefault="002F5332" w:rsidP="002F5332">
      <w:pPr>
        <w:rPr>
          <w:rFonts w:ascii="Cambria" w:hAnsi="Cambria"/>
          <w:lang w:val="en-US"/>
        </w:rPr>
      </w:pPr>
    </w:p>
    <w:p w14:paraId="3C601C6B" w14:textId="25CBA938" w:rsidR="00EF6018" w:rsidRPr="001C7A3C" w:rsidRDefault="00EF6018" w:rsidP="00EF6018">
      <w:pPr>
        <w:pStyle w:val="BodyText"/>
        <w:spacing w:line="240" w:lineRule="auto"/>
        <w:rPr>
          <w:rFonts w:ascii="Cambria" w:hAnsi="Cambria" w:cs="Arial"/>
          <w:sz w:val="20"/>
          <w:szCs w:val="20"/>
        </w:rPr>
      </w:pPr>
      <w:r w:rsidRPr="001C7A3C">
        <w:rPr>
          <w:rFonts w:ascii="Cambria" w:hAnsi="Cambria" w:cs="Arial"/>
          <w:sz w:val="20"/>
          <w:szCs w:val="20"/>
        </w:rPr>
        <w:t>To increase statistical power and find factors generally associated with antidepressant switching, we also  assessed treatment outcomes across all antidepressant (pooled) drugs.</w:t>
      </w:r>
    </w:p>
    <w:p w14:paraId="4E2EFF6D" w14:textId="77777777" w:rsidR="00EF6018" w:rsidRPr="001C7A3C" w:rsidRDefault="00EF6018" w:rsidP="00EF6018">
      <w:pPr>
        <w:pStyle w:val="BodyText"/>
        <w:spacing w:line="240" w:lineRule="auto"/>
        <w:rPr>
          <w:rFonts w:ascii="Cambria" w:hAnsi="Cambria" w:cs="Arial"/>
          <w:b/>
          <w:bCs/>
          <w:sz w:val="20"/>
          <w:szCs w:val="20"/>
        </w:rPr>
      </w:pPr>
      <w:r w:rsidRPr="001C7A3C">
        <w:rPr>
          <w:rFonts w:ascii="Cambria" w:hAnsi="Cambria" w:cs="Arial"/>
          <w:b/>
          <w:bCs/>
          <w:sz w:val="20"/>
          <w:szCs w:val="20"/>
        </w:rPr>
        <w:t>Pooled outcomes across all antidepressant drugs</w:t>
      </w:r>
    </w:p>
    <w:p w14:paraId="7C09C82B" w14:textId="5EA63977" w:rsidR="00EF6018" w:rsidRPr="001C7A3C" w:rsidRDefault="00EF6018" w:rsidP="00EF6018">
      <w:pPr>
        <w:pStyle w:val="BodyText"/>
        <w:spacing w:line="240" w:lineRule="auto"/>
        <w:rPr>
          <w:rFonts w:ascii="Cambria" w:hAnsi="Cambria" w:cs="Arial"/>
          <w:sz w:val="20"/>
          <w:szCs w:val="20"/>
        </w:rPr>
      </w:pPr>
      <w:r w:rsidRPr="001C7A3C">
        <w:rPr>
          <w:rFonts w:ascii="Cambria" w:hAnsi="Cambria" w:cs="Arial"/>
          <w:sz w:val="20"/>
          <w:szCs w:val="20"/>
        </w:rPr>
        <w:t xml:space="preserve">For each participant: </w:t>
      </w:r>
    </w:p>
    <w:p w14:paraId="1E511614" w14:textId="1BF6FA0E" w:rsidR="00EF6018" w:rsidRPr="001C7A3C" w:rsidRDefault="00EF6018" w:rsidP="00EF6018">
      <w:pPr>
        <w:pStyle w:val="BodyText"/>
        <w:numPr>
          <w:ilvl w:val="0"/>
          <w:numId w:val="7"/>
        </w:numPr>
        <w:spacing w:line="240" w:lineRule="auto"/>
        <w:rPr>
          <w:rFonts w:ascii="Cambria" w:hAnsi="Cambria" w:cs="Arial"/>
          <w:sz w:val="20"/>
          <w:szCs w:val="20"/>
        </w:rPr>
      </w:pPr>
      <w:r w:rsidRPr="001C7A3C">
        <w:rPr>
          <w:rFonts w:ascii="Cambria" w:hAnsi="Cambria" w:cs="Arial"/>
          <w:sz w:val="20"/>
          <w:szCs w:val="20"/>
        </w:rPr>
        <w:t>If any drug was switched, the overall outcome was classified as switching.</w:t>
      </w:r>
    </w:p>
    <w:p w14:paraId="2145421F" w14:textId="280D1B96" w:rsidR="002F5332" w:rsidRPr="001C7A3C" w:rsidRDefault="00EF6018" w:rsidP="002F5332">
      <w:pPr>
        <w:pStyle w:val="BodyText"/>
        <w:numPr>
          <w:ilvl w:val="0"/>
          <w:numId w:val="7"/>
        </w:numPr>
        <w:spacing w:line="240" w:lineRule="auto"/>
        <w:rPr>
          <w:rFonts w:ascii="Cambria" w:hAnsi="Cambria" w:cs="Arial"/>
          <w:sz w:val="20"/>
          <w:szCs w:val="20"/>
        </w:rPr>
      </w:pPr>
      <w:r w:rsidRPr="001C7A3C">
        <w:rPr>
          <w:rFonts w:ascii="Cambria" w:hAnsi="Cambria" w:cs="Arial"/>
          <w:sz w:val="20"/>
          <w:szCs w:val="20"/>
        </w:rPr>
        <w:t>If no switching occurred and at least one drug episode was a continuation, the outcome was classified as continuation.</w:t>
      </w:r>
    </w:p>
    <w:p w14:paraId="44AA758D" w14:textId="27445868" w:rsidR="00A27AA4" w:rsidRPr="001C7A3C" w:rsidRDefault="00A27AA4" w:rsidP="00A27AA4">
      <w:pPr>
        <w:pStyle w:val="Heading1"/>
        <w:rPr>
          <w:rFonts w:ascii="Cambria" w:hAnsi="Cambria"/>
          <w:b w:val="0"/>
          <w:bCs w:val="0"/>
          <w:lang w:val="en-US"/>
        </w:rPr>
      </w:pPr>
      <w:bookmarkStart w:id="3" w:name="_Toc225780170"/>
      <w:r w:rsidRPr="001C7A3C">
        <w:rPr>
          <w:rFonts w:ascii="Cambria" w:hAnsi="Cambria"/>
          <w:b w:val="0"/>
          <w:bCs w:val="0"/>
          <w:lang w:val="en-US"/>
        </w:rPr>
        <w:t xml:space="preserve">Supplementary Results 1: </w:t>
      </w:r>
      <w:r w:rsidR="00527A6C" w:rsidRPr="001C7A3C">
        <w:rPr>
          <w:rFonts w:ascii="Cambria" w:hAnsi="Cambria"/>
          <w:b w:val="0"/>
          <w:bCs w:val="0"/>
          <w:lang w:val="en-US"/>
        </w:rPr>
        <w:t>Associations of Covariates with Pooled Antidepressant Switching</w:t>
      </w:r>
      <w:bookmarkEnd w:id="3"/>
    </w:p>
    <w:p w14:paraId="0762F174" w14:textId="02687FDC" w:rsidR="00A27AA4" w:rsidRPr="001C7A3C" w:rsidRDefault="00A27AA4" w:rsidP="00F50D61">
      <w:pPr>
        <w:pStyle w:val="BodyText"/>
        <w:rPr>
          <w:rFonts w:ascii="Cambria" w:hAnsi="Cambria" w:cs="Arial"/>
          <w:sz w:val="20"/>
          <w:szCs w:val="20"/>
          <w:lang w:val="en-US"/>
        </w:rPr>
      </w:pPr>
    </w:p>
    <w:p w14:paraId="7DFDD450" w14:textId="70E41B90" w:rsidR="00A27AA4" w:rsidRPr="001C7A3C" w:rsidRDefault="001F6CA6" w:rsidP="00F50D61">
      <w:pPr>
        <w:pStyle w:val="BodyText"/>
        <w:rPr>
          <w:rFonts w:ascii="Cambria" w:hAnsi="Cambria" w:cs="Arial"/>
          <w:sz w:val="20"/>
          <w:szCs w:val="20"/>
          <w:lang w:val="en-US"/>
        </w:rPr>
      </w:pPr>
      <w:r w:rsidRPr="125C8878">
        <w:rPr>
          <w:rFonts w:ascii="Cambria" w:hAnsi="Cambria" w:cs="Arial"/>
          <w:sz w:val="20"/>
          <w:szCs w:val="20"/>
          <w:lang w:val="en-US"/>
        </w:rPr>
        <w:t xml:space="preserve">Across both </w:t>
      </w:r>
      <w:r w:rsidR="006A4E81">
        <w:rPr>
          <w:rFonts w:ascii="Cambria" w:hAnsi="Cambria" w:cs="Arial"/>
          <w:sz w:val="20"/>
          <w:szCs w:val="20"/>
          <w:lang w:val="en-US"/>
        </w:rPr>
        <w:t>the phenoconversion-adjusted and direct</w:t>
      </w:r>
      <w:r w:rsidR="00892997">
        <w:rPr>
          <w:rFonts w:ascii="Cambria" w:hAnsi="Cambria" w:cs="Arial"/>
          <w:sz w:val="20"/>
          <w:szCs w:val="20"/>
          <w:lang w:val="en-US"/>
        </w:rPr>
        <w:t xml:space="preserve"> CYP modulator </w:t>
      </w:r>
      <w:r w:rsidRPr="125C8878">
        <w:rPr>
          <w:rFonts w:ascii="Cambria" w:hAnsi="Cambria" w:cs="Arial"/>
          <w:sz w:val="20"/>
          <w:szCs w:val="20"/>
          <w:lang w:val="en-US"/>
        </w:rPr>
        <w:t>modelling approaches, covariate effects were highly consistent, indicating that the choice of CYP adjustment method does not materially influence associations between demographic and socioeconomic factors and antidepressant switching (</w:t>
      </w:r>
      <w:r w:rsidRPr="125C8878">
        <w:rPr>
          <w:rFonts w:ascii="Cambria" w:hAnsi="Cambria" w:cs="Arial"/>
          <w:b/>
          <w:bCs/>
          <w:sz w:val="20"/>
          <w:szCs w:val="20"/>
          <w:lang w:val="en-US"/>
        </w:rPr>
        <w:t xml:space="preserve">Supplementary Figure 11, Supplementary Tables </w:t>
      </w:r>
      <w:r w:rsidR="006E2B49" w:rsidRPr="125C8878">
        <w:rPr>
          <w:rFonts w:ascii="Cambria" w:hAnsi="Cambria" w:cs="Arial"/>
          <w:b/>
          <w:bCs/>
          <w:sz w:val="20"/>
          <w:szCs w:val="20"/>
          <w:lang w:val="en-US"/>
        </w:rPr>
        <w:t>S4</w:t>
      </w:r>
      <w:r w:rsidR="006E2B49" w:rsidRPr="125C8878">
        <w:rPr>
          <w:rFonts w:ascii="Cambria" w:hAnsi="Cambria" w:cs="Arial"/>
          <w:sz w:val="20"/>
          <w:szCs w:val="20"/>
          <w:lang w:val="en-US"/>
        </w:rPr>
        <w:t>)</w:t>
      </w:r>
      <w:r w:rsidRPr="125C8878">
        <w:rPr>
          <w:rFonts w:ascii="Cambria" w:hAnsi="Cambria" w:cs="Arial"/>
          <w:sz w:val="20"/>
          <w:szCs w:val="20"/>
          <w:lang w:val="en-US"/>
        </w:rPr>
        <w:t>. Increasing age at first antidepressant use was associated with reduced odds of switching, suggesting greater treatment stability in older individuals. In contrast, sex was not associated with switching, indicating no meaningful difference in treatment instability between males and females in this cohort. Higher income was associated with reduced odds of switching, consistent with the possibility that socioeconomic advantage may facilitate treatment continuity, adherence, or access to care. Educational attainment did not show independent associations after adjustment, suggesting that its effects may overlap with other socioeconomic measures such as income. Several genetically inferred ancestry groups showed lower odds of switching compared to the European reference group; however, these estimates were less precise for some groups, and may reflect a combination of biological, clinical, and healthcare access differences. Overall, these findings indicate that non-genetic factors, particularly age and income, contribute to variability in antidepressant treatment stability, while the consistency across models supports the robustness of these associations to different approaches for modelling CYP-mediated metabolism.</w:t>
      </w:r>
    </w:p>
    <w:p w14:paraId="7F539F60" w14:textId="77777777" w:rsidR="00672120" w:rsidRPr="001C7A3C" w:rsidRDefault="00672120" w:rsidP="00672120">
      <w:pPr>
        <w:pStyle w:val="BodyText"/>
        <w:rPr>
          <w:rFonts w:ascii="Cambria" w:hAnsi="Cambria" w:cs="Arial"/>
          <w:b/>
          <w:bCs/>
          <w:sz w:val="20"/>
          <w:szCs w:val="20"/>
          <w:lang w:val="en-US"/>
        </w:rPr>
      </w:pPr>
      <w:r w:rsidRPr="001C7A3C">
        <w:rPr>
          <w:rFonts w:ascii="Cambria" w:hAnsi="Cambria" w:cs="Arial"/>
          <w:b/>
          <w:bCs/>
          <w:sz w:val="20"/>
          <w:szCs w:val="20"/>
          <w:lang w:val="en-US"/>
        </w:rPr>
        <w:t>Interaction analyses.</w:t>
      </w:r>
    </w:p>
    <w:p w14:paraId="131AFC86" w14:textId="367DE8CD" w:rsidR="00672120" w:rsidRPr="001C7A3C" w:rsidRDefault="00672120" w:rsidP="00672120">
      <w:pPr>
        <w:pStyle w:val="BodyText"/>
        <w:rPr>
          <w:rFonts w:ascii="Cambria" w:hAnsi="Cambria" w:cs="Arial"/>
          <w:sz w:val="20"/>
          <w:szCs w:val="20"/>
          <w:lang w:val="en-US"/>
        </w:rPr>
      </w:pPr>
      <w:r w:rsidRPr="125C8878">
        <w:rPr>
          <w:rFonts w:ascii="Cambria" w:hAnsi="Cambria" w:cs="Arial"/>
          <w:sz w:val="20"/>
          <w:szCs w:val="20"/>
          <w:lang w:val="en-US"/>
        </w:rPr>
        <w:t>We also evaluated whether the effects of CYP-modulating medications on antidepressant switching differed by age</w:t>
      </w:r>
      <w:r w:rsidR="00CD4139">
        <w:rPr>
          <w:rFonts w:ascii="Cambria" w:hAnsi="Cambria" w:cs="Arial"/>
          <w:sz w:val="20"/>
          <w:szCs w:val="20"/>
          <w:lang w:val="en-US"/>
        </w:rPr>
        <w:t xml:space="preserve"> at first recorded antidepressant prescription</w:t>
      </w:r>
      <w:r w:rsidRPr="125C8878">
        <w:rPr>
          <w:rFonts w:ascii="Cambria" w:hAnsi="Cambria" w:cs="Arial"/>
          <w:sz w:val="20"/>
          <w:szCs w:val="20"/>
          <w:lang w:val="en-US"/>
        </w:rPr>
        <w:t xml:space="preserve"> or sex by including interaction terms between weak CYP modulator categories and these demographic variables (</w:t>
      </w:r>
      <w:r w:rsidRPr="125C8878">
        <w:rPr>
          <w:rFonts w:ascii="Cambria" w:hAnsi="Cambria" w:cs="Arial"/>
          <w:b/>
          <w:bCs/>
          <w:sz w:val="20"/>
          <w:szCs w:val="20"/>
          <w:lang w:val="en-US"/>
        </w:rPr>
        <w:t>Supplementary Table S7</w:t>
      </w:r>
      <w:r w:rsidRPr="125C8878">
        <w:rPr>
          <w:rFonts w:ascii="Cambria" w:hAnsi="Cambria" w:cs="Arial"/>
          <w:sz w:val="20"/>
          <w:szCs w:val="20"/>
          <w:lang w:val="en-US"/>
        </w:rPr>
        <w:t xml:space="preserve">). Overall, there was no strong evidence of effect modification. Interaction terms between age and weak CYP inhibitor </w:t>
      </w:r>
      <w:r w:rsidR="00A768FF" w:rsidRPr="125C8878">
        <w:rPr>
          <w:rFonts w:ascii="Cambria" w:hAnsi="Cambria" w:cs="Arial"/>
          <w:sz w:val="20"/>
          <w:szCs w:val="20"/>
          <w:lang w:val="en-US"/>
        </w:rPr>
        <w:t xml:space="preserve">and inducer </w:t>
      </w:r>
      <w:r w:rsidRPr="125C8878">
        <w:rPr>
          <w:rFonts w:ascii="Cambria" w:hAnsi="Cambria" w:cs="Arial"/>
          <w:sz w:val="20"/>
          <w:szCs w:val="20"/>
          <w:lang w:val="en-US"/>
        </w:rPr>
        <w:t xml:space="preserve">exposure across </w:t>
      </w:r>
      <w:r w:rsidRPr="125C8878">
        <w:rPr>
          <w:rFonts w:ascii="Cambria" w:hAnsi="Cambria" w:cs="Arial"/>
          <w:i/>
          <w:iCs/>
          <w:sz w:val="20"/>
          <w:szCs w:val="20"/>
          <w:lang w:val="en-US"/>
        </w:rPr>
        <w:t>CYP2D6</w:t>
      </w:r>
      <w:r w:rsidRPr="125C8878">
        <w:rPr>
          <w:rFonts w:ascii="Cambria" w:hAnsi="Cambria" w:cs="Arial"/>
          <w:sz w:val="20"/>
          <w:szCs w:val="20"/>
          <w:lang w:val="en-US"/>
        </w:rPr>
        <w:t xml:space="preserve">, </w:t>
      </w:r>
      <w:r w:rsidRPr="125C8878">
        <w:rPr>
          <w:rFonts w:ascii="Cambria" w:hAnsi="Cambria" w:cs="Arial"/>
          <w:i/>
          <w:iCs/>
          <w:sz w:val="20"/>
          <w:szCs w:val="20"/>
          <w:lang w:val="en-US"/>
        </w:rPr>
        <w:t>CYP2C19</w:t>
      </w:r>
      <w:r w:rsidRPr="125C8878">
        <w:rPr>
          <w:rFonts w:ascii="Cambria" w:hAnsi="Cambria" w:cs="Arial"/>
          <w:sz w:val="20"/>
          <w:szCs w:val="20"/>
          <w:lang w:val="en-US"/>
        </w:rPr>
        <w:t xml:space="preserve">, and </w:t>
      </w:r>
      <w:r w:rsidRPr="125C8878">
        <w:rPr>
          <w:rFonts w:ascii="Cambria" w:hAnsi="Cambria" w:cs="Arial"/>
          <w:i/>
          <w:iCs/>
          <w:sz w:val="20"/>
          <w:szCs w:val="20"/>
          <w:lang w:val="en-US"/>
        </w:rPr>
        <w:t>CYP2B6</w:t>
      </w:r>
      <w:r w:rsidRPr="125C8878">
        <w:rPr>
          <w:rFonts w:ascii="Cambria" w:hAnsi="Cambria" w:cs="Arial"/>
          <w:sz w:val="20"/>
          <w:szCs w:val="20"/>
          <w:lang w:val="en-US"/>
        </w:rPr>
        <w:t xml:space="preserve"> were not statistically significant, with effect estimates close to the null, indicating that the association between CYP modulation and switching does not vary meaningfully with age. Similarly, there was no evidence of interaction between sex and </w:t>
      </w:r>
      <w:r w:rsidRPr="125C8878">
        <w:rPr>
          <w:rFonts w:ascii="Cambria" w:hAnsi="Cambria" w:cs="Arial"/>
          <w:i/>
          <w:iCs/>
          <w:sz w:val="20"/>
          <w:szCs w:val="20"/>
          <w:lang w:val="en-US"/>
        </w:rPr>
        <w:t>CYP2C19</w:t>
      </w:r>
      <w:r w:rsidRPr="125C8878">
        <w:rPr>
          <w:rFonts w:ascii="Cambria" w:hAnsi="Cambria" w:cs="Arial"/>
          <w:sz w:val="20"/>
          <w:szCs w:val="20"/>
          <w:lang w:val="en-US"/>
        </w:rPr>
        <w:t xml:space="preserve"> or </w:t>
      </w:r>
      <w:r w:rsidRPr="125C8878">
        <w:rPr>
          <w:rFonts w:ascii="Cambria" w:hAnsi="Cambria" w:cs="Arial"/>
          <w:i/>
          <w:iCs/>
          <w:sz w:val="20"/>
          <w:szCs w:val="20"/>
          <w:lang w:val="en-US"/>
        </w:rPr>
        <w:t>CYP2B6</w:t>
      </w:r>
      <w:r w:rsidRPr="125C8878">
        <w:rPr>
          <w:rFonts w:ascii="Cambria" w:hAnsi="Cambria" w:cs="Arial"/>
          <w:sz w:val="20"/>
          <w:szCs w:val="20"/>
          <w:lang w:val="en-US"/>
        </w:rPr>
        <w:t xml:space="preserve"> weak inhibitor exposure. A nominal interaction between </w:t>
      </w:r>
      <w:r w:rsidRPr="125C8878">
        <w:rPr>
          <w:rFonts w:ascii="Cambria" w:hAnsi="Cambria" w:cs="Arial"/>
          <w:i/>
          <w:iCs/>
          <w:sz w:val="20"/>
          <w:szCs w:val="20"/>
          <w:lang w:val="en-US"/>
        </w:rPr>
        <w:t>CYP2D6</w:t>
      </w:r>
      <w:r w:rsidRPr="125C8878">
        <w:rPr>
          <w:rFonts w:ascii="Cambria" w:hAnsi="Cambria" w:cs="Arial"/>
          <w:sz w:val="20"/>
          <w:szCs w:val="20"/>
          <w:lang w:val="en-US"/>
        </w:rPr>
        <w:t xml:space="preserve"> weak inhibitors and sex was observed, suggesting a possible attenuation of the effect in males; however, this did not reach statistical significance</w:t>
      </w:r>
      <w:r w:rsidR="00DA08D5" w:rsidRPr="125C8878">
        <w:rPr>
          <w:rFonts w:ascii="Cambria" w:hAnsi="Cambria" w:cs="Arial"/>
          <w:sz w:val="20"/>
          <w:szCs w:val="20"/>
          <w:lang w:val="en-US"/>
        </w:rPr>
        <w:t xml:space="preserve">. </w:t>
      </w:r>
      <w:r w:rsidR="2D3F0776" w:rsidRPr="125C8878">
        <w:rPr>
          <w:rFonts w:ascii="Cambria" w:hAnsi="Cambria" w:cs="Arial"/>
          <w:sz w:val="20"/>
          <w:szCs w:val="20"/>
          <w:lang w:val="en-US"/>
        </w:rPr>
        <w:t>Notably, male analyses are underpowered because fewer male AoU participants take antidepressant</w:t>
      </w:r>
      <w:r w:rsidR="60E4D949" w:rsidRPr="125C8878">
        <w:rPr>
          <w:rFonts w:ascii="Cambria" w:hAnsi="Cambria" w:cs="Arial"/>
          <w:sz w:val="20"/>
          <w:szCs w:val="20"/>
          <w:lang w:val="en-US"/>
        </w:rPr>
        <w:t xml:space="preserve"> compared to females (</w:t>
      </w:r>
      <w:r w:rsidR="00B3334D">
        <w:rPr>
          <w:rFonts w:ascii="Cambria" w:hAnsi="Cambria" w:cs="Arial"/>
          <w:sz w:val="20"/>
          <w:szCs w:val="20"/>
          <w:lang w:val="en-US"/>
        </w:rPr>
        <w:t>69% are female and 30% are male in the study analytical sample</w:t>
      </w:r>
      <w:r w:rsidR="006A4E81">
        <w:rPr>
          <w:rFonts w:ascii="Cambria" w:hAnsi="Cambria" w:cs="Arial"/>
          <w:sz w:val="20"/>
          <w:szCs w:val="20"/>
          <w:lang w:val="en-US"/>
        </w:rPr>
        <w:t xml:space="preserve">) </w:t>
      </w:r>
      <w:r w:rsidR="60E4D949" w:rsidRPr="125C8878">
        <w:rPr>
          <w:rFonts w:ascii="Cambria" w:hAnsi="Cambria" w:cs="Arial"/>
          <w:sz w:val="20"/>
          <w:szCs w:val="20"/>
          <w:lang w:val="en-US"/>
        </w:rPr>
        <w:t xml:space="preserve">hence the combined sex analysis results are dominated by female sex results. </w:t>
      </w:r>
      <w:r w:rsidRPr="125C8878">
        <w:rPr>
          <w:rFonts w:ascii="Cambria" w:hAnsi="Cambria" w:cs="Arial"/>
          <w:sz w:val="20"/>
          <w:szCs w:val="20"/>
          <w:lang w:val="en-US"/>
        </w:rPr>
        <w:t xml:space="preserve">Overall, these findings indicate that the effects of CYP-mediated drug–drug interactions on antidepressant </w:t>
      </w:r>
      <w:r w:rsidRPr="125C8878">
        <w:rPr>
          <w:rFonts w:ascii="Cambria" w:hAnsi="Cambria" w:cs="Arial"/>
          <w:sz w:val="20"/>
          <w:szCs w:val="20"/>
          <w:lang w:val="en-US"/>
        </w:rPr>
        <w:lastRenderedPageBreak/>
        <w:t xml:space="preserve">switching are broadly consistent across age groups and between sexes, supporting the </w:t>
      </w:r>
      <w:r w:rsidR="00DA08D5" w:rsidRPr="125C8878">
        <w:rPr>
          <w:rFonts w:ascii="Cambria" w:hAnsi="Cambria" w:cs="Arial"/>
          <w:sz w:val="20"/>
          <w:szCs w:val="20"/>
          <w:lang w:val="en-US"/>
        </w:rPr>
        <w:t>generalizability</w:t>
      </w:r>
      <w:r w:rsidRPr="125C8878">
        <w:rPr>
          <w:rFonts w:ascii="Cambria" w:hAnsi="Cambria" w:cs="Arial"/>
          <w:sz w:val="20"/>
          <w:szCs w:val="20"/>
          <w:lang w:val="en-US"/>
        </w:rPr>
        <w:t xml:space="preserve"> of the main effects observed in the primary models.</w:t>
      </w:r>
    </w:p>
    <w:p w14:paraId="670AFAE9" w14:textId="783755C7" w:rsidR="001A2827" w:rsidRPr="001C7A3C" w:rsidRDefault="005709ED" w:rsidP="005709ED">
      <w:pPr>
        <w:pStyle w:val="Heading1"/>
        <w:rPr>
          <w:rFonts w:ascii="Cambria" w:hAnsi="Cambria" w:cs="Arial"/>
          <w:b w:val="0"/>
          <w:bCs w:val="0"/>
        </w:rPr>
      </w:pPr>
      <w:bookmarkStart w:id="4" w:name="_Toc225780171"/>
      <w:r w:rsidRPr="001C7A3C">
        <w:rPr>
          <w:rFonts w:ascii="Cambria" w:hAnsi="Cambria" w:cs="Arial"/>
          <w:b w:val="0"/>
          <w:bCs w:val="0"/>
        </w:rPr>
        <w:t>References</w:t>
      </w:r>
      <w:bookmarkEnd w:id="4"/>
    </w:p>
    <w:p w14:paraId="0240BC4E" w14:textId="77777777" w:rsidR="00FA20F8" w:rsidRPr="00FA20F8" w:rsidRDefault="001A2827" w:rsidP="00FA20F8">
      <w:pPr>
        <w:pStyle w:val="EndNoteBibliography"/>
        <w:spacing w:after="0"/>
        <w:ind w:left="720" w:hanging="720"/>
      </w:pPr>
      <w:r w:rsidRPr="001C7A3C">
        <w:rPr>
          <w:rFonts w:ascii="Cambria" w:hAnsi="Cambria" w:cs="Arial"/>
          <w:sz w:val="20"/>
          <w:szCs w:val="20"/>
        </w:rPr>
        <w:fldChar w:fldCharType="begin"/>
      </w:r>
      <w:r w:rsidRPr="001C7A3C">
        <w:rPr>
          <w:rFonts w:ascii="Cambria" w:hAnsi="Cambria" w:cs="Arial"/>
          <w:sz w:val="20"/>
          <w:szCs w:val="20"/>
        </w:rPr>
        <w:instrText xml:space="preserve"> ADDIN EN.REFLIST </w:instrText>
      </w:r>
      <w:r w:rsidRPr="001C7A3C">
        <w:rPr>
          <w:rFonts w:ascii="Cambria" w:hAnsi="Cambria" w:cs="Arial"/>
          <w:sz w:val="20"/>
          <w:szCs w:val="20"/>
        </w:rPr>
        <w:fldChar w:fldCharType="separate"/>
      </w:r>
      <w:r w:rsidR="00FA20F8" w:rsidRPr="00FA20F8">
        <w:t>1.</w:t>
      </w:r>
      <w:r w:rsidR="00FA20F8" w:rsidRPr="00FA20F8">
        <w:tab/>
        <w:t>Bahar, M.A.</w:t>
      </w:r>
      <w:r w:rsidR="00FA20F8" w:rsidRPr="00FA20F8">
        <w:rPr>
          <w:i/>
        </w:rPr>
        <w:t xml:space="preserve"> et al.</w:t>
      </w:r>
      <w:r w:rsidR="00FA20F8" w:rsidRPr="00FA20F8">
        <w:t xml:space="preserve"> Impact of Drug-Gene-Interaction, Drug-Drug-Interaction, and Drug-Drug-Gene-Interaction on (es)Citalopram Therapy: The PharmLines Initiative. </w:t>
      </w:r>
      <w:r w:rsidR="00FA20F8" w:rsidRPr="00FA20F8">
        <w:rPr>
          <w:i/>
        </w:rPr>
        <w:t>J Pers Med</w:t>
      </w:r>
      <w:r w:rsidR="00FA20F8" w:rsidRPr="00FA20F8">
        <w:t xml:space="preserve"> </w:t>
      </w:r>
      <w:r w:rsidR="00FA20F8" w:rsidRPr="00FA20F8">
        <w:rPr>
          <w:b/>
        </w:rPr>
        <w:t>10</w:t>
      </w:r>
      <w:r w:rsidR="00FA20F8" w:rsidRPr="00FA20F8">
        <w:t>(2020).</w:t>
      </w:r>
    </w:p>
    <w:p w14:paraId="0887280C" w14:textId="77777777" w:rsidR="00FA20F8" w:rsidRPr="00FA20F8" w:rsidRDefault="00FA20F8" w:rsidP="00FA20F8">
      <w:pPr>
        <w:pStyle w:val="EndNoteBibliography"/>
        <w:spacing w:after="0"/>
        <w:ind w:left="720" w:hanging="720"/>
      </w:pPr>
      <w:r w:rsidRPr="00FA20F8">
        <w:t>2.</w:t>
      </w:r>
      <w:r w:rsidRPr="00FA20F8">
        <w:tab/>
        <w:t>Koch, E.</w:t>
      </w:r>
      <w:r w:rsidRPr="00FA20F8">
        <w:rPr>
          <w:i/>
        </w:rPr>
        <w:t xml:space="preserve"> et al.</w:t>
      </w:r>
      <w:r w:rsidRPr="00FA20F8">
        <w:t xml:space="preserve"> Recommendations for defining treatment outcomes in major psychiatric disorders using real-world data. </w:t>
      </w:r>
      <w:r w:rsidRPr="00FA20F8">
        <w:rPr>
          <w:i/>
        </w:rPr>
        <w:t>Lancet Psychiatry</w:t>
      </w:r>
      <w:r w:rsidRPr="00FA20F8">
        <w:t xml:space="preserve"> </w:t>
      </w:r>
      <w:r w:rsidRPr="00FA20F8">
        <w:rPr>
          <w:b/>
        </w:rPr>
        <w:t>12</w:t>
      </w:r>
      <w:r w:rsidRPr="00FA20F8">
        <w:t>, 457-468 (2025).</w:t>
      </w:r>
    </w:p>
    <w:p w14:paraId="5FC6B7B2" w14:textId="77777777" w:rsidR="00FA20F8" w:rsidRPr="00FA20F8" w:rsidRDefault="00FA20F8" w:rsidP="00FA20F8">
      <w:pPr>
        <w:pStyle w:val="EndNoteBibliography"/>
        <w:ind w:left="720" w:hanging="720"/>
      </w:pPr>
      <w:r w:rsidRPr="00FA20F8">
        <w:t>3.</w:t>
      </w:r>
      <w:r w:rsidRPr="00FA20F8">
        <w:tab/>
        <w:t xml:space="preserve">Association, A.P. Practice guideline for the treatment of patients with major depressive disorder (revision). American Psychiatric Association. </w:t>
      </w:r>
      <w:r w:rsidRPr="00FA20F8">
        <w:rPr>
          <w:i/>
        </w:rPr>
        <w:t>Am J Psychiatry</w:t>
      </w:r>
      <w:r w:rsidRPr="00FA20F8">
        <w:t xml:space="preserve"> </w:t>
      </w:r>
      <w:r w:rsidRPr="00FA20F8">
        <w:rPr>
          <w:b/>
        </w:rPr>
        <w:t>157</w:t>
      </w:r>
      <w:r w:rsidRPr="00FA20F8">
        <w:t>, 1-45 (2000).</w:t>
      </w:r>
    </w:p>
    <w:p w14:paraId="1EF1E28F" w14:textId="69C904B6" w:rsidR="00873425" w:rsidRPr="001C7A3C" w:rsidRDefault="001A2827" w:rsidP="00E9105E">
      <w:pPr>
        <w:spacing w:line="240" w:lineRule="auto"/>
        <w:rPr>
          <w:rFonts w:ascii="Cambria" w:hAnsi="Cambria" w:cs="Arial"/>
          <w:sz w:val="20"/>
          <w:szCs w:val="20"/>
        </w:rPr>
      </w:pPr>
      <w:r w:rsidRPr="001C7A3C">
        <w:rPr>
          <w:rFonts w:ascii="Cambria" w:hAnsi="Cambria" w:cs="Arial"/>
          <w:sz w:val="20"/>
          <w:szCs w:val="20"/>
        </w:rPr>
        <w:fldChar w:fldCharType="end"/>
      </w:r>
    </w:p>
    <w:p w14:paraId="3474EBB1" w14:textId="77777777" w:rsidR="00E61D3D" w:rsidRPr="001C7A3C" w:rsidRDefault="00E61D3D" w:rsidP="00E9105E">
      <w:pPr>
        <w:spacing w:line="240" w:lineRule="auto"/>
        <w:rPr>
          <w:rFonts w:ascii="Cambria" w:hAnsi="Cambria" w:cs="Arial"/>
          <w:sz w:val="20"/>
          <w:szCs w:val="20"/>
        </w:rPr>
      </w:pPr>
    </w:p>
    <w:p w14:paraId="25F2C571" w14:textId="77777777" w:rsidR="00E61D3D" w:rsidRPr="001C7A3C" w:rsidRDefault="00E61D3D" w:rsidP="00E9105E">
      <w:pPr>
        <w:spacing w:line="240" w:lineRule="auto"/>
        <w:rPr>
          <w:rFonts w:ascii="Cambria" w:hAnsi="Cambria" w:cs="Arial"/>
          <w:sz w:val="20"/>
          <w:szCs w:val="20"/>
        </w:rPr>
      </w:pPr>
    </w:p>
    <w:p w14:paraId="0CDCE41B" w14:textId="01671674" w:rsidR="00E93975" w:rsidRPr="001C7A3C" w:rsidRDefault="00E93975" w:rsidP="00247AA8">
      <w:pPr>
        <w:spacing w:line="240" w:lineRule="auto"/>
        <w:rPr>
          <w:rFonts w:ascii="Cambria" w:hAnsi="Cambria" w:cs="Arial"/>
          <w:sz w:val="20"/>
          <w:szCs w:val="20"/>
        </w:rPr>
      </w:pPr>
    </w:p>
    <w:sectPr w:rsidR="00E93975" w:rsidRPr="001C7A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B8BD" w14:textId="77777777" w:rsidR="002F4336" w:rsidRDefault="002F4336" w:rsidP="000D683D">
      <w:pPr>
        <w:spacing w:after="0" w:line="240" w:lineRule="auto"/>
      </w:pPr>
      <w:r>
        <w:separator/>
      </w:r>
    </w:p>
  </w:endnote>
  <w:endnote w:type="continuationSeparator" w:id="0">
    <w:p w14:paraId="0B80F4C0" w14:textId="77777777" w:rsidR="002F4336" w:rsidRDefault="002F4336" w:rsidP="000D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3BC9" w14:textId="77777777" w:rsidR="002F4336" w:rsidRDefault="002F4336" w:rsidP="000D683D">
      <w:pPr>
        <w:spacing w:after="0" w:line="240" w:lineRule="auto"/>
      </w:pPr>
      <w:r>
        <w:separator/>
      </w:r>
    </w:p>
  </w:footnote>
  <w:footnote w:type="continuationSeparator" w:id="0">
    <w:p w14:paraId="09796548" w14:textId="77777777" w:rsidR="002F4336" w:rsidRDefault="002F4336" w:rsidP="000D6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4A7F"/>
    <w:multiLevelType w:val="hybridMultilevel"/>
    <w:tmpl w:val="3AC0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D6495"/>
    <w:multiLevelType w:val="hybridMultilevel"/>
    <w:tmpl w:val="B8D2E582"/>
    <w:lvl w:ilvl="0" w:tplc="DA30FCB0">
      <w:start w:val="3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6AC819BA"/>
    <w:lvl w:ilvl="0">
      <w:start w:val="1"/>
      <w:numFmt w:val="decimal"/>
      <w:pStyle w:val="Heading1"/>
      <w:lvlText w:val="%1"/>
      <w:lvlJc w:val="left"/>
      <w:pPr>
        <w:ind w:left="432" w:hanging="432"/>
      </w:pPr>
      <w:rPr>
        <w:sz w:val="20"/>
        <w:szCs w:val="2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CE5947"/>
    <w:multiLevelType w:val="hybridMultilevel"/>
    <w:tmpl w:val="8D92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03B39"/>
    <w:multiLevelType w:val="hybridMultilevel"/>
    <w:tmpl w:val="6CB4B89E"/>
    <w:lvl w:ilvl="0" w:tplc="08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113D49"/>
    <w:multiLevelType w:val="hybridMultilevel"/>
    <w:tmpl w:val="57AE4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02F96"/>
    <w:multiLevelType w:val="multilevel"/>
    <w:tmpl w:val="A594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A7C3D"/>
    <w:multiLevelType w:val="hybridMultilevel"/>
    <w:tmpl w:val="4072D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303CC"/>
    <w:multiLevelType w:val="hybridMultilevel"/>
    <w:tmpl w:val="C1F8E202"/>
    <w:lvl w:ilvl="0" w:tplc="623881A2">
      <w:start w:val="2"/>
      <w:numFmt w:val="bullet"/>
      <w:lvlText w:val="-"/>
      <w:lvlJc w:val="left"/>
      <w:pPr>
        <w:ind w:left="1800" w:hanging="360"/>
      </w:pPr>
      <w:rPr>
        <w:rFonts w:ascii="Calibri" w:eastAsiaTheme="minorHAnsi" w:hAnsi="Calibri" w:cs="Calibri" w:hint="default"/>
        <w:b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638131F"/>
    <w:multiLevelType w:val="hybridMultilevel"/>
    <w:tmpl w:val="FDF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15970"/>
    <w:multiLevelType w:val="hybridMultilevel"/>
    <w:tmpl w:val="C882A8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8F06A96"/>
    <w:multiLevelType w:val="multilevel"/>
    <w:tmpl w:val="B126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90C95"/>
    <w:multiLevelType w:val="hybridMultilevel"/>
    <w:tmpl w:val="F244C8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814DD"/>
    <w:multiLevelType w:val="hybridMultilevel"/>
    <w:tmpl w:val="C7E2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774CE"/>
    <w:multiLevelType w:val="hybridMultilevel"/>
    <w:tmpl w:val="B998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F0399"/>
    <w:multiLevelType w:val="hybridMultilevel"/>
    <w:tmpl w:val="4750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930A9"/>
    <w:multiLevelType w:val="hybridMultilevel"/>
    <w:tmpl w:val="DF7C5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A93BA5"/>
    <w:multiLevelType w:val="hybridMultilevel"/>
    <w:tmpl w:val="C0CE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E5781"/>
    <w:multiLevelType w:val="hybridMultilevel"/>
    <w:tmpl w:val="D69A8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8"/>
  </w:num>
  <w:num w:numId="5">
    <w:abstractNumId w:val="17"/>
  </w:num>
  <w:num w:numId="6">
    <w:abstractNumId w:val="5"/>
  </w:num>
  <w:num w:numId="7">
    <w:abstractNumId w:val="10"/>
  </w:num>
  <w:num w:numId="8">
    <w:abstractNumId w:val="9"/>
  </w:num>
  <w:num w:numId="9">
    <w:abstractNumId w:val="18"/>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13"/>
  </w:num>
  <w:num w:numId="32">
    <w:abstractNumId w:val="3"/>
  </w:num>
  <w:num w:numId="33">
    <w:abstractNumId w:val="16"/>
  </w:num>
  <w:num w:numId="34">
    <w:abstractNumId w:val="14"/>
  </w:num>
  <w:num w:numId="35">
    <w:abstractNumId w:val="15"/>
  </w:num>
  <w:num w:numId="36">
    <w:abstractNumId w:val="1"/>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vpw5axg0z0xjevzdjv5xspzerd990v9epf&quot;&gt;CYP_Library&lt;record-ids&gt;&lt;item&gt;20&lt;/item&gt;&lt;item&gt;31&lt;/item&gt;&lt;/record-ids&gt;&lt;/item&gt;&lt;/Libraries&gt;"/>
  </w:docVars>
  <w:rsids>
    <w:rsidRoot w:val="001A2827"/>
    <w:rsid w:val="00002C6F"/>
    <w:rsid w:val="000079FC"/>
    <w:rsid w:val="00010A08"/>
    <w:rsid w:val="00011768"/>
    <w:rsid w:val="00011887"/>
    <w:rsid w:val="000123DF"/>
    <w:rsid w:val="00013811"/>
    <w:rsid w:val="00013E23"/>
    <w:rsid w:val="00014230"/>
    <w:rsid w:val="00014BDF"/>
    <w:rsid w:val="00015766"/>
    <w:rsid w:val="0001617F"/>
    <w:rsid w:val="00021BB6"/>
    <w:rsid w:val="00021D62"/>
    <w:rsid w:val="00022092"/>
    <w:rsid w:val="00022E7D"/>
    <w:rsid w:val="00023450"/>
    <w:rsid w:val="000234B2"/>
    <w:rsid w:val="0002683B"/>
    <w:rsid w:val="00030596"/>
    <w:rsid w:val="000306DD"/>
    <w:rsid w:val="00032600"/>
    <w:rsid w:val="00034AE1"/>
    <w:rsid w:val="00035559"/>
    <w:rsid w:val="0003714F"/>
    <w:rsid w:val="00037499"/>
    <w:rsid w:val="00040055"/>
    <w:rsid w:val="0004176C"/>
    <w:rsid w:val="00041841"/>
    <w:rsid w:val="000418CC"/>
    <w:rsid w:val="00043BC3"/>
    <w:rsid w:val="000464F3"/>
    <w:rsid w:val="00046CC7"/>
    <w:rsid w:val="0004732D"/>
    <w:rsid w:val="00053A8B"/>
    <w:rsid w:val="0005799E"/>
    <w:rsid w:val="00061651"/>
    <w:rsid w:val="00062EE8"/>
    <w:rsid w:val="000633CE"/>
    <w:rsid w:val="00063E81"/>
    <w:rsid w:val="00063FA6"/>
    <w:rsid w:val="0006553B"/>
    <w:rsid w:val="00066B93"/>
    <w:rsid w:val="000670EC"/>
    <w:rsid w:val="0006776B"/>
    <w:rsid w:val="000702A7"/>
    <w:rsid w:val="000713A0"/>
    <w:rsid w:val="0007155C"/>
    <w:rsid w:val="00073CF6"/>
    <w:rsid w:val="00074B85"/>
    <w:rsid w:val="000774D6"/>
    <w:rsid w:val="0008006C"/>
    <w:rsid w:val="000802D1"/>
    <w:rsid w:val="00080977"/>
    <w:rsid w:val="00080A1E"/>
    <w:rsid w:val="00082358"/>
    <w:rsid w:val="00083318"/>
    <w:rsid w:val="00083933"/>
    <w:rsid w:val="0008468B"/>
    <w:rsid w:val="000848FB"/>
    <w:rsid w:val="00084976"/>
    <w:rsid w:val="000851B1"/>
    <w:rsid w:val="00086247"/>
    <w:rsid w:val="0008652C"/>
    <w:rsid w:val="00086A34"/>
    <w:rsid w:val="00091750"/>
    <w:rsid w:val="000933DA"/>
    <w:rsid w:val="000957E1"/>
    <w:rsid w:val="000A367C"/>
    <w:rsid w:val="000B165F"/>
    <w:rsid w:val="000B1DD0"/>
    <w:rsid w:val="000B21CC"/>
    <w:rsid w:val="000B37EA"/>
    <w:rsid w:val="000B5BDD"/>
    <w:rsid w:val="000B7337"/>
    <w:rsid w:val="000C1647"/>
    <w:rsid w:val="000C7536"/>
    <w:rsid w:val="000C758C"/>
    <w:rsid w:val="000D5C67"/>
    <w:rsid w:val="000D683D"/>
    <w:rsid w:val="000D7B8F"/>
    <w:rsid w:val="000E08DC"/>
    <w:rsid w:val="000E197E"/>
    <w:rsid w:val="000E5545"/>
    <w:rsid w:val="000E735F"/>
    <w:rsid w:val="000E7A81"/>
    <w:rsid w:val="000F11C9"/>
    <w:rsid w:val="000F1783"/>
    <w:rsid w:val="000F2502"/>
    <w:rsid w:val="000F3BFE"/>
    <w:rsid w:val="000F4FE7"/>
    <w:rsid w:val="000F66C3"/>
    <w:rsid w:val="000F6D36"/>
    <w:rsid w:val="000F6E66"/>
    <w:rsid w:val="000F7D3C"/>
    <w:rsid w:val="001020EB"/>
    <w:rsid w:val="00102B8B"/>
    <w:rsid w:val="00103975"/>
    <w:rsid w:val="00104CC1"/>
    <w:rsid w:val="00104D81"/>
    <w:rsid w:val="00105E90"/>
    <w:rsid w:val="00111E61"/>
    <w:rsid w:val="001123FF"/>
    <w:rsid w:val="001149FC"/>
    <w:rsid w:val="00114C18"/>
    <w:rsid w:val="00114E56"/>
    <w:rsid w:val="00120A23"/>
    <w:rsid w:val="0012148C"/>
    <w:rsid w:val="001221A5"/>
    <w:rsid w:val="00122A3E"/>
    <w:rsid w:val="001262B6"/>
    <w:rsid w:val="00127A50"/>
    <w:rsid w:val="001304EE"/>
    <w:rsid w:val="00130FFC"/>
    <w:rsid w:val="0013143E"/>
    <w:rsid w:val="00133242"/>
    <w:rsid w:val="00133E23"/>
    <w:rsid w:val="001342C9"/>
    <w:rsid w:val="00134CBE"/>
    <w:rsid w:val="00134E49"/>
    <w:rsid w:val="00134F71"/>
    <w:rsid w:val="0013555E"/>
    <w:rsid w:val="00135C90"/>
    <w:rsid w:val="00141265"/>
    <w:rsid w:val="00142965"/>
    <w:rsid w:val="001461E4"/>
    <w:rsid w:val="00146D2B"/>
    <w:rsid w:val="0014785A"/>
    <w:rsid w:val="00155063"/>
    <w:rsid w:val="00156F42"/>
    <w:rsid w:val="00160792"/>
    <w:rsid w:val="00161AE7"/>
    <w:rsid w:val="00163364"/>
    <w:rsid w:val="0017097F"/>
    <w:rsid w:val="0017348C"/>
    <w:rsid w:val="00173F69"/>
    <w:rsid w:val="001747E4"/>
    <w:rsid w:val="00176007"/>
    <w:rsid w:val="0017615D"/>
    <w:rsid w:val="001763DE"/>
    <w:rsid w:val="001800C1"/>
    <w:rsid w:val="0018031C"/>
    <w:rsid w:val="00182481"/>
    <w:rsid w:val="00183CA4"/>
    <w:rsid w:val="001862D5"/>
    <w:rsid w:val="00187BC4"/>
    <w:rsid w:val="001919FC"/>
    <w:rsid w:val="00191D24"/>
    <w:rsid w:val="001937FD"/>
    <w:rsid w:val="0019405C"/>
    <w:rsid w:val="0019620C"/>
    <w:rsid w:val="001964B9"/>
    <w:rsid w:val="001A2827"/>
    <w:rsid w:val="001A403A"/>
    <w:rsid w:val="001A7EB5"/>
    <w:rsid w:val="001B0040"/>
    <w:rsid w:val="001B08D1"/>
    <w:rsid w:val="001B0F2B"/>
    <w:rsid w:val="001B1A20"/>
    <w:rsid w:val="001B1CD1"/>
    <w:rsid w:val="001B2B73"/>
    <w:rsid w:val="001B59F5"/>
    <w:rsid w:val="001B6D18"/>
    <w:rsid w:val="001B6DE4"/>
    <w:rsid w:val="001C1BA5"/>
    <w:rsid w:val="001C22DD"/>
    <w:rsid w:val="001C5214"/>
    <w:rsid w:val="001C64E7"/>
    <w:rsid w:val="001C7A3C"/>
    <w:rsid w:val="001D2F87"/>
    <w:rsid w:val="001D3098"/>
    <w:rsid w:val="001D3DEB"/>
    <w:rsid w:val="001D621E"/>
    <w:rsid w:val="001D7657"/>
    <w:rsid w:val="001D7D48"/>
    <w:rsid w:val="001E2E55"/>
    <w:rsid w:val="001E428D"/>
    <w:rsid w:val="001E57A4"/>
    <w:rsid w:val="001E60A8"/>
    <w:rsid w:val="001F1794"/>
    <w:rsid w:val="001F36D2"/>
    <w:rsid w:val="001F3F9C"/>
    <w:rsid w:val="001F4AFD"/>
    <w:rsid w:val="001F6C0A"/>
    <w:rsid w:val="001F6CA6"/>
    <w:rsid w:val="001F7B2D"/>
    <w:rsid w:val="00200336"/>
    <w:rsid w:val="0020157E"/>
    <w:rsid w:val="00202404"/>
    <w:rsid w:val="00204AD2"/>
    <w:rsid w:val="00204F8B"/>
    <w:rsid w:val="00206218"/>
    <w:rsid w:val="002069CB"/>
    <w:rsid w:val="00214061"/>
    <w:rsid w:val="0021417A"/>
    <w:rsid w:val="00214C4A"/>
    <w:rsid w:val="00215D42"/>
    <w:rsid w:val="0021650C"/>
    <w:rsid w:val="00217220"/>
    <w:rsid w:val="0022382E"/>
    <w:rsid w:val="00223B6C"/>
    <w:rsid w:val="0022468D"/>
    <w:rsid w:val="002275C9"/>
    <w:rsid w:val="00236B4E"/>
    <w:rsid w:val="00237584"/>
    <w:rsid w:val="0024150B"/>
    <w:rsid w:val="0024314F"/>
    <w:rsid w:val="00245C99"/>
    <w:rsid w:val="0024705C"/>
    <w:rsid w:val="002474E4"/>
    <w:rsid w:val="00247AA8"/>
    <w:rsid w:val="0025017B"/>
    <w:rsid w:val="00253294"/>
    <w:rsid w:val="002539E8"/>
    <w:rsid w:val="0026095D"/>
    <w:rsid w:val="00260BF7"/>
    <w:rsid w:val="00260CCA"/>
    <w:rsid w:val="0026226D"/>
    <w:rsid w:val="002628A9"/>
    <w:rsid w:val="00263C1F"/>
    <w:rsid w:val="00264137"/>
    <w:rsid w:val="00264FCE"/>
    <w:rsid w:val="0026655F"/>
    <w:rsid w:val="00266653"/>
    <w:rsid w:val="00266AD0"/>
    <w:rsid w:val="0026716C"/>
    <w:rsid w:val="002707DD"/>
    <w:rsid w:val="00271750"/>
    <w:rsid w:val="00275E60"/>
    <w:rsid w:val="002760A7"/>
    <w:rsid w:val="00276C5B"/>
    <w:rsid w:val="00281C48"/>
    <w:rsid w:val="00282589"/>
    <w:rsid w:val="00285890"/>
    <w:rsid w:val="00285C1B"/>
    <w:rsid w:val="00286725"/>
    <w:rsid w:val="002913F5"/>
    <w:rsid w:val="00291E64"/>
    <w:rsid w:val="00292ED7"/>
    <w:rsid w:val="0029478E"/>
    <w:rsid w:val="002953E1"/>
    <w:rsid w:val="00295A42"/>
    <w:rsid w:val="00295D9D"/>
    <w:rsid w:val="00296B38"/>
    <w:rsid w:val="00296FA2"/>
    <w:rsid w:val="002A083A"/>
    <w:rsid w:val="002A128E"/>
    <w:rsid w:val="002A17F1"/>
    <w:rsid w:val="002A6138"/>
    <w:rsid w:val="002B04CF"/>
    <w:rsid w:val="002B232D"/>
    <w:rsid w:val="002B7781"/>
    <w:rsid w:val="002B780B"/>
    <w:rsid w:val="002C173D"/>
    <w:rsid w:val="002C3D25"/>
    <w:rsid w:val="002C6330"/>
    <w:rsid w:val="002C66B0"/>
    <w:rsid w:val="002D1230"/>
    <w:rsid w:val="002D306B"/>
    <w:rsid w:val="002D54DA"/>
    <w:rsid w:val="002D601B"/>
    <w:rsid w:val="002D61E1"/>
    <w:rsid w:val="002E0146"/>
    <w:rsid w:val="002E0514"/>
    <w:rsid w:val="002E1878"/>
    <w:rsid w:val="002E40A1"/>
    <w:rsid w:val="002E543C"/>
    <w:rsid w:val="002F18EF"/>
    <w:rsid w:val="002F2A5C"/>
    <w:rsid w:val="002F4336"/>
    <w:rsid w:val="002F48AC"/>
    <w:rsid w:val="002F5332"/>
    <w:rsid w:val="002F6B4F"/>
    <w:rsid w:val="00300FAD"/>
    <w:rsid w:val="0030180C"/>
    <w:rsid w:val="003021EE"/>
    <w:rsid w:val="003042B5"/>
    <w:rsid w:val="00304413"/>
    <w:rsid w:val="00304451"/>
    <w:rsid w:val="00307083"/>
    <w:rsid w:val="003117D6"/>
    <w:rsid w:val="00314825"/>
    <w:rsid w:val="003148C0"/>
    <w:rsid w:val="00317B7B"/>
    <w:rsid w:val="00317DE3"/>
    <w:rsid w:val="0032046B"/>
    <w:rsid w:val="003204FB"/>
    <w:rsid w:val="00322640"/>
    <w:rsid w:val="00323474"/>
    <w:rsid w:val="0032443F"/>
    <w:rsid w:val="00324FF7"/>
    <w:rsid w:val="00326902"/>
    <w:rsid w:val="00327213"/>
    <w:rsid w:val="003273F7"/>
    <w:rsid w:val="0033063D"/>
    <w:rsid w:val="003307E7"/>
    <w:rsid w:val="003312B9"/>
    <w:rsid w:val="003314DD"/>
    <w:rsid w:val="00331A49"/>
    <w:rsid w:val="0033271D"/>
    <w:rsid w:val="00332E8A"/>
    <w:rsid w:val="00333839"/>
    <w:rsid w:val="00337574"/>
    <w:rsid w:val="00337EA8"/>
    <w:rsid w:val="00340D69"/>
    <w:rsid w:val="00342290"/>
    <w:rsid w:val="00342340"/>
    <w:rsid w:val="0034309A"/>
    <w:rsid w:val="003448DB"/>
    <w:rsid w:val="0035098B"/>
    <w:rsid w:val="00352B78"/>
    <w:rsid w:val="00353353"/>
    <w:rsid w:val="003545DD"/>
    <w:rsid w:val="003624B4"/>
    <w:rsid w:val="00362729"/>
    <w:rsid w:val="00362C91"/>
    <w:rsid w:val="0036390A"/>
    <w:rsid w:val="0036649A"/>
    <w:rsid w:val="00366BB1"/>
    <w:rsid w:val="00372051"/>
    <w:rsid w:val="003737D4"/>
    <w:rsid w:val="003740B0"/>
    <w:rsid w:val="003757DC"/>
    <w:rsid w:val="003802B1"/>
    <w:rsid w:val="003812C0"/>
    <w:rsid w:val="0038150D"/>
    <w:rsid w:val="00383625"/>
    <w:rsid w:val="00385B8E"/>
    <w:rsid w:val="00390D38"/>
    <w:rsid w:val="003914D9"/>
    <w:rsid w:val="0039179E"/>
    <w:rsid w:val="0039641D"/>
    <w:rsid w:val="00397594"/>
    <w:rsid w:val="003A1AA2"/>
    <w:rsid w:val="003A29F5"/>
    <w:rsid w:val="003A4C7B"/>
    <w:rsid w:val="003A4F2B"/>
    <w:rsid w:val="003A56F1"/>
    <w:rsid w:val="003B2DBD"/>
    <w:rsid w:val="003C0182"/>
    <w:rsid w:val="003C1DC5"/>
    <w:rsid w:val="003C2C8F"/>
    <w:rsid w:val="003C427D"/>
    <w:rsid w:val="003C5CEF"/>
    <w:rsid w:val="003C744B"/>
    <w:rsid w:val="003D0426"/>
    <w:rsid w:val="003D0D67"/>
    <w:rsid w:val="003D1C54"/>
    <w:rsid w:val="003D37C1"/>
    <w:rsid w:val="003D3A02"/>
    <w:rsid w:val="003D79F5"/>
    <w:rsid w:val="003D7EF6"/>
    <w:rsid w:val="003E106D"/>
    <w:rsid w:val="003E10DF"/>
    <w:rsid w:val="003E5C72"/>
    <w:rsid w:val="003E5F92"/>
    <w:rsid w:val="003E7F62"/>
    <w:rsid w:val="003F07D8"/>
    <w:rsid w:val="003F13FC"/>
    <w:rsid w:val="003F1A0A"/>
    <w:rsid w:val="003F3838"/>
    <w:rsid w:val="003F7D5B"/>
    <w:rsid w:val="00401F2E"/>
    <w:rsid w:val="00403034"/>
    <w:rsid w:val="004045D0"/>
    <w:rsid w:val="004047BD"/>
    <w:rsid w:val="00405E93"/>
    <w:rsid w:val="00407080"/>
    <w:rsid w:val="00407D40"/>
    <w:rsid w:val="00411D84"/>
    <w:rsid w:val="0041359E"/>
    <w:rsid w:val="00413FBD"/>
    <w:rsid w:val="004146B3"/>
    <w:rsid w:val="00416184"/>
    <w:rsid w:val="0041731E"/>
    <w:rsid w:val="0042020E"/>
    <w:rsid w:val="00420E02"/>
    <w:rsid w:val="004219CE"/>
    <w:rsid w:val="00422D9C"/>
    <w:rsid w:val="004247AB"/>
    <w:rsid w:val="004310C1"/>
    <w:rsid w:val="00433D13"/>
    <w:rsid w:val="00434842"/>
    <w:rsid w:val="00435055"/>
    <w:rsid w:val="00436CB5"/>
    <w:rsid w:val="00437CFC"/>
    <w:rsid w:val="00440202"/>
    <w:rsid w:val="00442823"/>
    <w:rsid w:val="00442FCA"/>
    <w:rsid w:val="0044490F"/>
    <w:rsid w:val="00445532"/>
    <w:rsid w:val="00445DA9"/>
    <w:rsid w:val="00446A25"/>
    <w:rsid w:val="00446D20"/>
    <w:rsid w:val="00450FFB"/>
    <w:rsid w:val="00451200"/>
    <w:rsid w:val="00451BC0"/>
    <w:rsid w:val="00455AEA"/>
    <w:rsid w:val="00457166"/>
    <w:rsid w:val="00460EE9"/>
    <w:rsid w:val="00461F93"/>
    <w:rsid w:val="00462C83"/>
    <w:rsid w:val="00464FB3"/>
    <w:rsid w:val="00465C90"/>
    <w:rsid w:val="00465CE8"/>
    <w:rsid w:val="004663DE"/>
    <w:rsid w:val="00466FAA"/>
    <w:rsid w:val="0047198A"/>
    <w:rsid w:val="004743EB"/>
    <w:rsid w:val="00476231"/>
    <w:rsid w:val="00476424"/>
    <w:rsid w:val="00480A12"/>
    <w:rsid w:val="00482509"/>
    <w:rsid w:val="00482767"/>
    <w:rsid w:val="004831D0"/>
    <w:rsid w:val="0048452A"/>
    <w:rsid w:val="00484E18"/>
    <w:rsid w:val="00485D96"/>
    <w:rsid w:val="00486D5C"/>
    <w:rsid w:val="004903C2"/>
    <w:rsid w:val="00490771"/>
    <w:rsid w:val="0049106B"/>
    <w:rsid w:val="0049128D"/>
    <w:rsid w:val="0049201F"/>
    <w:rsid w:val="00492186"/>
    <w:rsid w:val="00493A7D"/>
    <w:rsid w:val="004962FF"/>
    <w:rsid w:val="00497128"/>
    <w:rsid w:val="004A0315"/>
    <w:rsid w:val="004A23BC"/>
    <w:rsid w:val="004A2896"/>
    <w:rsid w:val="004A31E4"/>
    <w:rsid w:val="004A3CC7"/>
    <w:rsid w:val="004A507D"/>
    <w:rsid w:val="004A5BFF"/>
    <w:rsid w:val="004B0ECF"/>
    <w:rsid w:val="004B0FC2"/>
    <w:rsid w:val="004B1CDC"/>
    <w:rsid w:val="004B2769"/>
    <w:rsid w:val="004B2EF4"/>
    <w:rsid w:val="004B6D92"/>
    <w:rsid w:val="004B6E65"/>
    <w:rsid w:val="004B717E"/>
    <w:rsid w:val="004B77BA"/>
    <w:rsid w:val="004B788A"/>
    <w:rsid w:val="004B7AEC"/>
    <w:rsid w:val="004C18DF"/>
    <w:rsid w:val="004C4A5D"/>
    <w:rsid w:val="004C4CEB"/>
    <w:rsid w:val="004C581E"/>
    <w:rsid w:val="004D468B"/>
    <w:rsid w:val="004D5A2C"/>
    <w:rsid w:val="004D5F2C"/>
    <w:rsid w:val="004D6BC5"/>
    <w:rsid w:val="004D6F06"/>
    <w:rsid w:val="004D7218"/>
    <w:rsid w:val="004D7532"/>
    <w:rsid w:val="004E103A"/>
    <w:rsid w:val="004E12E6"/>
    <w:rsid w:val="004E1A61"/>
    <w:rsid w:val="004E1AB5"/>
    <w:rsid w:val="004E3A89"/>
    <w:rsid w:val="004E3CC7"/>
    <w:rsid w:val="004E45C8"/>
    <w:rsid w:val="004E5573"/>
    <w:rsid w:val="004E5A81"/>
    <w:rsid w:val="004E6266"/>
    <w:rsid w:val="004F0680"/>
    <w:rsid w:val="004F1302"/>
    <w:rsid w:val="004F1ECD"/>
    <w:rsid w:val="00500CA6"/>
    <w:rsid w:val="00501BAD"/>
    <w:rsid w:val="00501E18"/>
    <w:rsid w:val="00503285"/>
    <w:rsid w:val="00506A1D"/>
    <w:rsid w:val="00506AFD"/>
    <w:rsid w:val="00506C36"/>
    <w:rsid w:val="00506C57"/>
    <w:rsid w:val="0051121F"/>
    <w:rsid w:val="00512FA6"/>
    <w:rsid w:val="005138F2"/>
    <w:rsid w:val="00514105"/>
    <w:rsid w:val="00514C54"/>
    <w:rsid w:val="00517886"/>
    <w:rsid w:val="00523FCA"/>
    <w:rsid w:val="0052408F"/>
    <w:rsid w:val="00525D6D"/>
    <w:rsid w:val="00527A6C"/>
    <w:rsid w:val="00530015"/>
    <w:rsid w:val="00533F05"/>
    <w:rsid w:val="0053584D"/>
    <w:rsid w:val="00535FFB"/>
    <w:rsid w:val="005373E3"/>
    <w:rsid w:val="005407C9"/>
    <w:rsid w:val="00540A3F"/>
    <w:rsid w:val="0054375F"/>
    <w:rsid w:val="00545868"/>
    <w:rsid w:val="00551C70"/>
    <w:rsid w:val="005525E4"/>
    <w:rsid w:val="0055541B"/>
    <w:rsid w:val="005559F6"/>
    <w:rsid w:val="00555A7C"/>
    <w:rsid w:val="00555F50"/>
    <w:rsid w:val="00556CA9"/>
    <w:rsid w:val="00557CD7"/>
    <w:rsid w:val="00562E63"/>
    <w:rsid w:val="00564960"/>
    <w:rsid w:val="00565254"/>
    <w:rsid w:val="005709ED"/>
    <w:rsid w:val="00570E32"/>
    <w:rsid w:val="00571E9A"/>
    <w:rsid w:val="00572BEA"/>
    <w:rsid w:val="00573407"/>
    <w:rsid w:val="00574EB3"/>
    <w:rsid w:val="00575ED7"/>
    <w:rsid w:val="005769DE"/>
    <w:rsid w:val="00577152"/>
    <w:rsid w:val="005771C2"/>
    <w:rsid w:val="0057745C"/>
    <w:rsid w:val="0057752B"/>
    <w:rsid w:val="0058009D"/>
    <w:rsid w:val="00584106"/>
    <w:rsid w:val="005859AC"/>
    <w:rsid w:val="00590C3D"/>
    <w:rsid w:val="00590C8D"/>
    <w:rsid w:val="005919B5"/>
    <w:rsid w:val="00591DDA"/>
    <w:rsid w:val="005925DA"/>
    <w:rsid w:val="005966A0"/>
    <w:rsid w:val="005A0B56"/>
    <w:rsid w:val="005A0C27"/>
    <w:rsid w:val="005A2C0C"/>
    <w:rsid w:val="005A2D57"/>
    <w:rsid w:val="005A31C2"/>
    <w:rsid w:val="005A3747"/>
    <w:rsid w:val="005A5064"/>
    <w:rsid w:val="005A7639"/>
    <w:rsid w:val="005A7E72"/>
    <w:rsid w:val="005B24FA"/>
    <w:rsid w:val="005B2BC2"/>
    <w:rsid w:val="005B2E8B"/>
    <w:rsid w:val="005B3138"/>
    <w:rsid w:val="005B34BE"/>
    <w:rsid w:val="005B3C67"/>
    <w:rsid w:val="005B46BA"/>
    <w:rsid w:val="005B495F"/>
    <w:rsid w:val="005B54AC"/>
    <w:rsid w:val="005B5760"/>
    <w:rsid w:val="005B608D"/>
    <w:rsid w:val="005B6A96"/>
    <w:rsid w:val="005B6D6F"/>
    <w:rsid w:val="005C0912"/>
    <w:rsid w:val="005C19BB"/>
    <w:rsid w:val="005C2B59"/>
    <w:rsid w:val="005C5563"/>
    <w:rsid w:val="005C61CA"/>
    <w:rsid w:val="005C645E"/>
    <w:rsid w:val="005C77FB"/>
    <w:rsid w:val="005D114A"/>
    <w:rsid w:val="005D2A98"/>
    <w:rsid w:val="005D5F3A"/>
    <w:rsid w:val="005D7D88"/>
    <w:rsid w:val="005E067D"/>
    <w:rsid w:val="005E0FDC"/>
    <w:rsid w:val="005E1F4E"/>
    <w:rsid w:val="005E3805"/>
    <w:rsid w:val="005E38D2"/>
    <w:rsid w:val="005E5474"/>
    <w:rsid w:val="005E5BB8"/>
    <w:rsid w:val="005F0F49"/>
    <w:rsid w:val="005F13F3"/>
    <w:rsid w:val="005F2C26"/>
    <w:rsid w:val="005F46B0"/>
    <w:rsid w:val="005F4993"/>
    <w:rsid w:val="005F4A30"/>
    <w:rsid w:val="005F50DB"/>
    <w:rsid w:val="005F59DD"/>
    <w:rsid w:val="005F6CBE"/>
    <w:rsid w:val="005F7552"/>
    <w:rsid w:val="00601674"/>
    <w:rsid w:val="00601BA3"/>
    <w:rsid w:val="00601FDB"/>
    <w:rsid w:val="00607599"/>
    <w:rsid w:val="006101F3"/>
    <w:rsid w:val="006108FD"/>
    <w:rsid w:val="00611FB7"/>
    <w:rsid w:val="00617D61"/>
    <w:rsid w:val="006205C0"/>
    <w:rsid w:val="0062084E"/>
    <w:rsid w:val="00621C7F"/>
    <w:rsid w:val="006230BE"/>
    <w:rsid w:val="00623181"/>
    <w:rsid w:val="0062443A"/>
    <w:rsid w:val="00625F28"/>
    <w:rsid w:val="00626230"/>
    <w:rsid w:val="00627755"/>
    <w:rsid w:val="00627AB7"/>
    <w:rsid w:val="0063156F"/>
    <w:rsid w:val="00632E15"/>
    <w:rsid w:val="00633E05"/>
    <w:rsid w:val="00633E2C"/>
    <w:rsid w:val="00633F5F"/>
    <w:rsid w:val="0063436A"/>
    <w:rsid w:val="0063491F"/>
    <w:rsid w:val="00634FA4"/>
    <w:rsid w:val="00635688"/>
    <w:rsid w:val="0063D05B"/>
    <w:rsid w:val="00643147"/>
    <w:rsid w:val="00646ABD"/>
    <w:rsid w:val="00647767"/>
    <w:rsid w:val="00647975"/>
    <w:rsid w:val="00650FF3"/>
    <w:rsid w:val="00654496"/>
    <w:rsid w:val="006544FB"/>
    <w:rsid w:val="00654BED"/>
    <w:rsid w:val="00654F91"/>
    <w:rsid w:val="00661B9C"/>
    <w:rsid w:val="00661D08"/>
    <w:rsid w:val="00662C1F"/>
    <w:rsid w:val="00662CFA"/>
    <w:rsid w:val="006671B3"/>
    <w:rsid w:val="006674A2"/>
    <w:rsid w:val="006676A4"/>
    <w:rsid w:val="00670EF8"/>
    <w:rsid w:val="00671F1A"/>
    <w:rsid w:val="00672120"/>
    <w:rsid w:val="00673238"/>
    <w:rsid w:val="00677AAC"/>
    <w:rsid w:val="006803EE"/>
    <w:rsid w:val="00681F41"/>
    <w:rsid w:val="00683620"/>
    <w:rsid w:val="006847D9"/>
    <w:rsid w:val="00690D5E"/>
    <w:rsid w:val="00692012"/>
    <w:rsid w:val="00693CBA"/>
    <w:rsid w:val="00694A2B"/>
    <w:rsid w:val="0069527E"/>
    <w:rsid w:val="00696B6C"/>
    <w:rsid w:val="006A0D6B"/>
    <w:rsid w:val="006A4E81"/>
    <w:rsid w:val="006A5DB8"/>
    <w:rsid w:val="006A7F83"/>
    <w:rsid w:val="006B25AE"/>
    <w:rsid w:val="006B2D0E"/>
    <w:rsid w:val="006B6F6B"/>
    <w:rsid w:val="006C2EDF"/>
    <w:rsid w:val="006C372B"/>
    <w:rsid w:val="006C5AB1"/>
    <w:rsid w:val="006C6601"/>
    <w:rsid w:val="006C73D6"/>
    <w:rsid w:val="006D14AD"/>
    <w:rsid w:val="006D43C4"/>
    <w:rsid w:val="006D4ADF"/>
    <w:rsid w:val="006D5804"/>
    <w:rsid w:val="006D6826"/>
    <w:rsid w:val="006D6F93"/>
    <w:rsid w:val="006D735E"/>
    <w:rsid w:val="006E055C"/>
    <w:rsid w:val="006E22E5"/>
    <w:rsid w:val="006E2B49"/>
    <w:rsid w:val="006E471C"/>
    <w:rsid w:val="006E5BDF"/>
    <w:rsid w:val="006E6FD1"/>
    <w:rsid w:val="006F0006"/>
    <w:rsid w:val="006F085F"/>
    <w:rsid w:val="006F1146"/>
    <w:rsid w:val="006F1836"/>
    <w:rsid w:val="006F1ABB"/>
    <w:rsid w:val="006F29C8"/>
    <w:rsid w:val="006F40E9"/>
    <w:rsid w:val="006F5079"/>
    <w:rsid w:val="006F7B01"/>
    <w:rsid w:val="00701D1F"/>
    <w:rsid w:val="007020C0"/>
    <w:rsid w:val="00702F2B"/>
    <w:rsid w:val="00704A41"/>
    <w:rsid w:val="00704D94"/>
    <w:rsid w:val="00705BED"/>
    <w:rsid w:val="00706CD8"/>
    <w:rsid w:val="00710089"/>
    <w:rsid w:val="00716059"/>
    <w:rsid w:val="007163A0"/>
    <w:rsid w:val="00720FF3"/>
    <w:rsid w:val="0072239E"/>
    <w:rsid w:val="0072397A"/>
    <w:rsid w:val="007241ED"/>
    <w:rsid w:val="00725AD6"/>
    <w:rsid w:val="00726596"/>
    <w:rsid w:val="00726A53"/>
    <w:rsid w:val="00726A78"/>
    <w:rsid w:val="007275D6"/>
    <w:rsid w:val="00733FD2"/>
    <w:rsid w:val="00734E32"/>
    <w:rsid w:val="00737AF8"/>
    <w:rsid w:val="00741ACC"/>
    <w:rsid w:val="007435FD"/>
    <w:rsid w:val="00744EB7"/>
    <w:rsid w:val="00745CE6"/>
    <w:rsid w:val="00746854"/>
    <w:rsid w:val="00751655"/>
    <w:rsid w:val="00752A23"/>
    <w:rsid w:val="0075390B"/>
    <w:rsid w:val="0075598A"/>
    <w:rsid w:val="0075647C"/>
    <w:rsid w:val="007574FF"/>
    <w:rsid w:val="0076106F"/>
    <w:rsid w:val="007640C9"/>
    <w:rsid w:val="007641BA"/>
    <w:rsid w:val="00764CBF"/>
    <w:rsid w:val="00765067"/>
    <w:rsid w:val="007708FC"/>
    <w:rsid w:val="00770CA3"/>
    <w:rsid w:val="00773ABB"/>
    <w:rsid w:val="00773B97"/>
    <w:rsid w:val="00774008"/>
    <w:rsid w:val="007741D9"/>
    <w:rsid w:val="00780344"/>
    <w:rsid w:val="00780CC5"/>
    <w:rsid w:val="00781B22"/>
    <w:rsid w:val="00781FDA"/>
    <w:rsid w:val="0078647B"/>
    <w:rsid w:val="0079128C"/>
    <w:rsid w:val="007912AC"/>
    <w:rsid w:val="00794EF9"/>
    <w:rsid w:val="007956BA"/>
    <w:rsid w:val="007A3977"/>
    <w:rsid w:val="007A3AC1"/>
    <w:rsid w:val="007A5DE6"/>
    <w:rsid w:val="007B0549"/>
    <w:rsid w:val="007B39FA"/>
    <w:rsid w:val="007B3DDE"/>
    <w:rsid w:val="007B49B9"/>
    <w:rsid w:val="007B4D1C"/>
    <w:rsid w:val="007B5735"/>
    <w:rsid w:val="007B7080"/>
    <w:rsid w:val="007C1D96"/>
    <w:rsid w:val="007C2176"/>
    <w:rsid w:val="007C2788"/>
    <w:rsid w:val="007C29F5"/>
    <w:rsid w:val="007C34EC"/>
    <w:rsid w:val="007C4EA9"/>
    <w:rsid w:val="007C5644"/>
    <w:rsid w:val="007C5CA9"/>
    <w:rsid w:val="007C64FB"/>
    <w:rsid w:val="007C6C15"/>
    <w:rsid w:val="007D1AF4"/>
    <w:rsid w:val="007D3514"/>
    <w:rsid w:val="007D4DDA"/>
    <w:rsid w:val="007D72E4"/>
    <w:rsid w:val="007E0B24"/>
    <w:rsid w:val="007E323F"/>
    <w:rsid w:val="007E35E9"/>
    <w:rsid w:val="007F07C0"/>
    <w:rsid w:val="007F1421"/>
    <w:rsid w:val="007F1B8C"/>
    <w:rsid w:val="007F362B"/>
    <w:rsid w:val="007F3B1E"/>
    <w:rsid w:val="007F5365"/>
    <w:rsid w:val="007F5488"/>
    <w:rsid w:val="007F7B45"/>
    <w:rsid w:val="007F7BDF"/>
    <w:rsid w:val="00800E0C"/>
    <w:rsid w:val="008018B7"/>
    <w:rsid w:val="008022EE"/>
    <w:rsid w:val="00810005"/>
    <w:rsid w:val="00812521"/>
    <w:rsid w:val="00812522"/>
    <w:rsid w:val="008134C3"/>
    <w:rsid w:val="008161E1"/>
    <w:rsid w:val="00816AFE"/>
    <w:rsid w:val="00817213"/>
    <w:rsid w:val="00821478"/>
    <w:rsid w:val="008224D8"/>
    <w:rsid w:val="0082319A"/>
    <w:rsid w:val="0082623E"/>
    <w:rsid w:val="00830F8A"/>
    <w:rsid w:val="00834E90"/>
    <w:rsid w:val="00837BBE"/>
    <w:rsid w:val="00840CB7"/>
    <w:rsid w:val="008423D9"/>
    <w:rsid w:val="00843E78"/>
    <w:rsid w:val="008447DB"/>
    <w:rsid w:val="00844B35"/>
    <w:rsid w:val="00845202"/>
    <w:rsid w:val="008462F9"/>
    <w:rsid w:val="00850958"/>
    <w:rsid w:val="00850E88"/>
    <w:rsid w:val="008513C3"/>
    <w:rsid w:val="00851F51"/>
    <w:rsid w:val="00852610"/>
    <w:rsid w:val="0085727A"/>
    <w:rsid w:val="00864141"/>
    <w:rsid w:val="008715FF"/>
    <w:rsid w:val="00871DEC"/>
    <w:rsid w:val="008720EA"/>
    <w:rsid w:val="00873425"/>
    <w:rsid w:val="00873F55"/>
    <w:rsid w:val="00877AC1"/>
    <w:rsid w:val="008803A5"/>
    <w:rsid w:val="00883A18"/>
    <w:rsid w:val="00887127"/>
    <w:rsid w:val="00887C8C"/>
    <w:rsid w:val="00890124"/>
    <w:rsid w:val="0089123A"/>
    <w:rsid w:val="00891410"/>
    <w:rsid w:val="00892997"/>
    <w:rsid w:val="008931B9"/>
    <w:rsid w:val="008964EB"/>
    <w:rsid w:val="00897186"/>
    <w:rsid w:val="008A1696"/>
    <w:rsid w:val="008A2386"/>
    <w:rsid w:val="008A2D0F"/>
    <w:rsid w:val="008A3356"/>
    <w:rsid w:val="008A45CA"/>
    <w:rsid w:val="008A73CC"/>
    <w:rsid w:val="008B10CA"/>
    <w:rsid w:val="008B2F18"/>
    <w:rsid w:val="008B4356"/>
    <w:rsid w:val="008B7204"/>
    <w:rsid w:val="008B72B9"/>
    <w:rsid w:val="008B7F95"/>
    <w:rsid w:val="008C0246"/>
    <w:rsid w:val="008C0703"/>
    <w:rsid w:val="008C23DD"/>
    <w:rsid w:val="008C2434"/>
    <w:rsid w:val="008C5AC6"/>
    <w:rsid w:val="008C6A72"/>
    <w:rsid w:val="008C7B72"/>
    <w:rsid w:val="008D327A"/>
    <w:rsid w:val="008D3328"/>
    <w:rsid w:val="008D42E2"/>
    <w:rsid w:val="008D4C13"/>
    <w:rsid w:val="008D5C27"/>
    <w:rsid w:val="008D5F5D"/>
    <w:rsid w:val="008D6C6E"/>
    <w:rsid w:val="008E394C"/>
    <w:rsid w:val="008E444C"/>
    <w:rsid w:val="008E5930"/>
    <w:rsid w:val="008E7599"/>
    <w:rsid w:val="008E7FA4"/>
    <w:rsid w:val="008F28D2"/>
    <w:rsid w:val="008F2EF8"/>
    <w:rsid w:val="008F3D81"/>
    <w:rsid w:val="008F4EE4"/>
    <w:rsid w:val="008F570D"/>
    <w:rsid w:val="008F6B36"/>
    <w:rsid w:val="008F6C3E"/>
    <w:rsid w:val="008F74B6"/>
    <w:rsid w:val="009001A9"/>
    <w:rsid w:val="00902CF3"/>
    <w:rsid w:val="00903E8B"/>
    <w:rsid w:val="00905EFD"/>
    <w:rsid w:val="00906666"/>
    <w:rsid w:val="009107A6"/>
    <w:rsid w:val="009146A5"/>
    <w:rsid w:val="00916BA3"/>
    <w:rsid w:val="0092093C"/>
    <w:rsid w:val="009238D8"/>
    <w:rsid w:val="00924996"/>
    <w:rsid w:val="009307D6"/>
    <w:rsid w:val="00931060"/>
    <w:rsid w:val="00931212"/>
    <w:rsid w:val="00932F8B"/>
    <w:rsid w:val="009345B5"/>
    <w:rsid w:val="00934DFE"/>
    <w:rsid w:val="00936812"/>
    <w:rsid w:val="009371C8"/>
    <w:rsid w:val="00937A1A"/>
    <w:rsid w:val="0094277D"/>
    <w:rsid w:val="00944601"/>
    <w:rsid w:val="00944C5F"/>
    <w:rsid w:val="00947EEE"/>
    <w:rsid w:val="009526AF"/>
    <w:rsid w:val="0095567F"/>
    <w:rsid w:val="009571DD"/>
    <w:rsid w:val="009670CC"/>
    <w:rsid w:val="009677D5"/>
    <w:rsid w:val="00967C88"/>
    <w:rsid w:val="009720CB"/>
    <w:rsid w:val="0097246F"/>
    <w:rsid w:val="00973F6D"/>
    <w:rsid w:val="009740AA"/>
    <w:rsid w:val="00983680"/>
    <w:rsid w:val="00984415"/>
    <w:rsid w:val="00987693"/>
    <w:rsid w:val="00990C01"/>
    <w:rsid w:val="00991154"/>
    <w:rsid w:val="00992F39"/>
    <w:rsid w:val="00996FE2"/>
    <w:rsid w:val="0099727C"/>
    <w:rsid w:val="00997520"/>
    <w:rsid w:val="009A2352"/>
    <w:rsid w:val="009A2B87"/>
    <w:rsid w:val="009A40E9"/>
    <w:rsid w:val="009A6E11"/>
    <w:rsid w:val="009B0373"/>
    <w:rsid w:val="009B0B9C"/>
    <w:rsid w:val="009B4F28"/>
    <w:rsid w:val="009B695F"/>
    <w:rsid w:val="009B740E"/>
    <w:rsid w:val="009C17CC"/>
    <w:rsid w:val="009C63A2"/>
    <w:rsid w:val="009C7525"/>
    <w:rsid w:val="009D1303"/>
    <w:rsid w:val="009D1828"/>
    <w:rsid w:val="009D27D6"/>
    <w:rsid w:val="009D32BE"/>
    <w:rsid w:val="009D3791"/>
    <w:rsid w:val="009D379C"/>
    <w:rsid w:val="009D40ED"/>
    <w:rsid w:val="009D7C96"/>
    <w:rsid w:val="009E0A9E"/>
    <w:rsid w:val="009E39FD"/>
    <w:rsid w:val="009E6A91"/>
    <w:rsid w:val="009E6AA4"/>
    <w:rsid w:val="009E7351"/>
    <w:rsid w:val="009F191C"/>
    <w:rsid w:val="009F2154"/>
    <w:rsid w:val="009F47BF"/>
    <w:rsid w:val="00A0068E"/>
    <w:rsid w:val="00A00D30"/>
    <w:rsid w:val="00A01BE2"/>
    <w:rsid w:val="00A0265B"/>
    <w:rsid w:val="00A03302"/>
    <w:rsid w:val="00A03F47"/>
    <w:rsid w:val="00A057A5"/>
    <w:rsid w:val="00A079A5"/>
    <w:rsid w:val="00A1084B"/>
    <w:rsid w:val="00A11532"/>
    <w:rsid w:val="00A117BC"/>
    <w:rsid w:val="00A1489C"/>
    <w:rsid w:val="00A159AD"/>
    <w:rsid w:val="00A16908"/>
    <w:rsid w:val="00A20F9E"/>
    <w:rsid w:val="00A27390"/>
    <w:rsid w:val="00A27AA4"/>
    <w:rsid w:val="00A31370"/>
    <w:rsid w:val="00A31A3D"/>
    <w:rsid w:val="00A4036C"/>
    <w:rsid w:val="00A403AD"/>
    <w:rsid w:val="00A40491"/>
    <w:rsid w:val="00A4158D"/>
    <w:rsid w:val="00A42551"/>
    <w:rsid w:val="00A468BA"/>
    <w:rsid w:val="00A47132"/>
    <w:rsid w:val="00A47372"/>
    <w:rsid w:val="00A5090F"/>
    <w:rsid w:val="00A50E41"/>
    <w:rsid w:val="00A51DBF"/>
    <w:rsid w:val="00A53082"/>
    <w:rsid w:val="00A53EE1"/>
    <w:rsid w:val="00A54CFB"/>
    <w:rsid w:val="00A55FD3"/>
    <w:rsid w:val="00A564F4"/>
    <w:rsid w:val="00A569DA"/>
    <w:rsid w:val="00A56DB2"/>
    <w:rsid w:val="00A57039"/>
    <w:rsid w:val="00A577AF"/>
    <w:rsid w:val="00A607B1"/>
    <w:rsid w:val="00A60950"/>
    <w:rsid w:val="00A624BD"/>
    <w:rsid w:val="00A64787"/>
    <w:rsid w:val="00A64B48"/>
    <w:rsid w:val="00A65919"/>
    <w:rsid w:val="00A66004"/>
    <w:rsid w:val="00A66853"/>
    <w:rsid w:val="00A673EF"/>
    <w:rsid w:val="00A678A4"/>
    <w:rsid w:val="00A762A9"/>
    <w:rsid w:val="00A768FF"/>
    <w:rsid w:val="00A825CB"/>
    <w:rsid w:val="00A82C44"/>
    <w:rsid w:val="00A83321"/>
    <w:rsid w:val="00A85F66"/>
    <w:rsid w:val="00A92070"/>
    <w:rsid w:val="00A92EDA"/>
    <w:rsid w:val="00A93CF8"/>
    <w:rsid w:val="00A96648"/>
    <w:rsid w:val="00AA3618"/>
    <w:rsid w:val="00AA3688"/>
    <w:rsid w:val="00AA4336"/>
    <w:rsid w:val="00AA4903"/>
    <w:rsid w:val="00AA4BB1"/>
    <w:rsid w:val="00AA71C8"/>
    <w:rsid w:val="00AB08D4"/>
    <w:rsid w:val="00AB0D25"/>
    <w:rsid w:val="00AB1019"/>
    <w:rsid w:val="00AB1776"/>
    <w:rsid w:val="00AB2685"/>
    <w:rsid w:val="00AB4306"/>
    <w:rsid w:val="00AB4AAD"/>
    <w:rsid w:val="00AB4F80"/>
    <w:rsid w:val="00AB6A46"/>
    <w:rsid w:val="00AB7C41"/>
    <w:rsid w:val="00AC01DC"/>
    <w:rsid w:val="00AC4136"/>
    <w:rsid w:val="00AC51FE"/>
    <w:rsid w:val="00AD0402"/>
    <w:rsid w:val="00AD177E"/>
    <w:rsid w:val="00AD3085"/>
    <w:rsid w:val="00AD3260"/>
    <w:rsid w:val="00AD4A42"/>
    <w:rsid w:val="00AD51F4"/>
    <w:rsid w:val="00AD58B5"/>
    <w:rsid w:val="00AD6832"/>
    <w:rsid w:val="00AE0181"/>
    <w:rsid w:val="00AE1236"/>
    <w:rsid w:val="00AE35E0"/>
    <w:rsid w:val="00AE39CA"/>
    <w:rsid w:val="00AE607E"/>
    <w:rsid w:val="00AE6C4B"/>
    <w:rsid w:val="00AF17F4"/>
    <w:rsid w:val="00AF26EA"/>
    <w:rsid w:val="00AF4144"/>
    <w:rsid w:val="00AF457D"/>
    <w:rsid w:val="00B01577"/>
    <w:rsid w:val="00B01975"/>
    <w:rsid w:val="00B02016"/>
    <w:rsid w:val="00B02866"/>
    <w:rsid w:val="00B03513"/>
    <w:rsid w:val="00B04BD1"/>
    <w:rsid w:val="00B0620F"/>
    <w:rsid w:val="00B073AE"/>
    <w:rsid w:val="00B10277"/>
    <w:rsid w:val="00B10FA6"/>
    <w:rsid w:val="00B11AD0"/>
    <w:rsid w:val="00B13D85"/>
    <w:rsid w:val="00B14339"/>
    <w:rsid w:val="00B14764"/>
    <w:rsid w:val="00B170F6"/>
    <w:rsid w:val="00B17D49"/>
    <w:rsid w:val="00B2012B"/>
    <w:rsid w:val="00B20CFC"/>
    <w:rsid w:val="00B216BF"/>
    <w:rsid w:val="00B25876"/>
    <w:rsid w:val="00B27086"/>
    <w:rsid w:val="00B31AFC"/>
    <w:rsid w:val="00B330B5"/>
    <w:rsid w:val="00B3334D"/>
    <w:rsid w:val="00B34FCB"/>
    <w:rsid w:val="00B366C0"/>
    <w:rsid w:val="00B4018A"/>
    <w:rsid w:val="00B40E64"/>
    <w:rsid w:val="00B42A58"/>
    <w:rsid w:val="00B43233"/>
    <w:rsid w:val="00B43B8E"/>
    <w:rsid w:val="00B44509"/>
    <w:rsid w:val="00B46123"/>
    <w:rsid w:val="00B46D95"/>
    <w:rsid w:val="00B4703A"/>
    <w:rsid w:val="00B47F84"/>
    <w:rsid w:val="00B50422"/>
    <w:rsid w:val="00B508D8"/>
    <w:rsid w:val="00B50AA4"/>
    <w:rsid w:val="00B53847"/>
    <w:rsid w:val="00B5398A"/>
    <w:rsid w:val="00B557EA"/>
    <w:rsid w:val="00B565EB"/>
    <w:rsid w:val="00B56A13"/>
    <w:rsid w:val="00B601B6"/>
    <w:rsid w:val="00B60675"/>
    <w:rsid w:val="00B60969"/>
    <w:rsid w:val="00B62B7C"/>
    <w:rsid w:val="00B62EC1"/>
    <w:rsid w:val="00B65380"/>
    <w:rsid w:val="00B663A4"/>
    <w:rsid w:val="00B67218"/>
    <w:rsid w:val="00B70449"/>
    <w:rsid w:val="00B710E7"/>
    <w:rsid w:val="00B73445"/>
    <w:rsid w:val="00B73D8F"/>
    <w:rsid w:val="00B75550"/>
    <w:rsid w:val="00B76F3F"/>
    <w:rsid w:val="00B77673"/>
    <w:rsid w:val="00B77C1C"/>
    <w:rsid w:val="00B81738"/>
    <w:rsid w:val="00B8260F"/>
    <w:rsid w:val="00B826FF"/>
    <w:rsid w:val="00B86BEC"/>
    <w:rsid w:val="00B87215"/>
    <w:rsid w:val="00B8726C"/>
    <w:rsid w:val="00B90D8E"/>
    <w:rsid w:val="00B91B1B"/>
    <w:rsid w:val="00B93380"/>
    <w:rsid w:val="00B97BC9"/>
    <w:rsid w:val="00BA0F1E"/>
    <w:rsid w:val="00BA287C"/>
    <w:rsid w:val="00BA402D"/>
    <w:rsid w:val="00BA6AC4"/>
    <w:rsid w:val="00BB0BA9"/>
    <w:rsid w:val="00BB11E3"/>
    <w:rsid w:val="00BB4BD7"/>
    <w:rsid w:val="00BB4C47"/>
    <w:rsid w:val="00BB6B0F"/>
    <w:rsid w:val="00BC25FE"/>
    <w:rsid w:val="00BC2719"/>
    <w:rsid w:val="00BC3CC4"/>
    <w:rsid w:val="00BC798F"/>
    <w:rsid w:val="00BC7FC1"/>
    <w:rsid w:val="00BD00A3"/>
    <w:rsid w:val="00BD455A"/>
    <w:rsid w:val="00BD4A7E"/>
    <w:rsid w:val="00BD4BFF"/>
    <w:rsid w:val="00BD558E"/>
    <w:rsid w:val="00BD559F"/>
    <w:rsid w:val="00BE0CDD"/>
    <w:rsid w:val="00BE0E7D"/>
    <w:rsid w:val="00BE167F"/>
    <w:rsid w:val="00BE290A"/>
    <w:rsid w:val="00BE3352"/>
    <w:rsid w:val="00BE3988"/>
    <w:rsid w:val="00BE40B4"/>
    <w:rsid w:val="00BE57C3"/>
    <w:rsid w:val="00BE5BE8"/>
    <w:rsid w:val="00BF136F"/>
    <w:rsid w:val="00BF1EE8"/>
    <w:rsid w:val="00BF356C"/>
    <w:rsid w:val="00BF405C"/>
    <w:rsid w:val="00BF47CD"/>
    <w:rsid w:val="00BF4BC3"/>
    <w:rsid w:val="00BF7054"/>
    <w:rsid w:val="00C0124B"/>
    <w:rsid w:val="00C025F2"/>
    <w:rsid w:val="00C0336D"/>
    <w:rsid w:val="00C05488"/>
    <w:rsid w:val="00C059EE"/>
    <w:rsid w:val="00C05CD6"/>
    <w:rsid w:val="00C07C27"/>
    <w:rsid w:val="00C10B2E"/>
    <w:rsid w:val="00C149A1"/>
    <w:rsid w:val="00C16B54"/>
    <w:rsid w:val="00C17BA7"/>
    <w:rsid w:val="00C17E54"/>
    <w:rsid w:val="00C205D3"/>
    <w:rsid w:val="00C21EF8"/>
    <w:rsid w:val="00C23700"/>
    <w:rsid w:val="00C26B9C"/>
    <w:rsid w:val="00C31077"/>
    <w:rsid w:val="00C313C3"/>
    <w:rsid w:val="00C33798"/>
    <w:rsid w:val="00C34DD4"/>
    <w:rsid w:val="00C378BD"/>
    <w:rsid w:val="00C406B0"/>
    <w:rsid w:val="00C425A2"/>
    <w:rsid w:val="00C43072"/>
    <w:rsid w:val="00C460DB"/>
    <w:rsid w:val="00C46796"/>
    <w:rsid w:val="00C5142A"/>
    <w:rsid w:val="00C5284B"/>
    <w:rsid w:val="00C5393B"/>
    <w:rsid w:val="00C55686"/>
    <w:rsid w:val="00C55AC4"/>
    <w:rsid w:val="00C573D6"/>
    <w:rsid w:val="00C61124"/>
    <w:rsid w:val="00C67CC9"/>
    <w:rsid w:val="00C76380"/>
    <w:rsid w:val="00C76F3F"/>
    <w:rsid w:val="00C847E4"/>
    <w:rsid w:val="00C87E73"/>
    <w:rsid w:val="00C91265"/>
    <w:rsid w:val="00C943F0"/>
    <w:rsid w:val="00C97214"/>
    <w:rsid w:val="00C9781C"/>
    <w:rsid w:val="00C97C1A"/>
    <w:rsid w:val="00CA1322"/>
    <w:rsid w:val="00CA43E6"/>
    <w:rsid w:val="00CA59C6"/>
    <w:rsid w:val="00CA622C"/>
    <w:rsid w:val="00CA6235"/>
    <w:rsid w:val="00CB02F1"/>
    <w:rsid w:val="00CB6CC7"/>
    <w:rsid w:val="00CB788C"/>
    <w:rsid w:val="00CC021E"/>
    <w:rsid w:val="00CC232D"/>
    <w:rsid w:val="00CC6BEF"/>
    <w:rsid w:val="00CC6CD3"/>
    <w:rsid w:val="00CD2EC9"/>
    <w:rsid w:val="00CD3E51"/>
    <w:rsid w:val="00CD4139"/>
    <w:rsid w:val="00CD44E1"/>
    <w:rsid w:val="00CD4BC4"/>
    <w:rsid w:val="00CE07C0"/>
    <w:rsid w:val="00CE1237"/>
    <w:rsid w:val="00CE25F7"/>
    <w:rsid w:val="00CE2A64"/>
    <w:rsid w:val="00CE3803"/>
    <w:rsid w:val="00CE425D"/>
    <w:rsid w:val="00CE726E"/>
    <w:rsid w:val="00CF1054"/>
    <w:rsid w:val="00CF1328"/>
    <w:rsid w:val="00CF21B8"/>
    <w:rsid w:val="00CF2FE3"/>
    <w:rsid w:val="00CF35CF"/>
    <w:rsid w:val="00D0042D"/>
    <w:rsid w:val="00D00651"/>
    <w:rsid w:val="00D02659"/>
    <w:rsid w:val="00D02748"/>
    <w:rsid w:val="00D03AAE"/>
    <w:rsid w:val="00D06A63"/>
    <w:rsid w:val="00D10198"/>
    <w:rsid w:val="00D1072B"/>
    <w:rsid w:val="00D10AA7"/>
    <w:rsid w:val="00D10DD3"/>
    <w:rsid w:val="00D131F5"/>
    <w:rsid w:val="00D13250"/>
    <w:rsid w:val="00D13DE0"/>
    <w:rsid w:val="00D1439E"/>
    <w:rsid w:val="00D14F6A"/>
    <w:rsid w:val="00D17D2C"/>
    <w:rsid w:val="00D21442"/>
    <w:rsid w:val="00D219EA"/>
    <w:rsid w:val="00D236F2"/>
    <w:rsid w:val="00D2409F"/>
    <w:rsid w:val="00D26423"/>
    <w:rsid w:val="00D3146F"/>
    <w:rsid w:val="00D32853"/>
    <w:rsid w:val="00D34658"/>
    <w:rsid w:val="00D35995"/>
    <w:rsid w:val="00D35B77"/>
    <w:rsid w:val="00D35CD2"/>
    <w:rsid w:val="00D36FBE"/>
    <w:rsid w:val="00D371F7"/>
    <w:rsid w:val="00D40178"/>
    <w:rsid w:val="00D40E01"/>
    <w:rsid w:val="00D44E80"/>
    <w:rsid w:val="00D45237"/>
    <w:rsid w:val="00D4678E"/>
    <w:rsid w:val="00D46C09"/>
    <w:rsid w:val="00D554D2"/>
    <w:rsid w:val="00D56819"/>
    <w:rsid w:val="00D56E30"/>
    <w:rsid w:val="00D57F86"/>
    <w:rsid w:val="00D617B9"/>
    <w:rsid w:val="00D62C47"/>
    <w:rsid w:val="00D63221"/>
    <w:rsid w:val="00D63931"/>
    <w:rsid w:val="00D6555F"/>
    <w:rsid w:val="00D71BFF"/>
    <w:rsid w:val="00D7395B"/>
    <w:rsid w:val="00D75544"/>
    <w:rsid w:val="00D7596B"/>
    <w:rsid w:val="00D8186C"/>
    <w:rsid w:val="00D82670"/>
    <w:rsid w:val="00D8298F"/>
    <w:rsid w:val="00D83504"/>
    <w:rsid w:val="00D83B51"/>
    <w:rsid w:val="00D83CE7"/>
    <w:rsid w:val="00D84162"/>
    <w:rsid w:val="00D86A66"/>
    <w:rsid w:val="00D909EA"/>
    <w:rsid w:val="00D91757"/>
    <w:rsid w:val="00D92116"/>
    <w:rsid w:val="00DA08D5"/>
    <w:rsid w:val="00DA5753"/>
    <w:rsid w:val="00DB1707"/>
    <w:rsid w:val="00DB240B"/>
    <w:rsid w:val="00DB3F97"/>
    <w:rsid w:val="00DB6218"/>
    <w:rsid w:val="00DB6534"/>
    <w:rsid w:val="00DC1723"/>
    <w:rsid w:val="00DC2130"/>
    <w:rsid w:val="00DC34F1"/>
    <w:rsid w:val="00DC63AD"/>
    <w:rsid w:val="00DD0388"/>
    <w:rsid w:val="00DD0EBC"/>
    <w:rsid w:val="00DD28C2"/>
    <w:rsid w:val="00DD722A"/>
    <w:rsid w:val="00DE00E1"/>
    <w:rsid w:val="00DE073B"/>
    <w:rsid w:val="00DE1ED1"/>
    <w:rsid w:val="00DE2B40"/>
    <w:rsid w:val="00DE2C32"/>
    <w:rsid w:val="00DE444C"/>
    <w:rsid w:val="00DE5070"/>
    <w:rsid w:val="00DE6204"/>
    <w:rsid w:val="00DF0B83"/>
    <w:rsid w:val="00DF156E"/>
    <w:rsid w:val="00DF289A"/>
    <w:rsid w:val="00DF2E38"/>
    <w:rsid w:val="00DF3664"/>
    <w:rsid w:val="00DF41F5"/>
    <w:rsid w:val="00DF49DA"/>
    <w:rsid w:val="00DF566A"/>
    <w:rsid w:val="00DF6F90"/>
    <w:rsid w:val="00DF7958"/>
    <w:rsid w:val="00E00B79"/>
    <w:rsid w:val="00E01274"/>
    <w:rsid w:val="00E076BA"/>
    <w:rsid w:val="00E10A3B"/>
    <w:rsid w:val="00E11351"/>
    <w:rsid w:val="00E12691"/>
    <w:rsid w:val="00E14E9B"/>
    <w:rsid w:val="00E15D1D"/>
    <w:rsid w:val="00E16A15"/>
    <w:rsid w:val="00E17774"/>
    <w:rsid w:val="00E2000F"/>
    <w:rsid w:val="00E206CC"/>
    <w:rsid w:val="00E22643"/>
    <w:rsid w:val="00E25F44"/>
    <w:rsid w:val="00E26388"/>
    <w:rsid w:val="00E400DA"/>
    <w:rsid w:val="00E42241"/>
    <w:rsid w:val="00E42650"/>
    <w:rsid w:val="00E42EFC"/>
    <w:rsid w:val="00E447F8"/>
    <w:rsid w:val="00E46681"/>
    <w:rsid w:val="00E476EE"/>
    <w:rsid w:val="00E5409B"/>
    <w:rsid w:val="00E61D3D"/>
    <w:rsid w:val="00E64647"/>
    <w:rsid w:val="00E65938"/>
    <w:rsid w:val="00E6643E"/>
    <w:rsid w:val="00E66861"/>
    <w:rsid w:val="00E6687A"/>
    <w:rsid w:val="00E7090A"/>
    <w:rsid w:val="00E721FB"/>
    <w:rsid w:val="00E72BC9"/>
    <w:rsid w:val="00E74E23"/>
    <w:rsid w:val="00E754F6"/>
    <w:rsid w:val="00E762A3"/>
    <w:rsid w:val="00E767A5"/>
    <w:rsid w:val="00E8242A"/>
    <w:rsid w:val="00E82FD1"/>
    <w:rsid w:val="00E84AAA"/>
    <w:rsid w:val="00E856A5"/>
    <w:rsid w:val="00E8732F"/>
    <w:rsid w:val="00E877E7"/>
    <w:rsid w:val="00E906F6"/>
    <w:rsid w:val="00E908C1"/>
    <w:rsid w:val="00E9105E"/>
    <w:rsid w:val="00E917B2"/>
    <w:rsid w:val="00E9210D"/>
    <w:rsid w:val="00E92283"/>
    <w:rsid w:val="00E93975"/>
    <w:rsid w:val="00E943D5"/>
    <w:rsid w:val="00E94E7A"/>
    <w:rsid w:val="00E95565"/>
    <w:rsid w:val="00EA1C4E"/>
    <w:rsid w:val="00EA2FAC"/>
    <w:rsid w:val="00EA2FC1"/>
    <w:rsid w:val="00EA687F"/>
    <w:rsid w:val="00EA774F"/>
    <w:rsid w:val="00EA7DAA"/>
    <w:rsid w:val="00EB13A7"/>
    <w:rsid w:val="00EB1C3B"/>
    <w:rsid w:val="00EB2B7A"/>
    <w:rsid w:val="00EB4A20"/>
    <w:rsid w:val="00EB4D39"/>
    <w:rsid w:val="00EB5837"/>
    <w:rsid w:val="00EB7B64"/>
    <w:rsid w:val="00EC4CB2"/>
    <w:rsid w:val="00EC644B"/>
    <w:rsid w:val="00EC76FD"/>
    <w:rsid w:val="00EC7FD9"/>
    <w:rsid w:val="00ED0612"/>
    <w:rsid w:val="00ED0CB9"/>
    <w:rsid w:val="00ED33F3"/>
    <w:rsid w:val="00ED3BA3"/>
    <w:rsid w:val="00ED41CF"/>
    <w:rsid w:val="00ED72A6"/>
    <w:rsid w:val="00ED737A"/>
    <w:rsid w:val="00EE02D2"/>
    <w:rsid w:val="00EE0D8E"/>
    <w:rsid w:val="00EE1017"/>
    <w:rsid w:val="00EE1505"/>
    <w:rsid w:val="00EE4D87"/>
    <w:rsid w:val="00EE7461"/>
    <w:rsid w:val="00EE7491"/>
    <w:rsid w:val="00EF013A"/>
    <w:rsid w:val="00EF1A2A"/>
    <w:rsid w:val="00EF31DC"/>
    <w:rsid w:val="00EF3B4E"/>
    <w:rsid w:val="00EF6018"/>
    <w:rsid w:val="00F02E01"/>
    <w:rsid w:val="00F054EF"/>
    <w:rsid w:val="00F11420"/>
    <w:rsid w:val="00F125D9"/>
    <w:rsid w:val="00F140CB"/>
    <w:rsid w:val="00F145B1"/>
    <w:rsid w:val="00F147C7"/>
    <w:rsid w:val="00F176E4"/>
    <w:rsid w:val="00F200C3"/>
    <w:rsid w:val="00F20F56"/>
    <w:rsid w:val="00F21763"/>
    <w:rsid w:val="00F250B8"/>
    <w:rsid w:val="00F258FE"/>
    <w:rsid w:val="00F26191"/>
    <w:rsid w:val="00F26897"/>
    <w:rsid w:val="00F30EB5"/>
    <w:rsid w:val="00F30F58"/>
    <w:rsid w:val="00F31841"/>
    <w:rsid w:val="00F31C87"/>
    <w:rsid w:val="00F330EE"/>
    <w:rsid w:val="00F33DF9"/>
    <w:rsid w:val="00F34C1A"/>
    <w:rsid w:val="00F4465D"/>
    <w:rsid w:val="00F45532"/>
    <w:rsid w:val="00F475B0"/>
    <w:rsid w:val="00F50D61"/>
    <w:rsid w:val="00F55DFD"/>
    <w:rsid w:val="00F55F49"/>
    <w:rsid w:val="00F564A6"/>
    <w:rsid w:val="00F57F0B"/>
    <w:rsid w:val="00F60896"/>
    <w:rsid w:val="00F60FDE"/>
    <w:rsid w:val="00F61238"/>
    <w:rsid w:val="00F614AD"/>
    <w:rsid w:val="00F63A19"/>
    <w:rsid w:val="00F64462"/>
    <w:rsid w:val="00F6691B"/>
    <w:rsid w:val="00F66997"/>
    <w:rsid w:val="00F70411"/>
    <w:rsid w:val="00F7093E"/>
    <w:rsid w:val="00F72828"/>
    <w:rsid w:val="00F76F8F"/>
    <w:rsid w:val="00F802BC"/>
    <w:rsid w:val="00F8239F"/>
    <w:rsid w:val="00F86C3F"/>
    <w:rsid w:val="00F87061"/>
    <w:rsid w:val="00F90EE6"/>
    <w:rsid w:val="00F91B19"/>
    <w:rsid w:val="00F9248E"/>
    <w:rsid w:val="00F92625"/>
    <w:rsid w:val="00F93870"/>
    <w:rsid w:val="00F95BF4"/>
    <w:rsid w:val="00F97042"/>
    <w:rsid w:val="00F9787D"/>
    <w:rsid w:val="00F97AA7"/>
    <w:rsid w:val="00F97D74"/>
    <w:rsid w:val="00FA20F8"/>
    <w:rsid w:val="00FA2F22"/>
    <w:rsid w:val="00FA4DC1"/>
    <w:rsid w:val="00FA53ED"/>
    <w:rsid w:val="00FA6D50"/>
    <w:rsid w:val="00FA6EF5"/>
    <w:rsid w:val="00FA744A"/>
    <w:rsid w:val="00FB2ECA"/>
    <w:rsid w:val="00FB3D89"/>
    <w:rsid w:val="00FC1E00"/>
    <w:rsid w:val="00FC516D"/>
    <w:rsid w:val="00FC6000"/>
    <w:rsid w:val="00FC663B"/>
    <w:rsid w:val="00FC7390"/>
    <w:rsid w:val="00FD014E"/>
    <w:rsid w:val="00FD0E4B"/>
    <w:rsid w:val="00FD1528"/>
    <w:rsid w:val="00FD33B7"/>
    <w:rsid w:val="00FD4374"/>
    <w:rsid w:val="00FD4670"/>
    <w:rsid w:val="00FD5AEC"/>
    <w:rsid w:val="00FD5FB6"/>
    <w:rsid w:val="00FE0375"/>
    <w:rsid w:val="00FE0C9A"/>
    <w:rsid w:val="00FE1AA4"/>
    <w:rsid w:val="00FE2A41"/>
    <w:rsid w:val="00FE4585"/>
    <w:rsid w:val="00FE6BA6"/>
    <w:rsid w:val="00FF0D60"/>
    <w:rsid w:val="00FF24CE"/>
    <w:rsid w:val="00FF2886"/>
    <w:rsid w:val="00FF3C19"/>
    <w:rsid w:val="00FF3C2F"/>
    <w:rsid w:val="00FF5595"/>
    <w:rsid w:val="00FF5AC3"/>
    <w:rsid w:val="00FF7B14"/>
    <w:rsid w:val="0C48843B"/>
    <w:rsid w:val="125C8878"/>
    <w:rsid w:val="12D0EF64"/>
    <w:rsid w:val="1727CB1F"/>
    <w:rsid w:val="1F3EC278"/>
    <w:rsid w:val="2D3F0776"/>
    <w:rsid w:val="325DCC8C"/>
    <w:rsid w:val="34E8EFDB"/>
    <w:rsid w:val="34EFDE5B"/>
    <w:rsid w:val="374C7D18"/>
    <w:rsid w:val="3EBE4120"/>
    <w:rsid w:val="4169C892"/>
    <w:rsid w:val="4657BD8D"/>
    <w:rsid w:val="47B0F417"/>
    <w:rsid w:val="4E8171AC"/>
    <w:rsid w:val="5410A658"/>
    <w:rsid w:val="550EA749"/>
    <w:rsid w:val="56599711"/>
    <w:rsid w:val="56B0508A"/>
    <w:rsid w:val="5C991F85"/>
    <w:rsid w:val="60E4D949"/>
    <w:rsid w:val="650BC17E"/>
    <w:rsid w:val="6D839DBF"/>
    <w:rsid w:val="725E0F65"/>
    <w:rsid w:val="7F62A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F1CD84"/>
  <w15:chartTrackingRefBased/>
  <w15:docId w15:val="{7CFD336F-8F73-410C-9081-7521AE4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8A"/>
  </w:style>
  <w:style w:type="paragraph" w:styleId="Heading1">
    <w:name w:val="heading 1"/>
    <w:basedOn w:val="Normal"/>
    <w:next w:val="Normal"/>
    <w:link w:val="Heading1Char"/>
    <w:uiPriority w:val="9"/>
    <w:qFormat/>
    <w:rsid w:val="00332E8A"/>
    <w:pPr>
      <w:keepNext/>
      <w:keepLines/>
      <w:numPr>
        <w:numId w:val="3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332E8A"/>
    <w:pPr>
      <w:keepNext/>
      <w:keepLines/>
      <w:numPr>
        <w:ilvl w:val="1"/>
        <w:numId w:val="3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332E8A"/>
    <w:pPr>
      <w:keepNext/>
      <w:keepLines/>
      <w:numPr>
        <w:ilvl w:val="2"/>
        <w:numId w:val="3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32E8A"/>
    <w:pPr>
      <w:keepNext/>
      <w:keepLines/>
      <w:numPr>
        <w:ilvl w:val="3"/>
        <w:numId w:val="3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32E8A"/>
    <w:pPr>
      <w:keepNext/>
      <w:keepLines/>
      <w:numPr>
        <w:ilvl w:val="4"/>
        <w:numId w:val="3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332E8A"/>
    <w:pPr>
      <w:keepNext/>
      <w:keepLines/>
      <w:numPr>
        <w:ilvl w:val="5"/>
        <w:numId w:val="3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332E8A"/>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2E8A"/>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2E8A"/>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1A2827"/>
    <w:pPr>
      <w:spacing w:before="180" w:after="180" w:line="288" w:lineRule="auto"/>
    </w:pPr>
    <w:rPr>
      <w:rFonts w:ascii="Calibri" w:hAnsi="Calibri"/>
      <w:sz w:val="24"/>
      <w:szCs w:val="24"/>
      <w:lang w:val="en-US"/>
    </w:rPr>
  </w:style>
  <w:style w:type="paragraph" w:styleId="BodyText">
    <w:name w:val="Body Text"/>
    <w:basedOn w:val="Normal"/>
    <w:link w:val="BodyTextChar"/>
    <w:uiPriority w:val="99"/>
    <w:unhideWhenUsed/>
    <w:rsid w:val="001A2827"/>
    <w:pPr>
      <w:spacing w:after="120"/>
    </w:pPr>
  </w:style>
  <w:style w:type="character" w:customStyle="1" w:styleId="BodyTextChar">
    <w:name w:val="Body Text Char"/>
    <w:basedOn w:val="DefaultParagraphFont"/>
    <w:link w:val="BodyText"/>
    <w:uiPriority w:val="99"/>
    <w:rsid w:val="001A2827"/>
  </w:style>
  <w:style w:type="character" w:customStyle="1" w:styleId="mord">
    <w:name w:val="mord"/>
    <w:basedOn w:val="DefaultParagraphFont"/>
    <w:rsid w:val="001A2827"/>
  </w:style>
  <w:style w:type="character" w:customStyle="1" w:styleId="vlist-s">
    <w:name w:val="vlist-s"/>
    <w:basedOn w:val="DefaultParagraphFont"/>
    <w:rsid w:val="001A2827"/>
  </w:style>
  <w:style w:type="table" w:styleId="TableGrid">
    <w:name w:val="Table Grid"/>
    <w:basedOn w:val="TableNormal"/>
    <w:uiPriority w:val="59"/>
    <w:rsid w:val="001A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A282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A2827"/>
    <w:rPr>
      <w:rFonts w:ascii="Calibri" w:hAnsi="Calibri" w:cs="Calibri"/>
      <w:noProof/>
      <w:lang w:val="en-US"/>
    </w:rPr>
  </w:style>
  <w:style w:type="paragraph" w:customStyle="1" w:styleId="EndNoteBibliography">
    <w:name w:val="EndNote Bibliography"/>
    <w:basedOn w:val="Normal"/>
    <w:link w:val="EndNoteBibliographyChar"/>
    <w:rsid w:val="001A282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A2827"/>
    <w:rPr>
      <w:rFonts w:ascii="Calibri" w:hAnsi="Calibri" w:cs="Calibri"/>
      <w:noProof/>
      <w:lang w:val="en-US"/>
    </w:rPr>
  </w:style>
  <w:style w:type="paragraph" w:styleId="ListParagraph">
    <w:name w:val="List Paragraph"/>
    <w:basedOn w:val="Normal"/>
    <w:link w:val="ListParagraphChar"/>
    <w:uiPriority w:val="34"/>
    <w:qFormat/>
    <w:rsid w:val="00873F55"/>
    <w:pPr>
      <w:ind w:left="720"/>
      <w:contextualSpacing/>
    </w:pPr>
  </w:style>
  <w:style w:type="character" w:customStyle="1" w:styleId="ListParagraphChar">
    <w:name w:val="List Paragraph Char"/>
    <w:basedOn w:val="DefaultParagraphFont"/>
    <w:link w:val="ListParagraph"/>
    <w:uiPriority w:val="34"/>
    <w:rsid w:val="00873F55"/>
  </w:style>
  <w:style w:type="character" w:styleId="CommentReference">
    <w:name w:val="annotation reference"/>
    <w:basedOn w:val="DefaultParagraphFont"/>
    <w:uiPriority w:val="99"/>
    <w:semiHidden/>
    <w:unhideWhenUsed/>
    <w:rsid w:val="00873F55"/>
    <w:rPr>
      <w:sz w:val="16"/>
      <w:szCs w:val="16"/>
    </w:rPr>
  </w:style>
  <w:style w:type="paragraph" w:styleId="CommentText">
    <w:name w:val="annotation text"/>
    <w:basedOn w:val="Normal"/>
    <w:link w:val="CommentTextChar"/>
    <w:uiPriority w:val="99"/>
    <w:semiHidden/>
    <w:unhideWhenUsed/>
    <w:rsid w:val="00873F55"/>
    <w:pPr>
      <w:spacing w:line="240" w:lineRule="auto"/>
    </w:pPr>
    <w:rPr>
      <w:sz w:val="20"/>
      <w:szCs w:val="20"/>
    </w:rPr>
  </w:style>
  <w:style w:type="character" w:customStyle="1" w:styleId="CommentTextChar">
    <w:name w:val="Comment Text Char"/>
    <w:basedOn w:val="DefaultParagraphFont"/>
    <w:link w:val="CommentText"/>
    <w:uiPriority w:val="99"/>
    <w:semiHidden/>
    <w:rsid w:val="00873F55"/>
    <w:rPr>
      <w:sz w:val="20"/>
      <w:szCs w:val="20"/>
    </w:rPr>
  </w:style>
  <w:style w:type="character" w:customStyle="1" w:styleId="anchor-text">
    <w:name w:val="anchor-text"/>
    <w:basedOn w:val="DefaultParagraphFont"/>
    <w:rsid w:val="00FF5595"/>
  </w:style>
  <w:style w:type="paragraph" w:styleId="CommentSubject">
    <w:name w:val="annotation subject"/>
    <w:basedOn w:val="CommentText"/>
    <w:next w:val="CommentText"/>
    <w:link w:val="CommentSubjectChar"/>
    <w:uiPriority w:val="99"/>
    <w:semiHidden/>
    <w:unhideWhenUsed/>
    <w:rsid w:val="009B740E"/>
    <w:rPr>
      <w:b/>
      <w:bCs/>
    </w:rPr>
  </w:style>
  <w:style w:type="character" w:customStyle="1" w:styleId="CommentSubjectChar">
    <w:name w:val="Comment Subject Char"/>
    <w:basedOn w:val="CommentTextChar"/>
    <w:link w:val="CommentSubject"/>
    <w:uiPriority w:val="99"/>
    <w:semiHidden/>
    <w:rsid w:val="009B740E"/>
    <w:rPr>
      <w:b/>
      <w:bCs/>
      <w:sz w:val="20"/>
      <w:szCs w:val="20"/>
    </w:rPr>
  </w:style>
  <w:style w:type="character" w:customStyle="1" w:styleId="mopen">
    <w:name w:val="mopen"/>
    <w:basedOn w:val="DefaultParagraphFont"/>
    <w:rsid w:val="0008006C"/>
  </w:style>
  <w:style w:type="character" w:customStyle="1" w:styleId="mpunct">
    <w:name w:val="mpunct"/>
    <w:basedOn w:val="DefaultParagraphFont"/>
    <w:rsid w:val="0008006C"/>
  </w:style>
  <w:style w:type="character" w:customStyle="1" w:styleId="mclose">
    <w:name w:val="mclose"/>
    <w:basedOn w:val="DefaultParagraphFont"/>
    <w:rsid w:val="0008006C"/>
  </w:style>
  <w:style w:type="character" w:customStyle="1" w:styleId="mrel">
    <w:name w:val="mrel"/>
    <w:basedOn w:val="DefaultParagraphFont"/>
    <w:rsid w:val="0008006C"/>
  </w:style>
  <w:style w:type="character" w:customStyle="1" w:styleId="delimsizing">
    <w:name w:val="delimsizing"/>
    <w:basedOn w:val="DefaultParagraphFont"/>
    <w:rsid w:val="0008006C"/>
  </w:style>
  <w:style w:type="character" w:styleId="PlaceholderText">
    <w:name w:val="Placeholder Text"/>
    <w:basedOn w:val="DefaultParagraphFont"/>
    <w:uiPriority w:val="99"/>
    <w:semiHidden/>
    <w:rsid w:val="0008006C"/>
    <w:rPr>
      <w:color w:val="808080"/>
    </w:rPr>
  </w:style>
  <w:style w:type="character" w:styleId="Strong">
    <w:name w:val="Strong"/>
    <w:basedOn w:val="DefaultParagraphFont"/>
    <w:uiPriority w:val="22"/>
    <w:qFormat/>
    <w:rsid w:val="00332E8A"/>
    <w:rPr>
      <w:b/>
      <w:bCs/>
      <w:color w:val="000000" w:themeColor="text1"/>
    </w:rPr>
  </w:style>
  <w:style w:type="character" w:styleId="Emphasis">
    <w:name w:val="Emphasis"/>
    <w:basedOn w:val="DefaultParagraphFont"/>
    <w:uiPriority w:val="20"/>
    <w:qFormat/>
    <w:rsid w:val="00332E8A"/>
    <w:rPr>
      <w:i/>
      <w:iCs/>
      <w:color w:val="auto"/>
    </w:rPr>
  </w:style>
  <w:style w:type="paragraph" w:styleId="EndnoteText">
    <w:name w:val="endnote text"/>
    <w:basedOn w:val="Normal"/>
    <w:link w:val="EndnoteTextChar"/>
    <w:uiPriority w:val="99"/>
    <w:semiHidden/>
    <w:unhideWhenUsed/>
    <w:rsid w:val="000D68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683D"/>
    <w:rPr>
      <w:sz w:val="20"/>
      <w:szCs w:val="20"/>
    </w:rPr>
  </w:style>
  <w:style w:type="character" w:styleId="EndnoteReference">
    <w:name w:val="endnote reference"/>
    <w:basedOn w:val="DefaultParagraphFont"/>
    <w:uiPriority w:val="99"/>
    <w:semiHidden/>
    <w:unhideWhenUsed/>
    <w:rsid w:val="000D683D"/>
    <w:rPr>
      <w:vertAlign w:val="superscript"/>
    </w:rPr>
  </w:style>
  <w:style w:type="character" w:customStyle="1" w:styleId="Heading1Char">
    <w:name w:val="Heading 1 Char"/>
    <w:basedOn w:val="DefaultParagraphFont"/>
    <w:link w:val="Heading1"/>
    <w:uiPriority w:val="9"/>
    <w:rsid w:val="00332E8A"/>
    <w:rPr>
      <w:rFonts w:asciiTheme="majorHAnsi" w:eastAsiaTheme="majorEastAsia" w:hAnsiTheme="majorHAnsi" w:cstheme="majorBidi"/>
      <w:b/>
      <w:bCs/>
      <w:smallCaps/>
      <w:color w:val="000000" w:themeColor="text1"/>
      <w:sz w:val="36"/>
      <w:szCs w:val="36"/>
    </w:rPr>
  </w:style>
  <w:style w:type="paragraph" w:styleId="TOCHeading">
    <w:name w:val="TOC Heading"/>
    <w:basedOn w:val="Heading1"/>
    <w:next w:val="Normal"/>
    <w:uiPriority w:val="39"/>
    <w:unhideWhenUsed/>
    <w:qFormat/>
    <w:rsid w:val="00332E8A"/>
    <w:pPr>
      <w:outlineLvl w:val="9"/>
    </w:pPr>
  </w:style>
  <w:style w:type="character" w:customStyle="1" w:styleId="Heading2Char">
    <w:name w:val="Heading 2 Char"/>
    <w:basedOn w:val="DefaultParagraphFont"/>
    <w:link w:val="Heading2"/>
    <w:uiPriority w:val="9"/>
    <w:semiHidden/>
    <w:rsid w:val="00332E8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332E8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32E8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32E8A"/>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332E8A"/>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332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2E8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2E8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32E8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32E8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32E8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32E8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32E8A"/>
    <w:rPr>
      <w:color w:val="5A5A5A" w:themeColor="text1" w:themeTint="A5"/>
      <w:spacing w:val="10"/>
    </w:rPr>
  </w:style>
  <w:style w:type="paragraph" w:styleId="NoSpacing">
    <w:name w:val="No Spacing"/>
    <w:uiPriority w:val="1"/>
    <w:qFormat/>
    <w:rsid w:val="00332E8A"/>
    <w:pPr>
      <w:spacing w:after="0" w:line="240" w:lineRule="auto"/>
    </w:pPr>
  </w:style>
  <w:style w:type="paragraph" w:styleId="Quote">
    <w:name w:val="Quote"/>
    <w:basedOn w:val="Normal"/>
    <w:next w:val="Normal"/>
    <w:link w:val="QuoteChar"/>
    <w:uiPriority w:val="29"/>
    <w:qFormat/>
    <w:rsid w:val="00332E8A"/>
    <w:pPr>
      <w:spacing w:before="160"/>
      <w:ind w:left="720" w:right="720"/>
    </w:pPr>
    <w:rPr>
      <w:i/>
      <w:iCs/>
      <w:color w:val="000000" w:themeColor="text1"/>
    </w:rPr>
  </w:style>
  <w:style w:type="character" w:customStyle="1" w:styleId="QuoteChar">
    <w:name w:val="Quote Char"/>
    <w:basedOn w:val="DefaultParagraphFont"/>
    <w:link w:val="Quote"/>
    <w:uiPriority w:val="29"/>
    <w:rsid w:val="00332E8A"/>
    <w:rPr>
      <w:i/>
      <w:iCs/>
      <w:color w:val="000000" w:themeColor="text1"/>
    </w:rPr>
  </w:style>
  <w:style w:type="paragraph" w:styleId="IntenseQuote">
    <w:name w:val="Intense Quote"/>
    <w:basedOn w:val="Normal"/>
    <w:next w:val="Normal"/>
    <w:link w:val="IntenseQuoteChar"/>
    <w:uiPriority w:val="30"/>
    <w:qFormat/>
    <w:rsid w:val="00332E8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32E8A"/>
    <w:rPr>
      <w:color w:val="000000" w:themeColor="text1"/>
      <w:shd w:val="clear" w:color="auto" w:fill="F2F2F2" w:themeFill="background1" w:themeFillShade="F2"/>
    </w:rPr>
  </w:style>
  <w:style w:type="character" w:styleId="SubtleEmphasis">
    <w:name w:val="Subtle Emphasis"/>
    <w:basedOn w:val="DefaultParagraphFont"/>
    <w:uiPriority w:val="19"/>
    <w:qFormat/>
    <w:rsid w:val="00332E8A"/>
    <w:rPr>
      <w:i/>
      <w:iCs/>
      <w:color w:val="404040" w:themeColor="text1" w:themeTint="BF"/>
    </w:rPr>
  </w:style>
  <w:style w:type="character" w:styleId="IntenseEmphasis">
    <w:name w:val="Intense Emphasis"/>
    <w:basedOn w:val="DefaultParagraphFont"/>
    <w:uiPriority w:val="21"/>
    <w:qFormat/>
    <w:rsid w:val="00332E8A"/>
    <w:rPr>
      <w:b/>
      <w:bCs/>
      <w:i/>
      <w:iCs/>
      <w:caps/>
    </w:rPr>
  </w:style>
  <w:style w:type="character" w:styleId="SubtleReference">
    <w:name w:val="Subtle Reference"/>
    <w:basedOn w:val="DefaultParagraphFont"/>
    <w:uiPriority w:val="31"/>
    <w:qFormat/>
    <w:rsid w:val="00332E8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32E8A"/>
    <w:rPr>
      <w:b/>
      <w:bCs/>
      <w:smallCaps/>
      <w:u w:val="single"/>
    </w:rPr>
  </w:style>
  <w:style w:type="character" w:styleId="BookTitle">
    <w:name w:val="Book Title"/>
    <w:basedOn w:val="DefaultParagraphFont"/>
    <w:uiPriority w:val="33"/>
    <w:qFormat/>
    <w:rsid w:val="00332E8A"/>
    <w:rPr>
      <w:b w:val="0"/>
      <w:bCs w:val="0"/>
      <w:smallCaps/>
      <w:spacing w:val="5"/>
    </w:rPr>
  </w:style>
  <w:style w:type="paragraph" w:styleId="TOC1">
    <w:name w:val="toc 1"/>
    <w:basedOn w:val="Normal"/>
    <w:next w:val="Normal"/>
    <w:autoRedefine/>
    <w:uiPriority w:val="39"/>
    <w:unhideWhenUsed/>
    <w:rsid w:val="00332E8A"/>
    <w:pPr>
      <w:spacing w:after="100"/>
    </w:pPr>
  </w:style>
  <w:style w:type="character" w:styleId="Hyperlink">
    <w:name w:val="Hyperlink"/>
    <w:basedOn w:val="DefaultParagraphFont"/>
    <w:uiPriority w:val="99"/>
    <w:unhideWhenUsed/>
    <w:rsid w:val="00332E8A"/>
    <w:rPr>
      <w:color w:val="0563C1" w:themeColor="hyperlink"/>
      <w:u w:val="single"/>
    </w:rPr>
  </w:style>
  <w:style w:type="paragraph" w:styleId="NormalWeb">
    <w:name w:val="Normal (Web)"/>
    <w:basedOn w:val="Normal"/>
    <w:uiPriority w:val="99"/>
    <w:semiHidden/>
    <w:unhideWhenUsed/>
    <w:rsid w:val="00570E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atex-mathml">
    <w:name w:val="katex-mathml"/>
    <w:basedOn w:val="DefaultParagraphFont"/>
    <w:rsid w:val="00570E32"/>
  </w:style>
  <w:style w:type="paragraph" w:styleId="Revision">
    <w:name w:val="Revision"/>
    <w:hidden/>
    <w:uiPriority w:val="99"/>
    <w:semiHidden/>
    <w:rsid w:val="004A3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89">
      <w:bodyDiv w:val="1"/>
      <w:marLeft w:val="0"/>
      <w:marRight w:val="0"/>
      <w:marTop w:val="0"/>
      <w:marBottom w:val="0"/>
      <w:divBdr>
        <w:top w:val="none" w:sz="0" w:space="0" w:color="auto"/>
        <w:left w:val="none" w:sz="0" w:space="0" w:color="auto"/>
        <w:bottom w:val="none" w:sz="0" w:space="0" w:color="auto"/>
        <w:right w:val="none" w:sz="0" w:space="0" w:color="auto"/>
      </w:divBdr>
    </w:div>
    <w:div w:id="72355739">
      <w:bodyDiv w:val="1"/>
      <w:marLeft w:val="0"/>
      <w:marRight w:val="0"/>
      <w:marTop w:val="0"/>
      <w:marBottom w:val="0"/>
      <w:divBdr>
        <w:top w:val="none" w:sz="0" w:space="0" w:color="auto"/>
        <w:left w:val="none" w:sz="0" w:space="0" w:color="auto"/>
        <w:bottom w:val="none" w:sz="0" w:space="0" w:color="auto"/>
        <w:right w:val="none" w:sz="0" w:space="0" w:color="auto"/>
      </w:divBdr>
    </w:div>
    <w:div w:id="86468270">
      <w:bodyDiv w:val="1"/>
      <w:marLeft w:val="0"/>
      <w:marRight w:val="0"/>
      <w:marTop w:val="0"/>
      <w:marBottom w:val="0"/>
      <w:divBdr>
        <w:top w:val="none" w:sz="0" w:space="0" w:color="auto"/>
        <w:left w:val="none" w:sz="0" w:space="0" w:color="auto"/>
        <w:bottom w:val="none" w:sz="0" w:space="0" w:color="auto"/>
        <w:right w:val="none" w:sz="0" w:space="0" w:color="auto"/>
      </w:divBdr>
    </w:div>
    <w:div w:id="87426824">
      <w:bodyDiv w:val="1"/>
      <w:marLeft w:val="0"/>
      <w:marRight w:val="0"/>
      <w:marTop w:val="0"/>
      <w:marBottom w:val="0"/>
      <w:divBdr>
        <w:top w:val="none" w:sz="0" w:space="0" w:color="auto"/>
        <w:left w:val="none" w:sz="0" w:space="0" w:color="auto"/>
        <w:bottom w:val="none" w:sz="0" w:space="0" w:color="auto"/>
        <w:right w:val="none" w:sz="0" w:space="0" w:color="auto"/>
      </w:divBdr>
    </w:div>
    <w:div w:id="233243917">
      <w:bodyDiv w:val="1"/>
      <w:marLeft w:val="0"/>
      <w:marRight w:val="0"/>
      <w:marTop w:val="0"/>
      <w:marBottom w:val="0"/>
      <w:divBdr>
        <w:top w:val="none" w:sz="0" w:space="0" w:color="auto"/>
        <w:left w:val="none" w:sz="0" w:space="0" w:color="auto"/>
        <w:bottom w:val="none" w:sz="0" w:space="0" w:color="auto"/>
        <w:right w:val="none" w:sz="0" w:space="0" w:color="auto"/>
      </w:divBdr>
    </w:div>
    <w:div w:id="256328237">
      <w:bodyDiv w:val="1"/>
      <w:marLeft w:val="0"/>
      <w:marRight w:val="0"/>
      <w:marTop w:val="0"/>
      <w:marBottom w:val="0"/>
      <w:divBdr>
        <w:top w:val="none" w:sz="0" w:space="0" w:color="auto"/>
        <w:left w:val="none" w:sz="0" w:space="0" w:color="auto"/>
        <w:bottom w:val="none" w:sz="0" w:space="0" w:color="auto"/>
        <w:right w:val="none" w:sz="0" w:space="0" w:color="auto"/>
      </w:divBdr>
    </w:div>
    <w:div w:id="366683969">
      <w:bodyDiv w:val="1"/>
      <w:marLeft w:val="0"/>
      <w:marRight w:val="0"/>
      <w:marTop w:val="0"/>
      <w:marBottom w:val="0"/>
      <w:divBdr>
        <w:top w:val="none" w:sz="0" w:space="0" w:color="auto"/>
        <w:left w:val="none" w:sz="0" w:space="0" w:color="auto"/>
        <w:bottom w:val="none" w:sz="0" w:space="0" w:color="auto"/>
        <w:right w:val="none" w:sz="0" w:space="0" w:color="auto"/>
      </w:divBdr>
    </w:div>
    <w:div w:id="444203080">
      <w:bodyDiv w:val="1"/>
      <w:marLeft w:val="0"/>
      <w:marRight w:val="0"/>
      <w:marTop w:val="0"/>
      <w:marBottom w:val="0"/>
      <w:divBdr>
        <w:top w:val="none" w:sz="0" w:space="0" w:color="auto"/>
        <w:left w:val="none" w:sz="0" w:space="0" w:color="auto"/>
        <w:bottom w:val="none" w:sz="0" w:space="0" w:color="auto"/>
        <w:right w:val="none" w:sz="0" w:space="0" w:color="auto"/>
      </w:divBdr>
    </w:div>
    <w:div w:id="487940780">
      <w:bodyDiv w:val="1"/>
      <w:marLeft w:val="0"/>
      <w:marRight w:val="0"/>
      <w:marTop w:val="0"/>
      <w:marBottom w:val="0"/>
      <w:divBdr>
        <w:top w:val="none" w:sz="0" w:space="0" w:color="auto"/>
        <w:left w:val="none" w:sz="0" w:space="0" w:color="auto"/>
        <w:bottom w:val="none" w:sz="0" w:space="0" w:color="auto"/>
        <w:right w:val="none" w:sz="0" w:space="0" w:color="auto"/>
      </w:divBdr>
    </w:div>
    <w:div w:id="579481623">
      <w:bodyDiv w:val="1"/>
      <w:marLeft w:val="0"/>
      <w:marRight w:val="0"/>
      <w:marTop w:val="0"/>
      <w:marBottom w:val="0"/>
      <w:divBdr>
        <w:top w:val="none" w:sz="0" w:space="0" w:color="auto"/>
        <w:left w:val="none" w:sz="0" w:space="0" w:color="auto"/>
        <w:bottom w:val="none" w:sz="0" w:space="0" w:color="auto"/>
        <w:right w:val="none" w:sz="0" w:space="0" w:color="auto"/>
      </w:divBdr>
    </w:div>
    <w:div w:id="891622726">
      <w:bodyDiv w:val="1"/>
      <w:marLeft w:val="0"/>
      <w:marRight w:val="0"/>
      <w:marTop w:val="0"/>
      <w:marBottom w:val="0"/>
      <w:divBdr>
        <w:top w:val="none" w:sz="0" w:space="0" w:color="auto"/>
        <w:left w:val="none" w:sz="0" w:space="0" w:color="auto"/>
        <w:bottom w:val="none" w:sz="0" w:space="0" w:color="auto"/>
        <w:right w:val="none" w:sz="0" w:space="0" w:color="auto"/>
      </w:divBdr>
    </w:div>
    <w:div w:id="1056858539">
      <w:bodyDiv w:val="1"/>
      <w:marLeft w:val="0"/>
      <w:marRight w:val="0"/>
      <w:marTop w:val="0"/>
      <w:marBottom w:val="0"/>
      <w:divBdr>
        <w:top w:val="none" w:sz="0" w:space="0" w:color="auto"/>
        <w:left w:val="none" w:sz="0" w:space="0" w:color="auto"/>
        <w:bottom w:val="none" w:sz="0" w:space="0" w:color="auto"/>
        <w:right w:val="none" w:sz="0" w:space="0" w:color="auto"/>
      </w:divBdr>
    </w:div>
    <w:div w:id="1184127006">
      <w:bodyDiv w:val="1"/>
      <w:marLeft w:val="0"/>
      <w:marRight w:val="0"/>
      <w:marTop w:val="0"/>
      <w:marBottom w:val="0"/>
      <w:divBdr>
        <w:top w:val="none" w:sz="0" w:space="0" w:color="auto"/>
        <w:left w:val="none" w:sz="0" w:space="0" w:color="auto"/>
        <w:bottom w:val="none" w:sz="0" w:space="0" w:color="auto"/>
        <w:right w:val="none" w:sz="0" w:space="0" w:color="auto"/>
      </w:divBdr>
    </w:div>
    <w:div w:id="1244797775">
      <w:bodyDiv w:val="1"/>
      <w:marLeft w:val="0"/>
      <w:marRight w:val="0"/>
      <w:marTop w:val="0"/>
      <w:marBottom w:val="0"/>
      <w:divBdr>
        <w:top w:val="none" w:sz="0" w:space="0" w:color="auto"/>
        <w:left w:val="none" w:sz="0" w:space="0" w:color="auto"/>
        <w:bottom w:val="none" w:sz="0" w:space="0" w:color="auto"/>
        <w:right w:val="none" w:sz="0" w:space="0" w:color="auto"/>
      </w:divBdr>
    </w:div>
    <w:div w:id="1412586171">
      <w:bodyDiv w:val="1"/>
      <w:marLeft w:val="0"/>
      <w:marRight w:val="0"/>
      <w:marTop w:val="0"/>
      <w:marBottom w:val="0"/>
      <w:divBdr>
        <w:top w:val="none" w:sz="0" w:space="0" w:color="auto"/>
        <w:left w:val="none" w:sz="0" w:space="0" w:color="auto"/>
        <w:bottom w:val="none" w:sz="0" w:space="0" w:color="auto"/>
        <w:right w:val="none" w:sz="0" w:space="0" w:color="auto"/>
      </w:divBdr>
    </w:div>
    <w:div w:id="1449813452">
      <w:bodyDiv w:val="1"/>
      <w:marLeft w:val="0"/>
      <w:marRight w:val="0"/>
      <w:marTop w:val="0"/>
      <w:marBottom w:val="0"/>
      <w:divBdr>
        <w:top w:val="none" w:sz="0" w:space="0" w:color="auto"/>
        <w:left w:val="none" w:sz="0" w:space="0" w:color="auto"/>
        <w:bottom w:val="none" w:sz="0" w:space="0" w:color="auto"/>
        <w:right w:val="none" w:sz="0" w:space="0" w:color="auto"/>
      </w:divBdr>
    </w:div>
    <w:div w:id="1566794172">
      <w:bodyDiv w:val="1"/>
      <w:marLeft w:val="0"/>
      <w:marRight w:val="0"/>
      <w:marTop w:val="0"/>
      <w:marBottom w:val="0"/>
      <w:divBdr>
        <w:top w:val="none" w:sz="0" w:space="0" w:color="auto"/>
        <w:left w:val="none" w:sz="0" w:space="0" w:color="auto"/>
        <w:bottom w:val="none" w:sz="0" w:space="0" w:color="auto"/>
        <w:right w:val="none" w:sz="0" w:space="0" w:color="auto"/>
      </w:divBdr>
    </w:div>
    <w:div w:id="1592662027">
      <w:bodyDiv w:val="1"/>
      <w:marLeft w:val="0"/>
      <w:marRight w:val="0"/>
      <w:marTop w:val="0"/>
      <w:marBottom w:val="0"/>
      <w:divBdr>
        <w:top w:val="none" w:sz="0" w:space="0" w:color="auto"/>
        <w:left w:val="none" w:sz="0" w:space="0" w:color="auto"/>
        <w:bottom w:val="none" w:sz="0" w:space="0" w:color="auto"/>
        <w:right w:val="none" w:sz="0" w:space="0" w:color="auto"/>
      </w:divBdr>
    </w:div>
    <w:div w:id="1595898108">
      <w:bodyDiv w:val="1"/>
      <w:marLeft w:val="0"/>
      <w:marRight w:val="0"/>
      <w:marTop w:val="0"/>
      <w:marBottom w:val="0"/>
      <w:divBdr>
        <w:top w:val="none" w:sz="0" w:space="0" w:color="auto"/>
        <w:left w:val="none" w:sz="0" w:space="0" w:color="auto"/>
        <w:bottom w:val="none" w:sz="0" w:space="0" w:color="auto"/>
        <w:right w:val="none" w:sz="0" w:space="0" w:color="auto"/>
      </w:divBdr>
    </w:div>
    <w:div w:id="1840654955">
      <w:bodyDiv w:val="1"/>
      <w:marLeft w:val="0"/>
      <w:marRight w:val="0"/>
      <w:marTop w:val="0"/>
      <w:marBottom w:val="0"/>
      <w:divBdr>
        <w:top w:val="none" w:sz="0" w:space="0" w:color="auto"/>
        <w:left w:val="none" w:sz="0" w:space="0" w:color="auto"/>
        <w:bottom w:val="none" w:sz="0" w:space="0" w:color="auto"/>
        <w:right w:val="none" w:sz="0" w:space="0" w:color="auto"/>
      </w:divBdr>
    </w:div>
    <w:div w:id="1976138935">
      <w:bodyDiv w:val="1"/>
      <w:marLeft w:val="0"/>
      <w:marRight w:val="0"/>
      <w:marTop w:val="0"/>
      <w:marBottom w:val="0"/>
      <w:divBdr>
        <w:top w:val="none" w:sz="0" w:space="0" w:color="auto"/>
        <w:left w:val="none" w:sz="0" w:space="0" w:color="auto"/>
        <w:bottom w:val="none" w:sz="0" w:space="0" w:color="auto"/>
        <w:right w:val="none" w:sz="0" w:space="0" w:color="auto"/>
      </w:divBdr>
    </w:div>
    <w:div w:id="1978602325">
      <w:bodyDiv w:val="1"/>
      <w:marLeft w:val="0"/>
      <w:marRight w:val="0"/>
      <w:marTop w:val="0"/>
      <w:marBottom w:val="0"/>
      <w:divBdr>
        <w:top w:val="none" w:sz="0" w:space="0" w:color="auto"/>
        <w:left w:val="none" w:sz="0" w:space="0" w:color="auto"/>
        <w:bottom w:val="none" w:sz="0" w:space="0" w:color="auto"/>
        <w:right w:val="none" w:sz="0" w:space="0" w:color="auto"/>
      </w:divBdr>
    </w:div>
    <w:div w:id="20720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703B-2F2D-481E-BCEC-4EA6225F5956}">
  <ds:schemaRefs>
    <ds:schemaRef ds:uri="http://schemas.openxmlformats.org/officeDocument/2006/bibliography"/>
  </ds:schemaRefs>
</ds:datastoreItem>
</file>

<file path=docMetadata/LabelInfo.xml><?xml version="1.0" encoding="utf-8"?>
<clbl:labelList xmlns:clbl="http://schemas.microsoft.com/office/2020/mipLabelMetadata">
  <clbl:label id="{cc95de1b-97f5-4f93-b4ba-fe68b852cf91}" enabled="0" method="" siteId="{cc95de1b-97f5-4f93-b4ba-fe68b852cf91}"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2752</Words>
  <Characters>15690</Characters>
  <Application>Microsoft Office Word</Application>
  <DocSecurity>0</DocSecurity>
  <Lines>130</Lines>
  <Paragraphs>36</Paragraphs>
  <ScaleCrop>false</ScaleCrop>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Walker</dc:creator>
  <cp:keywords/>
  <dc:description/>
  <cp:lastModifiedBy>Alicia Walker</cp:lastModifiedBy>
  <cp:revision>149</cp:revision>
  <dcterms:created xsi:type="dcterms:W3CDTF">2025-12-13T12:19:00Z</dcterms:created>
  <dcterms:modified xsi:type="dcterms:W3CDTF">2026-05-14T15:08:00Z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2025-12-12T14:03:42Z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a27d0910-7182-47b7-ae03-6968f90ffe0d</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