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BD4E5" w14:textId="77777777" w:rsidR="00265A79" w:rsidRPr="00BA74F3" w:rsidRDefault="00265A79" w:rsidP="00265A79">
      <w:pPr>
        <w:spacing w:line="360" w:lineRule="auto"/>
        <w:jc w:val="center"/>
        <w:rPr>
          <w:rFonts w:ascii="Times New Roman" w:hAnsi="Times New Roman" w:cs="Times New Roman"/>
          <w:b/>
          <w:bCs/>
          <w:sz w:val="32"/>
          <w:szCs w:val="32"/>
        </w:rPr>
      </w:pPr>
      <w:r w:rsidRPr="00BA74F3">
        <w:rPr>
          <w:rFonts w:ascii="Times New Roman" w:hAnsi="Times New Roman" w:cs="Times New Roman"/>
          <w:b/>
          <w:bCs/>
          <w:sz w:val="32"/>
          <w:szCs w:val="32"/>
        </w:rPr>
        <w:t>Chemical Barrier Modulation by Bile Salts Drives Spatially Resolved Viscoelastic Reconfiguration in Buccal Epithelia</w:t>
      </w:r>
    </w:p>
    <w:p w14:paraId="02534404" w14:textId="77777777" w:rsidR="00265A79" w:rsidRDefault="00265A79" w:rsidP="00265A79">
      <w:pPr>
        <w:spacing w:line="360" w:lineRule="auto"/>
        <w:jc w:val="center"/>
        <w:rPr>
          <w:rFonts w:ascii="Times New Roman" w:hAnsi="Times New Roman" w:cs="Times New Roman"/>
          <w:b/>
          <w:bCs/>
          <w:sz w:val="26"/>
          <w:szCs w:val="26"/>
        </w:rPr>
      </w:pPr>
    </w:p>
    <w:p w14:paraId="20912202" w14:textId="77777777" w:rsidR="0060615C" w:rsidRPr="0060615C" w:rsidRDefault="0060615C" w:rsidP="0060615C">
      <w:pPr>
        <w:spacing w:line="360" w:lineRule="auto"/>
        <w:jc w:val="both"/>
        <w:rPr>
          <w:rFonts w:ascii="Times New Roman" w:hAnsi="Times New Roman" w:cs="Times New Roman"/>
          <w:b/>
          <w:bCs/>
          <w:sz w:val="28"/>
          <w:szCs w:val="28"/>
        </w:rPr>
      </w:pPr>
    </w:p>
    <w:p w14:paraId="4A30A662" w14:textId="77777777" w:rsidR="00265A79" w:rsidRDefault="00265A79" w:rsidP="00265A79">
      <w:pPr>
        <w:jc w:val="center"/>
      </w:pPr>
    </w:p>
    <w:p w14:paraId="11DE1D13" w14:textId="77777777" w:rsidR="00265A79" w:rsidRDefault="00265A79" w:rsidP="00265A79">
      <w:pPr>
        <w:jc w:val="center"/>
      </w:pPr>
    </w:p>
    <w:p w14:paraId="6761F8DC" w14:textId="77777777" w:rsidR="00265A79" w:rsidRDefault="00265A79" w:rsidP="00265A79">
      <w:pPr>
        <w:jc w:val="center"/>
      </w:pPr>
    </w:p>
    <w:p w14:paraId="54E35572" w14:textId="77777777" w:rsidR="00265A79" w:rsidRDefault="00265A79" w:rsidP="00265A79">
      <w:pPr>
        <w:jc w:val="center"/>
      </w:pPr>
    </w:p>
    <w:p w14:paraId="4C47CF73" w14:textId="77777777" w:rsidR="00265A79" w:rsidRDefault="00265A79" w:rsidP="00265A79">
      <w:pPr>
        <w:jc w:val="center"/>
      </w:pPr>
    </w:p>
    <w:p w14:paraId="47C8EB86" w14:textId="77777777" w:rsidR="00265A79" w:rsidRDefault="00265A79" w:rsidP="00265A79">
      <w:pPr>
        <w:jc w:val="center"/>
      </w:pPr>
    </w:p>
    <w:p w14:paraId="614BB1BF" w14:textId="77777777" w:rsidR="00265A79" w:rsidRDefault="00265A79" w:rsidP="00265A79">
      <w:pPr>
        <w:jc w:val="center"/>
      </w:pPr>
    </w:p>
    <w:p w14:paraId="118B2CF9" w14:textId="77777777" w:rsidR="00D50307" w:rsidRDefault="00D50307" w:rsidP="00D50307">
      <w:pPr>
        <w:rPr>
          <w:rFonts w:ascii="Times New Roman" w:hAnsi="Times New Roman" w:cs="Times New Roman"/>
          <w:b/>
          <w:bCs/>
          <w:sz w:val="34"/>
          <w:szCs w:val="34"/>
        </w:rPr>
      </w:pPr>
    </w:p>
    <w:p w14:paraId="40B50883" w14:textId="49110646" w:rsidR="00E632A3" w:rsidRDefault="00B00210" w:rsidP="00B00210">
      <w:pPr>
        <w:jc w:val="center"/>
        <w:rPr>
          <w:rFonts w:ascii="Times New Roman" w:hAnsi="Times New Roman" w:cs="Times New Roman"/>
          <w:b/>
          <w:bCs/>
          <w:sz w:val="34"/>
          <w:szCs w:val="34"/>
        </w:rPr>
      </w:pPr>
      <w:r w:rsidRPr="00B00210">
        <w:rPr>
          <w:rFonts w:ascii="Times New Roman" w:hAnsi="Times New Roman" w:cs="Times New Roman"/>
          <w:b/>
          <w:bCs/>
          <w:sz w:val="34"/>
          <w:szCs w:val="34"/>
        </w:rPr>
        <w:t>Supplementary Information</w:t>
      </w:r>
    </w:p>
    <w:p w14:paraId="449D4DD4" w14:textId="77777777" w:rsidR="00D50307" w:rsidRDefault="00D50307" w:rsidP="00B00210">
      <w:pPr>
        <w:jc w:val="center"/>
        <w:rPr>
          <w:rFonts w:ascii="Times New Roman" w:hAnsi="Times New Roman" w:cs="Times New Roman"/>
          <w:b/>
          <w:bCs/>
          <w:sz w:val="34"/>
          <w:szCs w:val="34"/>
        </w:rPr>
      </w:pPr>
    </w:p>
    <w:p w14:paraId="10174861" w14:textId="77777777" w:rsidR="00D50307" w:rsidRDefault="00D50307" w:rsidP="00B00210">
      <w:pPr>
        <w:jc w:val="center"/>
        <w:rPr>
          <w:rFonts w:ascii="Times New Roman" w:hAnsi="Times New Roman" w:cs="Times New Roman"/>
          <w:b/>
          <w:bCs/>
          <w:sz w:val="34"/>
          <w:szCs w:val="34"/>
        </w:rPr>
      </w:pPr>
    </w:p>
    <w:p w14:paraId="08703D26" w14:textId="77777777" w:rsidR="00D50307" w:rsidRDefault="00D50307" w:rsidP="00B00210">
      <w:pPr>
        <w:jc w:val="center"/>
        <w:rPr>
          <w:rFonts w:ascii="Times New Roman" w:hAnsi="Times New Roman" w:cs="Times New Roman"/>
          <w:b/>
          <w:bCs/>
          <w:sz w:val="34"/>
          <w:szCs w:val="34"/>
        </w:rPr>
      </w:pPr>
    </w:p>
    <w:p w14:paraId="2C9C89F1" w14:textId="77777777" w:rsidR="00D50307" w:rsidRDefault="00D50307" w:rsidP="00B00210">
      <w:pPr>
        <w:jc w:val="center"/>
        <w:rPr>
          <w:rFonts w:ascii="Times New Roman" w:hAnsi="Times New Roman" w:cs="Times New Roman"/>
          <w:b/>
          <w:bCs/>
          <w:sz w:val="34"/>
          <w:szCs w:val="34"/>
        </w:rPr>
      </w:pPr>
    </w:p>
    <w:p w14:paraId="0C5D5F61" w14:textId="77777777" w:rsidR="00D50307" w:rsidRDefault="00D50307" w:rsidP="00B00210">
      <w:pPr>
        <w:jc w:val="center"/>
        <w:rPr>
          <w:rFonts w:ascii="Times New Roman" w:hAnsi="Times New Roman" w:cs="Times New Roman"/>
          <w:b/>
          <w:bCs/>
          <w:sz w:val="34"/>
          <w:szCs w:val="34"/>
        </w:rPr>
      </w:pPr>
    </w:p>
    <w:p w14:paraId="04987EF5" w14:textId="77777777" w:rsidR="00D50307" w:rsidRDefault="00D50307" w:rsidP="00B00210">
      <w:pPr>
        <w:jc w:val="center"/>
        <w:rPr>
          <w:rFonts w:ascii="Times New Roman" w:hAnsi="Times New Roman" w:cs="Times New Roman"/>
          <w:b/>
          <w:bCs/>
          <w:sz w:val="34"/>
          <w:szCs w:val="34"/>
        </w:rPr>
      </w:pPr>
    </w:p>
    <w:p w14:paraId="0581257F" w14:textId="77777777" w:rsidR="00D50307" w:rsidRDefault="00D50307" w:rsidP="00B00210">
      <w:pPr>
        <w:jc w:val="center"/>
        <w:rPr>
          <w:rFonts w:ascii="Times New Roman" w:hAnsi="Times New Roman" w:cs="Times New Roman"/>
          <w:b/>
          <w:bCs/>
          <w:sz w:val="34"/>
          <w:szCs w:val="34"/>
        </w:rPr>
      </w:pPr>
    </w:p>
    <w:p w14:paraId="70F09708" w14:textId="77777777" w:rsidR="00D50307" w:rsidRPr="00B00210" w:rsidRDefault="00D50307" w:rsidP="00B00210">
      <w:pPr>
        <w:jc w:val="center"/>
        <w:rPr>
          <w:rFonts w:ascii="Times New Roman" w:hAnsi="Times New Roman" w:cs="Times New Roman"/>
          <w:b/>
          <w:bCs/>
          <w:sz w:val="34"/>
          <w:szCs w:val="34"/>
        </w:rPr>
      </w:pPr>
    </w:p>
    <w:p w14:paraId="26235D7C" w14:textId="77777777" w:rsidR="00B00210" w:rsidRDefault="00B00210" w:rsidP="00B00210">
      <w:pPr>
        <w:jc w:val="center"/>
        <w:rPr>
          <w:rFonts w:ascii="Times New Roman" w:hAnsi="Times New Roman" w:cs="Times New Roman"/>
          <w:sz w:val="24"/>
          <w:szCs w:val="24"/>
        </w:rPr>
      </w:pPr>
    </w:p>
    <w:p w14:paraId="106370C0" w14:textId="77777777" w:rsidR="00B00210" w:rsidRDefault="00B00210" w:rsidP="00B00210">
      <w:pPr>
        <w:jc w:val="center"/>
        <w:rPr>
          <w:rFonts w:ascii="Times New Roman" w:hAnsi="Times New Roman" w:cs="Times New Roman"/>
          <w:sz w:val="24"/>
          <w:szCs w:val="24"/>
        </w:rPr>
      </w:pPr>
    </w:p>
    <w:p w14:paraId="7CB39BA3" w14:textId="76876567" w:rsidR="00B00210" w:rsidRDefault="00B00210" w:rsidP="00B00210">
      <w:pPr>
        <w:rPr>
          <w:rFonts w:ascii="Times New Roman" w:hAnsi="Times New Roman" w:cs="Times New Roman"/>
          <w:sz w:val="24"/>
          <w:szCs w:val="24"/>
        </w:rPr>
      </w:pPr>
      <w:r>
        <w:rPr>
          <w:noProof/>
        </w:rPr>
        <w:lastRenderedPageBreak/>
        <w:drawing>
          <wp:inline distT="0" distB="0" distL="0" distR="0" wp14:anchorId="78ADAA93" wp14:editId="75603AF9">
            <wp:extent cx="5731510" cy="1711325"/>
            <wp:effectExtent l="0" t="0" r="2540" b="3175"/>
            <wp:docPr id="1995994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1711325"/>
                    </a:xfrm>
                    <a:prstGeom prst="rect">
                      <a:avLst/>
                    </a:prstGeom>
                    <a:noFill/>
                    <a:ln>
                      <a:noFill/>
                    </a:ln>
                  </pic:spPr>
                </pic:pic>
              </a:graphicData>
            </a:graphic>
          </wp:inline>
        </w:drawing>
      </w:r>
    </w:p>
    <w:p w14:paraId="7BAFC7C5" w14:textId="4267C9EB" w:rsidR="00B00210" w:rsidRDefault="00B00210" w:rsidP="00B00210">
      <w:pPr>
        <w:spacing w:line="360" w:lineRule="auto"/>
        <w:jc w:val="both"/>
        <w:rPr>
          <w:rFonts w:ascii="Times New Roman" w:hAnsi="Times New Roman" w:cs="Times New Roman"/>
          <w:sz w:val="24"/>
          <w:szCs w:val="24"/>
        </w:rPr>
      </w:pPr>
      <w:r w:rsidRPr="00B00210">
        <w:rPr>
          <w:rFonts w:ascii="Times New Roman" w:hAnsi="Times New Roman" w:cs="Times New Roman"/>
          <w:b/>
          <w:bCs/>
          <w:sz w:val="24"/>
          <w:szCs w:val="24"/>
        </w:rPr>
        <w:t>Figure S1</w:t>
      </w:r>
      <w:r w:rsidR="00BA74F3">
        <w:rPr>
          <w:rFonts w:ascii="Times New Roman" w:hAnsi="Times New Roman" w:cs="Times New Roman"/>
          <w:b/>
          <w:bCs/>
          <w:sz w:val="24"/>
          <w:szCs w:val="24"/>
        </w:rPr>
        <w:t>.</w:t>
      </w:r>
      <w:r w:rsidRPr="00B00210">
        <w:rPr>
          <w:rFonts w:ascii="Times New Roman" w:hAnsi="Times New Roman" w:cs="Times New Roman"/>
          <w:b/>
          <w:bCs/>
          <w:sz w:val="24"/>
          <w:szCs w:val="24"/>
        </w:rPr>
        <w:t xml:space="preserve"> Phase-contrast imaging of TR146 buccal epithelial cells.</w:t>
      </w:r>
      <w:r w:rsidRPr="00B00210">
        <w:rPr>
          <w:rFonts w:ascii="Times New Roman" w:hAnsi="Times New Roman" w:cs="Times New Roman"/>
          <w:sz w:val="24"/>
          <w:szCs w:val="24"/>
        </w:rPr>
        <w:t xml:space="preserve"> Representative phase-contrast images of TR146 monolayers under untreated control, low GDC (1 mM), and high GDC (2 mM) conditions following 30 min exposure.</w:t>
      </w:r>
      <w:r>
        <w:rPr>
          <w:rFonts w:ascii="Times New Roman" w:hAnsi="Times New Roman" w:cs="Times New Roman"/>
          <w:sz w:val="24"/>
          <w:szCs w:val="24"/>
        </w:rPr>
        <w:t xml:space="preserve"> Scale bar=50 µm</w:t>
      </w:r>
    </w:p>
    <w:p w14:paraId="4EF978BB" w14:textId="77777777" w:rsidR="00BB4528" w:rsidRDefault="00BB4528" w:rsidP="00B00210">
      <w:pPr>
        <w:spacing w:line="360" w:lineRule="auto"/>
        <w:jc w:val="both"/>
        <w:rPr>
          <w:rFonts w:ascii="Times New Roman" w:hAnsi="Times New Roman" w:cs="Times New Roman"/>
          <w:sz w:val="24"/>
          <w:szCs w:val="24"/>
        </w:rPr>
      </w:pPr>
    </w:p>
    <w:p w14:paraId="407265AA" w14:textId="109FF15D" w:rsidR="00BB4528" w:rsidRDefault="00BB4528" w:rsidP="00B00210">
      <w:pPr>
        <w:spacing w:line="360" w:lineRule="auto"/>
        <w:jc w:val="both"/>
        <w:rPr>
          <w:rFonts w:ascii="Times New Roman" w:hAnsi="Times New Roman" w:cs="Times New Roman"/>
          <w:sz w:val="24"/>
          <w:szCs w:val="24"/>
        </w:rPr>
      </w:pPr>
      <w:r>
        <w:rPr>
          <w:noProof/>
        </w:rPr>
        <w:drawing>
          <wp:inline distT="0" distB="0" distL="0" distR="0" wp14:anchorId="62FB2984" wp14:editId="587497A6">
            <wp:extent cx="4864100" cy="2870200"/>
            <wp:effectExtent l="0" t="0" r="0" b="6350"/>
            <wp:docPr id="13370363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36315" name="Picture 1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4100" cy="2870200"/>
                    </a:xfrm>
                    <a:prstGeom prst="rect">
                      <a:avLst/>
                    </a:prstGeom>
                  </pic:spPr>
                </pic:pic>
              </a:graphicData>
            </a:graphic>
          </wp:inline>
        </w:drawing>
      </w:r>
    </w:p>
    <w:p w14:paraId="64B07AB5" w14:textId="5A2CB45D" w:rsidR="00BA74F3" w:rsidRDefault="007730D1" w:rsidP="00BF5DF4">
      <w:pPr>
        <w:spacing w:line="360" w:lineRule="auto"/>
        <w:jc w:val="both"/>
        <w:rPr>
          <w:rFonts w:ascii="Times New Roman" w:hAnsi="Times New Roman" w:cs="Times New Roman"/>
          <w:b/>
          <w:sz w:val="24"/>
          <w:szCs w:val="24"/>
          <w:lang w:val="en-US"/>
        </w:rPr>
      </w:pPr>
      <w:r w:rsidRPr="00BB4528">
        <w:rPr>
          <w:rFonts w:ascii="Times New Roman" w:hAnsi="Times New Roman" w:cs="Times New Roman"/>
          <w:b/>
          <w:sz w:val="24"/>
          <w:szCs w:val="24"/>
          <w:lang w:val="en-US"/>
        </w:rPr>
        <w:t xml:space="preserve">Figure S2: </w:t>
      </w:r>
      <w:r w:rsidR="00BB4528" w:rsidRPr="00BB4528">
        <w:rPr>
          <w:rFonts w:ascii="Times New Roman" w:hAnsi="Times New Roman" w:cs="Times New Roman"/>
          <w:bCs/>
          <w:sz w:val="24"/>
          <w:szCs w:val="24"/>
        </w:rPr>
        <w:t>Final configurations of the simulated buccal lipid membrane model after 6 μs of simulation lipid tails removed for clarity. (a) and (b) show the systems without and with GDC, respectively.</w:t>
      </w:r>
    </w:p>
    <w:p w14:paraId="4AECA217" w14:textId="77777777" w:rsidR="00BA74F3" w:rsidRPr="007730D1" w:rsidRDefault="00BA74F3" w:rsidP="00BF5DF4">
      <w:pPr>
        <w:spacing w:line="360" w:lineRule="auto"/>
        <w:jc w:val="both"/>
        <w:rPr>
          <w:rFonts w:ascii="Times New Roman" w:hAnsi="Times New Roman" w:cs="Times New Roman"/>
          <w:b/>
          <w:sz w:val="24"/>
          <w:szCs w:val="24"/>
          <w:lang w:val="en-US"/>
        </w:rPr>
      </w:pPr>
    </w:p>
    <w:p w14:paraId="0C06B0D1" w14:textId="77777777" w:rsidR="007730D1" w:rsidRDefault="007730D1" w:rsidP="00BF5DF4">
      <w:pPr>
        <w:spacing w:line="360" w:lineRule="auto"/>
        <w:jc w:val="both"/>
        <w:rPr>
          <w:rFonts w:ascii="Times New Roman" w:hAnsi="Times New Roman" w:cs="Times New Roman"/>
          <w:bCs/>
          <w:sz w:val="24"/>
          <w:szCs w:val="24"/>
          <w:lang w:val="en-US"/>
        </w:rPr>
      </w:pPr>
    </w:p>
    <w:p w14:paraId="2F0C431A" w14:textId="578F3555" w:rsidR="007730D1" w:rsidRDefault="00022098" w:rsidP="00BF5DF4">
      <w:pPr>
        <w:spacing w:line="360" w:lineRule="auto"/>
        <w:jc w:val="both"/>
        <w:rPr>
          <w:rFonts w:ascii="Times New Roman" w:hAnsi="Times New Roman" w:cs="Times New Roman"/>
          <w:bCs/>
          <w:sz w:val="24"/>
          <w:szCs w:val="24"/>
          <w:lang w:val="en-US"/>
        </w:rPr>
      </w:pPr>
      <w:r>
        <w:rPr>
          <w:noProof/>
        </w:rPr>
        <w:lastRenderedPageBreak/>
        <w:drawing>
          <wp:inline distT="0" distB="0" distL="0" distR="0" wp14:anchorId="2BFDE43C" wp14:editId="58DF0B1C">
            <wp:extent cx="5731510" cy="5731510"/>
            <wp:effectExtent l="0" t="0" r="2540" b="2540"/>
            <wp:docPr id="9783884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88423" name="Picture 1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438EF7DB" w14:textId="4357BED5" w:rsidR="00CE14D4" w:rsidRPr="003E6524" w:rsidRDefault="00CE14D4" w:rsidP="00CE14D4">
      <w:pPr>
        <w:spacing w:before="120" w:after="120" w:line="360" w:lineRule="auto"/>
        <w:jc w:val="both"/>
        <w:rPr>
          <w:rFonts w:ascii="Times New Roman" w:eastAsia="Times New Roman" w:hAnsi="Times New Roman" w:cs="Times New Roman"/>
          <w:kern w:val="0"/>
          <w14:ligatures w14:val="none"/>
        </w:rPr>
      </w:pPr>
      <w:r w:rsidRPr="00CE14D4">
        <w:rPr>
          <w:rFonts w:ascii="Times New Roman" w:eastAsia="Times New Roman" w:hAnsi="Times New Roman" w:cs="Times New Roman"/>
          <w:b/>
          <w:bCs/>
          <w:kern w:val="0"/>
          <w14:ligatures w14:val="none"/>
        </w:rPr>
        <w:t>Figure S3</w:t>
      </w:r>
      <w:r w:rsidR="00BA74F3">
        <w:rPr>
          <w:rFonts w:ascii="Times New Roman" w:eastAsia="Times New Roman" w:hAnsi="Times New Roman" w:cs="Times New Roman"/>
          <w:b/>
          <w:bCs/>
          <w:kern w:val="0"/>
          <w14:ligatures w14:val="none"/>
        </w:rPr>
        <w:t>.</w:t>
      </w:r>
      <w:r>
        <w:rPr>
          <w:rFonts w:ascii="Times New Roman" w:eastAsia="Times New Roman" w:hAnsi="Times New Roman" w:cs="Times New Roman"/>
          <w:kern w:val="0"/>
          <w14:ligatures w14:val="none"/>
        </w:rPr>
        <w:t xml:space="preserve"> </w:t>
      </w:r>
      <w:r w:rsidR="00022098" w:rsidRPr="00022098">
        <w:rPr>
          <w:rFonts w:ascii="Times New Roman" w:eastAsia="Times New Roman" w:hAnsi="Times New Roman" w:cs="Times New Roman"/>
          <w:kern w:val="0"/>
          <w14:ligatures w14:val="none"/>
        </w:rPr>
        <w:t>Lipid-specific order parameters for the sn1 and sn2 acyl chains in the interfacial and mid-layer regions for systems without and with GDC. Bonds corresponding to the sn1 and sn2 tails are labelled A and B, respectively, at the end of each bond name</w:t>
      </w:r>
      <w:r w:rsidRPr="00E96612">
        <w:rPr>
          <w:rFonts w:ascii="Times New Roman" w:eastAsia="Times New Roman" w:hAnsi="Times New Roman" w:cs="Times New Roman"/>
          <w:kern w:val="0"/>
          <w14:ligatures w14:val="none"/>
        </w:rPr>
        <w:t>.</w:t>
      </w:r>
    </w:p>
    <w:p w14:paraId="1CDF483B" w14:textId="77777777" w:rsidR="00BF5DF4" w:rsidRDefault="00BF5DF4" w:rsidP="00B00210">
      <w:pPr>
        <w:spacing w:line="360" w:lineRule="auto"/>
        <w:jc w:val="both"/>
        <w:rPr>
          <w:rFonts w:ascii="Times New Roman" w:hAnsi="Times New Roman" w:cs="Times New Roman"/>
          <w:bCs/>
          <w:sz w:val="24"/>
          <w:szCs w:val="24"/>
          <w:lang w:val="en-US"/>
        </w:rPr>
      </w:pPr>
    </w:p>
    <w:p w14:paraId="0981FB71" w14:textId="13464098" w:rsidR="00022098" w:rsidRDefault="00022098" w:rsidP="00B00210">
      <w:pPr>
        <w:spacing w:line="360" w:lineRule="auto"/>
        <w:jc w:val="both"/>
        <w:rPr>
          <w:rFonts w:ascii="Times New Roman" w:hAnsi="Times New Roman" w:cs="Times New Roman"/>
          <w:bCs/>
          <w:sz w:val="24"/>
          <w:szCs w:val="24"/>
          <w:lang w:val="en-US"/>
        </w:rPr>
      </w:pPr>
      <w:r>
        <w:rPr>
          <w:noProof/>
        </w:rPr>
        <w:lastRenderedPageBreak/>
        <w:drawing>
          <wp:inline distT="0" distB="0" distL="0" distR="0" wp14:anchorId="0928C6D6" wp14:editId="7C60BB62">
            <wp:extent cx="5730875" cy="7004685"/>
            <wp:effectExtent l="0" t="0" r="3175" b="5715"/>
            <wp:docPr id="490060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60889" name="Picture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7004685"/>
                    </a:xfrm>
                    <a:prstGeom prst="rect">
                      <a:avLst/>
                    </a:prstGeom>
                    <a:noFill/>
                  </pic:spPr>
                </pic:pic>
              </a:graphicData>
            </a:graphic>
          </wp:inline>
        </w:drawing>
      </w:r>
    </w:p>
    <w:p w14:paraId="161302A6" w14:textId="35969601" w:rsidR="00BA74F3" w:rsidRDefault="000C755A" w:rsidP="00B00210">
      <w:pPr>
        <w:spacing w:line="360" w:lineRule="auto"/>
        <w:jc w:val="both"/>
        <w:rPr>
          <w:rFonts w:ascii="Times New Roman" w:hAnsi="Times New Roman" w:cs="Times New Roman"/>
          <w:b/>
          <w:color w:val="000000" w:themeColor="text1"/>
          <w:sz w:val="24"/>
          <w:szCs w:val="24"/>
        </w:rPr>
      </w:pPr>
      <w:r w:rsidRPr="00022098">
        <w:rPr>
          <w:rFonts w:ascii="Times New Roman" w:hAnsi="Times New Roman" w:cs="Times New Roman"/>
          <w:b/>
          <w:sz w:val="24"/>
          <w:szCs w:val="24"/>
          <w:lang w:val="en-US"/>
        </w:rPr>
        <w:t xml:space="preserve">Figure S4: </w:t>
      </w:r>
      <w:r w:rsidR="00022098" w:rsidRPr="00022098">
        <w:rPr>
          <w:rFonts w:ascii="Times New Roman" w:hAnsi="Times New Roman" w:cs="Times New Roman"/>
          <w:bCs/>
          <w:color w:val="000000" w:themeColor="text1"/>
          <w:sz w:val="24"/>
          <w:szCs w:val="24"/>
        </w:rPr>
        <w:t>Time evolution of average lipid order parameters in multilamellar membranes in the absence and presence of GDC. Average order parameters for all lipids and individual lipid species are plotted as a function of simulation time for multilamellar membranes simulated without GDC (solid lines) and with GDC (dashed lines). Blue lines denote the interfacial leaflets and orange lines denote the middle bilayers. The full names of the lipid species and their abbreviations are provided in Table S1.</w:t>
      </w:r>
    </w:p>
    <w:p w14:paraId="7CF9B5AA" w14:textId="3733284B" w:rsidR="000C755A" w:rsidRDefault="000075F4" w:rsidP="00B00210">
      <w:pPr>
        <w:spacing w:line="360" w:lineRule="auto"/>
        <w:jc w:val="both"/>
        <w:rPr>
          <w:rFonts w:ascii="Times New Roman" w:hAnsi="Times New Roman" w:cs="Times New Roman"/>
          <w:b/>
          <w:sz w:val="24"/>
          <w:szCs w:val="24"/>
        </w:rPr>
      </w:pPr>
      <w:r>
        <w:rPr>
          <w:noProof/>
        </w:rPr>
        <w:lastRenderedPageBreak/>
        <w:drawing>
          <wp:inline distT="0" distB="0" distL="0" distR="0" wp14:anchorId="4E320A96" wp14:editId="519A6686">
            <wp:extent cx="5731510" cy="1530350"/>
            <wp:effectExtent l="0" t="0" r="2540" b="0"/>
            <wp:docPr id="1852215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530350"/>
                    </a:xfrm>
                    <a:prstGeom prst="rect">
                      <a:avLst/>
                    </a:prstGeom>
                    <a:noFill/>
                    <a:ln>
                      <a:noFill/>
                    </a:ln>
                  </pic:spPr>
                </pic:pic>
              </a:graphicData>
            </a:graphic>
          </wp:inline>
        </w:drawing>
      </w:r>
    </w:p>
    <w:p w14:paraId="117F0366" w14:textId="3E8052E0" w:rsidR="000075F4" w:rsidRDefault="000075F4" w:rsidP="00B00210">
      <w:pPr>
        <w:spacing w:line="360" w:lineRule="auto"/>
        <w:jc w:val="both"/>
        <w:rPr>
          <w:rFonts w:ascii="Times New Roman" w:hAnsi="Times New Roman" w:cs="Times New Roman"/>
          <w:bCs/>
          <w:sz w:val="24"/>
          <w:szCs w:val="24"/>
        </w:rPr>
      </w:pPr>
      <w:r>
        <w:rPr>
          <w:rFonts w:ascii="Times New Roman" w:hAnsi="Times New Roman" w:cs="Times New Roman"/>
          <w:b/>
          <w:sz w:val="24"/>
          <w:szCs w:val="24"/>
        </w:rPr>
        <w:t>Figure S5</w:t>
      </w:r>
      <w:r w:rsidR="00BA74F3">
        <w:rPr>
          <w:rFonts w:ascii="Times New Roman" w:hAnsi="Times New Roman" w:cs="Times New Roman"/>
          <w:b/>
          <w:sz w:val="24"/>
          <w:szCs w:val="24"/>
        </w:rPr>
        <w:t>.</w:t>
      </w:r>
      <w:r>
        <w:rPr>
          <w:rFonts w:ascii="Times New Roman" w:hAnsi="Times New Roman" w:cs="Times New Roman"/>
          <w:b/>
          <w:sz w:val="24"/>
          <w:szCs w:val="24"/>
        </w:rPr>
        <w:t xml:space="preserve"> (A) </w:t>
      </w:r>
      <w:r w:rsidRPr="000075F4">
        <w:rPr>
          <w:rFonts w:ascii="Times New Roman" w:hAnsi="Times New Roman" w:cs="Times New Roman"/>
          <w:bCs/>
          <w:sz w:val="24"/>
          <w:szCs w:val="24"/>
        </w:rPr>
        <w:t xml:space="preserve">Percentage of octreotide </w:t>
      </w:r>
      <w:r w:rsidR="00BA74F3">
        <w:rPr>
          <w:rFonts w:ascii="Times New Roman" w:hAnsi="Times New Roman" w:cs="Times New Roman"/>
          <w:bCs/>
          <w:sz w:val="24"/>
          <w:szCs w:val="24"/>
        </w:rPr>
        <w:t xml:space="preserve">(OCT) </w:t>
      </w:r>
      <w:r w:rsidRPr="000075F4">
        <w:rPr>
          <w:rFonts w:ascii="Times New Roman" w:hAnsi="Times New Roman" w:cs="Times New Roman"/>
          <w:bCs/>
          <w:sz w:val="24"/>
          <w:szCs w:val="24"/>
        </w:rPr>
        <w:t>remaining in the donor chamber 2 h after</w:t>
      </w:r>
      <w:r w:rsidR="00BA74F3">
        <w:rPr>
          <w:rFonts w:ascii="Times New Roman" w:hAnsi="Times New Roman" w:cs="Times New Roman"/>
          <w:bCs/>
          <w:sz w:val="24"/>
          <w:szCs w:val="24"/>
        </w:rPr>
        <w:t xml:space="preserve"> its</w:t>
      </w:r>
      <w:r w:rsidRPr="000075F4">
        <w:rPr>
          <w:rFonts w:ascii="Times New Roman" w:hAnsi="Times New Roman" w:cs="Times New Roman"/>
          <w:bCs/>
          <w:sz w:val="24"/>
          <w:szCs w:val="24"/>
        </w:rPr>
        <w:t xml:space="preserve"> ad</w:t>
      </w:r>
      <w:r w:rsidR="00BA74F3">
        <w:rPr>
          <w:rFonts w:ascii="Times New Roman" w:hAnsi="Times New Roman" w:cs="Times New Roman"/>
          <w:bCs/>
          <w:sz w:val="24"/>
          <w:szCs w:val="24"/>
        </w:rPr>
        <w:t>dition</w:t>
      </w:r>
      <w:r w:rsidR="00324526">
        <w:rPr>
          <w:rFonts w:ascii="Times New Roman" w:hAnsi="Times New Roman" w:cs="Times New Roman"/>
          <w:bCs/>
          <w:sz w:val="24"/>
          <w:szCs w:val="24"/>
        </w:rPr>
        <w:t xml:space="preserve"> (2 mg/ml)</w:t>
      </w:r>
      <w:r w:rsidRPr="000075F4">
        <w:rPr>
          <w:rFonts w:ascii="Times New Roman" w:hAnsi="Times New Roman" w:cs="Times New Roman"/>
          <w:bCs/>
          <w:sz w:val="24"/>
          <w:szCs w:val="24"/>
        </w:rPr>
        <w:t xml:space="preserve"> </w:t>
      </w:r>
      <w:r w:rsidR="00BA74F3">
        <w:rPr>
          <w:rFonts w:ascii="Times New Roman" w:hAnsi="Times New Roman" w:cs="Times New Roman"/>
          <w:bCs/>
          <w:sz w:val="24"/>
          <w:szCs w:val="24"/>
        </w:rPr>
        <w:t xml:space="preserve">and </w:t>
      </w:r>
      <w:r w:rsidRPr="000075F4">
        <w:rPr>
          <w:rFonts w:ascii="Times New Roman" w:hAnsi="Times New Roman" w:cs="Times New Roman"/>
          <w:bCs/>
          <w:sz w:val="24"/>
          <w:szCs w:val="24"/>
        </w:rPr>
        <w:t xml:space="preserve">following 30 or 60 min </w:t>
      </w:r>
      <w:r w:rsidR="00324526">
        <w:rPr>
          <w:rFonts w:ascii="Times New Roman" w:hAnsi="Times New Roman" w:cs="Times New Roman"/>
          <w:bCs/>
          <w:sz w:val="24"/>
          <w:szCs w:val="24"/>
        </w:rPr>
        <w:t xml:space="preserve">of 30 mM </w:t>
      </w:r>
      <w:r w:rsidRPr="000075F4">
        <w:rPr>
          <w:rFonts w:ascii="Times New Roman" w:hAnsi="Times New Roman" w:cs="Times New Roman"/>
          <w:bCs/>
          <w:sz w:val="24"/>
          <w:szCs w:val="24"/>
        </w:rPr>
        <w:t>GDC pre-exposure</w:t>
      </w:r>
      <w:r w:rsidR="00324FB1">
        <w:rPr>
          <w:rFonts w:ascii="Times New Roman" w:hAnsi="Times New Roman" w:cs="Times New Roman"/>
          <w:bCs/>
          <w:sz w:val="24"/>
          <w:szCs w:val="24"/>
        </w:rPr>
        <w:t xml:space="preserve"> to porcine buccal mucosae</w:t>
      </w:r>
      <w:r w:rsidRPr="000075F4">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b/>
          <w:sz w:val="24"/>
          <w:szCs w:val="24"/>
        </w:rPr>
        <w:t xml:space="preserve">(B) </w:t>
      </w:r>
      <w:r w:rsidRPr="000075F4">
        <w:rPr>
          <w:rFonts w:ascii="Times New Roman" w:hAnsi="Times New Roman" w:cs="Times New Roman"/>
          <w:bCs/>
          <w:sz w:val="24"/>
          <w:szCs w:val="24"/>
        </w:rPr>
        <w:t>Percentage of GDC retained in the donor chamber</w:t>
      </w:r>
      <w:r>
        <w:rPr>
          <w:rFonts w:ascii="Times New Roman" w:hAnsi="Times New Roman" w:cs="Times New Roman"/>
          <w:bCs/>
          <w:sz w:val="24"/>
          <w:szCs w:val="24"/>
        </w:rPr>
        <w:t xml:space="preserve"> </w:t>
      </w:r>
      <w:r w:rsidRPr="000075F4">
        <w:rPr>
          <w:rFonts w:ascii="Times New Roman" w:hAnsi="Times New Roman" w:cs="Times New Roman"/>
          <w:bCs/>
          <w:sz w:val="24"/>
          <w:szCs w:val="24"/>
        </w:rPr>
        <w:t xml:space="preserve">2 h </w:t>
      </w:r>
      <w:r w:rsidR="00BA74F3">
        <w:rPr>
          <w:rFonts w:ascii="Times New Roman" w:hAnsi="Times New Roman" w:cs="Times New Roman"/>
          <w:bCs/>
          <w:sz w:val="24"/>
          <w:szCs w:val="24"/>
        </w:rPr>
        <w:t>after</w:t>
      </w:r>
      <w:r>
        <w:rPr>
          <w:rFonts w:ascii="Times New Roman" w:hAnsi="Times New Roman" w:cs="Times New Roman"/>
          <w:bCs/>
          <w:sz w:val="24"/>
          <w:szCs w:val="24"/>
        </w:rPr>
        <w:t xml:space="preserve"> </w:t>
      </w:r>
      <w:r w:rsidR="00BA74F3">
        <w:rPr>
          <w:rFonts w:ascii="Times New Roman" w:hAnsi="Times New Roman" w:cs="Times New Roman"/>
          <w:bCs/>
          <w:sz w:val="24"/>
          <w:szCs w:val="24"/>
        </w:rPr>
        <w:t xml:space="preserve">OCT </w:t>
      </w:r>
      <w:r w:rsidRPr="000075F4">
        <w:rPr>
          <w:rFonts w:ascii="Times New Roman" w:hAnsi="Times New Roman" w:cs="Times New Roman"/>
          <w:bCs/>
          <w:sz w:val="24"/>
          <w:szCs w:val="24"/>
        </w:rPr>
        <w:t>exposure</w:t>
      </w:r>
      <w:r>
        <w:rPr>
          <w:rFonts w:ascii="Times New Roman" w:hAnsi="Times New Roman" w:cs="Times New Roman"/>
          <w:bCs/>
          <w:sz w:val="24"/>
          <w:szCs w:val="24"/>
        </w:rPr>
        <w:t xml:space="preserve">. </w:t>
      </w:r>
      <w:r>
        <w:rPr>
          <w:rFonts w:ascii="Times New Roman" w:hAnsi="Times New Roman" w:cs="Times New Roman"/>
          <w:b/>
          <w:sz w:val="24"/>
          <w:szCs w:val="24"/>
        </w:rPr>
        <w:t xml:space="preserve">(C) </w:t>
      </w:r>
      <w:r w:rsidRPr="000075F4">
        <w:rPr>
          <w:rFonts w:ascii="Times New Roman" w:hAnsi="Times New Roman" w:cs="Times New Roman"/>
          <w:bCs/>
          <w:sz w:val="24"/>
          <w:szCs w:val="24"/>
        </w:rPr>
        <w:t xml:space="preserve">Percentage of GDC associated with buccal tissue at the same time point, consistent with partial partitioning of GDC into the epithelial membrane. </w:t>
      </w:r>
      <w:r w:rsidR="00324FB1">
        <w:rPr>
          <w:rFonts w:ascii="Times New Roman" w:hAnsi="Times New Roman" w:cs="Times New Roman"/>
          <w:bCs/>
          <w:sz w:val="24"/>
          <w:szCs w:val="24"/>
        </w:rPr>
        <w:t>M</w:t>
      </w:r>
      <w:r w:rsidRPr="000075F4">
        <w:rPr>
          <w:rFonts w:ascii="Times New Roman" w:hAnsi="Times New Roman" w:cs="Times New Roman"/>
          <w:bCs/>
          <w:sz w:val="24"/>
          <w:szCs w:val="24"/>
        </w:rPr>
        <w:t xml:space="preserve">ean ± SD (n = 3 independent porcine buccal </w:t>
      </w:r>
      <w:r w:rsidR="00324FB1">
        <w:rPr>
          <w:rFonts w:ascii="Times New Roman" w:hAnsi="Times New Roman" w:cs="Times New Roman"/>
          <w:bCs/>
          <w:sz w:val="24"/>
          <w:szCs w:val="24"/>
        </w:rPr>
        <w:t>mucosae</w:t>
      </w:r>
      <w:r w:rsidRPr="000075F4">
        <w:rPr>
          <w:rFonts w:ascii="Times New Roman" w:hAnsi="Times New Roman" w:cs="Times New Roman"/>
          <w:bCs/>
          <w:sz w:val="24"/>
          <w:szCs w:val="24"/>
        </w:rPr>
        <w:t>).</w:t>
      </w:r>
    </w:p>
    <w:p w14:paraId="2A32AA19" w14:textId="77777777" w:rsidR="00C90523" w:rsidRDefault="00C90523" w:rsidP="00B00210">
      <w:pPr>
        <w:spacing w:line="360" w:lineRule="auto"/>
        <w:jc w:val="both"/>
        <w:rPr>
          <w:rFonts w:ascii="Times New Roman" w:hAnsi="Times New Roman" w:cs="Times New Roman"/>
          <w:bCs/>
          <w:sz w:val="24"/>
          <w:szCs w:val="24"/>
        </w:rPr>
      </w:pPr>
    </w:p>
    <w:p w14:paraId="088934A9" w14:textId="77777777" w:rsidR="00324FB1" w:rsidRDefault="00324FB1" w:rsidP="00B00210">
      <w:pPr>
        <w:spacing w:line="360" w:lineRule="auto"/>
        <w:jc w:val="both"/>
        <w:rPr>
          <w:rFonts w:ascii="Times New Roman" w:hAnsi="Times New Roman" w:cs="Times New Roman"/>
          <w:bCs/>
          <w:sz w:val="24"/>
          <w:szCs w:val="24"/>
        </w:rPr>
      </w:pPr>
    </w:p>
    <w:p w14:paraId="440B78AF" w14:textId="497634F9" w:rsidR="00C90523" w:rsidRDefault="00C90523" w:rsidP="00B00210">
      <w:pPr>
        <w:spacing w:line="360" w:lineRule="auto"/>
        <w:jc w:val="both"/>
        <w:rPr>
          <w:rFonts w:ascii="Times New Roman" w:hAnsi="Times New Roman" w:cs="Times New Roman"/>
          <w:bCs/>
          <w:sz w:val="24"/>
          <w:szCs w:val="24"/>
        </w:rPr>
      </w:pPr>
      <w:r>
        <w:rPr>
          <w:noProof/>
        </w:rPr>
        <w:drawing>
          <wp:inline distT="0" distB="0" distL="0" distR="0" wp14:anchorId="323306BD" wp14:editId="7186AB2C">
            <wp:extent cx="5731510" cy="1685925"/>
            <wp:effectExtent l="0" t="0" r="2540" b="9525"/>
            <wp:docPr id="1099313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685925"/>
                    </a:xfrm>
                    <a:prstGeom prst="rect">
                      <a:avLst/>
                    </a:prstGeom>
                    <a:noFill/>
                    <a:ln>
                      <a:noFill/>
                    </a:ln>
                  </pic:spPr>
                </pic:pic>
              </a:graphicData>
            </a:graphic>
          </wp:inline>
        </w:drawing>
      </w:r>
    </w:p>
    <w:p w14:paraId="29F4247A" w14:textId="1B39003E" w:rsidR="00C90523" w:rsidRDefault="00C90523" w:rsidP="00B00210">
      <w:pPr>
        <w:spacing w:line="360" w:lineRule="auto"/>
        <w:jc w:val="both"/>
        <w:rPr>
          <w:rFonts w:ascii="Times New Roman" w:hAnsi="Times New Roman" w:cs="Times New Roman"/>
          <w:sz w:val="24"/>
          <w:szCs w:val="24"/>
        </w:rPr>
      </w:pPr>
      <w:r w:rsidRPr="00C90523">
        <w:rPr>
          <w:rFonts w:ascii="Times New Roman" w:hAnsi="Times New Roman" w:cs="Times New Roman"/>
          <w:b/>
          <w:sz w:val="24"/>
          <w:szCs w:val="24"/>
        </w:rPr>
        <w:t>Figure S6</w:t>
      </w:r>
      <w:r w:rsidR="00324FB1">
        <w:rPr>
          <w:rFonts w:ascii="Times New Roman" w:hAnsi="Times New Roman" w:cs="Times New Roman"/>
          <w:b/>
          <w:sz w:val="24"/>
          <w:szCs w:val="24"/>
        </w:rPr>
        <w:t>.</w:t>
      </w:r>
      <w:r>
        <w:rPr>
          <w:rFonts w:ascii="Times New Roman" w:hAnsi="Times New Roman" w:cs="Times New Roman"/>
          <w:bCs/>
          <w:sz w:val="24"/>
          <w:szCs w:val="24"/>
        </w:rPr>
        <w:t xml:space="preserve"> </w:t>
      </w:r>
      <w:r w:rsidRPr="00324FB1">
        <w:rPr>
          <w:rFonts w:ascii="Times New Roman" w:hAnsi="Times New Roman" w:cs="Times New Roman"/>
          <w:sz w:val="24"/>
          <w:szCs w:val="24"/>
        </w:rPr>
        <w:t>Time-dependent penetration of</w:t>
      </w:r>
      <w:r w:rsidR="00324526">
        <w:rPr>
          <w:rFonts w:ascii="Times New Roman" w:hAnsi="Times New Roman" w:cs="Times New Roman"/>
          <w:sz w:val="24"/>
          <w:szCs w:val="24"/>
        </w:rPr>
        <w:t xml:space="preserve"> 1mg/ml</w:t>
      </w:r>
      <w:r w:rsidRPr="00324FB1">
        <w:rPr>
          <w:rFonts w:ascii="Times New Roman" w:hAnsi="Times New Roman" w:cs="Times New Roman"/>
          <w:sz w:val="24"/>
          <w:szCs w:val="24"/>
        </w:rPr>
        <w:t xml:space="preserve"> FD4 across porcine buccal </w:t>
      </w:r>
      <w:r w:rsidR="00324FB1">
        <w:rPr>
          <w:rFonts w:ascii="Times New Roman" w:hAnsi="Times New Roman" w:cs="Times New Roman"/>
          <w:sz w:val="24"/>
          <w:szCs w:val="24"/>
        </w:rPr>
        <w:t xml:space="preserve">mucosae </w:t>
      </w:r>
      <w:r w:rsidRPr="00324FB1">
        <w:rPr>
          <w:rFonts w:ascii="Times New Roman" w:hAnsi="Times New Roman" w:cs="Times New Roman"/>
          <w:sz w:val="24"/>
          <w:szCs w:val="24"/>
        </w:rPr>
        <w:t>following GDC exposure.</w:t>
      </w:r>
      <w:r w:rsidRPr="00C90523">
        <w:rPr>
          <w:rFonts w:ascii="Times New Roman" w:hAnsi="Times New Roman" w:cs="Times New Roman"/>
          <w:bCs/>
          <w:sz w:val="24"/>
          <w:szCs w:val="24"/>
        </w:rPr>
        <w:t xml:space="preserve"> Representative 3D pixel intensity surface plots showing FD4-associated fluorescence</w:t>
      </w:r>
      <w:r w:rsidR="00324FB1">
        <w:rPr>
          <w:rFonts w:ascii="Times New Roman" w:hAnsi="Times New Roman" w:cs="Times New Roman"/>
          <w:bCs/>
          <w:sz w:val="24"/>
          <w:szCs w:val="24"/>
        </w:rPr>
        <w:t xml:space="preserve"> </w:t>
      </w:r>
      <w:r w:rsidRPr="00C90523">
        <w:rPr>
          <w:rFonts w:ascii="Times New Roman" w:hAnsi="Times New Roman" w:cs="Times New Roman"/>
          <w:bCs/>
          <w:sz w:val="24"/>
          <w:szCs w:val="24"/>
        </w:rPr>
        <w:t xml:space="preserve">in buccal tissue at </w:t>
      </w:r>
      <w:r w:rsidRPr="00C90523">
        <w:rPr>
          <w:rFonts w:ascii="Times New Roman" w:hAnsi="Times New Roman" w:cs="Times New Roman"/>
          <w:b/>
          <w:sz w:val="24"/>
          <w:szCs w:val="24"/>
        </w:rPr>
        <w:t>(A)</w:t>
      </w:r>
      <w:r>
        <w:rPr>
          <w:rFonts w:ascii="Times New Roman" w:hAnsi="Times New Roman" w:cs="Times New Roman"/>
          <w:bCs/>
          <w:sz w:val="24"/>
          <w:szCs w:val="24"/>
        </w:rPr>
        <w:t xml:space="preserve"> </w:t>
      </w:r>
      <w:r w:rsidRPr="00C90523">
        <w:rPr>
          <w:rFonts w:ascii="Times New Roman" w:hAnsi="Times New Roman" w:cs="Times New Roman"/>
          <w:sz w:val="24"/>
          <w:szCs w:val="24"/>
        </w:rPr>
        <w:t xml:space="preserve">30 min, </w:t>
      </w:r>
      <w:r w:rsidRPr="00C90523">
        <w:rPr>
          <w:rFonts w:ascii="Times New Roman" w:hAnsi="Times New Roman" w:cs="Times New Roman"/>
          <w:b/>
          <w:bCs/>
          <w:sz w:val="24"/>
          <w:szCs w:val="24"/>
        </w:rPr>
        <w:t>(B)</w:t>
      </w:r>
      <w:r>
        <w:rPr>
          <w:rFonts w:ascii="Times New Roman" w:hAnsi="Times New Roman" w:cs="Times New Roman"/>
          <w:sz w:val="24"/>
          <w:szCs w:val="24"/>
        </w:rPr>
        <w:t xml:space="preserve"> </w:t>
      </w:r>
      <w:r w:rsidRPr="00C90523">
        <w:rPr>
          <w:rFonts w:ascii="Times New Roman" w:hAnsi="Times New Roman" w:cs="Times New Roman"/>
          <w:sz w:val="24"/>
          <w:szCs w:val="24"/>
        </w:rPr>
        <w:t xml:space="preserve">60 min, and </w:t>
      </w:r>
      <w:r w:rsidRPr="00C90523">
        <w:rPr>
          <w:rFonts w:ascii="Times New Roman" w:hAnsi="Times New Roman" w:cs="Times New Roman"/>
          <w:b/>
          <w:bCs/>
          <w:sz w:val="24"/>
          <w:szCs w:val="24"/>
        </w:rPr>
        <w:t>(C)</w:t>
      </w:r>
      <w:r>
        <w:rPr>
          <w:rFonts w:ascii="Times New Roman" w:hAnsi="Times New Roman" w:cs="Times New Roman"/>
          <w:sz w:val="24"/>
          <w:szCs w:val="24"/>
        </w:rPr>
        <w:t xml:space="preserve"> </w:t>
      </w:r>
      <w:r w:rsidRPr="00C90523">
        <w:rPr>
          <w:rFonts w:ascii="Times New Roman" w:hAnsi="Times New Roman" w:cs="Times New Roman"/>
          <w:sz w:val="24"/>
          <w:szCs w:val="24"/>
        </w:rPr>
        <w:t>120 min following apical ad</w:t>
      </w:r>
      <w:r w:rsidR="00324FB1">
        <w:rPr>
          <w:rFonts w:ascii="Times New Roman" w:hAnsi="Times New Roman" w:cs="Times New Roman"/>
          <w:sz w:val="24"/>
          <w:szCs w:val="24"/>
        </w:rPr>
        <w:t>dition</w:t>
      </w:r>
      <w:r w:rsidRPr="00C90523">
        <w:rPr>
          <w:rFonts w:ascii="Times New Roman" w:hAnsi="Times New Roman" w:cs="Times New Roman"/>
          <w:sz w:val="24"/>
          <w:szCs w:val="24"/>
        </w:rPr>
        <w:t xml:space="preserve"> in the presence of GDC.</w:t>
      </w:r>
    </w:p>
    <w:p w14:paraId="2D7C01F4" w14:textId="464996F2" w:rsidR="00EE0139" w:rsidRDefault="00EE0139" w:rsidP="00B00210">
      <w:pPr>
        <w:spacing w:line="360" w:lineRule="auto"/>
        <w:jc w:val="both"/>
        <w:rPr>
          <w:rFonts w:ascii="Times New Roman" w:hAnsi="Times New Roman" w:cs="Times New Roman"/>
          <w:sz w:val="24"/>
          <w:szCs w:val="24"/>
        </w:rPr>
      </w:pPr>
      <w:r>
        <w:rPr>
          <w:noProof/>
        </w:rPr>
        <w:lastRenderedPageBreak/>
        <w:drawing>
          <wp:inline distT="0" distB="0" distL="0" distR="0" wp14:anchorId="7CC94248" wp14:editId="3435F6B0">
            <wp:extent cx="4719579" cy="3613150"/>
            <wp:effectExtent l="0" t="0" r="5080" b="6350"/>
            <wp:docPr id="2515326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19579" cy="3613150"/>
                    </a:xfrm>
                    <a:prstGeom prst="rect">
                      <a:avLst/>
                    </a:prstGeom>
                    <a:noFill/>
                    <a:ln>
                      <a:noFill/>
                    </a:ln>
                  </pic:spPr>
                </pic:pic>
              </a:graphicData>
            </a:graphic>
          </wp:inline>
        </w:drawing>
      </w:r>
    </w:p>
    <w:p w14:paraId="54B6E9A9" w14:textId="47E137D7" w:rsidR="00EE0139" w:rsidRDefault="00EE0139" w:rsidP="00B0021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Figure S7</w:t>
      </w:r>
      <w:r w:rsidR="00324FB1">
        <w:rPr>
          <w:rFonts w:ascii="Times New Roman" w:hAnsi="Times New Roman" w:cs="Times New Roman"/>
          <w:b/>
          <w:bCs/>
          <w:sz w:val="24"/>
          <w:szCs w:val="24"/>
        </w:rPr>
        <w:t>.</w:t>
      </w:r>
      <w:r>
        <w:rPr>
          <w:rFonts w:ascii="Times New Roman" w:hAnsi="Times New Roman" w:cs="Times New Roman"/>
          <w:b/>
          <w:bCs/>
          <w:sz w:val="24"/>
          <w:szCs w:val="24"/>
        </w:rPr>
        <w:t xml:space="preserve"> </w:t>
      </w:r>
      <w:r w:rsidRPr="00EE0139">
        <w:rPr>
          <w:rFonts w:ascii="Times New Roman" w:hAnsi="Times New Roman" w:cs="Times New Roman"/>
          <w:sz w:val="24"/>
          <w:szCs w:val="24"/>
        </w:rPr>
        <w:t>Time-dependent fluorescence intensity distribution profiles of FD4 penetration in</w:t>
      </w:r>
      <w:r w:rsidR="00324FB1">
        <w:rPr>
          <w:rFonts w:ascii="Times New Roman" w:hAnsi="Times New Roman" w:cs="Times New Roman"/>
          <w:sz w:val="24"/>
          <w:szCs w:val="24"/>
        </w:rPr>
        <w:t>to</w:t>
      </w:r>
      <w:r w:rsidRPr="00EE0139">
        <w:rPr>
          <w:rFonts w:ascii="Times New Roman" w:hAnsi="Times New Roman" w:cs="Times New Roman"/>
          <w:sz w:val="24"/>
          <w:szCs w:val="24"/>
        </w:rPr>
        <w:t xml:space="preserve"> porcine buccal </w:t>
      </w:r>
      <w:r w:rsidR="00324FB1">
        <w:rPr>
          <w:rFonts w:ascii="Times New Roman" w:hAnsi="Times New Roman" w:cs="Times New Roman"/>
          <w:sz w:val="24"/>
          <w:szCs w:val="24"/>
        </w:rPr>
        <w:t xml:space="preserve">mucosae </w:t>
      </w:r>
      <w:r w:rsidRPr="00EE0139">
        <w:rPr>
          <w:rFonts w:ascii="Times New Roman" w:hAnsi="Times New Roman" w:cs="Times New Roman"/>
          <w:sz w:val="24"/>
          <w:szCs w:val="24"/>
        </w:rPr>
        <w:t>following GDC exposure.</w:t>
      </w:r>
    </w:p>
    <w:p w14:paraId="2C436F44" w14:textId="77777777" w:rsidR="00324FB1" w:rsidRDefault="00324FB1" w:rsidP="00B00210">
      <w:pPr>
        <w:spacing w:line="360" w:lineRule="auto"/>
        <w:jc w:val="both"/>
        <w:rPr>
          <w:rFonts w:ascii="Times New Roman" w:hAnsi="Times New Roman" w:cs="Times New Roman"/>
          <w:sz w:val="24"/>
          <w:szCs w:val="24"/>
        </w:rPr>
      </w:pPr>
    </w:p>
    <w:p w14:paraId="38E16F2B" w14:textId="77777777" w:rsidR="00324FB1" w:rsidRDefault="00324FB1" w:rsidP="00B00210">
      <w:pPr>
        <w:spacing w:line="360" w:lineRule="auto"/>
        <w:jc w:val="both"/>
        <w:rPr>
          <w:rFonts w:ascii="Times New Roman" w:hAnsi="Times New Roman" w:cs="Times New Roman"/>
          <w:sz w:val="24"/>
          <w:szCs w:val="24"/>
        </w:rPr>
      </w:pPr>
    </w:p>
    <w:p w14:paraId="3724A751" w14:textId="77777777" w:rsidR="00324FB1" w:rsidRDefault="00324FB1" w:rsidP="00B00210">
      <w:pPr>
        <w:spacing w:line="360" w:lineRule="auto"/>
        <w:jc w:val="both"/>
        <w:rPr>
          <w:rFonts w:ascii="Times New Roman" w:hAnsi="Times New Roman" w:cs="Times New Roman"/>
          <w:sz w:val="24"/>
          <w:szCs w:val="24"/>
        </w:rPr>
      </w:pPr>
    </w:p>
    <w:p w14:paraId="1AAEA2B1" w14:textId="77777777" w:rsidR="00324FB1" w:rsidRDefault="00324FB1" w:rsidP="00B00210">
      <w:pPr>
        <w:spacing w:line="360" w:lineRule="auto"/>
        <w:jc w:val="both"/>
        <w:rPr>
          <w:rFonts w:ascii="Times New Roman" w:hAnsi="Times New Roman" w:cs="Times New Roman"/>
          <w:sz w:val="24"/>
          <w:szCs w:val="24"/>
        </w:rPr>
      </w:pPr>
    </w:p>
    <w:p w14:paraId="0AA5BED0" w14:textId="77777777" w:rsidR="00324FB1" w:rsidRDefault="00324FB1" w:rsidP="00B00210">
      <w:pPr>
        <w:spacing w:line="360" w:lineRule="auto"/>
        <w:jc w:val="both"/>
        <w:rPr>
          <w:rFonts w:ascii="Times New Roman" w:hAnsi="Times New Roman" w:cs="Times New Roman"/>
          <w:sz w:val="24"/>
          <w:szCs w:val="24"/>
        </w:rPr>
      </w:pPr>
    </w:p>
    <w:p w14:paraId="77DF898B" w14:textId="77777777" w:rsidR="00324FB1" w:rsidRDefault="00324FB1" w:rsidP="00B00210">
      <w:pPr>
        <w:spacing w:line="360" w:lineRule="auto"/>
        <w:jc w:val="both"/>
        <w:rPr>
          <w:rFonts w:ascii="Times New Roman" w:hAnsi="Times New Roman" w:cs="Times New Roman"/>
          <w:sz w:val="24"/>
          <w:szCs w:val="24"/>
        </w:rPr>
      </w:pPr>
    </w:p>
    <w:p w14:paraId="5996F984" w14:textId="77777777" w:rsidR="00324FB1" w:rsidRDefault="00324FB1" w:rsidP="00B00210">
      <w:pPr>
        <w:spacing w:line="360" w:lineRule="auto"/>
        <w:jc w:val="both"/>
        <w:rPr>
          <w:rFonts w:ascii="Times New Roman" w:hAnsi="Times New Roman" w:cs="Times New Roman"/>
          <w:sz w:val="24"/>
          <w:szCs w:val="24"/>
        </w:rPr>
      </w:pPr>
    </w:p>
    <w:p w14:paraId="62081E64" w14:textId="77777777" w:rsidR="00324FB1" w:rsidRDefault="00324FB1" w:rsidP="00B00210">
      <w:pPr>
        <w:spacing w:line="360" w:lineRule="auto"/>
        <w:jc w:val="both"/>
        <w:rPr>
          <w:rFonts w:ascii="Times New Roman" w:hAnsi="Times New Roman" w:cs="Times New Roman"/>
          <w:sz w:val="24"/>
          <w:szCs w:val="24"/>
        </w:rPr>
      </w:pPr>
    </w:p>
    <w:p w14:paraId="711D10E6" w14:textId="77777777" w:rsidR="00324FB1" w:rsidRDefault="00324FB1" w:rsidP="00B00210">
      <w:pPr>
        <w:spacing w:line="360" w:lineRule="auto"/>
        <w:jc w:val="both"/>
        <w:rPr>
          <w:rFonts w:ascii="Times New Roman" w:hAnsi="Times New Roman" w:cs="Times New Roman"/>
          <w:sz w:val="24"/>
          <w:szCs w:val="24"/>
        </w:rPr>
      </w:pPr>
    </w:p>
    <w:p w14:paraId="3A3E0009" w14:textId="77777777" w:rsidR="00324FB1" w:rsidRDefault="00324FB1" w:rsidP="00B00210">
      <w:pPr>
        <w:spacing w:line="360" w:lineRule="auto"/>
        <w:jc w:val="both"/>
        <w:rPr>
          <w:rFonts w:ascii="Times New Roman" w:hAnsi="Times New Roman" w:cs="Times New Roman"/>
          <w:sz w:val="24"/>
          <w:szCs w:val="24"/>
        </w:rPr>
      </w:pPr>
    </w:p>
    <w:p w14:paraId="0C3FF8ED" w14:textId="77777777" w:rsidR="00324FB1" w:rsidRDefault="00324FB1" w:rsidP="00B00210">
      <w:pPr>
        <w:spacing w:line="360" w:lineRule="auto"/>
        <w:jc w:val="both"/>
        <w:rPr>
          <w:rFonts w:ascii="Times New Roman" w:hAnsi="Times New Roman" w:cs="Times New Roman"/>
          <w:sz w:val="24"/>
          <w:szCs w:val="24"/>
        </w:rPr>
      </w:pPr>
    </w:p>
    <w:p w14:paraId="0305F4F5" w14:textId="77777777" w:rsidR="00324FB1" w:rsidRDefault="00324FB1" w:rsidP="00B00210">
      <w:pPr>
        <w:spacing w:line="360" w:lineRule="auto"/>
        <w:jc w:val="both"/>
        <w:rPr>
          <w:rFonts w:ascii="Times New Roman" w:hAnsi="Times New Roman" w:cs="Times New Roman"/>
          <w:b/>
          <w:bCs/>
          <w:sz w:val="24"/>
          <w:szCs w:val="24"/>
        </w:rPr>
      </w:pPr>
    </w:p>
    <w:p w14:paraId="58A6D8EC" w14:textId="43FD0E65" w:rsidR="00324FB1" w:rsidRPr="00BF5DF4" w:rsidRDefault="00324FB1" w:rsidP="00324FB1">
      <w:pPr>
        <w:spacing w:line="360" w:lineRule="auto"/>
        <w:jc w:val="both"/>
        <w:rPr>
          <w:rFonts w:ascii="Times New Roman" w:hAnsi="Times New Roman" w:cs="Times New Roman"/>
          <w:bCs/>
          <w:sz w:val="24"/>
          <w:szCs w:val="24"/>
          <w:lang w:val="en-US"/>
        </w:rPr>
      </w:pPr>
      <w:r w:rsidRPr="00BF5DF4">
        <w:rPr>
          <w:rFonts w:ascii="Times New Roman" w:hAnsi="Times New Roman" w:cs="Times New Roman"/>
          <w:b/>
          <w:sz w:val="24"/>
          <w:szCs w:val="24"/>
          <w:lang w:val="en-US"/>
        </w:rPr>
        <w:lastRenderedPageBreak/>
        <w:t xml:space="preserve">Table </w:t>
      </w:r>
      <w:r>
        <w:rPr>
          <w:rFonts w:ascii="Times New Roman" w:hAnsi="Times New Roman" w:cs="Times New Roman"/>
          <w:b/>
          <w:sz w:val="24"/>
          <w:szCs w:val="24"/>
          <w:lang w:val="en-US"/>
        </w:rPr>
        <w:t>S</w:t>
      </w:r>
      <w:r w:rsidRPr="00BF5DF4">
        <w:rPr>
          <w:rFonts w:ascii="Times New Roman" w:hAnsi="Times New Roman" w:cs="Times New Roman"/>
          <w:b/>
          <w:sz w:val="24"/>
          <w:szCs w:val="24"/>
          <w:lang w:val="en-US"/>
        </w:rPr>
        <w:t>1</w:t>
      </w:r>
      <w:r>
        <w:rPr>
          <w:rFonts w:ascii="Times New Roman" w:hAnsi="Times New Roman" w:cs="Times New Roman"/>
          <w:b/>
          <w:sz w:val="24"/>
          <w:szCs w:val="24"/>
          <w:lang w:val="en-US"/>
        </w:rPr>
        <w:t>.</w:t>
      </w:r>
      <w:r w:rsidRPr="00BF5DF4">
        <w:rPr>
          <w:rFonts w:ascii="Times New Roman" w:hAnsi="Times New Roman" w:cs="Times New Roman"/>
          <w:bCs/>
          <w:sz w:val="24"/>
          <w:szCs w:val="24"/>
          <w:lang w:val="en-US"/>
        </w:rPr>
        <w:t xml:space="preserve"> Lipid composition of the buccal membrane model and corresponding Martini 3 molecule representations</w:t>
      </w:r>
      <w:r>
        <w:rPr>
          <w:rFonts w:ascii="Times New Roman" w:hAnsi="Times New Roman" w:cs="Times New Roman"/>
          <w:bCs/>
          <w:sz w:val="24"/>
          <w:szCs w:val="24"/>
          <w:lang w:val="en-US"/>
        </w:rPr>
        <w:t>.</w:t>
      </w:r>
    </w:p>
    <w:tbl>
      <w:tblPr>
        <w:tblStyle w:val="TableGrid"/>
        <w:tblW w:w="0" w:type="auto"/>
        <w:tblLook w:val="04A0" w:firstRow="1" w:lastRow="0" w:firstColumn="1" w:lastColumn="0" w:noHBand="0" w:noVBand="1"/>
      </w:tblPr>
      <w:tblGrid>
        <w:gridCol w:w="4009"/>
        <w:gridCol w:w="2118"/>
        <w:gridCol w:w="1074"/>
        <w:gridCol w:w="1815"/>
      </w:tblGrid>
      <w:tr w:rsidR="00324FB1" w:rsidRPr="00BF5DF4" w14:paraId="2837C3B8" w14:textId="77777777" w:rsidTr="00576819">
        <w:tc>
          <w:tcPr>
            <w:tcW w:w="4500" w:type="dxa"/>
            <w:tcBorders>
              <w:top w:val="single" w:sz="4" w:space="0" w:color="auto"/>
              <w:left w:val="single" w:sz="4" w:space="0" w:color="auto"/>
              <w:bottom w:val="single" w:sz="4" w:space="0" w:color="auto"/>
              <w:right w:val="single" w:sz="4" w:space="0" w:color="auto"/>
            </w:tcBorders>
            <w:hideMark/>
          </w:tcPr>
          <w:p w14:paraId="13DCC54E"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
                <w:bCs/>
                <w:sz w:val="24"/>
                <w:szCs w:val="24"/>
                <w:lang w:val="en-US"/>
              </w:rPr>
              <w:t>Lipid</w:t>
            </w:r>
          </w:p>
        </w:tc>
        <w:tc>
          <w:tcPr>
            <w:tcW w:w="2500" w:type="dxa"/>
            <w:tcBorders>
              <w:top w:val="single" w:sz="4" w:space="0" w:color="auto"/>
              <w:left w:val="single" w:sz="4" w:space="0" w:color="auto"/>
              <w:bottom w:val="single" w:sz="4" w:space="0" w:color="auto"/>
              <w:right w:val="single" w:sz="4" w:space="0" w:color="auto"/>
            </w:tcBorders>
            <w:hideMark/>
          </w:tcPr>
          <w:p w14:paraId="178A0693" w14:textId="77777777" w:rsidR="00324FB1" w:rsidRPr="00BA74F3" w:rsidRDefault="00324FB1" w:rsidP="00576819">
            <w:pPr>
              <w:spacing w:after="160" w:line="360" w:lineRule="auto"/>
              <w:jc w:val="both"/>
              <w:rPr>
                <w:rFonts w:ascii="Times New Roman" w:hAnsi="Times New Roman" w:cs="Times New Roman"/>
                <w:b/>
                <w:bCs/>
                <w:sz w:val="24"/>
                <w:szCs w:val="24"/>
                <w:lang w:val="en-US"/>
              </w:rPr>
            </w:pPr>
            <w:r w:rsidRPr="00BF5DF4">
              <w:rPr>
                <w:rFonts w:ascii="Times New Roman" w:hAnsi="Times New Roman" w:cs="Times New Roman"/>
                <w:b/>
                <w:bCs/>
                <w:sz w:val="24"/>
                <w:szCs w:val="24"/>
                <w:lang w:val="en-US"/>
              </w:rPr>
              <w:t>Molecule</w:t>
            </w:r>
            <w:r>
              <w:rPr>
                <w:rFonts w:ascii="Times New Roman" w:hAnsi="Times New Roman" w:cs="Times New Roman"/>
                <w:b/>
                <w:bCs/>
                <w:sz w:val="24"/>
                <w:szCs w:val="24"/>
                <w:lang w:val="en-US"/>
              </w:rPr>
              <w:br/>
            </w:r>
            <w:r w:rsidRPr="00BF5DF4">
              <w:rPr>
                <w:rFonts w:ascii="Times New Roman" w:hAnsi="Times New Roman" w:cs="Times New Roman"/>
                <w:b/>
                <w:bCs/>
                <w:sz w:val="24"/>
                <w:szCs w:val="24"/>
                <w:lang w:val="en-US"/>
              </w:rPr>
              <w:t xml:space="preserve"> (Martini 3)</w:t>
            </w:r>
          </w:p>
        </w:tc>
        <w:tc>
          <w:tcPr>
            <w:tcW w:w="1200" w:type="dxa"/>
            <w:tcBorders>
              <w:top w:val="single" w:sz="4" w:space="0" w:color="auto"/>
              <w:left w:val="single" w:sz="4" w:space="0" w:color="auto"/>
              <w:bottom w:val="single" w:sz="4" w:space="0" w:color="auto"/>
              <w:right w:val="single" w:sz="4" w:space="0" w:color="auto"/>
            </w:tcBorders>
            <w:hideMark/>
          </w:tcPr>
          <w:p w14:paraId="252AE29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
                <w:bCs/>
                <w:sz w:val="24"/>
                <w:szCs w:val="24"/>
                <w:lang w:val="en-US"/>
              </w:rPr>
              <w:t>wt %</w:t>
            </w:r>
          </w:p>
        </w:tc>
        <w:tc>
          <w:tcPr>
            <w:tcW w:w="2000" w:type="dxa"/>
            <w:tcBorders>
              <w:top w:val="single" w:sz="4" w:space="0" w:color="auto"/>
              <w:left w:val="single" w:sz="4" w:space="0" w:color="auto"/>
              <w:bottom w:val="single" w:sz="4" w:space="0" w:color="auto"/>
              <w:right w:val="single" w:sz="4" w:space="0" w:color="auto"/>
            </w:tcBorders>
            <w:hideMark/>
          </w:tcPr>
          <w:p w14:paraId="79435C45"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t>P</w:t>
            </w:r>
            <w:r w:rsidRPr="00BF5DF4">
              <w:rPr>
                <w:rFonts w:ascii="Times New Roman" w:hAnsi="Times New Roman" w:cs="Times New Roman"/>
                <w:b/>
                <w:bCs/>
                <w:sz w:val="24"/>
                <w:szCs w:val="24"/>
                <w:lang w:val="en-US"/>
              </w:rPr>
              <w:t>ercentage (%)</w:t>
            </w:r>
          </w:p>
        </w:tc>
      </w:tr>
      <w:tr w:rsidR="00324FB1" w:rsidRPr="00BF5DF4" w14:paraId="034ED0B2" w14:textId="77777777" w:rsidTr="00576819">
        <w:tc>
          <w:tcPr>
            <w:tcW w:w="4500" w:type="dxa"/>
            <w:tcBorders>
              <w:top w:val="single" w:sz="4" w:space="0" w:color="auto"/>
              <w:left w:val="single" w:sz="4" w:space="0" w:color="auto"/>
              <w:bottom w:val="nil"/>
              <w:right w:val="nil"/>
            </w:tcBorders>
            <w:hideMark/>
          </w:tcPr>
          <w:p w14:paraId="7E5C3F09"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Cholesterol</w:t>
            </w:r>
          </w:p>
        </w:tc>
        <w:tc>
          <w:tcPr>
            <w:tcW w:w="2500" w:type="dxa"/>
            <w:tcBorders>
              <w:top w:val="single" w:sz="4" w:space="0" w:color="auto"/>
              <w:left w:val="nil"/>
              <w:bottom w:val="nil"/>
              <w:right w:val="nil"/>
            </w:tcBorders>
            <w:hideMark/>
          </w:tcPr>
          <w:p w14:paraId="33EB2A44"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CHOL</w:t>
            </w:r>
          </w:p>
        </w:tc>
        <w:tc>
          <w:tcPr>
            <w:tcW w:w="1200" w:type="dxa"/>
            <w:tcBorders>
              <w:top w:val="single" w:sz="4" w:space="0" w:color="auto"/>
              <w:left w:val="nil"/>
              <w:bottom w:val="nil"/>
              <w:right w:val="nil"/>
            </w:tcBorders>
            <w:hideMark/>
          </w:tcPr>
          <w:p w14:paraId="5FC13F0E"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16.6</w:t>
            </w:r>
          </w:p>
        </w:tc>
        <w:tc>
          <w:tcPr>
            <w:tcW w:w="2000" w:type="dxa"/>
            <w:tcBorders>
              <w:top w:val="single" w:sz="4" w:space="0" w:color="auto"/>
              <w:left w:val="nil"/>
              <w:bottom w:val="nil"/>
              <w:right w:val="single" w:sz="4" w:space="0" w:color="auto"/>
            </w:tcBorders>
            <w:hideMark/>
          </w:tcPr>
          <w:p w14:paraId="139CD97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17</w:t>
            </w:r>
          </w:p>
        </w:tc>
      </w:tr>
      <w:tr w:rsidR="00324FB1" w:rsidRPr="00BF5DF4" w14:paraId="52B90346" w14:textId="77777777" w:rsidTr="00576819">
        <w:tc>
          <w:tcPr>
            <w:tcW w:w="4500" w:type="dxa"/>
            <w:tcBorders>
              <w:top w:val="nil"/>
              <w:left w:val="single" w:sz="4" w:space="0" w:color="auto"/>
              <w:bottom w:val="nil"/>
              <w:right w:val="nil"/>
            </w:tcBorders>
            <w:hideMark/>
          </w:tcPr>
          <w:p w14:paraId="01A8EDD2"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Cholesterol sulfate</w:t>
            </w:r>
          </w:p>
        </w:tc>
        <w:tc>
          <w:tcPr>
            <w:tcW w:w="2500" w:type="dxa"/>
            <w:tcBorders>
              <w:top w:val="nil"/>
              <w:left w:val="nil"/>
              <w:bottom w:val="nil"/>
              <w:right w:val="nil"/>
            </w:tcBorders>
            <w:hideMark/>
          </w:tcPr>
          <w:p w14:paraId="48B84AC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CHOS</w:t>
            </w:r>
          </w:p>
        </w:tc>
        <w:tc>
          <w:tcPr>
            <w:tcW w:w="1200" w:type="dxa"/>
            <w:tcBorders>
              <w:top w:val="nil"/>
              <w:left w:val="nil"/>
              <w:bottom w:val="nil"/>
              <w:right w:val="nil"/>
            </w:tcBorders>
            <w:hideMark/>
          </w:tcPr>
          <w:p w14:paraId="6118F18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0.9</w:t>
            </w:r>
          </w:p>
        </w:tc>
        <w:tc>
          <w:tcPr>
            <w:tcW w:w="2000" w:type="dxa"/>
            <w:tcBorders>
              <w:top w:val="nil"/>
              <w:left w:val="nil"/>
              <w:bottom w:val="nil"/>
              <w:right w:val="single" w:sz="4" w:space="0" w:color="auto"/>
            </w:tcBorders>
            <w:hideMark/>
          </w:tcPr>
          <w:p w14:paraId="14F694D9"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w:t>
            </w:r>
          </w:p>
        </w:tc>
      </w:tr>
      <w:tr w:rsidR="00324FB1" w:rsidRPr="00BF5DF4" w14:paraId="25BFDC71" w14:textId="77777777" w:rsidTr="00576819">
        <w:tc>
          <w:tcPr>
            <w:tcW w:w="4500" w:type="dxa"/>
            <w:tcBorders>
              <w:top w:val="nil"/>
              <w:left w:val="single" w:sz="4" w:space="0" w:color="auto"/>
              <w:bottom w:val="nil"/>
              <w:right w:val="nil"/>
            </w:tcBorders>
            <w:hideMark/>
          </w:tcPr>
          <w:p w14:paraId="1EBF8859"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Cholesteryl oleate (cholesterol ester)</w:t>
            </w:r>
          </w:p>
        </w:tc>
        <w:tc>
          <w:tcPr>
            <w:tcW w:w="2500" w:type="dxa"/>
            <w:tcBorders>
              <w:top w:val="nil"/>
              <w:left w:val="nil"/>
              <w:bottom w:val="nil"/>
              <w:right w:val="nil"/>
            </w:tcBorders>
            <w:hideMark/>
          </w:tcPr>
          <w:p w14:paraId="34DE71BC"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CHOO</w:t>
            </w:r>
          </w:p>
        </w:tc>
        <w:tc>
          <w:tcPr>
            <w:tcW w:w="1200" w:type="dxa"/>
            <w:tcBorders>
              <w:top w:val="nil"/>
              <w:left w:val="nil"/>
              <w:bottom w:val="nil"/>
              <w:right w:val="nil"/>
            </w:tcBorders>
            <w:hideMark/>
          </w:tcPr>
          <w:p w14:paraId="54BE0400"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3.6</w:t>
            </w:r>
          </w:p>
        </w:tc>
        <w:tc>
          <w:tcPr>
            <w:tcW w:w="2000" w:type="dxa"/>
            <w:tcBorders>
              <w:top w:val="nil"/>
              <w:left w:val="nil"/>
              <w:bottom w:val="nil"/>
              <w:right w:val="single" w:sz="4" w:space="0" w:color="auto"/>
            </w:tcBorders>
            <w:hideMark/>
          </w:tcPr>
          <w:p w14:paraId="18AC518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4</w:t>
            </w:r>
          </w:p>
        </w:tc>
      </w:tr>
      <w:tr w:rsidR="00324FB1" w:rsidRPr="00BF5DF4" w14:paraId="679119CF" w14:textId="77777777" w:rsidTr="00576819">
        <w:tc>
          <w:tcPr>
            <w:tcW w:w="4500" w:type="dxa"/>
            <w:tcBorders>
              <w:top w:val="nil"/>
              <w:left w:val="single" w:sz="4" w:space="0" w:color="auto"/>
              <w:bottom w:val="nil"/>
              <w:right w:val="nil"/>
            </w:tcBorders>
            <w:hideMark/>
          </w:tcPr>
          <w:p w14:paraId="4C78AA5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Triglyceride (e.g. TO, representative)</w:t>
            </w:r>
          </w:p>
        </w:tc>
        <w:tc>
          <w:tcPr>
            <w:tcW w:w="2500" w:type="dxa"/>
            <w:tcBorders>
              <w:top w:val="nil"/>
              <w:left w:val="nil"/>
              <w:bottom w:val="nil"/>
              <w:right w:val="nil"/>
            </w:tcBorders>
            <w:hideMark/>
          </w:tcPr>
          <w:p w14:paraId="4C2B12BC"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TG</w:t>
            </w:r>
          </w:p>
        </w:tc>
        <w:tc>
          <w:tcPr>
            <w:tcW w:w="1200" w:type="dxa"/>
            <w:tcBorders>
              <w:top w:val="nil"/>
              <w:left w:val="nil"/>
              <w:bottom w:val="nil"/>
              <w:right w:val="nil"/>
            </w:tcBorders>
            <w:hideMark/>
          </w:tcPr>
          <w:p w14:paraId="2B7A954F"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5.2</w:t>
            </w:r>
          </w:p>
        </w:tc>
        <w:tc>
          <w:tcPr>
            <w:tcW w:w="2000" w:type="dxa"/>
            <w:tcBorders>
              <w:top w:val="nil"/>
              <w:left w:val="nil"/>
              <w:bottom w:val="nil"/>
              <w:right w:val="single" w:sz="4" w:space="0" w:color="auto"/>
            </w:tcBorders>
            <w:hideMark/>
          </w:tcPr>
          <w:p w14:paraId="18BEB777"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5</w:t>
            </w:r>
          </w:p>
        </w:tc>
      </w:tr>
      <w:tr w:rsidR="00324FB1" w:rsidRPr="00BF5DF4" w14:paraId="2532691F" w14:textId="77777777" w:rsidTr="00576819">
        <w:tc>
          <w:tcPr>
            <w:tcW w:w="4500" w:type="dxa"/>
            <w:tcBorders>
              <w:top w:val="nil"/>
              <w:left w:val="single" w:sz="4" w:space="0" w:color="auto"/>
              <w:bottom w:val="nil"/>
              <w:right w:val="nil"/>
            </w:tcBorders>
            <w:hideMark/>
          </w:tcPr>
          <w:p w14:paraId="4498024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Free fatty acid (e.g. oleic acid</w:t>
            </w:r>
            <w:r>
              <w:rPr>
                <w:rFonts w:ascii="Times New Roman" w:hAnsi="Times New Roman" w:cs="Times New Roman"/>
                <w:bCs/>
                <w:sz w:val="24"/>
                <w:szCs w:val="24"/>
                <w:lang w:val="en-US"/>
              </w:rPr>
              <w:t>, OA</w:t>
            </w:r>
            <w:r w:rsidRPr="00BF5DF4">
              <w:rPr>
                <w:rFonts w:ascii="Times New Roman" w:hAnsi="Times New Roman" w:cs="Times New Roman"/>
                <w:bCs/>
                <w:sz w:val="24"/>
                <w:szCs w:val="24"/>
                <w:lang w:val="en-US"/>
              </w:rPr>
              <w:t>)</w:t>
            </w:r>
          </w:p>
        </w:tc>
        <w:tc>
          <w:tcPr>
            <w:tcW w:w="2500" w:type="dxa"/>
            <w:tcBorders>
              <w:top w:val="nil"/>
              <w:left w:val="nil"/>
              <w:bottom w:val="nil"/>
              <w:right w:val="nil"/>
            </w:tcBorders>
            <w:hideMark/>
          </w:tcPr>
          <w:p w14:paraId="169C1CBC"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FA</w:t>
            </w:r>
          </w:p>
        </w:tc>
        <w:tc>
          <w:tcPr>
            <w:tcW w:w="1200" w:type="dxa"/>
            <w:tcBorders>
              <w:top w:val="nil"/>
              <w:left w:val="nil"/>
              <w:bottom w:val="nil"/>
              <w:right w:val="nil"/>
            </w:tcBorders>
            <w:hideMark/>
          </w:tcPr>
          <w:p w14:paraId="7E0721F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11.8</w:t>
            </w:r>
          </w:p>
        </w:tc>
        <w:tc>
          <w:tcPr>
            <w:tcW w:w="2000" w:type="dxa"/>
            <w:tcBorders>
              <w:top w:val="nil"/>
              <w:left w:val="nil"/>
              <w:bottom w:val="nil"/>
              <w:right w:val="single" w:sz="4" w:space="0" w:color="auto"/>
            </w:tcBorders>
            <w:hideMark/>
          </w:tcPr>
          <w:p w14:paraId="72AE5651"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12</w:t>
            </w:r>
          </w:p>
        </w:tc>
      </w:tr>
      <w:tr w:rsidR="00324FB1" w:rsidRPr="00BF5DF4" w14:paraId="57B38D11" w14:textId="77777777" w:rsidTr="00576819">
        <w:tc>
          <w:tcPr>
            <w:tcW w:w="4500" w:type="dxa"/>
            <w:tcBorders>
              <w:top w:val="nil"/>
              <w:left w:val="single" w:sz="4" w:space="0" w:color="auto"/>
              <w:bottom w:val="nil"/>
              <w:right w:val="nil"/>
            </w:tcBorders>
            <w:hideMark/>
          </w:tcPr>
          <w:p w14:paraId="19F7A24E"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Ceramide 2, C20:0</w:t>
            </w:r>
          </w:p>
        </w:tc>
        <w:tc>
          <w:tcPr>
            <w:tcW w:w="2500" w:type="dxa"/>
            <w:tcBorders>
              <w:top w:val="nil"/>
              <w:left w:val="nil"/>
              <w:bottom w:val="nil"/>
              <w:right w:val="nil"/>
            </w:tcBorders>
            <w:hideMark/>
          </w:tcPr>
          <w:p w14:paraId="4C1A4E38"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KCER</w:t>
            </w:r>
          </w:p>
        </w:tc>
        <w:tc>
          <w:tcPr>
            <w:tcW w:w="1200" w:type="dxa"/>
            <w:tcBorders>
              <w:top w:val="nil"/>
              <w:left w:val="nil"/>
              <w:bottom w:val="nil"/>
              <w:right w:val="nil"/>
            </w:tcBorders>
            <w:hideMark/>
          </w:tcPr>
          <w:p w14:paraId="2837A9EA"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1.303</w:t>
            </w:r>
          </w:p>
        </w:tc>
        <w:tc>
          <w:tcPr>
            <w:tcW w:w="2000" w:type="dxa"/>
            <w:tcBorders>
              <w:top w:val="nil"/>
              <w:left w:val="nil"/>
              <w:bottom w:val="nil"/>
              <w:right w:val="single" w:sz="4" w:space="0" w:color="auto"/>
            </w:tcBorders>
            <w:hideMark/>
          </w:tcPr>
          <w:p w14:paraId="7A7E3B3D"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w:t>
            </w:r>
          </w:p>
        </w:tc>
      </w:tr>
      <w:tr w:rsidR="00324FB1" w:rsidRPr="00BF5DF4" w14:paraId="7A1C9154" w14:textId="77777777" w:rsidTr="00576819">
        <w:tc>
          <w:tcPr>
            <w:tcW w:w="4500" w:type="dxa"/>
            <w:tcBorders>
              <w:top w:val="nil"/>
              <w:left w:val="single" w:sz="4" w:space="0" w:color="auto"/>
              <w:bottom w:val="nil"/>
              <w:right w:val="nil"/>
            </w:tcBorders>
            <w:hideMark/>
          </w:tcPr>
          <w:p w14:paraId="1E37B36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Ceramide 2, C22:0</w:t>
            </w:r>
          </w:p>
        </w:tc>
        <w:tc>
          <w:tcPr>
            <w:tcW w:w="2500" w:type="dxa"/>
            <w:tcBorders>
              <w:top w:val="nil"/>
              <w:left w:val="nil"/>
              <w:bottom w:val="nil"/>
              <w:right w:val="nil"/>
            </w:tcBorders>
            <w:hideMark/>
          </w:tcPr>
          <w:p w14:paraId="59EA0AF2"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BCER</w:t>
            </w:r>
          </w:p>
        </w:tc>
        <w:tc>
          <w:tcPr>
            <w:tcW w:w="1200" w:type="dxa"/>
            <w:tcBorders>
              <w:top w:val="nil"/>
              <w:left w:val="nil"/>
              <w:bottom w:val="nil"/>
              <w:right w:val="nil"/>
            </w:tcBorders>
            <w:hideMark/>
          </w:tcPr>
          <w:p w14:paraId="02B2DD47"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0.96</w:t>
            </w:r>
          </w:p>
        </w:tc>
        <w:tc>
          <w:tcPr>
            <w:tcW w:w="2000" w:type="dxa"/>
            <w:tcBorders>
              <w:top w:val="nil"/>
              <w:left w:val="nil"/>
              <w:bottom w:val="nil"/>
              <w:right w:val="single" w:sz="4" w:space="0" w:color="auto"/>
            </w:tcBorders>
            <w:hideMark/>
          </w:tcPr>
          <w:p w14:paraId="22DFADD5"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w:t>
            </w:r>
          </w:p>
        </w:tc>
      </w:tr>
      <w:tr w:rsidR="00324FB1" w:rsidRPr="00BF5DF4" w14:paraId="0195316E" w14:textId="77777777" w:rsidTr="00576819">
        <w:tc>
          <w:tcPr>
            <w:tcW w:w="4500" w:type="dxa"/>
            <w:tcBorders>
              <w:top w:val="nil"/>
              <w:left w:val="single" w:sz="4" w:space="0" w:color="auto"/>
              <w:bottom w:val="nil"/>
              <w:right w:val="nil"/>
            </w:tcBorders>
            <w:hideMark/>
          </w:tcPr>
          <w:p w14:paraId="3500494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Ceramide 2, C24:0</w:t>
            </w:r>
          </w:p>
        </w:tc>
        <w:tc>
          <w:tcPr>
            <w:tcW w:w="2500" w:type="dxa"/>
            <w:tcBorders>
              <w:top w:val="nil"/>
              <w:left w:val="nil"/>
              <w:bottom w:val="nil"/>
              <w:right w:val="nil"/>
            </w:tcBorders>
            <w:hideMark/>
          </w:tcPr>
          <w:p w14:paraId="67077205"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XCER</w:t>
            </w:r>
          </w:p>
        </w:tc>
        <w:tc>
          <w:tcPr>
            <w:tcW w:w="1200" w:type="dxa"/>
            <w:tcBorders>
              <w:top w:val="nil"/>
              <w:left w:val="nil"/>
              <w:bottom w:val="nil"/>
              <w:right w:val="nil"/>
            </w:tcBorders>
            <w:hideMark/>
          </w:tcPr>
          <w:p w14:paraId="23AE0C20"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1.843</w:t>
            </w:r>
          </w:p>
        </w:tc>
        <w:tc>
          <w:tcPr>
            <w:tcW w:w="2000" w:type="dxa"/>
            <w:tcBorders>
              <w:top w:val="nil"/>
              <w:left w:val="nil"/>
              <w:bottom w:val="nil"/>
              <w:right w:val="single" w:sz="4" w:space="0" w:color="auto"/>
            </w:tcBorders>
            <w:hideMark/>
          </w:tcPr>
          <w:p w14:paraId="6713E71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2</w:t>
            </w:r>
          </w:p>
        </w:tc>
      </w:tr>
      <w:tr w:rsidR="00324FB1" w:rsidRPr="00BF5DF4" w14:paraId="4057EFC5" w14:textId="77777777" w:rsidTr="00576819">
        <w:tc>
          <w:tcPr>
            <w:tcW w:w="4500" w:type="dxa"/>
            <w:tcBorders>
              <w:top w:val="nil"/>
              <w:left w:val="single" w:sz="4" w:space="0" w:color="auto"/>
              <w:bottom w:val="nil"/>
              <w:right w:val="nil"/>
            </w:tcBorders>
            <w:hideMark/>
          </w:tcPr>
          <w:p w14:paraId="5395F4CB"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Ceramide 2, C26+ (proxy ≥26C)</w:t>
            </w:r>
          </w:p>
        </w:tc>
        <w:tc>
          <w:tcPr>
            <w:tcW w:w="2500" w:type="dxa"/>
            <w:tcBorders>
              <w:top w:val="nil"/>
              <w:left w:val="nil"/>
              <w:bottom w:val="nil"/>
              <w:right w:val="nil"/>
            </w:tcBorders>
            <w:hideMark/>
          </w:tcPr>
          <w:p w14:paraId="3ADCF38D"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CCER</w:t>
            </w:r>
          </w:p>
        </w:tc>
        <w:tc>
          <w:tcPr>
            <w:tcW w:w="1200" w:type="dxa"/>
            <w:tcBorders>
              <w:top w:val="nil"/>
              <w:left w:val="nil"/>
              <w:bottom w:val="nil"/>
              <w:right w:val="nil"/>
            </w:tcBorders>
            <w:hideMark/>
          </w:tcPr>
          <w:p w14:paraId="49784B6D"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3.566</w:t>
            </w:r>
          </w:p>
        </w:tc>
        <w:tc>
          <w:tcPr>
            <w:tcW w:w="2000" w:type="dxa"/>
            <w:tcBorders>
              <w:top w:val="nil"/>
              <w:left w:val="nil"/>
              <w:bottom w:val="nil"/>
              <w:right w:val="single" w:sz="4" w:space="0" w:color="auto"/>
            </w:tcBorders>
            <w:hideMark/>
          </w:tcPr>
          <w:p w14:paraId="26F28152"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4</w:t>
            </w:r>
          </w:p>
        </w:tc>
      </w:tr>
      <w:tr w:rsidR="00324FB1" w:rsidRPr="00BF5DF4" w14:paraId="3BD7F81C" w14:textId="77777777" w:rsidTr="00576819">
        <w:tc>
          <w:tcPr>
            <w:tcW w:w="4500" w:type="dxa"/>
            <w:tcBorders>
              <w:top w:val="nil"/>
              <w:left w:val="single" w:sz="4" w:space="0" w:color="auto"/>
              <w:bottom w:val="nil"/>
              <w:right w:val="nil"/>
            </w:tcBorders>
            <w:hideMark/>
          </w:tcPr>
          <w:p w14:paraId="08962F4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proofErr w:type="spellStart"/>
            <w:r w:rsidRPr="00BF5DF4">
              <w:rPr>
                <w:rFonts w:ascii="Times New Roman" w:hAnsi="Times New Roman" w:cs="Times New Roman"/>
                <w:bCs/>
                <w:sz w:val="24"/>
                <w:szCs w:val="24"/>
                <w:lang w:val="en-US"/>
              </w:rPr>
              <w:t>Glycosylceramide</w:t>
            </w:r>
            <w:proofErr w:type="spellEnd"/>
            <w:r w:rsidRPr="00BF5DF4">
              <w:rPr>
                <w:rFonts w:ascii="Times New Roman" w:hAnsi="Times New Roman" w:cs="Times New Roman"/>
                <w:bCs/>
                <w:sz w:val="24"/>
                <w:szCs w:val="24"/>
                <w:lang w:val="en-US"/>
              </w:rPr>
              <w:t xml:space="preserve"> (</w:t>
            </w:r>
            <w:proofErr w:type="spellStart"/>
            <w:r w:rsidRPr="00BF5DF4">
              <w:rPr>
                <w:rFonts w:ascii="Times New Roman" w:hAnsi="Times New Roman" w:cs="Times New Roman"/>
                <w:bCs/>
                <w:sz w:val="24"/>
                <w:szCs w:val="24"/>
                <w:lang w:val="en-US"/>
              </w:rPr>
              <w:t>monohexosylceramide</w:t>
            </w:r>
            <w:proofErr w:type="spellEnd"/>
            <w:r w:rsidRPr="00BF5DF4">
              <w:rPr>
                <w:rFonts w:ascii="Times New Roman" w:hAnsi="Times New Roman" w:cs="Times New Roman"/>
                <w:bCs/>
                <w:sz w:val="24"/>
                <w:szCs w:val="24"/>
                <w:lang w:val="en-US"/>
              </w:rPr>
              <w:t>)</w:t>
            </w:r>
          </w:p>
        </w:tc>
        <w:tc>
          <w:tcPr>
            <w:tcW w:w="2500" w:type="dxa"/>
            <w:tcBorders>
              <w:top w:val="nil"/>
              <w:left w:val="nil"/>
              <w:bottom w:val="nil"/>
              <w:right w:val="nil"/>
            </w:tcBorders>
            <w:hideMark/>
          </w:tcPr>
          <w:p w14:paraId="049FD6E4"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GLPE</w:t>
            </w:r>
          </w:p>
        </w:tc>
        <w:tc>
          <w:tcPr>
            <w:tcW w:w="1200" w:type="dxa"/>
            <w:tcBorders>
              <w:top w:val="nil"/>
              <w:left w:val="nil"/>
              <w:bottom w:val="nil"/>
              <w:right w:val="nil"/>
            </w:tcBorders>
            <w:hideMark/>
          </w:tcPr>
          <w:p w14:paraId="03038920"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19</w:t>
            </w:r>
          </w:p>
        </w:tc>
        <w:tc>
          <w:tcPr>
            <w:tcW w:w="2000" w:type="dxa"/>
            <w:tcBorders>
              <w:top w:val="nil"/>
              <w:left w:val="nil"/>
              <w:bottom w:val="nil"/>
              <w:right w:val="single" w:sz="4" w:space="0" w:color="auto"/>
            </w:tcBorders>
            <w:hideMark/>
          </w:tcPr>
          <w:p w14:paraId="39B04F1E"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6</w:t>
            </w:r>
          </w:p>
        </w:tc>
      </w:tr>
      <w:tr w:rsidR="00324FB1" w:rsidRPr="00BF5DF4" w14:paraId="3EB04BA4" w14:textId="77777777" w:rsidTr="00576819">
        <w:tc>
          <w:tcPr>
            <w:tcW w:w="4500" w:type="dxa"/>
            <w:tcBorders>
              <w:top w:val="nil"/>
              <w:left w:val="single" w:sz="4" w:space="0" w:color="auto"/>
              <w:bottom w:val="nil"/>
              <w:right w:val="nil"/>
            </w:tcBorders>
            <w:hideMark/>
          </w:tcPr>
          <w:p w14:paraId="67561C37" w14:textId="77777777" w:rsidR="00324FB1" w:rsidRPr="00BF5DF4" w:rsidRDefault="00324FB1" w:rsidP="00576819">
            <w:pPr>
              <w:spacing w:after="160" w:line="360" w:lineRule="auto"/>
              <w:jc w:val="both"/>
              <w:rPr>
                <w:rFonts w:ascii="Times New Roman" w:hAnsi="Times New Roman" w:cs="Times New Roman"/>
                <w:bCs/>
                <w:sz w:val="24"/>
                <w:szCs w:val="24"/>
                <w:lang w:val="en-US"/>
              </w:rPr>
            </w:pPr>
            <w:proofErr w:type="spellStart"/>
            <w:r w:rsidRPr="00BF5DF4">
              <w:rPr>
                <w:rFonts w:ascii="Times New Roman" w:hAnsi="Times New Roman" w:cs="Times New Roman"/>
                <w:bCs/>
                <w:sz w:val="24"/>
                <w:szCs w:val="24"/>
                <w:lang w:val="en-US"/>
              </w:rPr>
              <w:t>Glycosylceramide</w:t>
            </w:r>
            <w:proofErr w:type="spellEnd"/>
            <w:r w:rsidRPr="00BF5DF4">
              <w:rPr>
                <w:rFonts w:ascii="Times New Roman" w:hAnsi="Times New Roman" w:cs="Times New Roman"/>
                <w:bCs/>
                <w:sz w:val="24"/>
                <w:szCs w:val="24"/>
                <w:lang w:val="en-US"/>
              </w:rPr>
              <w:t xml:space="preserve"> (</w:t>
            </w:r>
            <w:proofErr w:type="spellStart"/>
            <w:r w:rsidRPr="00BF5DF4">
              <w:rPr>
                <w:rFonts w:ascii="Times New Roman" w:hAnsi="Times New Roman" w:cs="Times New Roman"/>
                <w:bCs/>
                <w:sz w:val="24"/>
                <w:szCs w:val="24"/>
                <w:lang w:val="en-US"/>
              </w:rPr>
              <w:t>monohexosylceramide</w:t>
            </w:r>
            <w:proofErr w:type="spellEnd"/>
            <w:r w:rsidRPr="00BF5DF4">
              <w:rPr>
                <w:rFonts w:ascii="Times New Roman" w:hAnsi="Times New Roman" w:cs="Times New Roman"/>
                <w:bCs/>
                <w:sz w:val="24"/>
                <w:szCs w:val="24"/>
                <w:lang w:val="en-US"/>
              </w:rPr>
              <w:t>, CCER-based)</w:t>
            </w:r>
          </w:p>
        </w:tc>
        <w:tc>
          <w:tcPr>
            <w:tcW w:w="2500" w:type="dxa"/>
            <w:tcBorders>
              <w:top w:val="nil"/>
              <w:left w:val="nil"/>
              <w:bottom w:val="nil"/>
              <w:right w:val="nil"/>
            </w:tcBorders>
            <w:hideMark/>
          </w:tcPr>
          <w:p w14:paraId="6D85663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GLCE</w:t>
            </w:r>
          </w:p>
        </w:tc>
        <w:tc>
          <w:tcPr>
            <w:tcW w:w="1200" w:type="dxa"/>
            <w:tcBorders>
              <w:top w:val="nil"/>
              <w:left w:val="nil"/>
              <w:bottom w:val="nil"/>
              <w:right w:val="nil"/>
            </w:tcBorders>
          </w:tcPr>
          <w:p w14:paraId="31AF059A" w14:textId="77777777" w:rsidR="00324FB1" w:rsidRPr="00BF5DF4" w:rsidRDefault="00324FB1" w:rsidP="00576819">
            <w:pPr>
              <w:spacing w:after="160" w:line="360" w:lineRule="auto"/>
              <w:jc w:val="both"/>
              <w:rPr>
                <w:rFonts w:ascii="Times New Roman" w:hAnsi="Times New Roman" w:cs="Times New Roman"/>
                <w:bCs/>
                <w:sz w:val="24"/>
                <w:szCs w:val="24"/>
                <w:lang w:val="en-US"/>
              </w:rPr>
            </w:pPr>
          </w:p>
        </w:tc>
        <w:tc>
          <w:tcPr>
            <w:tcW w:w="2000" w:type="dxa"/>
            <w:tcBorders>
              <w:top w:val="nil"/>
              <w:left w:val="nil"/>
              <w:bottom w:val="nil"/>
              <w:right w:val="single" w:sz="4" w:space="0" w:color="auto"/>
            </w:tcBorders>
            <w:hideMark/>
          </w:tcPr>
          <w:p w14:paraId="2276B2A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13</w:t>
            </w:r>
          </w:p>
        </w:tc>
      </w:tr>
      <w:tr w:rsidR="00324FB1" w:rsidRPr="00BF5DF4" w14:paraId="6BBA60DA" w14:textId="77777777" w:rsidTr="00576819">
        <w:tc>
          <w:tcPr>
            <w:tcW w:w="4500" w:type="dxa"/>
            <w:tcBorders>
              <w:top w:val="nil"/>
              <w:left w:val="single" w:sz="4" w:space="0" w:color="auto"/>
              <w:bottom w:val="nil"/>
              <w:right w:val="nil"/>
            </w:tcBorders>
            <w:hideMark/>
          </w:tcPr>
          <w:p w14:paraId="0C52BB68"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Sphingomyelin</w:t>
            </w:r>
          </w:p>
        </w:tc>
        <w:tc>
          <w:tcPr>
            <w:tcW w:w="2500" w:type="dxa"/>
            <w:tcBorders>
              <w:top w:val="nil"/>
              <w:left w:val="nil"/>
              <w:bottom w:val="nil"/>
              <w:right w:val="nil"/>
            </w:tcBorders>
            <w:hideMark/>
          </w:tcPr>
          <w:p w14:paraId="5CEC3CAD"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SM (SSM)</w:t>
            </w:r>
          </w:p>
        </w:tc>
        <w:tc>
          <w:tcPr>
            <w:tcW w:w="1200" w:type="dxa"/>
            <w:tcBorders>
              <w:top w:val="nil"/>
              <w:left w:val="nil"/>
              <w:bottom w:val="nil"/>
              <w:right w:val="nil"/>
            </w:tcBorders>
            <w:hideMark/>
          </w:tcPr>
          <w:p w14:paraId="6DE0A604"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11.9</w:t>
            </w:r>
          </w:p>
        </w:tc>
        <w:tc>
          <w:tcPr>
            <w:tcW w:w="2000" w:type="dxa"/>
            <w:tcBorders>
              <w:top w:val="nil"/>
              <w:left w:val="nil"/>
              <w:bottom w:val="nil"/>
              <w:right w:val="single" w:sz="4" w:space="0" w:color="auto"/>
            </w:tcBorders>
            <w:hideMark/>
          </w:tcPr>
          <w:p w14:paraId="5E4DDA3E"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12</w:t>
            </w:r>
          </w:p>
        </w:tc>
      </w:tr>
      <w:tr w:rsidR="00324FB1" w:rsidRPr="00BF5DF4" w14:paraId="5F056C68" w14:textId="77777777" w:rsidTr="00576819">
        <w:tc>
          <w:tcPr>
            <w:tcW w:w="4500" w:type="dxa"/>
            <w:tcBorders>
              <w:top w:val="nil"/>
              <w:left w:val="single" w:sz="4" w:space="0" w:color="auto"/>
              <w:bottom w:val="nil"/>
              <w:right w:val="nil"/>
            </w:tcBorders>
            <w:hideMark/>
          </w:tcPr>
          <w:p w14:paraId="68226D59"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Phosphatidylethanolamine</w:t>
            </w:r>
          </w:p>
        </w:tc>
        <w:tc>
          <w:tcPr>
            <w:tcW w:w="2500" w:type="dxa"/>
            <w:tcBorders>
              <w:top w:val="nil"/>
              <w:left w:val="nil"/>
              <w:bottom w:val="nil"/>
              <w:right w:val="nil"/>
            </w:tcBorders>
            <w:hideMark/>
          </w:tcPr>
          <w:p w14:paraId="0BC9EDBD"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PO</w:t>
            </w:r>
            <w:r w:rsidRPr="00BF5DF4">
              <w:rPr>
                <w:rFonts w:ascii="Times New Roman" w:hAnsi="Times New Roman" w:cs="Times New Roman"/>
                <w:bCs/>
                <w:sz w:val="24"/>
                <w:szCs w:val="24"/>
                <w:lang w:val="en-US"/>
              </w:rPr>
              <w:t>PE</w:t>
            </w:r>
          </w:p>
        </w:tc>
        <w:tc>
          <w:tcPr>
            <w:tcW w:w="1200" w:type="dxa"/>
            <w:tcBorders>
              <w:top w:val="nil"/>
              <w:left w:val="nil"/>
              <w:bottom w:val="nil"/>
              <w:right w:val="nil"/>
            </w:tcBorders>
            <w:hideMark/>
          </w:tcPr>
          <w:p w14:paraId="5CB22F8B"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6</w:t>
            </w:r>
          </w:p>
        </w:tc>
        <w:tc>
          <w:tcPr>
            <w:tcW w:w="2000" w:type="dxa"/>
            <w:tcBorders>
              <w:top w:val="nil"/>
              <w:left w:val="nil"/>
              <w:bottom w:val="nil"/>
              <w:right w:val="single" w:sz="4" w:space="0" w:color="auto"/>
            </w:tcBorders>
            <w:hideMark/>
          </w:tcPr>
          <w:p w14:paraId="3AD6D711"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6</w:t>
            </w:r>
          </w:p>
        </w:tc>
      </w:tr>
      <w:tr w:rsidR="00324FB1" w:rsidRPr="00BF5DF4" w14:paraId="2B9E4A5F" w14:textId="77777777" w:rsidTr="00576819">
        <w:tc>
          <w:tcPr>
            <w:tcW w:w="4500" w:type="dxa"/>
            <w:tcBorders>
              <w:top w:val="nil"/>
              <w:left w:val="single" w:sz="4" w:space="0" w:color="auto"/>
              <w:bottom w:val="nil"/>
              <w:right w:val="nil"/>
            </w:tcBorders>
            <w:hideMark/>
          </w:tcPr>
          <w:p w14:paraId="6E1CCBB0"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Phosphatidylserine</w:t>
            </w:r>
          </w:p>
        </w:tc>
        <w:tc>
          <w:tcPr>
            <w:tcW w:w="2500" w:type="dxa"/>
            <w:tcBorders>
              <w:top w:val="nil"/>
              <w:left w:val="nil"/>
              <w:bottom w:val="nil"/>
              <w:right w:val="nil"/>
            </w:tcBorders>
            <w:hideMark/>
          </w:tcPr>
          <w:p w14:paraId="61BF0D15"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PO</w:t>
            </w:r>
            <w:r w:rsidRPr="00BF5DF4">
              <w:rPr>
                <w:rFonts w:ascii="Times New Roman" w:hAnsi="Times New Roman" w:cs="Times New Roman"/>
                <w:bCs/>
                <w:sz w:val="24"/>
                <w:szCs w:val="24"/>
                <w:lang w:val="en-US"/>
              </w:rPr>
              <w:t>PS</w:t>
            </w:r>
          </w:p>
        </w:tc>
        <w:tc>
          <w:tcPr>
            <w:tcW w:w="1200" w:type="dxa"/>
            <w:tcBorders>
              <w:top w:val="nil"/>
              <w:left w:val="nil"/>
              <w:bottom w:val="nil"/>
              <w:right w:val="nil"/>
            </w:tcBorders>
            <w:hideMark/>
          </w:tcPr>
          <w:p w14:paraId="7965B910"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5.1</w:t>
            </w:r>
          </w:p>
        </w:tc>
        <w:tc>
          <w:tcPr>
            <w:tcW w:w="2000" w:type="dxa"/>
            <w:tcBorders>
              <w:top w:val="nil"/>
              <w:left w:val="nil"/>
              <w:bottom w:val="nil"/>
              <w:right w:val="single" w:sz="4" w:space="0" w:color="auto"/>
            </w:tcBorders>
            <w:hideMark/>
          </w:tcPr>
          <w:p w14:paraId="4E79A43B"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5</w:t>
            </w:r>
          </w:p>
        </w:tc>
      </w:tr>
      <w:tr w:rsidR="00324FB1" w:rsidRPr="00BF5DF4" w14:paraId="7EC5AE56" w14:textId="77777777" w:rsidTr="00576819">
        <w:tc>
          <w:tcPr>
            <w:tcW w:w="4500" w:type="dxa"/>
            <w:tcBorders>
              <w:top w:val="nil"/>
              <w:left w:val="single" w:sz="4" w:space="0" w:color="auto"/>
              <w:bottom w:val="nil"/>
              <w:right w:val="nil"/>
            </w:tcBorders>
            <w:hideMark/>
          </w:tcPr>
          <w:p w14:paraId="7297D74E"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Phosphatidylinositol</w:t>
            </w:r>
          </w:p>
        </w:tc>
        <w:tc>
          <w:tcPr>
            <w:tcW w:w="2500" w:type="dxa"/>
            <w:tcBorders>
              <w:top w:val="nil"/>
              <w:left w:val="nil"/>
              <w:bottom w:val="nil"/>
              <w:right w:val="nil"/>
            </w:tcBorders>
            <w:hideMark/>
          </w:tcPr>
          <w:p w14:paraId="462BBF6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PO</w:t>
            </w:r>
            <w:r w:rsidRPr="00BF5DF4">
              <w:rPr>
                <w:rFonts w:ascii="Times New Roman" w:hAnsi="Times New Roman" w:cs="Times New Roman"/>
                <w:bCs/>
                <w:sz w:val="24"/>
                <w:szCs w:val="24"/>
                <w:lang w:val="en-US"/>
              </w:rPr>
              <w:t>PI</w:t>
            </w:r>
          </w:p>
        </w:tc>
        <w:tc>
          <w:tcPr>
            <w:tcW w:w="1200" w:type="dxa"/>
            <w:tcBorders>
              <w:top w:val="nil"/>
              <w:left w:val="nil"/>
              <w:bottom w:val="nil"/>
              <w:right w:val="nil"/>
            </w:tcBorders>
            <w:hideMark/>
          </w:tcPr>
          <w:p w14:paraId="175A93D5"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2.2</w:t>
            </w:r>
          </w:p>
        </w:tc>
        <w:tc>
          <w:tcPr>
            <w:tcW w:w="2000" w:type="dxa"/>
            <w:tcBorders>
              <w:top w:val="nil"/>
              <w:left w:val="nil"/>
              <w:bottom w:val="nil"/>
              <w:right w:val="single" w:sz="4" w:space="0" w:color="auto"/>
            </w:tcBorders>
            <w:hideMark/>
          </w:tcPr>
          <w:p w14:paraId="08E61BD0"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2</w:t>
            </w:r>
          </w:p>
        </w:tc>
      </w:tr>
      <w:tr w:rsidR="00324FB1" w:rsidRPr="00BF5DF4" w14:paraId="64E4547A" w14:textId="77777777" w:rsidTr="00576819">
        <w:tc>
          <w:tcPr>
            <w:tcW w:w="4500" w:type="dxa"/>
            <w:tcBorders>
              <w:top w:val="nil"/>
              <w:left w:val="single" w:sz="4" w:space="0" w:color="auto"/>
              <w:bottom w:val="single" w:sz="4" w:space="0" w:color="auto"/>
              <w:right w:val="nil"/>
            </w:tcBorders>
            <w:hideMark/>
          </w:tcPr>
          <w:p w14:paraId="00BE06CB"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Phosphatidylcholine</w:t>
            </w:r>
          </w:p>
        </w:tc>
        <w:tc>
          <w:tcPr>
            <w:tcW w:w="2500" w:type="dxa"/>
            <w:tcBorders>
              <w:top w:val="nil"/>
              <w:left w:val="nil"/>
              <w:bottom w:val="single" w:sz="4" w:space="0" w:color="auto"/>
              <w:right w:val="nil"/>
            </w:tcBorders>
            <w:hideMark/>
          </w:tcPr>
          <w:p w14:paraId="15173C71"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PO</w:t>
            </w:r>
            <w:r w:rsidRPr="00BF5DF4">
              <w:rPr>
                <w:rFonts w:ascii="Times New Roman" w:hAnsi="Times New Roman" w:cs="Times New Roman"/>
                <w:bCs/>
                <w:sz w:val="24"/>
                <w:szCs w:val="24"/>
                <w:lang w:val="en-US"/>
              </w:rPr>
              <w:t>PC</w:t>
            </w:r>
          </w:p>
        </w:tc>
        <w:tc>
          <w:tcPr>
            <w:tcW w:w="1200" w:type="dxa"/>
            <w:tcBorders>
              <w:top w:val="nil"/>
              <w:left w:val="nil"/>
              <w:bottom w:val="single" w:sz="4" w:space="0" w:color="auto"/>
              <w:right w:val="nil"/>
            </w:tcBorders>
            <w:hideMark/>
          </w:tcPr>
          <w:p w14:paraId="3776725A"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9.4</w:t>
            </w:r>
          </w:p>
        </w:tc>
        <w:tc>
          <w:tcPr>
            <w:tcW w:w="2000" w:type="dxa"/>
            <w:tcBorders>
              <w:top w:val="nil"/>
              <w:left w:val="nil"/>
              <w:bottom w:val="single" w:sz="4" w:space="0" w:color="auto"/>
              <w:right w:val="single" w:sz="4" w:space="0" w:color="auto"/>
            </w:tcBorders>
            <w:hideMark/>
          </w:tcPr>
          <w:p w14:paraId="560DA79F"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9</w:t>
            </w:r>
          </w:p>
        </w:tc>
      </w:tr>
    </w:tbl>
    <w:p w14:paraId="2689C4BB" w14:textId="77777777" w:rsidR="00324FB1" w:rsidRPr="00BF5DF4" w:rsidRDefault="00324FB1" w:rsidP="00324FB1">
      <w:pPr>
        <w:spacing w:line="360" w:lineRule="auto"/>
        <w:jc w:val="both"/>
        <w:rPr>
          <w:rFonts w:ascii="Times New Roman" w:hAnsi="Times New Roman" w:cs="Times New Roman"/>
          <w:bCs/>
          <w:sz w:val="24"/>
          <w:szCs w:val="24"/>
          <w:lang w:val="en-US"/>
        </w:rPr>
      </w:pPr>
    </w:p>
    <w:p w14:paraId="25954FDF" w14:textId="77777777" w:rsidR="00324FB1" w:rsidRDefault="00324FB1" w:rsidP="00B00210">
      <w:pPr>
        <w:spacing w:line="360" w:lineRule="auto"/>
        <w:jc w:val="both"/>
        <w:rPr>
          <w:rFonts w:ascii="Times New Roman" w:hAnsi="Times New Roman" w:cs="Times New Roman"/>
          <w:bCs/>
          <w:sz w:val="24"/>
          <w:szCs w:val="24"/>
          <w:lang w:val="en-US"/>
        </w:rPr>
      </w:pPr>
    </w:p>
    <w:p w14:paraId="43CDB0AA" w14:textId="77777777" w:rsidR="00324FB1" w:rsidRDefault="00324FB1" w:rsidP="00B00210">
      <w:pPr>
        <w:spacing w:line="360" w:lineRule="auto"/>
        <w:jc w:val="both"/>
        <w:rPr>
          <w:rFonts w:ascii="Times New Roman" w:hAnsi="Times New Roman" w:cs="Times New Roman"/>
          <w:b/>
          <w:bCs/>
          <w:sz w:val="24"/>
          <w:szCs w:val="24"/>
        </w:rPr>
      </w:pPr>
    </w:p>
    <w:p w14:paraId="66A6D4C3" w14:textId="79F776CB" w:rsidR="00EE0139" w:rsidRPr="00EE0139" w:rsidRDefault="00EE0139" w:rsidP="00B0021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Table S2</w:t>
      </w:r>
      <w:r w:rsidR="00324FB1">
        <w:rPr>
          <w:rFonts w:ascii="Times New Roman" w:hAnsi="Times New Roman" w:cs="Times New Roman"/>
          <w:b/>
          <w:bCs/>
          <w:sz w:val="24"/>
          <w:szCs w:val="24"/>
        </w:rPr>
        <w:t>.</w:t>
      </w:r>
      <w:r>
        <w:rPr>
          <w:rFonts w:ascii="Times New Roman" w:hAnsi="Times New Roman" w:cs="Times New Roman"/>
          <w:b/>
          <w:bCs/>
          <w:sz w:val="24"/>
          <w:szCs w:val="24"/>
        </w:rPr>
        <w:t xml:space="preserve"> </w:t>
      </w:r>
      <w:r w:rsidRPr="00324FB1">
        <w:rPr>
          <w:rFonts w:ascii="Times New Roman" w:hAnsi="Times New Roman" w:cs="Times New Roman"/>
          <w:sz w:val="24"/>
          <w:szCs w:val="24"/>
        </w:rPr>
        <w:t>Semiquantitative summary of FD4 permeation derived from fluorescence pixel intensity analysis.</w:t>
      </w:r>
    </w:p>
    <w:tbl>
      <w:tblPr>
        <w:tblW w:w="8070" w:type="dxa"/>
        <w:tblCellMar>
          <w:left w:w="0" w:type="dxa"/>
          <w:right w:w="0" w:type="dxa"/>
        </w:tblCellMar>
        <w:tblLook w:val="0420" w:firstRow="1" w:lastRow="0" w:firstColumn="0" w:lastColumn="0" w:noHBand="0" w:noVBand="1"/>
      </w:tblPr>
      <w:tblGrid>
        <w:gridCol w:w="1408"/>
        <w:gridCol w:w="3969"/>
        <w:gridCol w:w="2693"/>
      </w:tblGrid>
      <w:tr w:rsidR="00EE0139" w:rsidRPr="00EE0139" w14:paraId="14A3F24C" w14:textId="77777777" w:rsidTr="00EE0139">
        <w:trPr>
          <w:trHeight w:val="584"/>
        </w:trPr>
        <w:tc>
          <w:tcPr>
            <w:tcW w:w="14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2B640D" w14:textId="77777777" w:rsidR="00EE0139" w:rsidRPr="00EE0139" w:rsidRDefault="00EE0139" w:rsidP="00EE0139">
            <w:pPr>
              <w:spacing w:line="360" w:lineRule="auto"/>
              <w:jc w:val="both"/>
              <w:rPr>
                <w:rFonts w:ascii="Times New Roman" w:hAnsi="Times New Roman" w:cs="Times New Roman"/>
                <w:b/>
                <w:bCs/>
                <w:sz w:val="24"/>
                <w:szCs w:val="24"/>
              </w:rPr>
            </w:pPr>
            <w:r w:rsidRPr="00EE0139">
              <w:rPr>
                <w:rFonts w:ascii="Times New Roman" w:hAnsi="Times New Roman" w:cs="Times New Roman"/>
                <w:b/>
                <w:bCs/>
                <w:sz w:val="24"/>
                <w:szCs w:val="24"/>
              </w:rPr>
              <w:t>Tissue</w:t>
            </w:r>
          </w:p>
        </w:tc>
        <w:tc>
          <w:tcPr>
            <w:tcW w:w="39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AA2C79" w14:textId="77777777" w:rsidR="00EE0139" w:rsidRPr="00EE0139" w:rsidRDefault="00EE0139" w:rsidP="00EE0139">
            <w:pPr>
              <w:spacing w:line="360" w:lineRule="auto"/>
              <w:jc w:val="both"/>
              <w:rPr>
                <w:rFonts w:ascii="Times New Roman" w:hAnsi="Times New Roman" w:cs="Times New Roman"/>
                <w:b/>
                <w:bCs/>
                <w:sz w:val="24"/>
                <w:szCs w:val="24"/>
              </w:rPr>
            </w:pPr>
            <w:r w:rsidRPr="00EE0139">
              <w:rPr>
                <w:rFonts w:ascii="Times New Roman" w:hAnsi="Times New Roman" w:cs="Times New Roman"/>
                <w:b/>
                <w:bCs/>
                <w:sz w:val="24"/>
                <w:szCs w:val="24"/>
              </w:rPr>
              <w:t>Arithmetic mean intensity</w:t>
            </w:r>
          </w:p>
        </w:tc>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791192" w14:textId="17100BAC" w:rsidR="00EE0139" w:rsidRPr="00EE0139" w:rsidRDefault="00324FB1" w:rsidP="00EE013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SD</w:t>
            </w:r>
          </w:p>
        </w:tc>
      </w:tr>
      <w:tr w:rsidR="00EE0139" w:rsidRPr="00EE0139" w14:paraId="0A6514AF" w14:textId="77777777" w:rsidTr="00EE0139">
        <w:trPr>
          <w:trHeight w:val="584"/>
        </w:trPr>
        <w:tc>
          <w:tcPr>
            <w:tcW w:w="14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93026E"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30 min</w:t>
            </w:r>
          </w:p>
        </w:tc>
        <w:tc>
          <w:tcPr>
            <w:tcW w:w="39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D13856"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13.1</w:t>
            </w:r>
          </w:p>
        </w:tc>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6B172E"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4.8</w:t>
            </w:r>
          </w:p>
        </w:tc>
      </w:tr>
      <w:tr w:rsidR="00EE0139" w:rsidRPr="00EE0139" w14:paraId="4B6F36E7" w14:textId="77777777" w:rsidTr="00EE0139">
        <w:trPr>
          <w:trHeight w:val="584"/>
        </w:trPr>
        <w:tc>
          <w:tcPr>
            <w:tcW w:w="14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D7304D"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60 min</w:t>
            </w:r>
          </w:p>
        </w:tc>
        <w:tc>
          <w:tcPr>
            <w:tcW w:w="39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64D2AF"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95.8</w:t>
            </w:r>
            <w:r w:rsidRPr="00EE0139">
              <w:rPr>
                <w:rFonts w:ascii="Times New Roman" w:hAnsi="Times New Roman" w:cs="Times New Roman"/>
                <w:sz w:val="24"/>
                <w:szCs w:val="24"/>
              </w:rPr>
              <w:tab/>
            </w:r>
          </w:p>
        </w:tc>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F3862C"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37.5</w:t>
            </w:r>
            <w:r w:rsidRPr="00EE0139">
              <w:rPr>
                <w:rFonts w:ascii="Times New Roman" w:hAnsi="Times New Roman" w:cs="Times New Roman"/>
                <w:sz w:val="24"/>
                <w:szCs w:val="24"/>
              </w:rPr>
              <w:tab/>
            </w:r>
          </w:p>
        </w:tc>
      </w:tr>
      <w:tr w:rsidR="00EE0139" w:rsidRPr="00EE0139" w14:paraId="113E4C9D" w14:textId="77777777" w:rsidTr="00EE0139">
        <w:trPr>
          <w:trHeight w:val="584"/>
        </w:trPr>
        <w:tc>
          <w:tcPr>
            <w:tcW w:w="14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9A0B7F" w14:textId="22B257D6"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120</w:t>
            </w:r>
            <w:r w:rsidR="00324FB1">
              <w:rPr>
                <w:rFonts w:ascii="Times New Roman" w:hAnsi="Times New Roman" w:cs="Times New Roman"/>
                <w:sz w:val="24"/>
                <w:szCs w:val="24"/>
              </w:rPr>
              <w:t xml:space="preserve"> min</w:t>
            </w:r>
          </w:p>
        </w:tc>
        <w:tc>
          <w:tcPr>
            <w:tcW w:w="39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B7B6DE"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104.1</w:t>
            </w:r>
          </w:p>
        </w:tc>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EF312D"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42.5</w:t>
            </w:r>
          </w:p>
        </w:tc>
      </w:tr>
    </w:tbl>
    <w:p w14:paraId="2B8FB55D" w14:textId="77777777" w:rsidR="00EE0139" w:rsidRPr="00EE0139" w:rsidRDefault="00EE0139" w:rsidP="00B00210">
      <w:pPr>
        <w:spacing w:line="360" w:lineRule="auto"/>
        <w:jc w:val="both"/>
        <w:rPr>
          <w:rFonts w:ascii="Times New Roman" w:hAnsi="Times New Roman" w:cs="Times New Roman"/>
          <w:sz w:val="24"/>
          <w:szCs w:val="24"/>
        </w:rPr>
      </w:pPr>
    </w:p>
    <w:sectPr w:rsidR="00EE0139" w:rsidRPr="00EE0139">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CBFC6" w14:textId="77777777" w:rsidR="00CA0919" w:rsidRDefault="00CA0919" w:rsidP="00324FB1">
      <w:pPr>
        <w:spacing w:after="0" w:line="240" w:lineRule="auto"/>
      </w:pPr>
      <w:r>
        <w:separator/>
      </w:r>
    </w:p>
  </w:endnote>
  <w:endnote w:type="continuationSeparator" w:id="0">
    <w:p w14:paraId="0A6F8EB0" w14:textId="77777777" w:rsidR="00CA0919" w:rsidRDefault="00CA0919" w:rsidP="00324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342139"/>
      <w:docPartObj>
        <w:docPartGallery w:val="Page Numbers (Bottom of Page)"/>
        <w:docPartUnique/>
      </w:docPartObj>
    </w:sdtPr>
    <w:sdtEndPr>
      <w:rPr>
        <w:noProof/>
      </w:rPr>
    </w:sdtEndPr>
    <w:sdtContent>
      <w:p w14:paraId="246EB611" w14:textId="587391E0" w:rsidR="00324FB1" w:rsidRDefault="00324F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190566" w14:textId="77777777" w:rsidR="00324FB1" w:rsidRDefault="00324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8A14F" w14:textId="77777777" w:rsidR="00CA0919" w:rsidRDefault="00CA0919" w:rsidP="00324FB1">
      <w:pPr>
        <w:spacing w:after="0" w:line="240" w:lineRule="auto"/>
      </w:pPr>
      <w:r>
        <w:separator/>
      </w:r>
    </w:p>
  </w:footnote>
  <w:footnote w:type="continuationSeparator" w:id="0">
    <w:p w14:paraId="4885786B" w14:textId="77777777" w:rsidR="00CA0919" w:rsidRDefault="00CA0919" w:rsidP="00324F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210"/>
    <w:rsid w:val="000075F4"/>
    <w:rsid w:val="00022098"/>
    <w:rsid w:val="000248DF"/>
    <w:rsid w:val="00066034"/>
    <w:rsid w:val="000C26F7"/>
    <w:rsid w:val="000C755A"/>
    <w:rsid w:val="0016759E"/>
    <w:rsid w:val="00193BCE"/>
    <w:rsid w:val="00265A79"/>
    <w:rsid w:val="00324526"/>
    <w:rsid w:val="00324FB1"/>
    <w:rsid w:val="00436643"/>
    <w:rsid w:val="005A5EC6"/>
    <w:rsid w:val="005D1ECC"/>
    <w:rsid w:val="005D7BA3"/>
    <w:rsid w:val="0060615C"/>
    <w:rsid w:val="006A3A27"/>
    <w:rsid w:val="006C5D0D"/>
    <w:rsid w:val="006D0514"/>
    <w:rsid w:val="006F72B0"/>
    <w:rsid w:val="00722C48"/>
    <w:rsid w:val="00753AF0"/>
    <w:rsid w:val="007730D1"/>
    <w:rsid w:val="007805F8"/>
    <w:rsid w:val="007D1D00"/>
    <w:rsid w:val="00811546"/>
    <w:rsid w:val="00816DE8"/>
    <w:rsid w:val="009075EC"/>
    <w:rsid w:val="009B685B"/>
    <w:rsid w:val="00A06337"/>
    <w:rsid w:val="00B00210"/>
    <w:rsid w:val="00BA74F3"/>
    <w:rsid w:val="00BB4528"/>
    <w:rsid w:val="00BF5DF4"/>
    <w:rsid w:val="00C51593"/>
    <w:rsid w:val="00C90523"/>
    <w:rsid w:val="00CA0919"/>
    <w:rsid w:val="00CE14D4"/>
    <w:rsid w:val="00D50307"/>
    <w:rsid w:val="00DE785E"/>
    <w:rsid w:val="00E632A3"/>
    <w:rsid w:val="00E96612"/>
    <w:rsid w:val="00EE0139"/>
    <w:rsid w:val="00EE5FB1"/>
    <w:rsid w:val="00F20B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CD89B"/>
  <w15:chartTrackingRefBased/>
  <w15:docId w15:val="{A2C95ACF-558D-4F51-9336-AD477512C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0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0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02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02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02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02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2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2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2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2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02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02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02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02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02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2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2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210"/>
    <w:rPr>
      <w:rFonts w:eastAsiaTheme="majorEastAsia" w:cstheme="majorBidi"/>
      <w:color w:val="272727" w:themeColor="text1" w:themeTint="D8"/>
    </w:rPr>
  </w:style>
  <w:style w:type="paragraph" w:styleId="Title">
    <w:name w:val="Title"/>
    <w:basedOn w:val="Normal"/>
    <w:next w:val="Normal"/>
    <w:link w:val="TitleChar"/>
    <w:uiPriority w:val="10"/>
    <w:qFormat/>
    <w:rsid w:val="00B00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2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2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2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210"/>
    <w:pPr>
      <w:spacing w:before="160"/>
      <w:jc w:val="center"/>
    </w:pPr>
    <w:rPr>
      <w:i/>
      <w:iCs/>
      <w:color w:val="404040" w:themeColor="text1" w:themeTint="BF"/>
    </w:rPr>
  </w:style>
  <w:style w:type="character" w:customStyle="1" w:styleId="QuoteChar">
    <w:name w:val="Quote Char"/>
    <w:basedOn w:val="DefaultParagraphFont"/>
    <w:link w:val="Quote"/>
    <w:uiPriority w:val="29"/>
    <w:rsid w:val="00B00210"/>
    <w:rPr>
      <w:i/>
      <w:iCs/>
      <w:color w:val="404040" w:themeColor="text1" w:themeTint="BF"/>
    </w:rPr>
  </w:style>
  <w:style w:type="paragraph" w:styleId="ListParagraph">
    <w:name w:val="List Paragraph"/>
    <w:basedOn w:val="Normal"/>
    <w:uiPriority w:val="34"/>
    <w:qFormat/>
    <w:rsid w:val="00B00210"/>
    <w:pPr>
      <w:ind w:left="720"/>
      <w:contextualSpacing/>
    </w:pPr>
  </w:style>
  <w:style w:type="character" w:styleId="IntenseEmphasis">
    <w:name w:val="Intense Emphasis"/>
    <w:basedOn w:val="DefaultParagraphFont"/>
    <w:uiPriority w:val="21"/>
    <w:qFormat/>
    <w:rsid w:val="00B00210"/>
    <w:rPr>
      <w:i/>
      <w:iCs/>
      <w:color w:val="0F4761" w:themeColor="accent1" w:themeShade="BF"/>
    </w:rPr>
  </w:style>
  <w:style w:type="paragraph" w:styleId="IntenseQuote">
    <w:name w:val="Intense Quote"/>
    <w:basedOn w:val="Normal"/>
    <w:next w:val="Normal"/>
    <w:link w:val="IntenseQuoteChar"/>
    <w:uiPriority w:val="30"/>
    <w:qFormat/>
    <w:rsid w:val="00B00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0210"/>
    <w:rPr>
      <w:i/>
      <w:iCs/>
      <w:color w:val="0F4761" w:themeColor="accent1" w:themeShade="BF"/>
    </w:rPr>
  </w:style>
  <w:style w:type="character" w:styleId="IntenseReference">
    <w:name w:val="Intense Reference"/>
    <w:basedOn w:val="DefaultParagraphFont"/>
    <w:uiPriority w:val="32"/>
    <w:qFormat/>
    <w:rsid w:val="00B00210"/>
    <w:rPr>
      <w:b/>
      <w:bCs/>
      <w:smallCaps/>
      <w:color w:val="0F4761" w:themeColor="accent1" w:themeShade="BF"/>
      <w:spacing w:val="5"/>
    </w:rPr>
  </w:style>
  <w:style w:type="table" w:styleId="TableGrid">
    <w:name w:val="Table Grid"/>
    <w:basedOn w:val="TableNormal"/>
    <w:uiPriority w:val="39"/>
    <w:rsid w:val="00BF5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5A79"/>
    <w:rPr>
      <w:color w:val="467886" w:themeColor="hyperlink"/>
      <w:u w:val="single"/>
    </w:rPr>
  </w:style>
  <w:style w:type="character" w:styleId="CommentReference">
    <w:name w:val="annotation reference"/>
    <w:basedOn w:val="DefaultParagraphFont"/>
    <w:uiPriority w:val="99"/>
    <w:semiHidden/>
    <w:unhideWhenUsed/>
    <w:rsid w:val="00BA74F3"/>
    <w:rPr>
      <w:sz w:val="16"/>
      <w:szCs w:val="16"/>
    </w:rPr>
  </w:style>
  <w:style w:type="paragraph" w:styleId="CommentText">
    <w:name w:val="annotation text"/>
    <w:basedOn w:val="Normal"/>
    <w:link w:val="CommentTextChar"/>
    <w:uiPriority w:val="99"/>
    <w:unhideWhenUsed/>
    <w:rsid w:val="00BA74F3"/>
    <w:pPr>
      <w:spacing w:line="240" w:lineRule="auto"/>
    </w:pPr>
    <w:rPr>
      <w:sz w:val="20"/>
      <w:szCs w:val="20"/>
    </w:rPr>
  </w:style>
  <w:style w:type="character" w:customStyle="1" w:styleId="CommentTextChar">
    <w:name w:val="Comment Text Char"/>
    <w:basedOn w:val="DefaultParagraphFont"/>
    <w:link w:val="CommentText"/>
    <w:uiPriority w:val="99"/>
    <w:rsid w:val="00BA74F3"/>
    <w:rPr>
      <w:sz w:val="20"/>
      <w:szCs w:val="20"/>
    </w:rPr>
  </w:style>
  <w:style w:type="paragraph" w:styleId="CommentSubject">
    <w:name w:val="annotation subject"/>
    <w:basedOn w:val="CommentText"/>
    <w:next w:val="CommentText"/>
    <w:link w:val="CommentSubjectChar"/>
    <w:uiPriority w:val="99"/>
    <w:semiHidden/>
    <w:unhideWhenUsed/>
    <w:rsid w:val="00BA74F3"/>
    <w:rPr>
      <w:b/>
      <w:bCs/>
    </w:rPr>
  </w:style>
  <w:style w:type="character" w:customStyle="1" w:styleId="CommentSubjectChar">
    <w:name w:val="Comment Subject Char"/>
    <w:basedOn w:val="CommentTextChar"/>
    <w:link w:val="CommentSubject"/>
    <w:uiPriority w:val="99"/>
    <w:semiHidden/>
    <w:rsid w:val="00BA74F3"/>
    <w:rPr>
      <w:b/>
      <w:bCs/>
      <w:sz w:val="20"/>
      <w:szCs w:val="20"/>
    </w:rPr>
  </w:style>
  <w:style w:type="paragraph" w:styleId="Header">
    <w:name w:val="header"/>
    <w:basedOn w:val="Normal"/>
    <w:link w:val="HeaderChar"/>
    <w:uiPriority w:val="99"/>
    <w:unhideWhenUsed/>
    <w:rsid w:val="00324F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FB1"/>
  </w:style>
  <w:style w:type="paragraph" w:styleId="Footer">
    <w:name w:val="footer"/>
    <w:basedOn w:val="Normal"/>
    <w:link w:val="FooterChar"/>
    <w:uiPriority w:val="99"/>
    <w:unhideWhenUsed/>
    <w:rsid w:val="00324F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Sahil Malhotra</dc:creator>
  <cp:keywords/>
  <dc:description/>
  <cp:lastModifiedBy>David Brayden</cp:lastModifiedBy>
  <cp:revision>2</cp:revision>
  <dcterms:created xsi:type="dcterms:W3CDTF">2026-06-04T13:37:00Z</dcterms:created>
  <dcterms:modified xsi:type="dcterms:W3CDTF">2026-06-04T13:37:00Z</dcterms:modified>
</cp:coreProperties>
</file>