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881B025">
      <w:pPr>
        <w:widowControl/>
        <w:adjustRightInd w:val="0"/>
        <w:snapToGrid w:val="0"/>
        <w:jc w:val="center"/>
        <w:rPr>
          <w:rFonts w:ascii="Times New Roman" w:hAnsi="Times New Roman" w:cs="Times New Roman"/>
          <w:b/>
          <w:color w:val="000000" w:themeColor="text1"/>
          <w:sz w:val="32"/>
          <w:szCs w:val="32"/>
          <w14:textFill>
            <w14:solidFill>
              <w14:schemeClr w14:val="tx1"/>
            </w14:solidFill>
          </w14:textFill>
        </w:rPr>
      </w:pPr>
      <w:bookmarkStart w:id="0" w:name="_Hlk166164926"/>
      <w:r>
        <w:rPr>
          <w:rFonts w:ascii="Times New Roman" w:hAnsi="Times New Roman" w:cs="Times New Roman"/>
          <w:b/>
          <w:color w:val="000000" w:themeColor="text1"/>
          <w:sz w:val="32"/>
          <w:szCs w:val="32"/>
          <w14:textFill>
            <w14:solidFill>
              <w14:schemeClr w14:val="tx1"/>
            </w14:solidFill>
          </w14:textFill>
        </w:rPr>
        <w:t>Supporting Information</w:t>
      </w:r>
    </w:p>
    <w:p w14:paraId="510B356A">
      <w:pPr>
        <w:widowControl/>
        <w:adjustRightInd w:val="0"/>
        <w:snapToGrid w:val="0"/>
        <w:jc w:val="center"/>
        <w:rPr>
          <w:rFonts w:ascii="Times New Roman" w:hAnsi="Times New Roman" w:cs="Times New Roman"/>
          <w:b/>
          <w:color w:val="000000" w:themeColor="text1"/>
          <w:sz w:val="32"/>
          <w:szCs w:val="32"/>
          <w14:textFill>
            <w14:solidFill>
              <w14:schemeClr w14:val="tx1"/>
            </w14:solidFill>
          </w14:textFill>
        </w:rPr>
      </w:pPr>
    </w:p>
    <w:p w14:paraId="22A6FB28">
      <w:pPr>
        <w:widowControl/>
        <w:adjustRightInd w:val="0"/>
        <w:snapToGrid w:val="0"/>
        <w:spacing w:afterLines="0" w:line="480" w:lineRule="auto"/>
        <w:jc w:val="center"/>
        <w:rPr>
          <w:rFonts w:ascii="Times New Roman" w:hAnsi="Times New Roman"/>
          <w:b/>
          <w:sz w:val="30"/>
        </w:rPr>
      </w:pPr>
      <w:bookmarkStart w:id="1" w:name="_Hlk212791441"/>
      <w:bookmarkStart w:id="2" w:name="OLE_LINK14"/>
      <w:bookmarkStart w:id="3" w:name="OLE_LINK60"/>
      <w:bookmarkStart w:id="4" w:name="OLE_LINK63"/>
      <w:bookmarkStart w:id="5" w:name="_Hlk190969096"/>
      <w:bookmarkStart w:id="6" w:name="OLE_LINK17"/>
      <w:bookmarkStart w:id="7" w:name="OLE_LINK18"/>
      <w:bookmarkStart w:id="8" w:name="_Hlk175686439"/>
      <w:bookmarkStart w:id="9" w:name="OLE_LINK61"/>
      <w:bookmarkStart w:id="10" w:name="_Hlk212017896"/>
      <w:r>
        <w:rPr>
          <w:rFonts w:hint="eastAsia" w:ascii="Times New Roman" w:hAnsi="Times New Roman"/>
          <w:b/>
          <w:sz w:val="30"/>
        </w:rPr>
        <w:t>Vacancy-Clustered Molybdenum Oxide for Charge-Driven Laser Desorption/Ionization Mass Spectrometry in Serum and Spatial Metabolomics</w:t>
      </w:r>
    </w:p>
    <w:bookmarkEnd w:id="1"/>
    <w:bookmarkEnd w:id="2"/>
    <w:bookmarkEnd w:id="3"/>
    <w:bookmarkEnd w:id="4"/>
    <w:p w14:paraId="7AFDF276">
      <w:pPr>
        <w:widowControl/>
        <w:adjustRightInd w:val="0"/>
        <w:snapToGrid w:val="0"/>
        <w:spacing w:afterLines="0" w:line="480" w:lineRule="auto"/>
        <w:jc w:val="both"/>
        <w:rPr>
          <w:rFonts w:ascii="Times New Roman" w:hAnsi="Times New Roman"/>
          <w:iCs/>
          <w:sz w:val="24"/>
          <w:vertAlign w:val="superscript"/>
        </w:rPr>
      </w:pPr>
      <w:r>
        <w:rPr>
          <w:rFonts w:ascii="Times New Roman" w:hAnsi="Times New Roman"/>
          <w:iCs/>
          <w:sz w:val="24"/>
        </w:rPr>
        <w:t>Tao Ning</w:t>
      </w:r>
      <w:bookmarkStart w:id="11" w:name="OLE_LINK78"/>
      <w:r>
        <w:rPr>
          <w:rFonts w:ascii="Times New Roman" w:hAnsi="Times New Roman"/>
          <w:iCs/>
          <w:sz w:val="24"/>
          <w:vertAlign w:val="superscript"/>
        </w:rPr>
        <w:t>1,</w:t>
      </w:r>
      <w:r>
        <w:rPr>
          <w:rFonts w:hint="eastAsia" w:ascii="Times New Roman" w:hAnsi="Times New Roman"/>
          <w:iCs/>
          <w:sz w:val="24"/>
          <w:vertAlign w:val="superscript"/>
        </w:rPr>
        <w:t>6</w:t>
      </w:r>
      <w:r>
        <w:rPr>
          <w:rFonts w:ascii="Times New Roman" w:hAnsi="Times New Roman"/>
          <w:iCs/>
          <w:sz w:val="24"/>
          <w:vertAlign w:val="superscript"/>
        </w:rPr>
        <w:t>,</w:t>
      </w:r>
      <w:bookmarkEnd w:id="11"/>
      <w:r>
        <w:rPr>
          <w:rFonts w:hint="eastAsia" w:ascii="Times New Roman" w:hAnsi="Times New Roman"/>
          <w:iCs/>
          <w:sz w:val="24"/>
          <w:vertAlign w:val="superscript"/>
        </w:rPr>
        <w:t>7#</w:t>
      </w:r>
      <w:r>
        <w:rPr>
          <w:rFonts w:ascii="Times New Roman" w:hAnsi="Times New Roman"/>
          <w:iCs/>
          <w:sz w:val="24"/>
        </w:rPr>
        <w:t xml:space="preserve">, </w:t>
      </w:r>
      <w:bookmarkStart w:id="12" w:name="OLE_LINK21"/>
      <w:r>
        <w:rPr>
          <w:rFonts w:ascii="Times New Roman" w:hAnsi="Times New Roman"/>
          <w:iCs/>
          <w:sz w:val="24"/>
        </w:rPr>
        <w:t xml:space="preserve">Yushu </w:t>
      </w:r>
      <w:bookmarkEnd w:id="12"/>
      <w:r>
        <w:rPr>
          <w:rFonts w:ascii="Times New Roman" w:hAnsi="Times New Roman"/>
          <w:iCs/>
          <w:sz w:val="24"/>
        </w:rPr>
        <w:t>Shi</w:t>
      </w:r>
      <w:r>
        <w:rPr>
          <w:rFonts w:hint="eastAsia" w:ascii="Times New Roman" w:hAnsi="Times New Roman"/>
          <w:iCs/>
          <w:sz w:val="24"/>
          <w:vertAlign w:val="superscript"/>
        </w:rPr>
        <w:t>3,7#</w:t>
      </w:r>
      <w:r>
        <w:rPr>
          <w:rFonts w:ascii="Times New Roman" w:hAnsi="Times New Roman"/>
          <w:iCs/>
          <w:sz w:val="24"/>
        </w:rPr>
        <w:t xml:space="preserve">, </w:t>
      </w:r>
      <w:bookmarkStart w:id="13" w:name="OLE_LINK37"/>
      <w:r>
        <w:rPr>
          <w:rFonts w:ascii="Times New Roman" w:hAnsi="Times New Roman"/>
          <w:iCs/>
          <w:sz w:val="24"/>
        </w:rPr>
        <w:t>Da Xu</w:t>
      </w:r>
      <w:r>
        <w:rPr>
          <w:rFonts w:hint="eastAsia" w:ascii="Times New Roman" w:hAnsi="Times New Roman"/>
          <w:iCs/>
          <w:sz w:val="24"/>
          <w:vertAlign w:val="superscript"/>
        </w:rPr>
        <w:t>2#</w:t>
      </w:r>
      <w:bookmarkEnd w:id="13"/>
      <w:r>
        <w:rPr>
          <w:rFonts w:ascii="Times New Roman" w:hAnsi="Times New Roman"/>
          <w:iCs/>
          <w:sz w:val="24"/>
        </w:rPr>
        <w:t>,</w:t>
      </w:r>
      <w:r>
        <w:rPr>
          <w:rFonts w:hint="eastAsia" w:ascii="Times New Roman" w:hAnsi="Times New Roman"/>
          <w:iCs/>
          <w:sz w:val="24"/>
        </w:rPr>
        <w:t xml:space="preserve"> </w:t>
      </w:r>
      <w:bookmarkStart w:id="14" w:name="OLE_LINK38"/>
      <w:r>
        <w:rPr>
          <w:rFonts w:ascii="Times New Roman" w:hAnsi="Times New Roman"/>
          <w:iCs/>
          <w:sz w:val="24"/>
        </w:rPr>
        <w:t>Xu</w:t>
      </w:r>
      <w:r>
        <w:rPr>
          <w:rFonts w:hint="eastAsia" w:ascii="Times New Roman" w:hAnsi="Times New Roman"/>
          <w:iCs/>
          <w:sz w:val="24"/>
        </w:rPr>
        <w:t xml:space="preserve"> Liu</w:t>
      </w:r>
      <w:r>
        <w:rPr>
          <w:rFonts w:hint="eastAsia" w:ascii="Times New Roman" w:hAnsi="Times New Roman"/>
          <w:iCs/>
          <w:sz w:val="24"/>
          <w:vertAlign w:val="superscript"/>
        </w:rPr>
        <w:t>4#</w:t>
      </w:r>
      <w:r>
        <w:rPr>
          <w:rFonts w:hint="eastAsia" w:ascii="Times New Roman" w:hAnsi="Times New Roman"/>
          <w:iCs/>
          <w:sz w:val="24"/>
          <w:lang w:val="en-US"/>
        </w:rPr>
        <w:t>,</w:t>
      </w:r>
      <w:bookmarkEnd w:id="14"/>
      <w:r>
        <w:rPr>
          <w:rFonts w:hint="eastAsia" w:ascii="Times New Roman" w:hAnsi="Times New Roman"/>
          <w:iCs/>
          <w:sz w:val="24"/>
          <w:lang w:val="en-US"/>
        </w:rPr>
        <w:t xml:space="preserve"> </w:t>
      </w:r>
      <w:r>
        <w:rPr>
          <w:rFonts w:ascii="Times New Roman" w:hAnsi="Times New Roman"/>
          <w:iCs/>
          <w:sz w:val="24"/>
        </w:rPr>
        <w:t>Yunlong Shang</w:t>
      </w:r>
      <w:r>
        <w:rPr>
          <w:rFonts w:hint="eastAsia" w:ascii="Times New Roman" w:hAnsi="Times New Roman"/>
          <w:iCs/>
          <w:sz w:val="24"/>
          <w:vertAlign w:val="superscript"/>
        </w:rPr>
        <w:t>5,7</w:t>
      </w:r>
      <w:r>
        <w:rPr>
          <w:rFonts w:ascii="Times New Roman" w:hAnsi="Times New Roman"/>
          <w:iCs/>
          <w:sz w:val="24"/>
        </w:rPr>
        <w:t xml:space="preserve">, </w:t>
      </w:r>
      <w:bookmarkStart w:id="15" w:name="_Hlk166781691"/>
      <w:r>
        <w:rPr>
          <w:rFonts w:ascii="Times New Roman" w:hAnsi="Times New Roman"/>
          <w:iCs/>
          <w:sz w:val="24"/>
        </w:rPr>
        <w:t xml:space="preserve">Pengwei </w:t>
      </w:r>
      <w:bookmarkEnd w:id="15"/>
      <w:r>
        <w:rPr>
          <w:rFonts w:ascii="Times New Roman" w:hAnsi="Times New Roman"/>
          <w:iCs/>
          <w:sz w:val="24"/>
        </w:rPr>
        <w:t>Guan</w:t>
      </w:r>
      <w:r>
        <w:rPr>
          <w:rFonts w:ascii="Times New Roman" w:hAnsi="Times New Roman"/>
          <w:iCs/>
          <w:sz w:val="24"/>
          <w:vertAlign w:val="superscript"/>
        </w:rPr>
        <w:t>1,</w:t>
      </w:r>
      <w:r>
        <w:rPr>
          <w:rFonts w:hint="eastAsia" w:ascii="Times New Roman" w:hAnsi="Times New Roman"/>
          <w:iCs/>
          <w:sz w:val="24"/>
          <w:vertAlign w:val="superscript"/>
        </w:rPr>
        <w:t>6</w:t>
      </w:r>
      <w:r>
        <w:rPr>
          <w:rFonts w:ascii="Times New Roman" w:hAnsi="Times New Roman"/>
          <w:iCs/>
          <w:sz w:val="24"/>
          <w:vertAlign w:val="superscript"/>
        </w:rPr>
        <w:t>,</w:t>
      </w:r>
      <w:r>
        <w:rPr>
          <w:rFonts w:hint="eastAsia" w:ascii="Times New Roman" w:hAnsi="Times New Roman"/>
          <w:iCs/>
          <w:sz w:val="24"/>
          <w:vertAlign w:val="superscript"/>
        </w:rPr>
        <w:t>7</w:t>
      </w:r>
      <w:r>
        <w:rPr>
          <w:rFonts w:ascii="Times New Roman" w:hAnsi="Times New Roman"/>
          <w:iCs/>
          <w:sz w:val="24"/>
        </w:rPr>
        <w:t xml:space="preserve">, </w:t>
      </w:r>
      <w:bookmarkStart w:id="16" w:name="_Hlk166781795"/>
      <w:r>
        <w:rPr>
          <w:rFonts w:hint="eastAsia" w:ascii="Times New Roman" w:hAnsi="Times New Roman"/>
          <w:iCs/>
          <w:sz w:val="24"/>
        </w:rPr>
        <w:t>Wangshu Qin</w:t>
      </w:r>
      <w:r>
        <w:rPr>
          <w:rFonts w:ascii="Times New Roman" w:hAnsi="Times New Roman"/>
          <w:iCs/>
          <w:sz w:val="24"/>
          <w:vertAlign w:val="superscript"/>
        </w:rPr>
        <w:t>1,</w:t>
      </w:r>
      <w:r>
        <w:rPr>
          <w:rFonts w:hint="eastAsia" w:ascii="Times New Roman" w:hAnsi="Times New Roman"/>
          <w:iCs/>
          <w:sz w:val="24"/>
          <w:vertAlign w:val="superscript"/>
        </w:rPr>
        <w:t>6</w:t>
      </w:r>
      <w:r>
        <w:rPr>
          <w:rFonts w:ascii="Times New Roman" w:hAnsi="Times New Roman"/>
          <w:iCs/>
          <w:sz w:val="24"/>
        </w:rPr>
        <w:t>,</w:t>
      </w:r>
      <w:r>
        <w:rPr>
          <w:rFonts w:hint="eastAsia" w:ascii="Times New Roman" w:hAnsi="Times New Roman"/>
          <w:iCs/>
          <w:sz w:val="24"/>
        </w:rPr>
        <w:t xml:space="preserve"> </w:t>
      </w:r>
      <w:bookmarkStart w:id="17" w:name="_Hlk228447627"/>
      <w:r>
        <w:rPr>
          <w:rFonts w:hint="eastAsia" w:ascii="Times New Roman" w:hAnsi="Times New Roman"/>
          <w:iCs/>
          <w:sz w:val="24"/>
        </w:rPr>
        <w:t>Chenfan Dong</w:t>
      </w:r>
      <w:r>
        <w:rPr>
          <w:rFonts w:ascii="Times New Roman" w:hAnsi="Times New Roman"/>
          <w:iCs/>
          <w:sz w:val="24"/>
          <w:vertAlign w:val="superscript"/>
        </w:rPr>
        <w:t>1,</w:t>
      </w:r>
      <w:r>
        <w:rPr>
          <w:rFonts w:hint="eastAsia" w:ascii="Times New Roman" w:hAnsi="Times New Roman"/>
          <w:iCs/>
          <w:sz w:val="24"/>
          <w:vertAlign w:val="superscript"/>
        </w:rPr>
        <w:t>6</w:t>
      </w:r>
      <w:r>
        <w:rPr>
          <w:rFonts w:ascii="Times New Roman" w:hAnsi="Times New Roman"/>
          <w:iCs/>
          <w:sz w:val="24"/>
        </w:rPr>
        <w:t>,</w:t>
      </w:r>
      <w:bookmarkEnd w:id="17"/>
      <w:r>
        <w:rPr>
          <w:rFonts w:hint="eastAsia" w:ascii="Times New Roman" w:hAnsi="Times New Roman"/>
          <w:iCs/>
          <w:sz w:val="24"/>
        </w:rPr>
        <w:t xml:space="preserve"> </w:t>
      </w:r>
      <w:r>
        <w:rPr>
          <w:rFonts w:ascii="Times New Roman" w:hAnsi="Times New Roman"/>
          <w:iCs/>
          <w:sz w:val="24"/>
        </w:rPr>
        <w:t>Tiantian Chen</w:t>
      </w:r>
      <w:r>
        <w:rPr>
          <w:rFonts w:ascii="Times New Roman" w:hAnsi="Times New Roman"/>
          <w:iCs/>
          <w:sz w:val="24"/>
          <w:vertAlign w:val="superscript"/>
        </w:rPr>
        <w:t>1,</w:t>
      </w:r>
      <w:r>
        <w:rPr>
          <w:rFonts w:hint="eastAsia" w:ascii="Times New Roman" w:hAnsi="Times New Roman"/>
          <w:iCs/>
          <w:sz w:val="24"/>
          <w:vertAlign w:val="superscript"/>
        </w:rPr>
        <w:t>6</w:t>
      </w:r>
      <w:r>
        <w:rPr>
          <w:rFonts w:ascii="Times New Roman" w:hAnsi="Times New Roman"/>
          <w:iCs/>
          <w:sz w:val="24"/>
          <w:vertAlign w:val="superscript"/>
        </w:rPr>
        <w:t>,</w:t>
      </w:r>
      <w:r>
        <w:rPr>
          <w:rFonts w:hint="eastAsia" w:ascii="Times New Roman" w:hAnsi="Times New Roman"/>
          <w:iCs/>
          <w:sz w:val="24"/>
          <w:vertAlign w:val="superscript"/>
        </w:rPr>
        <w:t>7</w:t>
      </w:r>
      <w:r>
        <w:rPr>
          <w:rFonts w:ascii="Times New Roman" w:hAnsi="Times New Roman"/>
          <w:iCs/>
          <w:sz w:val="24"/>
        </w:rPr>
        <w:t>, Yangyue Yang</w:t>
      </w:r>
      <w:r>
        <w:rPr>
          <w:rFonts w:hint="eastAsia" w:ascii="Times New Roman" w:hAnsi="Times New Roman"/>
          <w:iCs/>
          <w:sz w:val="24"/>
          <w:vertAlign w:val="superscript"/>
        </w:rPr>
        <w:t>3,7</w:t>
      </w:r>
      <w:r>
        <w:rPr>
          <w:rFonts w:ascii="Times New Roman" w:hAnsi="Times New Roman"/>
          <w:iCs/>
          <w:sz w:val="24"/>
        </w:rPr>
        <w:t>, Bina Fu</w:t>
      </w:r>
      <w:r>
        <w:rPr>
          <w:rFonts w:hint="eastAsia" w:ascii="Times New Roman" w:hAnsi="Times New Roman"/>
          <w:iCs/>
          <w:sz w:val="24"/>
          <w:vertAlign w:val="superscript"/>
        </w:rPr>
        <w:t>5,7</w:t>
      </w:r>
      <w:r>
        <w:rPr>
          <w:rFonts w:ascii="Times New Roman" w:hAnsi="Times New Roman"/>
          <w:iCs/>
          <w:sz w:val="24"/>
        </w:rPr>
        <w:t>, Junqi Niu</w:t>
      </w:r>
      <w:r>
        <w:rPr>
          <w:rFonts w:hint="eastAsia" w:ascii="Times New Roman" w:hAnsi="Times New Roman"/>
          <w:iCs/>
          <w:sz w:val="24"/>
          <w:vertAlign w:val="superscript"/>
        </w:rPr>
        <w:t>4</w:t>
      </w:r>
      <w:r>
        <w:rPr>
          <w:rFonts w:ascii="Times New Roman" w:hAnsi="Times New Roman"/>
          <w:iCs/>
          <w:sz w:val="24"/>
        </w:rPr>
        <w:t>, Liang Feng</w:t>
      </w:r>
      <w:r>
        <w:rPr>
          <w:rFonts w:hint="eastAsia" w:ascii="Times New Roman" w:hAnsi="Times New Roman"/>
          <w:iCs/>
          <w:sz w:val="24"/>
          <w:vertAlign w:val="superscript"/>
        </w:rPr>
        <w:t>3,7*</w:t>
      </w:r>
      <w:r>
        <w:rPr>
          <w:rFonts w:ascii="Times New Roman" w:hAnsi="Times New Roman"/>
          <w:iCs/>
          <w:sz w:val="24"/>
        </w:rPr>
        <w:t>, Xinyu Liu</w:t>
      </w:r>
      <w:bookmarkEnd w:id="16"/>
      <w:r>
        <w:rPr>
          <w:rFonts w:ascii="Times New Roman" w:hAnsi="Times New Roman"/>
          <w:iCs/>
          <w:sz w:val="24"/>
          <w:vertAlign w:val="superscript"/>
        </w:rPr>
        <w:t>1,</w:t>
      </w:r>
      <w:r>
        <w:rPr>
          <w:rFonts w:hint="eastAsia" w:ascii="Times New Roman" w:hAnsi="Times New Roman"/>
          <w:iCs/>
          <w:sz w:val="24"/>
          <w:vertAlign w:val="superscript"/>
        </w:rPr>
        <w:t>6,7</w:t>
      </w:r>
      <w:r>
        <w:rPr>
          <w:rFonts w:ascii="Times New Roman" w:hAnsi="Times New Roman"/>
          <w:iCs/>
          <w:sz w:val="24"/>
          <w:vertAlign w:val="superscript"/>
        </w:rPr>
        <w:t>*</w:t>
      </w:r>
      <w:bookmarkStart w:id="18" w:name="_Hlk166781805"/>
      <w:r>
        <w:rPr>
          <w:rFonts w:ascii="Times New Roman" w:hAnsi="Times New Roman"/>
          <w:iCs/>
          <w:sz w:val="24"/>
        </w:rPr>
        <w:t>, Xianzhe Shi</w:t>
      </w:r>
      <w:bookmarkEnd w:id="18"/>
      <w:r>
        <w:rPr>
          <w:rFonts w:ascii="Times New Roman" w:hAnsi="Times New Roman"/>
          <w:iCs/>
          <w:sz w:val="24"/>
          <w:vertAlign w:val="superscript"/>
        </w:rPr>
        <w:t>1,</w:t>
      </w:r>
      <w:r>
        <w:rPr>
          <w:rFonts w:hint="eastAsia" w:ascii="Times New Roman" w:hAnsi="Times New Roman"/>
          <w:iCs/>
          <w:sz w:val="24"/>
          <w:vertAlign w:val="superscript"/>
        </w:rPr>
        <w:t>6,7</w:t>
      </w:r>
      <w:r>
        <w:rPr>
          <w:rFonts w:ascii="Times New Roman" w:hAnsi="Times New Roman"/>
          <w:iCs/>
          <w:sz w:val="24"/>
          <w:vertAlign w:val="superscript"/>
        </w:rPr>
        <w:t>*</w:t>
      </w:r>
      <w:r>
        <w:rPr>
          <w:rFonts w:ascii="Times New Roman" w:hAnsi="Times New Roman"/>
          <w:iCs/>
          <w:sz w:val="24"/>
        </w:rPr>
        <w:t xml:space="preserve">, </w:t>
      </w:r>
      <w:bookmarkStart w:id="19" w:name="_Hlk166781817"/>
      <w:r>
        <w:rPr>
          <w:rFonts w:ascii="Times New Roman" w:hAnsi="Times New Roman"/>
          <w:iCs/>
          <w:sz w:val="24"/>
        </w:rPr>
        <w:t>Guowang Xu</w:t>
      </w:r>
      <w:bookmarkEnd w:id="19"/>
      <w:r>
        <w:rPr>
          <w:rFonts w:ascii="Times New Roman" w:hAnsi="Times New Roman"/>
          <w:iCs/>
          <w:sz w:val="24"/>
          <w:vertAlign w:val="superscript"/>
        </w:rPr>
        <w:t>1,</w:t>
      </w:r>
      <w:r>
        <w:rPr>
          <w:rFonts w:hint="eastAsia" w:ascii="Times New Roman" w:hAnsi="Times New Roman"/>
          <w:iCs/>
          <w:sz w:val="24"/>
          <w:vertAlign w:val="superscript"/>
        </w:rPr>
        <w:t>6,7</w:t>
      </w:r>
      <w:r>
        <w:rPr>
          <w:rFonts w:ascii="Times New Roman" w:hAnsi="Times New Roman"/>
          <w:iCs/>
          <w:sz w:val="24"/>
          <w:vertAlign w:val="superscript"/>
        </w:rPr>
        <w:t>*</w:t>
      </w:r>
    </w:p>
    <w:p w14:paraId="661DFC4D">
      <w:pPr>
        <w:widowControl/>
        <w:adjustRightInd w:val="0"/>
        <w:snapToGrid w:val="0"/>
        <w:spacing w:afterLines="0" w:line="480" w:lineRule="auto"/>
        <w:jc w:val="both"/>
        <w:rPr>
          <w:rFonts w:ascii="Times New Roman" w:hAnsi="Times New Roman"/>
          <w:iCs/>
          <w:sz w:val="24"/>
        </w:rPr>
      </w:pPr>
    </w:p>
    <w:bookmarkEnd w:id="5"/>
    <w:p w14:paraId="7B4B9D43">
      <w:pPr>
        <w:widowControl/>
        <w:adjustRightInd w:val="0"/>
        <w:snapToGrid w:val="0"/>
        <w:spacing w:afterLines="0" w:line="480" w:lineRule="auto"/>
        <w:jc w:val="both"/>
        <w:rPr>
          <w:rFonts w:ascii="Times New Roman" w:hAnsi="Times New Roman"/>
          <w:sz w:val="24"/>
        </w:rPr>
      </w:pPr>
      <w:r>
        <w:rPr>
          <w:rFonts w:ascii="Times New Roman" w:hAnsi="Times New Roman"/>
          <w:sz w:val="24"/>
          <w:vertAlign w:val="superscript"/>
        </w:rPr>
        <w:t xml:space="preserve">1 </w:t>
      </w:r>
      <w:bookmarkStart w:id="20" w:name="_Hlk219791052"/>
      <w:r>
        <w:rPr>
          <w:rFonts w:ascii="Times New Roman" w:hAnsi="Times New Roman"/>
          <w:sz w:val="24"/>
        </w:rPr>
        <w:t>Metabolomics Subcenter of the National Genomics Data Center, Dalian Institute of Chemical Physics, Chinese Academy of Sciences, Dalian</w:t>
      </w:r>
      <w:r>
        <w:rPr>
          <w:rFonts w:hint="eastAsia" w:ascii="Times New Roman" w:hAnsi="Times New Roman"/>
          <w:sz w:val="24"/>
        </w:rPr>
        <w:t>,</w:t>
      </w:r>
      <w:r>
        <w:rPr>
          <w:rFonts w:ascii="Times New Roman" w:hAnsi="Times New Roman"/>
          <w:sz w:val="24"/>
        </w:rPr>
        <w:t xml:space="preserve"> 116023, China</w:t>
      </w:r>
      <w:bookmarkEnd w:id="20"/>
    </w:p>
    <w:p w14:paraId="2B256B25">
      <w:pPr>
        <w:widowControl/>
        <w:adjustRightInd w:val="0"/>
        <w:snapToGrid w:val="0"/>
        <w:spacing w:afterLines="0" w:line="480" w:lineRule="auto"/>
        <w:jc w:val="both"/>
        <w:rPr>
          <w:rFonts w:ascii="Times New Roman" w:hAnsi="Times New Roman"/>
          <w:sz w:val="24"/>
        </w:rPr>
      </w:pPr>
      <w:r>
        <w:rPr>
          <w:rFonts w:hint="eastAsia" w:ascii="Times New Roman" w:hAnsi="Times New Roman"/>
          <w:sz w:val="24"/>
          <w:vertAlign w:val="superscript"/>
        </w:rPr>
        <w:t>2</w:t>
      </w:r>
      <w:r>
        <w:rPr>
          <w:rFonts w:ascii="Times New Roman" w:hAnsi="Times New Roman"/>
          <w:sz w:val="24"/>
          <w:vertAlign w:val="superscript"/>
        </w:rPr>
        <w:t xml:space="preserve"> </w:t>
      </w:r>
      <w:r>
        <w:rPr>
          <w:rFonts w:ascii="Times New Roman" w:hAnsi="Times New Roman"/>
          <w:sz w:val="24"/>
        </w:rPr>
        <w:t>Hepatobiliary Surgery Center, Department of General Surgery, Huashan Hospital, Fudan University, Shanghai 200040, China</w:t>
      </w:r>
    </w:p>
    <w:p w14:paraId="3273858D">
      <w:pPr>
        <w:widowControl/>
        <w:adjustRightInd w:val="0"/>
        <w:snapToGrid w:val="0"/>
        <w:spacing w:afterLines="0" w:line="480" w:lineRule="auto"/>
        <w:jc w:val="both"/>
        <w:rPr>
          <w:rFonts w:ascii="Times New Roman" w:hAnsi="Times New Roman"/>
          <w:sz w:val="24"/>
          <w:vertAlign w:val="superscript"/>
        </w:rPr>
      </w:pPr>
      <w:r>
        <w:rPr>
          <w:rFonts w:hint="eastAsia" w:ascii="Times New Roman" w:hAnsi="Times New Roman"/>
          <w:sz w:val="24"/>
          <w:vertAlign w:val="superscript"/>
        </w:rPr>
        <w:t>3</w:t>
      </w:r>
      <w:r>
        <w:rPr>
          <w:rFonts w:hint="eastAsia" w:ascii="Times New Roman" w:hAnsi="Times New Roman"/>
          <w:sz w:val="24"/>
        </w:rPr>
        <w:t xml:space="preserve"> Department of Instrumentation and Analytical Chemistry, Dalian Institute of Chemical Physics, Chinese Academy of Sciences, Dalian, </w:t>
      </w:r>
      <w:r>
        <w:rPr>
          <w:rFonts w:ascii="Times New Roman" w:hAnsi="Times New Roman"/>
          <w:sz w:val="24"/>
        </w:rPr>
        <w:t>116023,</w:t>
      </w:r>
      <w:r>
        <w:rPr>
          <w:rFonts w:hint="eastAsia" w:ascii="Times New Roman" w:hAnsi="Times New Roman"/>
          <w:sz w:val="24"/>
        </w:rPr>
        <w:t xml:space="preserve"> China</w:t>
      </w:r>
      <w:r>
        <w:rPr>
          <w:rFonts w:hint="eastAsia" w:ascii="Times New Roman" w:hAnsi="Times New Roman"/>
          <w:sz w:val="24"/>
          <w:vertAlign w:val="superscript"/>
        </w:rPr>
        <w:t xml:space="preserve"> </w:t>
      </w:r>
    </w:p>
    <w:p w14:paraId="201F16FC">
      <w:pPr>
        <w:widowControl/>
        <w:adjustRightInd w:val="0"/>
        <w:snapToGrid w:val="0"/>
        <w:spacing w:afterLines="0" w:line="480" w:lineRule="auto"/>
        <w:jc w:val="both"/>
        <w:rPr>
          <w:rFonts w:ascii="Times New Roman" w:hAnsi="Times New Roman"/>
          <w:sz w:val="24"/>
        </w:rPr>
      </w:pPr>
      <w:r>
        <w:rPr>
          <w:rFonts w:hint="eastAsia" w:ascii="Times New Roman" w:hAnsi="Times New Roman"/>
          <w:sz w:val="24"/>
          <w:vertAlign w:val="superscript"/>
        </w:rPr>
        <w:t>4</w:t>
      </w:r>
      <w:r>
        <w:rPr>
          <w:rFonts w:ascii="Times New Roman" w:hAnsi="Times New Roman"/>
          <w:sz w:val="24"/>
          <w:vertAlign w:val="superscript"/>
        </w:rPr>
        <w:t xml:space="preserve"> </w:t>
      </w:r>
      <w:r>
        <w:rPr>
          <w:rFonts w:hint="eastAsia" w:ascii="Times New Roman" w:hAnsi="Times New Roman"/>
          <w:sz w:val="24"/>
        </w:rPr>
        <w:t>Department of Hepatology, First Hospital of Jilin University, Changchun,</w:t>
      </w:r>
      <w:r>
        <w:rPr>
          <w:rFonts w:ascii="Times New Roman" w:hAnsi="Times New Roman"/>
          <w:sz w:val="24"/>
        </w:rPr>
        <w:t xml:space="preserve"> 130021</w:t>
      </w:r>
      <w:r>
        <w:rPr>
          <w:rFonts w:hint="eastAsia" w:ascii="Times New Roman" w:hAnsi="Times New Roman"/>
          <w:sz w:val="24"/>
        </w:rPr>
        <w:t>, China</w:t>
      </w:r>
    </w:p>
    <w:p w14:paraId="55B62265">
      <w:pPr>
        <w:widowControl/>
        <w:adjustRightInd w:val="0"/>
        <w:snapToGrid w:val="0"/>
        <w:spacing w:afterLines="0" w:line="480" w:lineRule="auto"/>
        <w:jc w:val="both"/>
        <w:rPr>
          <w:rFonts w:ascii="Times New Roman" w:hAnsi="Times New Roman"/>
          <w:sz w:val="24"/>
          <w:lang w:val="en-US"/>
        </w:rPr>
      </w:pPr>
      <w:r>
        <w:rPr>
          <w:rFonts w:hint="eastAsia" w:ascii="Times New Roman" w:hAnsi="Times New Roman"/>
          <w:sz w:val="24"/>
          <w:vertAlign w:val="superscript"/>
        </w:rPr>
        <w:t>5</w:t>
      </w:r>
      <w:r>
        <w:rPr>
          <w:rFonts w:hint="eastAsia" w:ascii="Times New Roman" w:hAnsi="Times New Roman"/>
          <w:sz w:val="24"/>
        </w:rPr>
        <w:t xml:space="preserve"> State Key Laboratory of Chemical Reaction Dynamics, Dalian Institute of Chemical Physics, Chinese Academy of Sciences, Dalian, </w:t>
      </w:r>
      <w:r>
        <w:rPr>
          <w:rFonts w:ascii="Times New Roman" w:hAnsi="Times New Roman"/>
          <w:sz w:val="24"/>
        </w:rPr>
        <w:t>116023,</w:t>
      </w:r>
      <w:r>
        <w:rPr>
          <w:rFonts w:hint="eastAsia" w:ascii="Times New Roman" w:hAnsi="Times New Roman"/>
          <w:sz w:val="24"/>
        </w:rPr>
        <w:t xml:space="preserve"> China</w:t>
      </w:r>
    </w:p>
    <w:p w14:paraId="1EDD120C">
      <w:pPr>
        <w:widowControl/>
        <w:adjustRightInd w:val="0"/>
        <w:snapToGrid w:val="0"/>
        <w:spacing w:afterLines="0" w:line="480" w:lineRule="auto"/>
        <w:jc w:val="both"/>
        <w:rPr>
          <w:rFonts w:ascii="Times New Roman" w:hAnsi="Times New Roman"/>
          <w:sz w:val="24"/>
        </w:rPr>
      </w:pPr>
      <w:r>
        <w:rPr>
          <w:rFonts w:hint="eastAsia" w:ascii="Times New Roman" w:hAnsi="Times New Roman"/>
          <w:sz w:val="24"/>
          <w:vertAlign w:val="superscript"/>
        </w:rPr>
        <w:t>6</w:t>
      </w:r>
      <w:r>
        <w:rPr>
          <w:rFonts w:ascii="Times New Roman" w:hAnsi="Times New Roman"/>
          <w:sz w:val="24"/>
          <w:vertAlign w:val="superscript"/>
        </w:rPr>
        <w:t xml:space="preserve"> </w:t>
      </w:r>
      <w:r>
        <w:rPr>
          <w:rFonts w:ascii="Times New Roman" w:hAnsi="Times New Roman"/>
          <w:sz w:val="24"/>
        </w:rPr>
        <w:t>Liaoning Province Key Laboratory of Metabolomics, Dalian, 116023</w:t>
      </w:r>
      <w:r>
        <w:rPr>
          <w:rFonts w:hint="eastAsia" w:ascii="Times New Roman" w:hAnsi="Times New Roman"/>
          <w:sz w:val="24"/>
        </w:rPr>
        <w:t xml:space="preserve">, </w:t>
      </w:r>
      <w:r>
        <w:rPr>
          <w:rFonts w:ascii="Times New Roman" w:hAnsi="Times New Roman"/>
          <w:sz w:val="24"/>
        </w:rPr>
        <w:t>China</w:t>
      </w:r>
    </w:p>
    <w:p w14:paraId="220A0FD5">
      <w:pPr>
        <w:widowControl/>
        <w:adjustRightInd w:val="0"/>
        <w:snapToGrid w:val="0"/>
        <w:spacing w:afterLines="0" w:line="480" w:lineRule="auto"/>
        <w:jc w:val="both"/>
        <w:rPr>
          <w:rFonts w:ascii="Times New Roman" w:hAnsi="Times New Roman"/>
          <w:sz w:val="24"/>
        </w:rPr>
      </w:pPr>
      <w:r>
        <w:rPr>
          <w:rFonts w:hint="eastAsia" w:ascii="Times New Roman" w:hAnsi="Times New Roman"/>
          <w:sz w:val="24"/>
          <w:vertAlign w:val="superscript"/>
        </w:rPr>
        <w:t>7</w:t>
      </w:r>
      <w:r>
        <w:rPr>
          <w:rFonts w:ascii="Times New Roman" w:hAnsi="Times New Roman"/>
          <w:sz w:val="24"/>
          <w:vertAlign w:val="superscript"/>
        </w:rPr>
        <w:t xml:space="preserve"> </w:t>
      </w:r>
      <w:r>
        <w:rPr>
          <w:rFonts w:ascii="Times New Roman" w:hAnsi="Times New Roman"/>
          <w:sz w:val="24"/>
        </w:rPr>
        <w:t>University of Chinese Academy of Sciences, Beijing, 100049, China</w:t>
      </w:r>
    </w:p>
    <w:bookmarkEnd w:id="6"/>
    <w:bookmarkEnd w:id="7"/>
    <w:p w14:paraId="5A005910">
      <w:pPr>
        <w:widowControl/>
        <w:adjustRightInd w:val="0"/>
        <w:snapToGrid w:val="0"/>
        <w:spacing w:afterLines="0" w:line="480" w:lineRule="auto"/>
        <w:jc w:val="left"/>
        <w:rPr>
          <w:rFonts w:hint="eastAsia" w:ascii="Times New Roman" w:hAnsi="Times New Roman"/>
          <w:sz w:val="24"/>
        </w:rPr>
      </w:pPr>
    </w:p>
    <w:p w14:paraId="3308BB99">
      <w:pPr>
        <w:widowControl/>
        <w:adjustRightInd w:val="0"/>
        <w:snapToGrid w:val="0"/>
        <w:spacing w:afterLines="0" w:line="480" w:lineRule="auto"/>
        <w:jc w:val="left"/>
        <w:rPr>
          <w:rFonts w:ascii="Times New Roman" w:hAnsi="Times New Roman"/>
          <w:sz w:val="24"/>
        </w:rPr>
      </w:pPr>
      <w:r>
        <w:rPr>
          <w:rFonts w:ascii="Times New Roman" w:hAnsi="Times New Roman"/>
          <w:sz w:val="24"/>
        </w:rPr>
        <w:t>* Corresponding authors:</w:t>
      </w:r>
    </w:p>
    <w:p w14:paraId="7111AFAD">
      <w:pPr>
        <w:widowControl/>
        <w:adjustRightInd w:val="0"/>
        <w:snapToGrid w:val="0"/>
        <w:spacing w:afterLines="0" w:line="480" w:lineRule="auto"/>
        <w:jc w:val="left"/>
        <w:rPr>
          <w:rFonts w:ascii="Times New Roman" w:hAnsi="Times New Roman"/>
          <w:sz w:val="24"/>
        </w:rPr>
      </w:pPr>
      <w:r>
        <w:rPr>
          <w:rFonts w:ascii="Times New Roman" w:hAnsi="Times New Roman"/>
          <w:sz w:val="24"/>
        </w:rPr>
        <w:t>Prof. Dr. Guowang Xu, Dalian Institute of Chemical Physics, Chinese Academy of Sciences, Dalian 116023, China. E-mail: xugw@dicp.ac.cn.</w:t>
      </w:r>
    </w:p>
    <w:p w14:paraId="4E8D6A8C">
      <w:pPr>
        <w:widowControl/>
        <w:adjustRightInd w:val="0"/>
        <w:snapToGrid w:val="0"/>
        <w:spacing w:afterLines="0" w:line="480" w:lineRule="auto"/>
        <w:jc w:val="left"/>
        <w:rPr>
          <w:rFonts w:ascii="Times New Roman" w:hAnsi="Times New Roman"/>
          <w:sz w:val="24"/>
        </w:rPr>
      </w:pPr>
      <w:r>
        <w:rPr>
          <w:rFonts w:ascii="Times New Roman" w:hAnsi="Times New Roman"/>
          <w:sz w:val="24"/>
        </w:rPr>
        <w:t>Dr. Xianzhe Shi, Dalian Institute of Chemical Physics, Chinese Academy of Sciences, Dalian 116023, China. E-mail: shixianzhe@dicp.ac.cn.</w:t>
      </w:r>
    </w:p>
    <w:p w14:paraId="223D4983">
      <w:pPr>
        <w:widowControl/>
        <w:adjustRightInd w:val="0"/>
        <w:snapToGrid w:val="0"/>
        <w:spacing w:afterLines="0" w:line="480" w:lineRule="auto"/>
        <w:jc w:val="left"/>
        <w:rPr>
          <w:rFonts w:ascii="Times New Roman" w:hAnsi="Times New Roman"/>
          <w:sz w:val="24"/>
        </w:rPr>
      </w:pPr>
      <w:r>
        <w:rPr>
          <w:rFonts w:hint="eastAsia" w:ascii="Times New Roman" w:hAnsi="Times New Roman"/>
          <w:sz w:val="24"/>
          <w:lang w:val="en-US" w:eastAsia="zh-CN"/>
        </w:rPr>
        <w:t xml:space="preserve">Prof. </w:t>
      </w:r>
      <w:r>
        <w:rPr>
          <w:rFonts w:ascii="Times New Roman" w:hAnsi="Times New Roman"/>
          <w:sz w:val="24"/>
        </w:rPr>
        <w:t>Dr. Xinyu Liu, Dalian Institute of Chemical Physics, Chinese Academy of Sciences, Dalian 116023, China. E-mail: liuxy2012@dicp.ac.cn.</w:t>
      </w:r>
    </w:p>
    <w:p w14:paraId="551AF871">
      <w:pPr>
        <w:widowControl/>
        <w:adjustRightInd w:val="0"/>
        <w:snapToGrid w:val="0"/>
        <w:spacing w:afterLines="0" w:line="480" w:lineRule="auto"/>
        <w:jc w:val="left"/>
        <w:rPr>
          <w:rFonts w:hint="default" w:ascii="Times New Roman" w:hAnsi="Times New Roman" w:eastAsia="宋体"/>
          <w:sz w:val="24"/>
          <w:lang w:val="en-US" w:eastAsia="zh-CN"/>
        </w:rPr>
      </w:pPr>
      <w:r>
        <w:rPr>
          <w:rFonts w:hint="eastAsia" w:ascii="Times New Roman" w:hAnsi="Times New Roman"/>
          <w:sz w:val="24"/>
          <w:lang w:val="en-US" w:eastAsia="zh-CN"/>
        </w:rPr>
        <w:t xml:space="preserve">Prof. Dr. Liang Feng, </w:t>
      </w:r>
      <w:r>
        <w:rPr>
          <w:rFonts w:hint="eastAsia" w:ascii="Times New Roman" w:hAnsi="Times New Roman"/>
          <w:sz w:val="24"/>
        </w:rPr>
        <w:t xml:space="preserve">Department of Instrumentation and Analytical Chemistry, Dalian Institute of Chemical Physics, Chinese Academy of Sciences, Dalian, </w:t>
      </w:r>
      <w:r>
        <w:rPr>
          <w:rFonts w:ascii="Times New Roman" w:hAnsi="Times New Roman"/>
          <w:sz w:val="24"/>
        </w:rPr>
        <w:t>116023,</w:t>
      </w:r>
      <w:r>
        <w:rPr>
          <w:rFonts w:hint="eastAsia" w:ascii="Times New Roman" w:hAnsi="Times New Roman"/>
          <w:sz w:val="24"/>
        </w:rPr>
        <w:t xml:space="preserve"> China</w:t>
      </w:r>
      <w:r>
        <w:rPr>
          <w:rFonts w:hint="eastAsia" w:ascii="Times New Roman" w:hAnsi="Times New Roman"/>
          <w:sz w:val="24"/>
          <w:lang w:val="en-US" w:eastAsia="zh-CN"/>
        </w:rPr>
        <w:t>, e-mail: fengl@dicp.ac.cn.</w:t>
      </w:r>
    </w:p>
    <w:bookmarkEnd w:id="0"/>
    <w:bookmarkEnd w:id="8"/>
    <w:bookmarkEnd w:id="9"/>
    <w:bookmarkEnd w:id="10"/>
    <w:p w14:paraId="09990D5A">
      <w:pPr>
        <w:widowControl/>
        <w:adjustRightInd w:val="0"/>
        <w:snapToGrid w:val="0"/>
        <w:jc w:val="left"/>
        <w:rPr>
          <w:rFonts w:ascii="Times New Roman" w:hAnsi="Times New Roman" w:cs="Times New Roman"/>
          <w:iCs/>
          <w:color w:val="000000" w:themeColor="text1"/>
          <w:sz w:val="24"/>
          <w14:textFill>
            <w14:solidFill>
              <w14:schemeClr w14:val="tx1"/>
            </w14:solidFill>
          </w14:textFill>
        </w:rPr>
      </w:pPr>
      <w:r>
        <w:rPr>
          <w:rFonts w:ascii="Times New Roman" w:hAnsi="Times New Roman" w:cs="Times New Roman"/>
          <w:iCs/>
          <w:color w:val="000000" w:themeColor="text1"/>
          <w:sz w:val="24"/>
          <w14:textFill>
            <w14:solidFill>
              <w14:schemeClr w14:val="tx1"/>
            </w14:solidFill>
          </w14:textFill>
        </w:rPr>
        <w:br w:type="page"/>
      </w:r>
    </w:p>
    <w:sdt>
      <w:sdtPr>
        <w:rPr>
          <w:rFonts w:ascii="Times New Roman" w:hAnsi="Times New Roman" w:cstheme="minorBidi"/>
          <w:kern w:val="2"/>
          <w:sz w:val="21"/>
          <w:lang w:val="zh-CN"/>
        </w:rPr>
        <w:id w:val="-385418163"/>
        <w:docPartObj>
          <w:docPartGallery w:val="Table of Contents"/>
          <w:docPartUnique/>
        </w:docPartObj>
      </w:sdtPr>
      <w:sdtEndPr>
        <w:rPr>
          <w:rFonts w:ascii="Times New Roman" w:hAnsi="Times New Roman" w:cs="Times New Roman"/>
          <w:b/>
          <w:bCs/>
          <w:kern w:val="2"/>
          <w:sz w:val="21"/>
          <w:lang w:val="zh-CN"/>
        </w:rPr>
      </w:sdtEndPr>
      <w:sdtContent>
        <w:p w14:paraId="116FD886">
          <w:pPr>
            <w:pStyle w:val="8"/>
            <w:tabs>
              <w:tab w:val="right" w:leader="dot" w:pos="9016"/>
            </w:tabs>
            <w:rPr>
              <w:rFonts w:ascii="Times New Roman" w:hAnsi="Times New Roman"/>
              <w:b/>
              <w:bCs/>
              <w:sz w:val="32"/>
              <w:szCs w:val="24"/>
              <w:lang w:val="zh-CN"/>
            </w:rPr>
          </w:pPr>
          <w:bookmarkStart w:id="21" w:name="_Hlk212147786"/>
          <w:bookmarkStart w:id="98" w:name="_GoBack"/>
          <w:bookmarkEnd w:id="98"/>
          <w:r>
            <w:rPr>
              <w:rFonts w:ascii="Times New Roman" w:hAnsi="Times New Roman"/>
              <w:b/>
              <w:bCs/>
              <w:sz w:val="32"/>
              <w:szCs w:val="24"/>
              <w:lang w:val="zh-CN"/>
            </w:rPr>
            <w:t>Contents</w:t>
          </w:r>
        </w:p>
        <w:p w14:paraId="19B3BDF2">
          <w:pPr>
            <w:pStyle w:val="8"/>
            <w:tabs>
              <w:tab w:val="right" w:leader="dot" w:pos="9016"/>
            </w:tabs>
            <w:rPr>
              <w:rFonts w:ascii="Times New Roman" w:hAnsi="Times New Roman"/>
              <w:kern w:val="2"/>
              <w:szCs w:val="24"/>
              <w14:ligatures w14:val="standardContextual"/>
            </w:rPr>
          </w:pPr>
          <w:r>
            <w:rPr>
              <w:rFonts w:ascii="Times New Roman" w:hAnsi="Times New Roman" w:eastAsia="Times New Roman"/>
              <w:szCs w:val="24"/>
            </w:rPr>
            <w:fldChar w:fldCharType="begin"/>
          </w:r>
          <w:r>
            <w:rPr>
              <w:rFonts w:ascii="Times New Roman" w:hAnsi="Times New Roman"/>
              <w:szCs w:val="24"/>
            </w:rPr>
            <w:instrText xml:space="preserve"> TOC \o "1-3" \h \z \u </w:instrText>
          </w:r>
          <w:r>
            <w:rPr>
              <w:rFonts w:ascii="Times New Roman" w:hAnsi="Times New Roman" w:eastAsia="Times New Roman"/>
              <w:b/>
              <w:bCs/>
              <w:sz w:val="21"/>
              <w:szCs w:val="24"/>
              <w:lang w:val="zh-CN"/>
            </w:rPr>
            <w:fldChar w:fldCharType="separate"/>
          </w:r>
          <w:r>
            <w:rPr>
              <w:rFonts w:ascii="Times New Roman" w:hAnsi="Times New Roman"/>
            </w:rPr>
            <w:fldChar w:fldCharType="begin"/>
          </w:r>
          <w:r>
            <w:rPr>
              <w:rFonts w:ascii="Times New Roman" w:hAnsi="Times New Roman"/>
            </w:rPr>
            <w:instrText xml:space="preserve"> HYPERLINK \l "_Toc229846942" </w:instrText>
          </w:r>
          <w:r>
            <w:rPr>
              <w:rFonts w:ascii="Times New Roman" w:hAnsi="Times New Roman"/>
            </w:rPr>
            <w:fldChar w:fldCharType="separate"/>
          </w:r>
          <w:r>
            <w:rPr>
              <w:rStyle w:val="16"/>
              <w:rFonts w:ascii="Times New Roman" w:hAnsi="Times New Roman"/>
              <w:b/>
              <w:bCs/>
            </w:rPr>
            <w:t>Chemicals and Reagents</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_Toc229846942 \h </w:instrText>
          </w:r>
          <w:r>
            <w:rPr>
              <w:rFonts w:ascii="Times New Roman" w:hAnsi="Times New Roman"/>
            </w:rPr>
            <w:fldChar w:fldCharType="separate"/>
          </w:r>
          <w:r>
            <w:rPr>
              <w:rFonts w:ascii="Times New Roman" w:hAnsi="Times New Roman"/>
            </w:rPr>
            <w:t>7</w:t>
          </w:r>
          <w:r>
            <w:rPr>
              <w:rFonts w:ascii="Times New Roman" w:hAnsi="Times New Roman"/>
            </w:rPr>
            <w:fldChar w:fldCharType="end"/>
          </w:r>
          <w:r>
            <w:rPr>
              <w:rFonts w:ascii="Times New Roman" w:hAnsi="Times New Roman"/>
            </w:rPr>
            <w:fldChar w:fldCharType="end"/>
          </w:r>
        </w:p>
        <w:p w14:paraId="1F8A9CCC">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"_Toc229846943" </w:instrText>
          </w:r>
          <w:r>
            <w:rPr>
              <w:rFonts w:ascii="Times New Roman" w:hAnsi="Times New Roman"/>
            </w:rPr>
            <w:fldChar w:fldCharType="separate"/>
          </w:r>
          <w:r>
            <w:rPr>
              <w:rStyle w:val="16"/>
              <w:rFonts w:ascii="Times New Roman" w:hAnsi="Times New Roman"/>
              <w:b/>
              <w:bCs/>
            </w:rPr>
            <w:t>Statistical Analysis and Metabolites Annotation</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_Toc229846943 \h </w:instrText>
          </w:r>
          <w:r>
            <w:rPr>
              <w:rFonts w:ascii="Times New Roman" w:hAnsi="Times New Roman"/>
            </w:rPr>
            <w:fldChar w:fldCharType="separate"/>
          </w:r>
          <w:r>
            <w:rPr>
              <w:rFonts w:ascii="Times New Roman" w:hAnsi="Times New Roman"/>
            </w:rPr>
            <w:t>7</w:t>
          </w:r>
          <w:r>
            <w:rPr>
              <w:rFonts w:ascii="Times New Roman" w:hAnsi="Times New Roman"/>
            </w:rPr>
            <w:fldChar w:fldCharType="end"/>
          </w:r>
          <w:r>
            <w:rPr>
              <w:rFonts w:ascii="Times New Roman" w:hAnsi="Times New Roman"/>
            </w:rPr>
            <w:fldChar w:fldCharType="end"/>
          </w:r>
        </w:p>
        <w:p w14:paraId="23ADF436">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"_Toc229846944" </w:instrText>
          </w:r>
          <w:r>
            <w:rPr>
              <w:rFonts w:ascii="Times New Roman" w:hAnsi="Times New Roman"/>
            </w:rPr>
            <w:fldChar w:fldCharType="separate"/>
          </w:r>
          <w:r>
            <w:rPr>
              <w:rStyle w:val="16"/>
              <w:rFonts w:ascii="Times New Roman" w:hAnsi="Times New Roman"/>
              <w:b/>
              <w:bCs/>
            </w:rPr>
            <w:t>Density functional theory (DFT) calculations</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_Toc229846944 \h </w:instrText>
          </w:r>
          <w:r>
            <w:rPr>
              <w:rFonts w:ascii="Times New Roman" w:hAnsi="Times New Roman"/>
            </w:rPr>
            <w:fldChar w:fldCharType="separate"/>
          </w:r>
          <w:r>
            <w:rPr>
              <w:rFonts w:ascii="Times New Roman" w:hAnsi="Times New Roman"/>
            </w:rPr>
            <w:t>8</w:t>
          </w:r>
          <w:r>
            <w:rPr>
              <w:rFonts w:ascii="Times New Roman" w:hAnsi="Times New Roman"/>
            </w:rPr>
            <w:fldChar w:fldCharType="end"/>
          </w:r>
          <w:r>
            <w:rPr>
              <w:rFonts w:ascii="Times New Roman" w:hAnsi="Times New Roman"/>
            </w:rPr>
            <w:fldChar w:fldCharType="end"/>
          </w:r>
        </w:p>
        <w:p w14:paraId="637E74A3">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"_Toc229846945" </w:instrText>
          </w:r>
          <w:r>
            <w:rPr>
              <w:rFonts w:ascii="Times New Roman" w:hAnsi="Times New Roman"/>
            </w:rPr>
            <w:fldChar w:fldCharType="separate"/>
          </w:r>
          <w:r>
            <w:rPr>
              <w:rStyle w:val="16"/>
              <w:rFonts w:ascii="Times New Roman" w:hAnsi="Times New Roman"/>
              <w:b/>
              <w:bCs/>
            </w:rPr>
            <w:t>Supplementary Fig. 1. X-ray diffraction (XRD) analysis of MoO</w:t>
          </w:r>
          <w:r>
            <w:rPr>
              <w:rStyle w:val="16"/>
              <w:rFonts w:ascii="Times New Roman" w:hAnsi="Times New Roman"/>
              <w:b/>
              <w:bCs/>
              <w:vertAlign w:val="subscript"/>
            </w:rPr>
            <w:t>x</w:t>
          </w:r>
          <w:r>
            <w:rPr>
              <w:rStyle w:val="16"/>
              <w:rFonts w:ascii="Times New Roman" w:hAnsi="Times New Roman"/>
              <w:b/>
              <w:bCs/>
            </w:rPr>
            <w:t xml:space="preserve"> samples.</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_Toc229846945 \h </w:instrText>
          </w:r>
          <w:r>
            <w:rPr>
              <w:rFonts w:ascii="Times New Roman" w:hAnsi="Times New Roman"/>
            </w:rPr>
            <w:fldChar w:fldCharType="separate"/>
          </w:r>
          <w:r>
            <w:rPr>
              <w:rFonts w:ascii="Times New Roman" w:hAnsi="Times New Roman"/>
            </w:rPr>
            <w:t>9</w:t>
          </w:r>
          <w:r>
            <w:rPr>
              <w:rFonts w:ascii="Times New Roman" w:hAnsi="Times New Roman"/>
            </w:rPr>
            <w:fldChar w:fldCharType="end"/>
          </w:r>
          <w:r>
            <w:rPr>
              <w:rFonts w:ascii="Times New Roman" w:hAnsi="Times New Roman"/>
            </w:rPr>
            <w:fldChar w:fldCharType="end"/>
          </w:r>
        </w:p>
        <w:p w14:paraId="054D73D3">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"_Toc229846946" </w:instrText>
          </w:r>
          <w:r>
            <w:rPr>
              <w:rFonts w:ascii="Times New Roman" w:hAnsi="Times New Roman"/>
            </w:rPr>
            <w:fldChar w:fldCharType="separate"/>
          </w:r>
          <w:r>
            <w:rPr>
              <w:rStyle w:val="16"/>
              <w:rFonts w:ascii="Times New Roman" w:hAnsi="Times New Roman"/>
              <w:b/>
              <w:bCs/>
            </w:rPr>
            <w:t>Supplementary Fig. 2. Raman spectra of MoO</w:t>
          </w:r>
          <w:r>
            <w:rPr>
              <w:rStyle w:val="16"/>
              <w:rFonts w:ascii="Times New Roman" w:hAnsi="Times New Roman"/>
              <w:b/>
              <w:bCs/>
              <w:vertAlign w:val="subscript"/>
            </w:rPr>
            <w:t>x</w:t>
          </w:r>
          <w:r>
            <w:rPr>
              <w:rStyle w:val="16"/>
              <w:rFonts w:ascii="Times New Roman" w:hAnsi="Times New Roman"/>
              <w:b/>
              <w:bCs/>
            </w:rPr>
            <w:t>-0/2/5/10/15.</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_Toc229846946 \h </w:instrText>
          </w:r>
          <w:r>
            <w:rPr>
              <w:rFonts w:ascii="Times New Roman" w:hAnsi="Times New Roman"/>
            </w:rPr>
            <w:fldChar w:fldCharType="separate"/>
          </w:r>
          <w:r>
            <w:rPr>
              <w:rFonts w:ascii="Times New Roman" w:hAnsi="Times New Roman"/>
            </w:rPr>
            <w:t>10</w:t>
          </w:r>
          <w:r>
            <w:rPr>
              <w:rFonts w:ascii="Times New Roman" w:hAnsi="Times New Roman"/>
            </w:rPr>
            <w:fldChar w:fldCharType="end"/>
          </w:r>
          <w:r>
            <w:rPr>
              <w:rFonts w:ascii="Times New Roman" w:hAnsi="Times New Roman"/>
            </w:rPr>
            <w:fldChar w:fldCharType="end"/>
          </w:r>
        </w:p>
        <w:p w14:paraId="07611AA1">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"_Toc229846947" </w:instrText>
          </w:r>
          <w:r>
            <w:rPr>
              <w:rFonts w:ascii="Times New Roman" w:hAnsi="Times New Roman"/>
            </w:rPr>
            <w:fldChar w:fldCharType="separate"/>
          </w:r>
          <w:r>
            <w:rPr>
              <w:rStyle w:val="16"/>
              <w:rFonts w:ascii="Times New Roman" w:hAnsi="Times New Roman"/>
              <w:b/>
              <w:bCs/>
            </w:rPr>
            <w:t>Supplementary Fig. 3. Digital photographs and scanning electron microscopy (SEM) images of MoO</w:t>
          </w:r>
          <w:r>
            <w:rPr>
              <w:rStyle w:val="16"/>
              <w:rFonts w:ascii="Times New Roman" w:hAnsi="Times New Roman"/>
              <w:b/>
              <w:bCs/>
              <w:vertAlign w:val="subscript"/>
            </w:rPr>
            <w:t>x</w:t>
          </w:r>
          <w:r>
            <w:rPr>
              <w:rStyle w:val="16"/>
              <w:rFonts w:ascii="Times New Roman" w:hAnsi="Times New Roman"/>
              <w:b/>
              <w:bCs/>
            </w:rPr>
            <w:t>-0/2/5/10/15.</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_Toc229846947 \h </w:instrText>
          </w:r>
          <w:r>
            <w:rPr>
              <w:rFonts w:ascii="Times New Roman" w:hAnsi="Times New Roman"/>
            </w:rPr>
            <w:fldChar w:fldCharType="separate"/>
          </w:r>
          <w:r>
            <w:rPr>
              <w:rFonts w:ascii="Times New Roman" w:hAnsi="Times New Roman"/>
            </w:rPr>
            <w:t>11</w:t>
          </w:r>
          <w:r>
            <w:rPr>
              <w:rFonts w:ascii="Times New Roman" w:hAnsi="Times New Roman"/>
            </w:rPr>
            <w:fldChar w:fldCharType="end"/>
          </w:r>
          <w:r>
            <w:rPr>
              <w:rFonts w:ascii="Times New Roman" w:hAnsi="Times New Roman"/>
            </w:rPr>
            <w:fldChar w:fldCharType="end"/>
          </w:r>
        </w:p>
        <w:p w14:paraId="33475613">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"_Toc229846948" </w:instrText>
          </w:r>
          <w:r>
            <w:rPr>
              <w:rFonts w:ascii="Times New Roman" w:hAnsi="Times New Roman"/>
            </w:rPr>
            <w:fldChar w:fldCharType="separate"/>
          </w:r>
          <w:r>
            <w:rPr>
              <w:rStyle w:val="16"/>
              <w:rFonts w:ascii="Times New Roman" w:hAnsi="Times New Roman"/>
              <w:b/>
              <w:bCs/>
            </w:rPr>
            <w:t>Supplementary Fig. 4. High-resolution transmission electron microscopy (HRTEM) and High-angle annular dark-field scanning transmission electron microscopy (HAADF-STEM) of MoO</w:t>
          </w:r>
          <w:r>
            <w:rPr>
              <w:rStyle w:val="16"/>
              <w:rFonts w:ascii="Times New Roman" w:hAnsi="Times New Roman"/>
              <w:b/>
              <w:bCs/>
              <w:vertAlign w:val="subscript"/>
            </w:rPr>
            <w:t>x</w:t>
          </w:r>
          <w:r>
            <w:rPr>
              <w:rStyle w:val="16"/>
              <w:rFonts w:ascii="Times New Roman" w:hAnsi="Times New Roman"/>
              <w:b/>
              <w:bCs/>
            </w:rPr>
            <w:t>-0.</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_Toc229846948 \h </w:instrText>
          </w:r>
          <w:r>
            <w:rPr>
              <w:rFonts w:ascii="Times New Roman" w:hAnsi="Times New Roman"/>
            </w:rPr>
            <w:fldChar w:fldCharType="separate"/>
          </w:r>
          <w:r>
            <w:rPr>
              <w:rFonts w:ascii="Times New Roman" w:hAnsi="Times New Roman"/>
            </w:rPr>
            <w:t>12</w:t>
          </w:r>
          <w:r>
            <w:rPr>
              <w:rFonts w:ascii="Times New Roman" w:hAnsi="Times New Roman"/>
            </w:rPr>
            <w:fldChar w:fldCharType="end"/>
          </w:r>
          <w:r>
            <w:rPr>
              <w:rFonts w:ascii="Times New Roman" w:hAnsi="Times New Roman"/>
            </w:rPr>
            <w:fldChar w:fldCharType="end"/>
          </w:r>
        </w:p>
        <w:p w14:paraId="52BDEA99">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"_Toc229846949" </w:instrText>
          </w:r>
          <w:r>
            <w:rPr>
              <w:rFonts w:ascii="Times New Roman" w:hAnsi="Times New Roman"/>
            </w:rPr>
            <w:fldChar w:fldCharType="separate"/>
          </w:r>
          <w:r>
            <w:rPr>
              <w:rStyle w:val="16"/>
              <w:rFonts w:ascii="Times New Roman" w:hAnsi="Times New Roman"/>
              <w:b/>
              <w:bCs/>
            </w:rPr>
            <w:t>Supplementary Fig. 5. HRTEM and HAADF-STEM of MoO</w:t>
          </w:r>
          <w:r>
            <w:rPr>
              <w:rStyle w:val="16"/>
              <w:rFonts w:ascii="Times New Roman" w:hAnsi="Times New Roman"/>
              <w:b/>
              <w:bCs/>
              <w:vertAlign w:val="subscript"/>
            </w:rPr>
            <w:t>x</w:t>
          </w:r>
          <w:r>
            <w:rPr>
              <w:rStyle w:val="16"/>
              <w:rFonts w:ascii="Times New Roman" w:hAnsi="Times New Roman"/>
              <w:b/>
              <w:bCs/>
            </w:rPr>
            <w:t>-2.</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_Toc229846949 \h </w:instrText>
          </w:r>
          <w:r>
            <w:rPr>
              <w:rFonts w:ascii="Times New Roman" w:hAnsi="Times New Roman"/>
            </w:rPr>
            <w:fldChar w:fldCharType="separate"/>
          </w:r>
          <w:r>
            <w:rPr>
              <w:rFonts w:ascii="Times New Roman" w:hAnsi="Times New Roman"/>
            </w:rPr>
            <w:t>13</w:t>
          </w:r>
          <w:r>
            <w:rPr>
              <w:rFonts w:ascii="Times New Roman" w:hAnsi="Times New Roman"/>
            </w:rPr>
            <w:fldChar w:fldCharType="end"/>
          </w:r>
          <w:r>
            <w:rPr>
              <w:rFonts w:ascii="Times New Roman" w:hAnsi="Times New Roman"/>
            </w:rPr>
            <w:fldChar w:fldCharType="end"/>
          </w:r>
        </w:p>
        <w:p w14:paraId="5ADDC54C">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"_Toc229846950" </w:instrText>
          </w:r>
          <w:r>
            <w:rPr>
              <w:rFonts w:ascii="Times New Roman" w:hAnsi="Times New Roman"/>
            </w:rPr>
            <w:fldChar w:fldCharType="separate"/>
          </w:r>
          <w:r>
            <w:rPr>
              <w:rStyle w:val="16"/>
              <w:rFonts w:ascii="Times New Roman" w:hAnsi="Times New Roman"/>
              <w:b/>
              <w:bCs/>
            </w:rPr>
            <w:t>Supplementary Fig. 6. TEM, HRTEM and HAADF-STEM of MoO</w:t>
          </w:r>
          <w:r>
            <w:rPr>
              <w:rStyle w:val="16"/>
              <w:rFonts w:ascii="Times New Roman" w:hAnsi="Times New Roman"/>
              <w:b/>
              <w:bCs/>
              <w:vertAlign w:val="subscript"/>
            </w:rPr>
            <w:t>x</w:t>
          </w:r>
          <w:r>
            <w:rPr>
              <w:rStyle w:val="16"/>
              <w:rFonts w:ascii="Times New Roman" w:hAnsi="Times New Roman"/>
              <w:b/>
              <w:bCs/>
            </w:rPr>
            <w:t>-5.</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_Toc229846950 \h </w:instrText>
          </w:r>
          <w:r>
            <w:rPr>
              <w:rFonts w:ascii="Times New Roman" w:hAnsi="Times New Roman"/>
            </w:rPr>
            <w:fldChar w:fldCharType="separate"/>
          </w:r>
          <w:r>
            <w:rPr>
              <w:rFonts w:ascii="Times New Roman" w:hAnsi="Times New Roman"/>
            </w:rPr>
            <w:t>14</w:t>
          </w:r>
          <w:r>
            <w:rPr>
              <w:rFonts w:ascii="Times New Roman" w:hAnsi="Times New Roman"/>
            </w:rPr>
            <w:fldChar w:fldCharType="end"/>
          </w:r>
          <w:r>
            <w:rPr>
              <w:rFonts w:ascii="Times New Roman" w:hAnsi="Times New Roman"/>
            </w:rPr>
            <w:fldChar w:fldCharType="end"/>
          </w:r>
        </w:p>
        <w:p w14:paraId="08E6ED06">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"_Toc229846951" </w:instrText>
          </w:r>
          <w:r>
            <w:rPr>
              <w:rFonts w:ascii="Times New Roman" w:hAnsi="Times New Roman"/>
            </w:rPr>
            <w:fldChar w:fldCharType="separate"/>
          </w:r>
          <w:r>
            <w:rPr>
              <w:rStyle w:val="16"/>
              <w:rFonts w:ascii="Times New Roman" w:hAnsi="Times New Roman"/>
              <w:b/>
              <w:bCs/>
            </w:rPr>
            <w:t>Supplementary Fig. 7. Electron paramagnetic resonance (EPR) analysis of MoO</w:t>
          </w:r>
          <w:r>
            <w:rPr>
              <w:rStyle w:val="16"/>
              <w:rFonts w:ascii="Times New Roman" w:hAnsi="Times New Roman"/>
              <w:b/>
              <w:bCs/>
              <w:vertAlign w:val="subscript"/>
            </w:rPr>
            <w:t>x</w:t>
          </w:r>
          <w:r>
            <w:rPr>
              <w:rStyle w:val="16"/>
              <w:rFonts w:ascii="Times New Roman" w:hAnsi="Times New Roman"/>
              <w:b/>
              <w:bCs/>
            </w:rPr>
            <w:t xml:space="preserve"> samples.</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_Toc229846951 \h </w:instrText>
          </w:r>
          <w:r>
            <w:rPr>
              <w:rFonts w:ascii="Times New Roman" w:hAnsi="Times New Roman"/>
            </w:rPr>
            <w:fldChar w:fldCharType="separate"/>
          </w:r>
          <w:r>
            <w:rPr>
              <w:rFonts w:ascii="Times New Roman" w:hAnsi="Times New Roman"/>
            </w:rPr>
            <w:t>15</w:t>
          </w:r>
          <w:r>
            <w:rPr>
              <w:rFonts w:ascii="Times New Roman" w:hAnsi="Times New Roman"/>
            </w:rPr>
            <w:fldChar w:fldCharType="end"/>
          </w:r>
          <w:r>
            <w:rPr>
              <w:rFonts w:ascii="Times New Roman" w:hAnsi="Times New Roman"/>
            </w:rPr>
            <w:fldChar w:fldCharType="end"/>
          </w:r>
        </w:p>
        <w:p w14:paraId="1E1FAEB0">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"_Toc229846952" </w:instrText>
          </w:r>
          <w:r>
            <w:rPr>
              <w:rFonts w:ascii="Times New Roman" w:hAnsi="Times New Roman"/>
            </w:rPr>
            <w:fldChar w:fldCharType="separate"/>
          </w:r>
          <w:r>
            <w:rPr>
              <w:rStyle w:val="16"/>
              <w:rFonts w:ascii="Times New Roman" w:hAnsi="Times New Roman"/>
              <w:b/>
              <w:bCs/>
            </w:rPr>
            <w:t>Supplementary Fig. 8. X-ray photoelectron spectroscopy (XPS) investigation of MoO</w:t>
          </w:r>
          <w:r>
            <w:rPr>
              <w:rStyle w:val="16"/>
              <w:rFonts w:ascii="Times New Roman" w:hAnsi="Times New Roman"/>
              <w:b/>
              <w:bCs/>
              <w:vertAlign w:val="subscript"/>
            </w:rPr>
            <w:t>x</w:t>
          </w:r>
          <w:r>
            <w:rPr>
              <w:rStyle w:val="16"/>
              <w:rFonts w:ascii="Times New Roman" w:hAnsi="Times New Roman"/>
              <w:b/>
              <w:bCs/>
            </w:rPr>
            <w:t xml:space="preserve"> samples.</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_Toc229846952 \h </w:instrText>
          </w:r>
          <w:r>
            <w:rPr>
              <w:rFonts w:ascii="Times New Roman" w:hAnsi="Times New Roman"/>
            </w:rPr>
            <w:fldChar w:fldCharType="separate"/>
          </w:r>
          <w:r>
            <w:rPr>
              <w:rFonts w:ascii="Times New Roman" w:hAnsi="Times New Roman"/>
            </w:rPr>
            <w:t>16</w:t>
          </w:r>
          <w:r>
            <w:rPr>
              <w:rFonts w:ascii="Times New Roman" w:hAnsi="Times New Roman"/>
            </w:rPr>
            <w:fldChar w:fldCharType="end"/>
          </w:r>
          <w:r>
            <w:rPr>
              <w:rFonts w:ascii="Times New Roman" w:hAnsi="Times New Roman"/>
            </w:rPr>
            <w:fldChar w:fldCharType="end"/>
          </w:r>
        </w:p>
        <w:p w14:paraId="407D4F8F">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"_Toc229846953" </w:instrText>
          </w:r>
          <w:r>
            <w:rPr>
              <w:rFonts w:ascii="Times New Roman" w:hAnsi="Times New Roman"/>
            </w:rPr>
            <w:fldChar w:fldCharType="separate"/>
          </w:r>
          <w:r>
            <w:rPr>
              <w:rStyle w:val="16"/>
              <w:rFonts w:ascii="Times New Roman" w:hAnsi="Times New Roman"/>
              <w:b/>
              <w:bCs/>
            </w:rPr>
            <w:t>Supplementary Fig. 9. EXAFS analysis of Mo foil, MoO</w:t>
          </w:r>
          <w:r>
            <w:rPr>
              <w:rStyle w:val="16"/>
              <w:rFonts w:ascii="Times New Roman" w:hAnsi="Times New Roman"/>
              <w:b/>
              <w:bCs/>
              <w:vertAlign w:val="subscript"/>
            </w:rPr>
            <w:t>2</w:t>
          </w:r>
          <w:r>
            <w:rPr>
              <w:rStyle w:val="16"/>
              <w:rFonts w:ascii="Times New Roman" w:hAnsi="Times New Roman"/>
              <w:b/>
              <w:bCs/>
            </w:rPr>
            <w:t>, MoO</w:t>
          </w:r>
          <w:r>
            <w:rPr>
              <w:rStyle w:val="16"/>
              <w:rFonts w:ascii="Times New Roman" w:hAnsi="Times New Roman"/>
              <w:b/>
              <w:bCs/>
              <w:vertAlign w:val="subscript"/>
            </w:rPr>
            <w:t>3</w:t>
          </w:r>
          <w:r>
            <w:rPr>
              <w:rStyle w:val="16"/>
              <w:rFonts w:ascii="Times New Roman" w:hAnsi="Times New Roman"/>
              <w:b/>
              <w:bCs/>
            </w:rPr>
            <w:t>, MoO</w:t>
          </w:r>
          <w:r>
            <w:rPr>
              <w:rStyle w:val="16"/>
              <w:rFonts w:ascii="Times New Roman" w:hAnsi="Times New Roman"/>
              <w:b/>
              <w:bCs/>
              <w:vertAlign w:val="subscript"/>
            </w:rPr>
            <w:t>x</w:t>
          </w:r>
          <w:r>
            <w:rPr>
              <w:rStyle w:val="16"/>
              <w:rFonts w:ascii="Times New Roman" w:hAnsi="Times New Roman"/>
              <w:b/>
              <w:bCs/>
            </w:rPr>
            <w:t>-2 and MoO</w:t>
          </w:r>
          <w:r>
            <w:rPr>
              <w:rStyle w:val="16"/>
              <w:rFonts w:ascii="Times New Roman" w:hAnsi="Times New Roman"/>
              <w:b/>
              <w:bCs/>
              <w:vertAlign w:val="subscript"/>
            </w:rPr>
            <w:t>x</w:t>
          </w:r>
          <w:r>
            <w:rPr>
              <w:rStyle w:val="16"/>
              <w:rFonts w:ascii="Times New Roman" w:hAnsi="Times New Roman"/>
              <w:b/>
              <w:bCs/>
            </w:rPr>
            <w:t>-5.</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_Toc229846953 \h </w:instrText>
          </w:r>
          <w:r>
            <w:rPr>
              <w:rFonts w:ascii="Times New Roman" w:hAnsi="Times New Roman"/>
            </w:rPr>
            <w:fldChar w:fldCharType="separate"/>
          </w:r>
          <w:r>
            <w:rPr>
              <w:rFonts w:ascii="Times New Roman" w:hAnsi="Times New Roman"/>
            </w:rPr>
            <w:t>17</w:t>
          </w:r>
          <w:r>
            <w:rPr>
              <w:rFonts w:ascii="Times New Roman" w:hAnsi="Times New Roman"/>
            </w:rPr>
            <w:fldChar w:fldCharType="end"/>
          </w:r>
          <w:r>
            <w:rPr>
              <w:rFonts w:ascii="Times New Roman" w:hAnsi="Times New Roman"/>
            </w:rPr>
            <w:fldChar w:fldCharType="end"/>
          </w:r>
        </w:p>
        <w:p w14:paraId="2261EE94">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"_Toc229846954" </w:instrText>
          </w:r>
          <w:r>
            <w:rPr>
              <w:rFonts w:ascii="Times New Roman" w:hAnsi="Times New Roman"/>
            </w:rPr>
            <w:fldChar w:fldCharType="separate"/>
          </w:r>
          <w:r>
            <w:rPr>
              <w:rStyle w:val="16"/>
              <w:rFonts w:ascii="Times New Roman" w:hAnsi="Times New Roman"/>
              <w:b/>
              <w:bCs/>
            </w:rPr>
            <w:t>Supplementary Fig. 10. Ultraviolet-visible (UV-vis) absorption spectra of MoO</w:t>
          </w:r>
          <w:r>
            <w:rPr>
              <w:rStyle w:val="16"/>
              <w:rFonts w:ascii="Times New Roman" w:hAnsi="Times New Roman"/>
              <w:b/>
              <w:bCs/>
              <w:vertAlign w:val="subscript"/>
            </w:rPr>
            <w:t>x</w:t>
          </w:r>
          <w:r>
            <w:rPr>
              <w:rStyle w:val="16"/>
              <w:rFonts w:ascii="Times New Roman" w:hAnsi="Times New Roman"/>
              <w:b/>
              <w:bCs/>
            </w:rPr>
            <w:t>-0/2/5.</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_Toc229846954 \h </w:instrText>
          </w:r>
          <w:r>
            <w:rPr>
              <w:rFonts w:ascii="Times New Roman" w:hAnsi="Times New Roman"/>
            </w:rPr>
            <w:fldChar w:fldCharType="separate"/>
          </w:r>
          <w:r>
            <w:rPr>
              <w:rFonts w:ascii="Times New Roman" w:hAnsi="Times New Roman"/>
            </w:rPr>
            <w:t>18</w:t>
          </w:r>
          <w:r>
            <w:rPr>
              <w:rFonts w:ascii="Times New Roman" w:hAnsi="Times New Roman"/>
            </w:rPr>
            <w:fldChar w:fldCharType="end"/>
          </w:r>
          <w:r>
            <w:rPr>
              <w:rFonts w:ascii="Times New Roman" w:hAnsi="Times New Roman"/>
            </w:rPr>
            <w:fldChar w:fldCharType="end"/>
          </w:r>
        </w:p>
        <w:p w14:paraId="220A5E23">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"_Toc229846955" </w:instrText>
          </w:r>
          <w:r>
            <w:rPr>
              <w:rFonts w:ascii="Times New Roman" w:hAnsi="Times New Roman"/>
            </w:rPr>
            <w:fldChar w:fldCharType="separate"/>
          </w:r>
          <w:r>
            <w:rPr>
              <w:rStyle w:val="16"/>
              <w:rFonts w:ascii="Times New Roman" w:hAnsi="Times New Roman"/>
              <w:b/>
              <w:bCs/>
            </w:rPr>
            <w:t>Supplementary Fig. 11. Thermal desorption performance using 4-MeBP</w:t>
          </w:r>
          <w:r>
            <w:rPr>
              <w:rStyle w:val="16"/>
              <w:rFonts w:ascii="Times New Roman" w:hAnsi="Times New Roman"/>
              <w:b/>
              <w:bCs/>
              <w:vertAlign w:val="superscript"/>
            </w:rPr>
            <w:t>+</w:t>
          </w:r>
          <w:r>
            <w:rPr>
              <w:rStyle w:val="16"/>
              <w:rFonts w:ascii="Times New Roman" w:hAnsi="Times New Roman"/>
              <w:b/>
              <w:bCs/>
            </w:rPr>
            <w:t xml:space="preserve"> as a probe ion</w:t>
          </w:r>
          <w:r>
            <w:rPr>
              <w:rStyle w:val="16"/>
              <w:rFonts w:ascii="Times New Roman" w:hAnsi="Times New Roman"/>
            </w:rPr>
            <w:t xml:space="preserve"> </w:t>
          </w:r>
          <w:r>
            <w:rPr>
              <w:rStyle w:val="16"/>
              <w:rFonts w:ascii="Times New Roman" w:hAnsi="Times New Roman"/>
              <w:b/>
              <w:bCs/>
            </w:rPr>
            <w:t>and charge desorption performance using TBA</w:t>
          </w:r>
          <w:r>
            <w:rPr>
              <w:rStyle w:val="16"/>
              <w:rFonts w:ascii="Times New Roman" w:hAnsi="Times New Roman"/>
              <w:b/>
              <w:bCs/>
              <w:vertAlign w:val="superscript"/>
            </w:rPr>
            <w:t>+</w:t>
          </w:r>
          <w:r>
            <w:rPr>
              <w:rStyle w:val="16"/>
              <w:rFonts w:ascii="Times New Roman" w:hAnsi="Times New Roman"/>
              <w:b/>
              <w:bCs/>
            </w:rPr>
            <w:t xml:space="preserve"> as a probe ion.</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_Toc229846955 \h </w:instrText>
          </w:r>
          <w:r>
            <w:rPr>
              <w:rFonts w:ascii="Times New Roman" w:hAnsi="Times New Roman"/>
            </w:rPr>
            <w:fldChar w:fldCharType="separate"/>
          </w:r>
          <w:r>
            <w:rPr>
              <w:rFonts w:ascii="Times New Roman" w:hAnsi="Times New Roman"/>
            </w:rPr>
            <w:t>19</w:t>
          </w:r>
          <w:r>
            <w:rPr>
              <w:rFonts w:ascii="Times New Roman" w:hAnsi="Times New Roman"/>
            </w:rPr>
            <w:fldChar w:fldCharType="end"/>
          </w:r>
          <w:r>
            <w:rPr>
              <w:rFonts w:ascii="Times New Roman" w:hAnsi="Times New Roman"/>
            </w:rPr>
            <w:fldChar w:fldCharType="end"/>
          </w:r>
        </w:p>
        <w:p w14:paraId="02CA2B4D">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"_Toc229846956" </w:instrText>
          </w:r>
          <w:r>
            <w:rPr>
              <w:rFonts w:ascii="Times New Roman" w:hAnsi="Times New Roman"/>
            </w:rPr>
            <w:fldChar w:fldCharType="separate"/>
          </w:r>
          <w:r>
            <w:rPr>
              <w:rStyle w:val="16"/>
              <w:rFonts w:ascii="Times New Roman" w:hAnsi="Times New Roman"/>
              <w:b/>
              <w:bCs/>
            </w:rPr>
            <w:t>Supplementary Fig. 12. Comparative photothermal conversion performance of MoO</w:t>
          </w:r>
          <w:r>
            <w:rPr>
              <w:rStyle w:val="16"/>
              <w:rFonts w:ascii="Times New Roman" w:hAnsi="Times New Roman"/>
              <w:b/>
              <w:bCs/>
              <w:vertAlign w:val="subscript"/>
            </w:rPr>
            <w:t>x</w:t>
          </w:r>
          <w:r>
            <w:rPr>
              <w:rStyle w:val="16"/>
              <w:rFonts w:ascii="Times New Roman" w:hAnsi="Times New Roman"/>
              <w:b/>
              <w:bCs/>
            </w:rPr>
            <w:t>-0/2/5.</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_Toc229846956 \h </w:instrText>
          </w:r>
          <w:r>
            <w:rPr>
              <w:rFonts w:ascii="Times New Roman" w:hAnsi="Times New Roman"/>
            </w:rPr>
            <w:fldChar w:fldCharType="separate"/>
          </w:r>
          <w:r>
            <w:rPr>
              <w:rFonts w:ascii="Times New Roman" w:hAnsi="Times New Roman"/>
            </w:rPr>
            <w:t>20</w:t>
          </w:r>
          <w:r>
            <w:rPr>
              <w:rFonts w:ascii="Times New Roman" w:hAnsi="Times New Roman"/>
            </w:rPr>
            <w:fldChar w:fldCharType="end"/>
          </w:r>
          <w:r>
            <w:rPr>
              <w:rFonts w:ascii="Times New Roman" w:hAnsi="Times New Roman"/>
            </w:rPr>
            <w:fldChar w:fldCharType="end"/>
          </w:r>
        </w:p>
        <w:p w14:paraId="20EBE07F">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"_Toc229846957" </w:instrText>
          </w:r>
          <w:r>
            <w:rPr>
              <w:rFonts w:ascii="Times New Roman" w:hAnsi="Times New Roman"/>
            </w:rPr>
            <w:fldChar w:fldCharType="separate"/>
          </w:r>
          <w:r>
            <w:rPr>
              <w:rStyle w:val="16"/>
              <w:rFonts w:ascii="Times New Roman" w:hAnsi="Times New Roman"/>
              <w:b/>
              <w:bCs/>
            </w:rPr>
            <w:t>Supplementary Fig. 13. (a) Photoluminescence (PL) and (b) time-resolved photoluminescence (TRPL) of MoO</w:t>
          </w:r>
          <w:r>
            <w:rPr>
              <w:rStyle w:val="16"/>
              <w:rFonts w:ascii="Times New Roman" w:hAnsi="Times New Roman"/>
              <w:b/>
              <w:bCs/>
              <w:vertAlign w:val="subscript"/>
            </w:rPr>
            <w:t>x</w:t>
          </w:r>
          <w:r>
            <w:rPr>
              <w:rStyle w:val="16"/>
              <w:rFonts w:ascii="Times New Roman" w:hAnsi="Times New Roman"/>
              <w:b/>
              <w:bCs/>
            </w:rPr>
            <w:t>-0/2/5.</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_Toc229846957 \h </w:instrText>
          </w:r>
          <w:r>
            <w:rPr>
              <w:rFonts w:ascii="Times New Roman" w:hAnsi="Times New Roman"/>
            </w:rPr>
            <w:fldChar w:fldCharType="separate"/>
          </w:r>
          <w:r>
            <w:rPr>
              <w:rFonts w:ascii="Times New Roman" w:hAnsi="Times New Roman"/>
            </w:rPr>
            <w:t>21</w:t>
          </w:r>
          <w:r>
            <w:rPr>
              <w:rFonts w:ascii="Times New Roman" w:hAnsi="Times New Roman"/>
            </w:rPr>
            <w:fldChar w:fldCharType="end"/>
          </w:r>
          <w:r>
            <w:rPr>
              <w:rFonts w:ascii="Times New Roman" w:hAnsi="Times New Roman"/>
            </w:rPr>
            <w:fldChar w:fldCharType="end"/>
          </w:r>
        </w:p>
        <w:p w14:paraId="14103279">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"_Toc229846958" </w:instrText>
          </w:r>
          <w:r>
            <w:rPr>
              <w:rFonts w:ascii="Times New Roman" w:hAnsi="Times New Roman"/>
            </w:rPr>
            <w:fldChar w:fldCharType="separate"/>
          </w:r>
          <w:r>
            <w:rPr>
              <w:rStyle w:val="16"/>
              <w:rFonts w:ascii="Times New Roman" w:hAnsi="Times New Roman"/>
              <w:b/>
              <w:bCs/>
            </w:rPr>
            <w:t>Supplementary Fig. 14. Transient absorption spectroscopy (TAS) of MoO</w:t>
          </w:r>
          <w:r>
            <w:rPr>
              <w:rStyle w:val="16"/>
              <w:rFonts w:ascii="Times New Roman" w:hAnsi="Times New Roman"/>
              <w:b/>
              <w:bCs/>
              <w:vertAlign w:val="subscript"/>
            </w:rPr>
            <w:t>x</w:t>
          </w:r>
          <w:r>
            <w:rPr>
              <w:rStyle w:val="16"/>
              <w:rFonts w:ascii="Times New Roman" w:hAnsi="Times New Roman"/>
              <w:b/>
              <w:bCs/>
            </w:rPr>
            <w:t>-0, MoO</w:t>
          </w:r>
          <w:r>
            <w:rPr>
              <w:rStyle w:val="16"/>
              <w:rFonts w:ascii="Times New Roman" w:hAnsi="Times New Roman"/>
              <w:b/>
              <w:bCs/>
              <w:vertAlign w:val="subscript"/>
            </w:rPr>
            <w:t>x</w:t>
          </w:r>
          <w:r>
            <w:rPr>
              <w:rStyle w:val="16"/>
              <w:rFonts w:ascii="Times New Roman" w:hAnsi="Times New Roman"/>
              <w:b/>
              <w:bCs/>
            </w:rPr>
            <w:t>-2 and MoO</w:t>
          </w:r>
          <w:r>
            <w:rPr>
              <w:rStyle w:val="16"/>
              <w:rFonts w:ascii="Times New Roman" w:hAnsi="Times New Roman"/>
              <w:b/>
              <w:bCs/>
              <w:vertAlign w:val="subscript"/>
            </w:rPr>
            <w:t>x</w:t>
          </w:r>
          <w:r>
            <w:rPr>
              <w:rStyle w:val="16"/>
              <w:rFonts w:ascii="Times New Roman" w:hAnsi="Times New Roman"/>
              <w:b/>
              <w:bCs/>
            </w:rPr>
            <w:t>-5.</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_Toc229846958 \h </w:instrText>
          </w:r>
          <w:r>
            <w:rPr>
              <w:rFonts w:ascii="Times New Roman" w:hAnsi="Times New Roman"/>
            </w:rPr>
            <w:fldChar w:fldCharType="separate"/>
          </w:r>
          <w:r>
            <w:rPr>
              <w:rFonts w:ascii="Times New Roman" w:hAnsi="Times New Roman"/>
            </w:rPr>
            <w:t>22</w:t>
          </w:r>
          <w:r>
            <w:rPr>
              <w:rFonts w:ascii="Times New Roman" w:hAnsi="Times New Roman"/>
            </w:rPr>
            <w:fldChar w:fldCharType="end"/>
          </w:r>
          <w:r>
            <w:rPr>
              <w:rFonts w:ascii="Times New Roman" w:hAnsi="Times New Roman"/>
            </w:rPr>
            <w:fldChar w:fldCharType="end"/>
          </w:r>
        </w:p>
        <w:p w14:paraId="4C6CF744">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"_Toc229846959" </w:instrText>
          </w:r>
          <w:r>
            <w:rPr>
              <w:rFonts w:ascii="Times New Roman" w:hAnsi="Times New Roman"/>
            </w:rPr>
            <w:fldChar w:fldCharType="separate"/>
          </w:r>
          <w:r>
            <w:rPr>
              <w:rStyle w:val="16"/>
              <w:rFonts w:ascii="Times New Roman" w:hAnsi="Times New Roman"/>
              <w:b/>
              <w:bCs/>
            </w:rPr>
            <w:t>Supplementary Fig. 15. In situ electrochemical impedance spectroscopy (EIS) of MoO</w:t>
          </w:r>
          <w:r>
            <w:rPr>
              <w:rStyle w:val="16"/>
              <w:rFonts w:ascii="Times New Roman" w:hAnsi="Times New Roman"/>
              <w:b/>
              <w:bCs/>
              <w:vertAlign w:val="subscript"/>
            </w:rPr>
            <w:t>x</w:t>
          </w:r>
          <w:r>
            <w:rPr>
              <w:rStyle w:val="16"/>
              <w:rFonts w:ascii="Times New Roman" w:hAnsi="Times New Roman"/>
              <w:b/>
              <w:bCs/>
            </w:rPr>
            <w:t>-0/2/5 before and after 355 nm irradiation.</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_Toc229846959 \h </w:instrText>
          </w:r>
          <w:r>
            <w:rPr>
              <w:rFonts w:ascii="Times New Roman" w:hAnsi="Times New Roman"/>
            </w:rPr>
            <w:fldChar w:fldCharType="separate"/>
          </w:r>
          <w:r>
            <w:rPr>
              <w:rFonts w:ascii="Times New Roman" w:hAnsi="Times New Roman"/>
            </w:rPr>
            <w:t>24</w:t>
          </w:r>
          <w:r>
            <w:rPr>
              <w:rFonts w:ascii="Times New Roman" w:hAnsi="Times New Roman"/>
            </w:rPr>
            <w:fldChar w:fldCharType="end"/>
          </w:r>
          <w:r>
            <w:rPr>
              <w:rFonts w:ascii="Times New Roman" w:hAnsi="Times New Roman"/>
            </w:rPr>
            <w:fldChar w:fldCharType="end"/>
          </w:r>
        </w:p>
        <w:p w14:paraId="0B56C519">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"_Toc229846960" </w:instrText>
          </w:r>
          <w:r>
            <w:rPr>
              <w:rFonts w:ascii="Times New Roman" w:hAnsi="Times New Roman"/>
            </w:rPr>
            <w:fldChar w:fldCharType="separate"/>
          </w:r>
          <w:r>
            <w:rPr>
              <w:rStyle w:val="16"/>
              <w:rFonts w:ascii="Times New Roman" w:hAnsi="Times New Roman"/>
              <w:b/>
              <w:bCs/>
            </w:rPr>
            <w:t>Supplementary Fig. 16. Transient photocurrent response of MoO</w:t>
          </w:r>
          <w:r>
            <w:rPr>
              <w:rStyle w:val="16"/>
              <w:rFonts w:ascii="Times New Roman" w:hAnsi="Times New Roman"/>
              <w:b/>
              <w:bCs/>
              <w:vertAlign w:val="subscript"/>
            </w:rPr>
            <w:t>x</w:t>
          </w:r>
          <w:r>
            <w:rPr>
              <w:rStyle w:val="16"/>
              <w:rFonts w:ascii="Times New Roman" w:hAnsi="Times New Roman"/>
              <w:b/>
              <w:bCs/>
            </w:rPr>
            <w:t>-0/2/5.</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_Toc229846960 \h </w:instrText>
          </w:r>
          <w:r>
            <w:rPr>
              <w:rFonts w:ascii="Times New Roman" w:hAnsi="Times New Roman"/>
            </w:rPr>
            <w:fldChar w:fldCharType="separate"/>
          </w:r>
          <w:r>
            <w:rPr>
              <w:rFonts w:ascii="Times New Roman" w:hAnsi="Times New Roman"/>
            </w:rPr>
            <w:t>25</w:t>
          </w:r>
          <w:r>
            <w:rPr>
              <w:rFonts w:ascii="Times New Roman" w:hAnsi="Times New Roman"/>
            </w:rPr>
            <w:fldChar w:fldCharType="end"/>
          </w:r>
          <w:r>
            <w:rPr>
              <w:rFonts w:ascii="Times New Roman" w:hAnsi="Times New Roman"/>
            </w:rPr>
            <w:fldChar w:fldCharType="end"/>
          </w:r>
        </w:p>
        <w:p w14:paraId="1AD3F7F2">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"_Toc229846961" </w:instrText>
          </w:r>
          <w:r>
            <w:rPr>
              <w:rFonts w:ascii="Times New Roman" w:hAnsi="Times New Roman"/>
            </w:rPr>
            <w:fldChar w:fldCharType="separate"/>
          </w:r>
          <w:r>
            <w:rPr>
              <w:rStyle w:val="16"/>
              <w:rFonts w:ascii="Times New Roman" w:hAnsi="Times New Roman"/>
              <w:b/>
              <w:bCs/>
            </w:rPr>
            <w:t>Supplementary Fig. 17. Surface photovoltage spectroscopy of MoO</w:t>
          </w:r>
          <w:r>
            <w:rPr>
              <w:rStyle w:val="16"/>
              <w:rFonts w:ascii="Times New Roman" w:hAnsi="Times New Roman"/>
              <w:b/>
              <w:bCs/>
              <w:vertAlign w:val="subscript"/>
            </w:rPr>
            <w:t>x</w:t>
          </w:r>
          <w:r>
            <w:rPr>
              <w:rStyle w:val="16"/>
              <w:rFonts w:ascii="Times New Roman" w:hAnsi="Times New Roman"/>
              <w:b/>
              <w:bCs/>
            </w:rPr>
            <w:t>-0/2/5.</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_Toc229846961 \h </w:instrText>
          </w:r>
          <w:r>
            <w:rPr>
              <w:rFonts w:ascii="Times New Roman" w:hAnsi="Times New Roman"/>
            </w:rPr>
            <w:fldChar w:fldCharType="separate"/>
          </w:r>
          <w:r>
            <w:rPr>
              <w:rFonts w:ascii="Times New Roman" w:hAnsi="Times New Roman"/>
            </w:rPr>
            <w:t>26</w:t>
          </w:r>
          <w:r>
            <w:rPr>
              <w:rFonts w:ascii="Times New Roman" w:hAnsi="Times New Roman"/>
            </w:rPr>
            <w:fldChar w:fldCharType="end"/>
          </w:r>
          <w:r>
            <w:rPr>
              <w:rFonts w:ascii="Times New Roman" w:hAnsi="Times New Roman"/>
            </w:rPr>
            <w:fldChar w:fldCharType="end"/>
          </w:r>
        </w:p>
        <w:p w14:paraId="50DBCAAA">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"_Toc229846962" </w:instrText>
          </w:r>
          <w:r>
            <w:rPr>
              <w:rFonts w:ascii="Times New Roman" w:hAnsi="Times New Roman"/>
            </w:rPr>
            <w:fldChar w:fldCharType="separate"/>
          </w:r>
          <w:r>
            <w:rPr>
              <w:rStyle w:val="16"/>
              <w:rFonts w:ascii="Times New Roman" w:hAnsi="Times New Roman"/>
              <w:b/>
              <w:bCs/>
            </w:rPr>
            <w:t>Supplementary Fig. 18. Kelvin probe force microscopy (KPFM)</w:t>
          </w:r>
          <w:r>
            <w:rPr>
              <w:rStyle w:val="16"/>
              <w:rFonts w:ascii="Times New Roman" w:hAnsi="Times New Roman"/>
            </w:rPr>
            <w:t xml:space="preserve"> </w:t>
          </w:r>
          <w:r>
            <w:rPr>
              <w:rStyle w:val="16"/>
              <w:rFonts w:ascii="Times New Roman" w:hAnsi="Times New Roman"/>
              <w:b/>
              <w:bCs/>
            </w:rPr>
            <w:t>mapping of MoO</w:t>
          </w:r>
          <w:r>
            <w:rPr>
              <w:rStyle w:val="16"/>
              <w:rFonts w:ascii="Times New Roman" w:hAnsi="Times New Roman"/>
              <w:b/>
              <w:bCs/>
              <w:vertAlign w:val="subscript"/>
            </w:rPr>
            <w:t>x</w:t>
          </w:r>
          <w:r>
            <w:rPr>
              <w:rStyle w:val="16"/>
              <w:rFonts w:ascii="Times New Roman" w:hAnsi="Times New Roman"/>
              <w:b/>
              <w:bCs/>
            </w:rPr>
            <w:t>-0 and MoO</w:t>
          </w:r>
          <w:r>
            <w:rPr>
              <w:rStyle w:val="16"/>
              <w:rFonts w:ascii="Times New Roman" w:hAnsi="Times New Roman"/>
              <w:b/>
              <w:bCs/>
              <w:vertAlign w:val="subscript"/>
            </w:rPr>
            <w:t>x</w:t>
          </w:r>
          <w:r>
            <w:rPr>
              <w:rStyle w:val="16"/>
              <w:rFonts w:ascii="Times New Roman" w:hAnsi="Times New Roman"/>
              <w:b/>
              <w:bCs/>
            </w:rPr>
            <w:t>-5 under dark and illumination conditions.</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_Toc229846962 \h </w:instrText>
          </w:r>
          <w:r>
            <w:rPr>
              <w:rFonts w:ascii="Times New Roman" w:hAnsi="Times New Roman"/>
            </w:rPr>
            <w:fldChar w:fldCharType="separate"/>
          </w:r>
          <w:r>
            <w:rPr>
              <w:rFonts w:ascii="Times New Roman" w:hAnsi="Times New Roman"/>
            </w:rPr>
            <w:t>27</w:t>
          </w:r>
          <w:r>
            <w:rPr>
              <w:rFonts w:ascii="Times New Roman" w:hAnsi="Times New Roman"/>
            </w:rPr>
            <w:fldChar w:fldCharType="end"/>
          </w:r>
          <w:r>
            <w:rPr>
              <w:rFonts w:ascii="Times New Roman" w:hAnsi="Times New Roman"/>
            </w:rPr>
            <w:fldChar w:fldCharType="end"/>
          </w:r>
        </w:p>
        <w:p w14:paraId="1AFACE1A">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"_Toc229846963" </w:instrText>
          </w:r>
          <w:r>
            <w:rPr>
              <w:rFonts w:ascii="Times New Roman" w:hAnsi="Times New Roman"/>
            </w:rPr>
            <w:fldChar w:fldCharType="separate"/>
          </w:r>
          <w:r>
            <w:rPr>
              <w:rStyle w:val="16"/>
              <w:rFonts w:ascii="Times New Roman" w:hAnsi="Times New Roman"/>
              <w:b/>
              <w:bCs/>
            </w:rPr>
            <w:t>Supplementary Fig. 19. In situ XAFS of MoO</w:t>
          </w:r>
          <w:r>
            <w:rPr>
              <w:rStyle w:val="16"/>
              <w:rFonts w:ascii="Times New Roman" w:hAnsi="Times New Roman"/>
              <w:b/>
              <w:bCs/>
              <w:vertAlign w:val="subscript"/>
            </w:rPr>
            <w:t>x</w:t>
          </w:r>
          <w:r>
            <w:rPr>
              <w:rStyle w:val="16"/>
              <w:rFonts w:ascii="Times New Roman" w:hAnsi="Times New Roman"/>
              <w:b/>
              <w:bCs/>
            </w:rPr>
            <w:t>-5.</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_Toc229846963 \h </w:instrText>
          </w:r>
          <w:r>
            <w:rPr>
              <w:rFonts w:ascii="Times New Roman" w:hAnsi="Times New Roman"/>
            </w:rPr>
            <w:fldChar w:fldCharType="separate"/>
          </w:r>
          <w:r>
            <w:rPr>
              <w:rFonts w:ascii="Times New Roman" w:hAnsi="Times New Roman"/>
            </w:rPr>
            <w:t>28</w:t>
          </w:r>
          <w:r>
            <w:rPr>
              <w:rFonts w:ascii="Times New Roman" w:hAnsi="Times New Roman"/>
            </w:rPr>
            <w:fldChar w:fldCharType="end"/>
          </w:r>
          <w:r>
            <w:rPr>
              <w:rFonts w:ascii="Times New Roman" w:hAnsi="Times New Roman"/>
            </w:rPr>
            <w:fldChar w:fldCharType="end"/>
          </w:r>
        </w:p>
        <w:p w14:paraId="22C175F7">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"_Toc229846964" </w:instrText>
          </w:r>
          <w:r>
            <w:rPr>
              <w:rFonts w:ascii="Times New Roman" w:hAnsi="Times New Roman"/>
            </w:rPr>
            <w:fldChar w:fldCharType="separate"/>
          </w:r>
          <w:r>
            <w:rPr>
              <w:rStyle w:val="16"/>
              <w:rFonts w:ascii="Times New Roman" w:hAnsi="Times New Roman"/>
              <w:b/>
              <w:bCs/>
            </w:rPr>
            <w:t>Supplementary Fig. 20. In situ EPR of MoO</w:t>
          </w:r>
          <w:r>
            <w:rPr>
              <w:rStyle w:val="16"/>
              <w:rFonts w:ascii="Times New Roman" w:hAnsi="Times New Roman"/>
              <w:b/>
              <w:bCs/>
              <w:vertAlign w:val="subscript"/>
            </w:rPr>
            <w:t>x</w:t>
          </w:r>
          <w:r>
            <w:rPr>
              <w:rStyle w:val="16"/>
              <w:rFonts w:ascii="Times New Roman" w:hAnsi="Times New Roman"/>
              <w:b/>
              <w:bCs/>
            </w:rPr>
            <w:t>-0/2/5</w:t>
          </w:r>
          <w:r>
            <w:rPr>
              <w:rStyle w:val="16"/>
              <w:rFonts w:ascii="Times New Roman" w:hAnsi="Times New Roman"/>
            </w:rPr>
            <w:t xml:space="preserve"> </w:t>
          </w:r>
          <w:r>
            <w:rPr>
              <w:rStyle w:val="16"/>
              <w:rFonts w:ascii="Times New Roman" w:hAnsi="Times New Roman"/>
              <w:b/>
              <w:bCs/>
            </w:rPr>
            <w:t>under laser irradiation.</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_Toc229846964 \h </w:instrText>
          </w:r>
          <w:r>
            <w:rPr>
              <w:rFonts w:ascii="Times New Roman" w:hAnsi="Times New Roman"/>
            </w:rPr>
            <w:fldChar w:fldCharType="separate"/>
          </w:r>
          <w:r>
            <w:rPr>
              <w:rFonts w:ascii="Times New Roman" w:hAnsi="Times New Roman"/>
            </w:rPr>
            <w:t>29</w:t>
          </w:r>
          <w:r>
            <w:rPr>
              <w:rFonts w:ascii="Times New Roman" w:hAnsi="Times New Roman"/>
            </w:rPr>
            <w:fldChar w:fldCharType="end"/>
          </w:r>
          <w:r>
            <w:rPr>
              <w:rFonts w:ascii="Times New Roman" w:hAnsi="Times New Roman"/>
            </w:rPr>
            <w:fldChar w:fldCharType="end"/>
          </w:r>
        </w:p>
        <w:p w14:paraId="72D7593F">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"_Toc229846965" </w:instrText>
          </w:r>
          <w:r>
            <w:rPr>
              <w:rFonts w:ascii="Times New Roman" w:hAnsi="Times New Roman"/>
            </w:rPr>
            <w:fldChar w:fldCharType="separate"/>
          </w:r>
          <w:r>
            <w:rPr>
              <w:rStyle w:val="16"/>
              <w:rFonts w:ascii="Times New Roman" w:hAnsi="Times New Roman"/>
              <w:b/>
              <w:bCs/>
            </w:rPr>
            <w:t>Supplementary Fig. 21. In situ diffuse reflectance infrared Fourier transform spectroscopy (DRIFTS) of MoO</w:t>
          </w:r>
          <w:r>
            <w:rPr>
              <w:rStyle w:val="16"/>
              <w:rFonts w:ascii="Times New Roman" w:hAnsi="Times New Roman"/>
              <w:b/>
              <w:bCs/>
              <w:vertAlign w:val="subscript"/>
            </w:rPr>
            <w:t>x</w:t>
          </w:r>
          <w:r>
            <w:rPr>
              <w:rStyle w:val="16"/>
              <w:rFonts w:ascii="Times New Roman" w:hAnsi="Times New Roman"/>
              <w:b/>
              <w:bCs/>
            </w:rPr>
            <w:t>-0.</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_Toc229846965 \h </w:instrText>
          </w:r>
          <w:r>
            <w:rPr>
              <w:rFonts w:ascii="Times New Roman" w:hAnsi="Times New Roman"/>
            </w:rPr>
            <w:fldChar w:fldCharType="separate"/>
          </w:r>
          <w:r>
            <w:rPr>
              <w:rFonts w:ascii="Times New Roman" w:hAnsi="Times New Roman"/>
            </w:rPr>
            <w:t>30</w:t>
          </w:r>
          <w:r>
            <w:rPr>
              <w:rFonts w:ascii="Times New Roman" w:hAnsi="Times New Roman"/>
            </w:rPr>
            <w:fldChar w:fldCharType="end"/>
          </w:r>
          <w:r>
            <w:rPr>
              <w:rFonts w:ascii="Times New Roman" w:hAnsi="Times New Roman"/>
            </w:rPr>
            <w:fldChar w:fldCharType="end"/>
          </w:r>
        </w:p>
        <w:p w14:paraId="4A87C1E5">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"_Toc229846966" </w:instrText>
          </w:r>
          <w:r>
            <w:rPr>
              <w:rFonts w:ascii="Times New Roman" w:hAnsi="Times New Roman"/>
            </w:rPr>
            <w:fldChar w:fldCharType="separate"/>
          </w:r>
          <w:r>
            <w:rPr>
              <w:rStyle w:val="16"/>
              <w:rFonts w:ascii="Times New Roman" w:hAnsi="Times New Roman"/>
              <w:b/>
              <w:bCs/>
            </w:rPr>
            <w:t>Supplementary Fig. 22. In situ DRIFTS of MoO</w:t>
          </w:r>
          <w:r>
            <w:rPr>
              <w:rStyle w:val="16"/>
              <w:rFonts w:ascii="Times New Roman" w:hAnsi="Times New Roman"/>
              <w:b/>
              <w:bCs/>
              <w:vertAlign w:val="subscript"/>
            </w:rPr>
            <w:t>x</w:t>
          </w:r>
          <w:r>
            <w:rPr>
              <w:rStyle w:val="16"/>
              <w:rFonts w:ascii="Times New Roman" w:hAnsi="Times New Roman"/>
              <w:b/>
              <w:bCs/>
            </w:rPr>
            <w:t>-2.</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_Toc229846966 \h </w:instrText>
          </w:r>
          <w:r>
            <w:rPr>
              <w:rFonts w:ascii="Times New Roman" w:hAnsi="Times New Roman"/>
            </w:rPr>
            <w:fldChar w:fldCharType="separate"/>
          </w:r>
          <w:r>
            <w:rPr>
              <w:rFonts w:ascii="Times New Roman" w:hAnsi="Times New Roman"/>
            </w:rPr>
            <w:t>31</w:t>
          </w:r>
          <w:r>
            <w:rPr>
              <w:rFonts w:ascii="Times New Roman" w:hAnsi="Times New Roman"/>
            </w:rPr>
            <w:fldChar w:fldCharType="end"/>
          </w:r>
          <w:r>
            <w:rPr>
              <w:rFonts w:ascii="Times New Roman" w:hAnsi="Times New Roman"/>
            </w:rPr>
            <w:fldChar w:fldCharType="end"/>
          </w:r>
        </w:p>
        <w:p w14:paraId="55263958">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"_Toc229846967" </w:instrText>
          </w:r>
          <w:r>
            <w:rPr>
              <w:rFonts w:ascii="Times New Roman" w:hAnsi="Times New Roman"/>
            </w:rPr>
            <w:fldChar w:fldCharType="separate"/>
          </w:r>
          <w:r>
            <w:rPr>
              <w:rStyle w:val="16"/>
              <w:rFonts w:ascii="Times New Roman" w:hAnsi="Times New Roman"/>
              <w:b/>
              <w:bCs/>
            </w:rPr>
            <w:t>Supplementary Fig. 23. In situ DRIFTS of MoO</w:t>
          </w:r>
          <w:r>
            <w:rPr>
              <w:rStyle w:val="16"/>
              <w:rFonts w:ascii="Times New Roman" w:hAnsi="Times New Roman"/>
              <w:b/>
              <w:bCs/>
              <w:vertAlign w:val="subscript"/>
            </w:rPr>
            <w:t>x</w:t>
          </w:r>
          <w:r>
            <w:rPr>
              <w:rStyle w:val="16"/>
              <w:rFonts w:ascii="Times New Roman" w:hAnsi="Times New Roman"/>
              <w:b/>
              <w:bCs/>
            </w:rPr>
            <w:t>-5.</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_Toc229846967 \h </w:instrText>
          </w:r>
          <w:r>
            <w:rPr>
              <w:rFonts w:ascii="Times New Roman" w:hAnsi="Times New Roman"/>
            </w:rPr>
            <w:fldChar w:fldCharType="separate"/>
          </w:r>
          <w:r>
            <w:rPr>
              <w:rFonts w:ascii="Times New Roman" w:hAnsi="Times New Roman"/>
            </w:rPr>
            <w:t>32</w:t>
          </w:r>
          <w:r>
            <w:rPr>
              <w:rFonts w:ascii="Times New Roman" w:hAnsi="Times New Roman"/>
            </w:rPr>
            <w:fldChar w:fldCharType="end"/>
          </w:r>
          <w:r>
            <w:rPr>
              <w:rFonts w:ascii="Times New Roman" w:hAnsi="Times New Roman"/>
            </w:rPr>
            <w:fldChar w:fldCharType="end"/>
          </w:r>
        </w:p>
        <w:p w14:paraId="3672C5ED">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"_Toc229846968" </w:instrText>
          </w:r>
          <w:r>
            <w:rPr>
              <w:rFonts w:ascii="Times New Roman" w:hAnsi="Times New Roman"/>
            </w:rPr>
            <w:fldChar w:fldCharType="separate"/>
          </w:r>
          <w:r>
            <w:rPr>
              <w:rStyle w:val="16"/>
              <w:rFonts w:ascii="Times New Roman" w:hAnsi="Times New Roman"/>
              <w:b/>
              <w:bCs/>
            </w:rPr>
            <w:t>Supplementary Fig. 24. In situ Raman spectra of MoO</w:t>
          </w:r>
          <w:r>
            <w:rPr>
              <w:rStyle w:val="16"/>
              <w:rFonts w:ascii="Times New Roman" w:hAnsi="Times New Roman"/>
              <w:b/>
              <w:bCs/>
              <w:vertAlign w:val="subscript"/>
            </w:rPr>
            <w:t>x</w:t>
          </w:r>
          <w:r>
            <w:rPr>
              <w:rStyle w:val="16"/>
              <w:rFonts w:ascii="Times New Roman" w:hAnsi="Times New Roman"/>
              <w:b/>
              <w:bCs/>
            </w:rPr>
            <w:t>-0/2/5.</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_Toc229846968 \h </w:instrText>
          </w:r>
          <w:r>
            <w:rPr>
              <w:rFonts w:ascii="Times New Roman" w:hAnsi="Times New Roman"/>
            </w:rPr>
            <w:fldChar w:fldCharType="separate"/>
          </w:r>
          <w:r>
            <w:rPr>
              <w:rFonts w:ascii="Times New Roman" w:hAnsi="Times New Roman"/>
            </w:rPr>
            <w:t>33</w:t>
          </w:r>
          <w:r>
            <w:rPr>
              <w:rFonts w:ascii="Times New Roman" w:hAnsi="Times New Roman"/>
            </w:rPr>
            <w:fldChar w:fldCharType="end"/>
          </w:r>
          <w:r>
            <w:rPr>
              <w:rFonts w:ascii="Times New Roman" w:hAnsi="Times New Roman"/>
            </w:rPr>
            <w:fldChar w:fldCharType="end"/>
          </w:r>
        </w:p>
        <w:p w14:paraId="6C1FF095">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"_Toc229846969" </w:instrText>
          </w:r>
          <w:r>
            <w:rPr>
              <w:rFonts w:ascii="Times New Roman" w:hAnsi="Times New Roman"/>
            </w:rPr>
            <w:fldChar w:fldCharType="separate"/>
          </w:r>
          <w:r>
            <w:rPr>
              <w:rStyle w:val="16"/>
              <w:rFonts w:ascii="Times New Roman" w:hAnsi="Times New Roman"/>
              <w:b/>
              <w:bCs/>
            </w:rPr>
            <w:t>Supplementary Fig. 25. Fs TAS of MoO</w:t>
          </w:r>
          <w:r>
            <w:rPr>
              <w:rStyle w:val="16"/>
              <w:rFonts w:ascii="Times New Roman" w:hAnsi="Times New Roman"/>
              <w:b/>
              <w:bCs/>
              <w:vertAlign w:val="subscript"/>
            </w:rPr>
            <w:t>x</w:t>
          </w:r>
          <w:r>
            <w:rPr>
              <w:rStyle w:val="16"/>
              <w:rFonts w:ascii="Times New Roman" w:hAnsi="Times New Roman"/>
              <w:b/>
              <w:bCs/>
            </w:rPr>
            <w:t>-5 and in situ fs TAS of the tryptophan-adsorbed MoO</w:t>
          </w:r>
          <w:r>
            <w:rPr>
              <w:rStyle w:val="16"/>
              <w:rFonts w:ascii="Times New Roman" w:hAnsi="Times New Roman"/>
              <w:b/>
              <w:bCs/>
              <w:vertAlign w:val="subscript"/>
            </w:rPr>
            <w:t>x</w:t>
          </w:r>
          <w:r>
            <w:rPr>
              <w:rStyle w:val="16"/>
              <w:rFonts w:ascii="Times New Roman" w:hAnsi="Times New Roman"/>
              <w:b/>
              <w:bCs/>
            </w:rPr>
            <w:t>-5 sample.</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_Toc229846969 \h </w:instrText>
          </w:r>
          <w:r>
            <w:rPr>
              <w:rFonts w:ascii="Times New Roman" w:hAnsi="Times New Roman"/>
            </w:rPr>
            <w:fldChar w:fldCharType="separate"/>
          </w:r>
          <w:r>
            <w:rPr>
              <w:rFonts w:ascii="Times New Roman" w:hAnsi="Times New Roman"/>
            </w:rPr>
            <w:t>34</w:t>
          </w:r>
          <w:r>
            <w:rPr>
              <w:rFonts w:ascii="Times New Roman" w:hAnsi="Times New Roman"/>
            </w:rPr>
            <w:fldChar w:fldCharType="end"/>
          </w:r>
          <w:r>
            <w:rPr>
              <w:rFonts w:ascii="Times New Roman" w:hAnsi="Times New Roman"/>
            </w:rPr>
            <w:fldChar w:fldCharType="end"/>
          </w:r>
        </w:p>
        <w:p w14:paraId="205D7C04">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"_Toc229846970" </w:instrText>
          </w:r>
          <w:r>
            <w:rPr>
              <w:rFonts w:ascii="Times New Roman" w:hAnsi="Times New Roman"/>
            </w:rPr>
            <w:fldChar w:fldCharType="separate"/>
          </w:r>
          <w:r>
            <w:rPr>
              <w:rStyle w:val="16"/>
              <w:rFonts w:ascii="Times New Roman" w:hAnsi="Times New Roman"/>
              <w:b/>
              <w:bCs/>
            </w:rPr>
            <w:t>Supplementary Fig. 26. Free-energy profiles for proton-coupled desorption of [Arg+H]</w:t>
          </w:r>
          <w:r>
            <w:rPr>
              <w:rStyle w:val="16"/>
              <w:rFonts w:ascii="Times New Roman" w:hAnsi="Times New Roman"/>
              <w:b/>
              <w:bCs/>
              <w:vertAlign w:val="superscript"/>
            </w:rPr>
            <w:t>+</w:t>
          </w:r>
          <w:r>
            <w:rPr>
              <w:rStyle w:val="16"/>
              <w:rFonts w:ascii="Times New Roman" w:hAnsi="Times New Roman"/>
              <w:b/>
              <w:bCs/>
            </w:rPr>
            <w:t xml:space="preserve"> on MoO</w:t>
          </w:r>
          <w:r>
            <w:rPr>
              <w:rStyle w:val="16"/>
              <w:rFonts w:ascii="Times New Roman" w:hAnsi="Times New Roman"/>
              <w:b/>
              <w:bCs/>
              <w:vertAlign w:val="subscript"/>
            </w:rPr>
            <w:t>3</w:t>
          </w:r>
          <w:r>
            <w:rPr>
              <w:rStyle w:val="16"/>
              <w:rFonts w:ascii="Times New Roman" w:hAnsi="Times New Roman"/>
              <w:b/>
              <w:bCs/>
            </w:rPr>
            <w:t>, MoO</w:t>
          </w:r>
          <w:r>
            <w:rPr>
              <w:rStyle w:val="16"/>
              <w:rFonts w:ascii="Times New Roman" w:hAnsi="Times New Roman"/>
              <w:b/>
              <w:bCs/>
              <w:vertAlign w:val="subscript"/>
            </w:rPr>
            <w:t>x</w:t>
          </w:r>
          <w:r>
            <w:rPr>
              <w:rStyle w:val="16"/>
              <w:rFonts w:ascii="Times New Roman" w:hAnsi="Times New Roman"/>
              <w:b/>
              <w:bCs/>
            </w:rPr>
            <w:t>-0, MoO</w:t>
          </w:r>
          <w:r>
            <w:rPr>
              <w:rStyle w:val="16"/>
              <w:rFonts w:ascii="Times New Roman" w:hAnsi="Times New Roman"/>
              <w:b/>
              <w:bCs/>
              <w:vertAlign w:val="subscript"/>
            </w:rPr>
            <w:t>x</w:t>
          </w:r>
          <w:r>
            <w:rPr>
              <w:rStyle w:val="16"/>
              <w:rFonts w:ascii="Times New Roman" w:hAnsi="Times New Roman"/>
              <w:b/>
              <w:bCs/>
            </w:rPr>
            <w:t>-2, and MoO</w:t>
          </w:r>
          <w:r>
            <w:rPr>
              <w:rStyle w:val="16"/>
              <w:rFonts w:ascii="Times New Roman" w:hAnsi="Times New Roman"/>
              <w:b/>
              <w:bCs/>
              <w:vertAlign w:val="subscript"/>
            </w:rPr>
            <w:t>x</w:t>
          </w:r>
          <w:r>
            <w:rPr>
              <w:rStyle w:val="16"/>
              <w:rFonts w:ascii="Times New Roman" w:hAnsi="Times New Roman"/>
              <w:b/>
              <w:bCs/>
            </w:rPr>
            <w:t>-5, as calculated by density functional theory.</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_Toc229846970 \h </w:instrText>
          </w:r>
          <w:r>
            <w:rPr>
              <w:rFonts w:ascii="Times New Roman" w:hAnsi="Times New Roman"/>
            </w:rPr>
            <w:fldChar w:fldCharType="separate"/>
          </w:r>
          <w:r>
            <w:rPr>
              <w:rFonts w:ascii="Times New Roman" w:hAnsi="Times New Roman"/>
            </w:rPr>
            <w:t>35</w:t>
          </w:r>
          <w:r>
            <w:rPr>
              <w:rFonts w:ascii="Times New Roman" w:hAnsi="Times New Roman"/>
            </w:rPr>
            <w:fldChar w:fldCharType="end"/>
          </w:r>
          <w:r>
            <w:rPr>
              <w:rFonts w:ascii="Times New Roman" w:hAnsi="Times New Roman"/>
            </w:rPr>
            <w:fldChar w:fldCharType="end"/>
          </w:r>
        </w:p>
        <w:p w14:paraId="3D6B70E8">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"_Toc229846971" </w:instrText>
          </w:r>
          <w:r>
            <w:rPr>
              <w:rFonts w:ascii="Times New Roman" w:hAnsi="Times New Roman"/>
            </w:rPr>
            <w:fldChar w:fldCharType="separate"/>
          </w:r>
          <w:r>
            <w:rPr>
              <w:rStyle w:val="16"/>
              <w:rFonts w:ascii="Times New Roman" w:hAnsi="Times New Roman"/>
              <w:b/>
              <w:bCs/>
            </w:rPr>
            <w:t>Supplementary Fig. 27. Differential charge density and density of states (DOS) for MoO</w:t>
          </w:r>
          <w:r>
            <w:rPr>
              <w:rStyle w:val="16"/>
              <w:rFonts w:ascii="Times New Roman" w:hAnsi="Times New Roman"/>
              <w:b/>
              <w:bCs/>
              <w:vertAlign w:val="subscript"/>
            </w:rPr>
            <w:t>x</w:t>
          </w:r>
          <w:r>
            <w:rPr>
              <w:rStyle w:val="16"/>
              <w:rFonts w:ascii="Times New Roman" w:hAnsi="Times New Roman"/>
              <w:b/>
              <w:bCs/>
            </w:rPr>
            <w:t>-5 substrate upon interaction with arginine (Arg).</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_Toc229846971 \h </w:instrText>
          </w:r>
          <w:r>
            <w:rPr>
              <w:rFonts w:ascii="Times New Roman" w:hAnsi="Times New Roman"/>
            </w:rPr>
            <w:fldChar w:fldCharType="separate"/>
          </w:r>
          <w:r>
            <w:rPr>
              <w:rFonts w:ascii="Times New Roman" w:hAnsi="Times New Roman"/>
            </w:rPr>
            <w:t>36</w:t>
          </w:r>
          <w:r>
            <w:rPr>
              <w:rFonts w:ascii="Times New Roman" w:hAnsi="Times New Roman"/>
            </w:rPr>
            <w:fldChar w:fldCharType="end"/>
          </w:r>
          <w:r>
            <w:rPr>
              <w:rFonts w:ascii="Times New Roman" w:hAnsi="Times New Roman"/>
            </w:rPr>
            <w:fldChar w:fldCharType="end"/>
          </w:r>
        </w:p>
        <w:p w14:paraId="5DD74ABF">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"_Toc229846972" </w:instrText>
          </w:r>
          <w:r>
            <w:rPr>
              <w:rFonts w:ascii="Times New Roman" w:hAnsi="Times New Roman"/>
            </w:rPr>
            <w:fldChar w:fldCharType="separate"/>
          </w:r>
          <w:r>
            <w:rPr>
              <w:rStyle w:val="16"/>
              <w:rFonts w:ascii="Times New Roman" w:hAnsi="Times New Roman"/>
              <w:b/>
              <w:bCs/>
            </w:rPr>
            <w:t>Supplementary Fig. 28. Reproducibility and deposition uniformity of DHB, CHCA, SA, TiO</w:t>
          </w:r>
          <w:r>
            <w:rPr>
              <w:rStyle w:val="16"/>
              <w:rFonts w:ascii="Times New Roman" w:hAnsi="Times New Roman"/>
              <w:b/>
              <w:bCs/>
              <w:vertAlign w:val="subscript"/>
            </w:rPr>
            <w:t>2</w:t>
          </w:r>
          <w:r>
            <w:rPr>
              <w:rStyle w:val="16"/>
              <w:rFonts w:ascii="Times New Roman" w:hAnsi="Times New Roman"/>
              <w:b/>
              <w:bCs/>
            </w:rPr>
            <w:t xml:space="preserve"> and MoO</w:t>
          </w:r>
          <w:r>
            <w:rPr>
              <w:rStyle w:val="16"/>
              <w:rFonts w:ascii="Times New Roman" w:hAnsi="Times New Roman"/>
              <w:b/>
              <w:bCs/>
              <w:vertAlign w:val="subscript"/>
            </w:rPr>
            <w:t>x</w:t>
          </w:r>
          <w:r>
            <w:rPr>
              <w:rStyle w:val="16"/>
              <w:rFonts w:ascii="Times New Roman" w:hAnsi="Times New Roman"/>
              <w:b/>
              <w:bCs/>
            </w:rPr>
            <w:t>-5.</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_Toc229846972 \h </w:instrText>
          </w:r>
          <w:r>
            <w:rPr>
              <w:rFonts w:ascii="Times New Roman" w:hAnsi="Times New Roman"/>
            </w:rPr>
            <w:fldChar w:fldCharType="separate"/>
          </w:r>
          <w:r>
            <w:rPr>
              <w:rFonts w:ascii="Times New Roman" w:hAnsi="Times New Roman"/>
            </w:rPr>
            <w:t>37</w:t>
          </w:r>
          <w:r>
            <w:rPr>
              <w:rFonts w:ascii="Times New Roman" w:hAnsi="Times New Roman"/>
            </w:rPr>
            <w:fldChar w:fldCharType="end"/>
          </w:r>
          <w:r>
            <w:rPr>
              <w:rFonts w:ascii="Times New Roman" w:hAnsi="Times New Roman"/>
            </w:rPr>
            <w:fldChar w:fldCharType="end"/>
          </w:r>
        </w:p>
        <w:p w14:paraId="275B72C1">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"_Toc229846973" </w:instrText>
          </w:r>
          <w:r>
            <w:rPr>
              <w:rFonts w:ascii="Times New Roman" w:hAnsi="Times New Roman"/>
            </w:rPr>
            <w:fldChar w:fldCharType="separate"/>
          </w:r>
          <w:r>
            <w:rPr>
              <w:rStyle w:val="16"/>
              <w:rFonts w:ascii="Times New Roman" w:hAnsi="Times New Roman"/>
              <w:b/>
              <w:bCs/>
            </w:rPr>
            <w:t>Supplementary Fig. 29. Structural stability of MoO</w:t>
          </w:r>
          <w:r>
            <w:rPr>
              <w:rStyle w:val="16"/>
              <w:rFonts w:ascii="Times New Roman" w:hAnsi="Times New Roman"/>
              <w:b/>
              <w:bCs/>
              <w:vertAlign w:val="subscript"/>
            </w:rPr>
            <w:t>x</w:t>
          </w:r>
          <w:r>
            <w:rPr>
              <w:rStyle w:val="16"/>
              <w:rFonts w:ascii="Times New Roman" w:hAnsi="Times New Roman"/>
              <w:b/>
              <w:bCs/>
            </w:rPr>
            <w:t>-5 under laser irradiation.</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_Toc229846973 \h </w:instrText>
          </w:r>
          <w:r>
            <w:rPr>
              <w:rFonts w:ascii="Times New Roman" w:hAnsi="Times New Roman"/>
            </w:rPr>
            <w:fldChar w:fldCharType="separate"/>
          </w:r>
          <w:r>
            <w:rPr>
              <w:rFonts w:ascii="Times New Roman" w:hAnsi="Times New Roman"/>
            </w:rPr>
            <w:t>38</w:t>
          </w:r>
          <w:r>
            <w:rPr>
              <w:rFonts w:ascii="Times New Roman" w:hAnsi="Times New Roman"/>
            </w:rPr>
            <w:fldChar w:fldCharType="end"/>
          </w:r>
          <w:r>
            <w:rPr>
              <w:rFonts w:ascii="Times New Roman" w:hAnsi="Times New Roman"/>
            </w:rPr>
            <w:fldChar w:fldCharType="end"/>
          </w:r>
        </w:p>
        <w:p w14:paraId="7A4E2921">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"_Toc229846974" </w:instrText>
          </w:r>
          <w:r>
            <w:rPr>
              <w:rFonts w:ascii="Times New Roman" w:hAnsi="Times New Roman"/>
            </w:rPr>
            <w:fldChar w:fldCharType="separate"/>
          </w:r>
          <w:r>
            <w:rPr>
              <w:rStyle w:val="16"/>
              <w:rFonts w:ascii="Times New Roman" w:hAnsi="Times New Roman"/>
              <w:b/>
              <w:bCs/>
            </w:rPr>
            <w:t>Supplementary Fig. 30. Dispersion stability of MoO</w:t>
          </w:r>
          <w:r>
            <w:rPr>
              <w:rStyle w:val="16"/>
              <w:rFonts w:ascii="Times New Roman" w:hAnsi="Times New Roman"/>
              <w:b/>
              <w:bCs/>
              <w:vertAlign w:val="subscript"/>
            </w:rPr>
            <w:t>x</w:t>
          </w:r>
          <w:r>
            <w:rPr>
              <w:rStyle w:val="16"/>
              <w:rFonts w:ascii="Times New Roman" w:hAnsi="Times New Roman"/>
              <w:b/>
              <w:bCs/>
            </w:rPr>
            <w:t xml:space="preserve"> in aqueous solution over 24 hours.</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_Toc229846974 \h </w:instrText>
          </w:r>
          <w:r>
            <w:rPr>
              <w:rFonts w:ascii="Times New Roman" w:hAnsi="Times New Roman"/>
            </w:rPr>
            <w:fldChar w:fldCharType="separate"/>
          </w:r>
          <w:r>
            <w:rPr>
              <w:rFonts w:ascii="Times New Roman" w:hAnsi="Times New Roman"/>
            </w:rPr>
            <w:t>39</w:t>
          </w:r>
          <w:r>
            <w:rPr>
              <w:rFonts w:ascii="Times New Roman" w:hAnsi="Times New Roman"/>
            </w:rPr>
            <w:fldChar w:fldCharType="end"/>
          </w:r>
          <w:r>
            <w:rPr>
              <w:rFonts w:ascii="Times New Roman" w:hAnsi="Times New Roman"/>
            </w:rPr>
            <w:fldChar w:fldCharType="end"/>
          </w:r>
        </w:p>
        <w:p w14:paraId="238CE115">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"_Toc229846975" </w:instrText>
          </w:r>
          <w:r>
            <w:rPr>
              <w:rFonts w:ascii="Times New Roman" w:hAnsi="Times New Roman"/>
            </w:rPr>
            <w:fldChar w:fldCharType="separate"/>
          </w:r>
          <w:r>
            <w:rPr>
              <w:rStyle w:val="16"/>
              <w:rFonts w:ascii="Times New Roman" w:hAnsi="Times New Roman"/>
              <w:b/>
              <w:bCs/>
            </w:rPr>
            <w:t>Supplementary Fig. 31. Comparison background interference among DHB, CHCA and MoO</w:t>
          </w:r>
          <w:r>
            <w:rPr>
              <w:rStyle w:val="16"/>
              <w:rFonts w:ascii="Times New Roman" w:hAnsi="Times New Roman"/>
              <w:b/>
              <w:bCs/>
              <w:vertAlign w:val="subscript"/>
            </w:rPr>
            <w:t>x</w:t>
          </w:r>
          <w:r>
            <w:rPr>
              <w:rStyle w:val="16"/>
              <w:rFonts w:ascii="Times New Roman" w:hAnsi="Times New Roman"/>
              <w:b/>
              <w:bCs/>
            </w:rPr>
            <w:t xml:space="preserve"> in mouse brain analysis.</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_Toc229846975 \h </w:instrText>
          </w:r>
          <w:r>
            <w:rPr>
              <w:rFonts w:ascii="Times New Roman" w:hAnsi="Times New Roman"/>
            </w:rPr>
            <w:fldChar w:fldCharType="separate"/>
          </w:r>
          <w:r>
            <w:rPr>
              <w:rFonts w:ascii="Times New Roman" w:hAnsi="Times New Roman"/>
            </w:rPr>
            <w:t>40</w:t>
          </w:r>
          <w:r>
            <w:rPr>
              <w:rFonts w:ascii="Times New Roman" w:hAnsi="Times New Roman"/>
            </w:rPr>
            <w:fldChar w:fldCharType="end"/>
          </w:r>
          <w:r>
            <w:rPr>
              <w:rFonts w:ascii="Times New Roman" w:hAnsi="Times New Roman"/>
            </w:rPr>
            <w:fldChar w:fldCharType="end"/>
          </w:r>
        </w:p>
        <w:p w14:paraId="6EA3B379">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"_Toc229846976" </w:instrText>
          </w:r>
          <w:r>
            <w:rPr>
              <w:rFonts w:ascii="Times New Roman" w:hAnsi="Times New Roman"/>
            </w:rPr>
            <w:fldChar w:fldCharType="separate"/>
          </w:r>
          <w:r>
            <w:rPr>
              <w:rStyle w:val="16"/>
              <w:rFonts w:ascii="Times New Roman" w:hAnsi="Times New Roman"/>
              <w:b/>
              <w:bCs/>
            </w:rPr>
            <w:t>Supplementary Fig. 32.</w:t>
          </w:r>
          <w:r>
            <w:rPr>
              <w:rStyle w:val="16"/>
              <w:rFonts w:ascii="Times New Roman" w:hAnsi="Times New Roman"/>
            </w:rPr>
            <w:t xml:space="preserve"> </w:t>
          </w:r>
          <w:r>
            <w:rPr>
              <w:rStyle w:val="16"/>
              <w:rFonts w:ascii="Times New Roman" w:hAnsi="Times New Roman"/>
              <w:b/>
              <w:bCs/>
            </w:rPr>
            <w:t>(a) Ion images and (b) corresponding intensity signals of representative metabolites with different solvents for matrix spraying.</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_Toc229846976 \h </w:instrText>
          </w:r>
          <w:r>
            <w:rPr>
              <w:rFonts w:ascii="Times New Roman" w:hAnsi="Times New Roman"/>
            </w:rPr>
            <w:fldChar w:fldCharType="separate"/>
          </w:r>
          <w:r>
            <w:rPr>
              <w:rFonts w:ascii="Times New Roman" w:hAnsi="Times New Roman"/>
            </w:rPr>
            <w:t>41</w:t>
          </w:r>
          <w:r>
            <w:rPr>
              <w:rFonts w:ascii="Times New Roman" w:hAnsi="Times New Roman"/>
            </w:rPr>
            <w:fldChar w:fldCharType="end"/>
          </w:r>
          <w:r>
            <w:rPr>
              <w:rFonts w:ascii="Times New Roman" w:hAnsi="Times New Roman"/>
            </w:rPr>
            <w:fldChar w:fldCharType="end"/>
          </w:r>
        </w:p>
        <w:p w14:paraId="192928CA">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"_Toc229846977" </w:instrText>
          </w:r>
          <w:r>
            <w:rPr>
              <w:rFonts w:ascii="Times New Roman" w:hAnsi="Times New Roman"/>
            </w:rPr>
            <w:fldChar w:fldCharType="separate"/>
          </w:r>
          <w:r>
            <w:rPr>
              <w:rStyle w:val="16"/>
              <w:rFonts w:ascii="Times New Roman" w:hAnsi="Times New Roman"/>
              <w:b/>
              <w:bCs/>
            </w:rPr>
            <w:t>Supplementary Fig. 33. (a) Ion images and (b) corresponding intensity signals of representative metabolites with different ratio solvents for matrix spraying.</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_Toc229846977 \h </w:instrText>
          </w:r>
          <w:r>
            <w:rPr>
              <w:rFonts w:ascii="Times New Roman" w:hAnsi="Times New Roman"/>
            </w:rPr>
            <w:fldChar w:fldCharType="separate"/>
          </w:r>
          <w:r>
            <w:rPr>
              <w:rFonts w:ascii="Times New Roman" w:hAnsi="Times New Roman"/>
            </w:rPr>
            <w:t>41</w:t>
          </w:r>
          <w:r>
            <w:rPr>
              <w:rFonts w:ascii="Times New Roman" w:hAnsi="Times New Roman"/>
            </w:rPr>
            <w:fldChar w:fldCharType="end"/>
          </w:r>
          <w:r>
            <w:rPr>
              <w:rFonts w:ascii="Times New Roman" w:hAnsi="Times New Roman"/>
            </w:rPr>
            <w:fldChar w:fldCharType="end"/>
          </w:r>
        </w:p>
        <w:p w14:paraId="5B0E7C5D">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"_Toc229846978" </w:instrText>
          </w:r>
          <w:r>
            <w:rPr>
              <w:rFonts w:ascii="Times New Roman" w:hAnsi="Times New Roman"/>
            </w:rPr>
            <w:fldChar w:fldCharType="separate"/>
          </w:r>
          <w:r>
            <w:rPr>
              <w:rStyle w:val="16"/>
              <w:rFonts w:ascii="Times New Roman" w:hAnsi="Times New Roman"/>
              <w:b/>
              <w:bCs/>
            </w:rPr>
            <w:t>Supplementary Fig. 34. (a) Ion images and (b) corresponding intensity signals of representative metabolites of the sample stability after 0-36 h.</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_Toc229846978 \h </w:instrText>
          </w:r>
          <w:r>
            <w:rPr>
              <w:rFonts w:ascii="Times New Roman" w:hAnsi="Times New Roman"/>
            </w:rPr>
            <w:fldChar w:fldCharType="separate"/>
          </w:r>
          <w:r>
            <w:rPr>
              <w:rFonts w:ascii="Times New Roman" w:hAnsi="Times New Roman"/>
            </w:rPr>
            <w:t>42</w:t>
          </w:r>
          <w:r>
            <w:rPr>
              <w:rFonts w:ascii="Times New Roman" w:hAnsi="Times New Roman"/>
            </w:rPr>
            <w:fldChar w:fldCharType="end"/>
          </w:r>
          <w:r>
            <w:rPr>
              <w:rFonts w:ascii="Times New Roman" w:hAnsi="Times New Roman"/>
            </w:rPr>
            <w:fldChar w:fldCharType="end"/>
          </w:r>
        </w:p>
        <w:p w14:paraId="55C5D15A">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"_Toc229846979" </w:instrText>
          </w:r>
          <w:r>
            <w:rPr>
              <w:rFonts w:ascii="Times New Roman" w:hAnsi="Times New Roman"/>
            </w:rPr>
            <w:fldChar w:fldCharType="separate"/>
          </w:r>
          <w:r>
            <w:rPr>
              <w:rStyle w:val="16"/>
              <w:rFonts w:ascii="Times New Roman" w:hAnsi="Times New Roman"/>
              <w:b/>
              <w:bCs/>
            </w:rPr>
            <w:t>Supplementary Fig. 35. Study workflow of integrated serum and spatial metabolomics for HCC.</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_Toc229846979 \h </w:instrText>
          </w:r>
          <w:r>
            <w:rPr>
              <w:rFonts w:ascii="Times New Roman" w:hAnsi="Times New Roman"/>
            </w:rPr>
            <w:fldChar w:fldCharType="separate"/>
          </w:r>
          <w:r>
            <w:rPr>
              <w:rFonts w:ascii="Times New Roman" w:hAnsi="Times New Roman"/>
            </w:rPr>
            <w:t>43</w:t>
          </w:r>
          <w:r>
            <w:rPr>
              <w:rFonts w:ascii="Times New Roman" w:hAnsi="Times New Roman"/>
            </w:rPr>
            <w:fldChar w:fldCharType="end"/>
          </w:r>
          <w:r>
            <w:rPr>
              <w:rFonts w:ascii="Times New Roman" w:hAnsi="Times New Roman"/>
            </w:rPr>
            <w:fldChar w:fldCharType="end"/>
          </w:r>
        </w:p>
        <w:p w14:paraId="20FD542C">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"_Toc229846980" </w:instrText>
          </w:r>
          <w:r>
            <w:rPr>
              <w:rFonts w:ascii="Times New Roman" w:hAnsi="Times New Roman"/>
            </w:rPr>
            <w:fldChar w:fldCharType="separate"/>
          </w:r>
          <w:r>
            <w:rPr>
              <w:rStyle w:val="16"/>
              <w:rFonts w:ascii="Times New Roman" w:hAnsi="Times New Roman"/>
              <w:b/>
              <w:bCs/>
            </w:rPr>
            <w:t>Supplementary Fig. 36. Discovery (a) and validation (b) cohort information of serum clinical samples.</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_Toc229846980 \h </w:instrText>
          </w:r>
          <w:r>
            <w:rPr>
              <w:rFonts w:ascii="Times New Roman" w:hAnsi="Times New Roman"/>
            </w:rPr>
            <w:fldChar w:fldCharType="separate"/>
          </w:r>
          <w:r>
            <w:rPr>
              <w:rFonts w:ascii="Times New Roman" w:hAnsi="Times New Roman"/>
            </w:rPr>
            <w:t>44</w:t>
          </w:r>
          <w:r>
            <w:rPr>
              <w:rFonts w:ascii="Times New Roman" w:hAnsi="Times New Roman"/>
            </w:rPr>
            <w:fldChar w:fldCharType="end"/>
          </w:r>
          <w:r>
            <w:rPr>
              <w:rFonts w:ascii="Times New Roman" w:hAnsi="Times New Roman"/>
            </w:rPr>
            <w:fldChar w:fldCharType="end"/>
          </w:r>
        </w:p>
        <w:p w14:paraId="3192D3BB">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"_Toc229846981" </w:instrText>
          </w:r>
          <w:r>
            <w:rPr>
              <w:rFonts w:ascii="Times New Roman" w:hAnsi="Times New Roman"/>
            </w:rPr>
            <w:fldChar w:fldCharType="separate"/>
          </w:r>
          <w:r>
            <w:rPr>
              <w:rStyle w:val="16"/>
              <w:rFonts w:ascii="Times New Roman" w:hAnsi="Times New Roman"/>
              <w:b/>
              <w:bCs/>
            </w:rPr>
            <w:t>Supplementary Fig. 37. High-throughput fluid chip of serum cohort for metabolic analysis.</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_Toc229846981 \h </w:instrText>
          </w:r>
          <w:r>
            <w:rPr>
              <w:rFonts w:ascii="Times New Roman" w:hAnsi="Times New Roman"/>
            </w:rPr>
            <w:fldChar w:fldCharType="separate"/>
          </w:r>
          <w:r>
            <w:rPr>
              <w:rFonts w:ascii="Times New Roman" w:hAnsi="Times New Roman"/>
            </w:rPr>
            <w:t>44</w:t>
          </w:r>
          <w:r>
            <w:rPr>
              <w:rFonts w:ascii="Times New Roman" w:hAnsi="Times New Roman"/>
            </w:rPr>
            <w:fldChar w:fldCharType="end"/>
          </w:r>
          <w:r>
            <w:rPr>
              <w:rFonts w:ascii="Times New Roman" w:hAnsi="Times New Roman"/>
            </w:rPr>
            <w:fldChar w:fldCharType="end"/>
          </w:r>
        </w:p>
        <w:p w14:paraId="68D18C2A">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"_Toc229846982" </w:instrText>
          </w:r>
          <w:r>
            <w:rPr>
              <w:rFonts w:ascii="Times New Roman" w:hAnsi="Times New Roman"/>
            </w:rPr>
            <w:fldChar w:fldCharType="separate"/>
          </w:r>
          <w:r>
            <w:rPr>
              <w:rStyle w:val="16"/>
              <w:rFonts w:ascii="Times New Roman" w:hAnsi="Times New Roman"/>
              <w:b/>
              <w:bCs/>
            </w:rPr>
            <w:t>Supplementary Fig. 38. Metabolomics data assessment displayed by score plot of PCA model and QCs distribution in (a-b) discovery cohort and (c-d) validation cohort.</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_Toc229846982 \h </w:instrText>
          </w:r>
          <w:r>
            <w:rPr>
              <w:rFonts w:ascii="Times New Roman" w:hAnsi="Times New Roman"/>
            </w:rPr>
            <w:fldChar w:fldCharType="separate"/>
          </w:r>
          <w:r>
            <w:rPr>
              <w:rFonts w:ascii="Times New Roman" w:hAnsi="Times New Roman"/>
            </w:rPr>
            <w:t>45</w:t>
          </w:r>
          <w:r>
            <w:rPr>
              <w:rFonts w:ascii="Times New Roman" w:hAnsi="Times New Roman"/>
            </w:rPr>
            <w:fldChar w:fldCharType="end"/>
          </w:r>
          <w:r>
            <w:rPr>
              <w:rFonts w:ascii="Times New Roman" w:hAnsi="Times New Roman"/>
            </w:rPr>
            <w:fldChar w:fldCharType="end"/>
          </w:r>
        </w:p>
        <w:p w14:paraId="49FB224A">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"_Toc229846983" </w:instrText>
          </w:r>
          <w:r>
            <w:rPr>
              <w:rFonts w:ascii="Times New Roman" w:hAnsi="Times New Roman"/>
            </w:rPr>
            <w:fldChar w:fldCharType="separate"/>
          </w:r>
          <w:r>
            <w:rPr>
              <w:rStyle w:val="16"/>
              <w:rFonts w:ascii="Times New Roman" w:hAnsi="Times New Roman"/>
              <w:b/>
              <w:bCs/>
            </w:rPr>
            <w:t xml:space="preserve">Supplementary Fig. 39. (a) Score plot and (b) permutation test PLS-DA model for LR vs NC in discovery cohort. (c) Volcano plot for LR vs NC in discovery cohort. (d) Heatmap of significantly changed metabolites with FDR-adjusted </w:t>
          </w:r>
          <w:r>
            <w:rPr>
              <w:rStyle w:val="16"/>
              <w:rFonts w:ascii="Times New Roman" w:hAnsi="Times New Roman"/>
              <w:b/>
              <w:bCs/>
              <w:i/>
              <w:iCs/>
            </w:rPr>
            <w:t>p</w:t>
          </w:r>
          <w:r>
            <w:rPr>
              <w:rStyle w:val="16"/>
              <w:rFonts w:ascii="Times New Roman" w:hAnsi="Times New Roman"/>
              <w:b/>
              <w:bCs/>
            </w:rPr>
            <w:t xml:space="preserve"> &lt; 0.05 for LR and NC group in discovery cohort. (e) KEGG metabolic pathways differentially regulated in LR compared to NC. Each circle was colored by the -log10(</w:t>
          </w:r>
          <w:r>
            <w:rPr>
              <w:rStyle w:val="16"/>
              <w:rFonts w:ascii="Times New Roman" w:hAnsi="Times New Roman"/>
              <w:b/>
              <w:bCs/>
              <w:i/>
              <w:iCs/>
            </w:rPr>
            <w:t>p</w:t>
          </w:r>
          <w:r>
            <w:rPr>
              <w:rStyle w:val="16"/>
              <w:rFonts w:ascii="Times New Roman" w:hAnsi="Times New Roman"/>
              <w:b/>
              <w:bCs/>
            </w:rPr>
            <w:t>-value).</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_Toc229846983 \h </w:instrText>
          </w:r>
          <w:r>
            <w:rPr>
              <w:rFonts w:ascii="Times New Roman" w:hAnsi="Times New Roman"/>
            </w:rPr>
            <w:fldChar w:fldCharType="separate"/>
          </w:r>
          <w:r>
            <w:rPr>
              <w:rFonts w:ascii="Times New Roman" w:hAnsi="Times New Roman"/>
            </w:rPr>
            <w:t>46</w:t>
          </w:r>
          <w:r>
            <w:rPr>
              <w:rFonts w:ascii="Times New Roman" w:hAnsi="Times New Roman"/>
            </w:rPr>
            <w:fldChar w:fldCharType="end"/>
          </w:r>
          <w:r>
            <w:rPr>
              <w:rFonts w:ascii="Times New Roman" w:hAnsi="Times New Roman"/>
            </w:rPr>
            <w:fldChar w:fldCharType="end"/>
          </w:r>
        </w:p>
        <w:p w14:paraId="425F5476">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"_Toc229846984" </w:instrText>
          </w:r>
          <w:r>
            <w:rPr>
              <w:rFonts w:ascii="Times New Roman" w:hAnsi="Times New Roman"/>
            </w:rPr>
            <w:fldChar w:fldCharType="separate"/>
          </w:r>
          <w:r>
            <w:rPr>
              <w:rStyle w:val="16"/>
              <w:rFonts w:ascii="Times New Roman" w:hAnsi="Times New Roman"/>
              <w:b/>
              <w:bCs/>
            </w:rPr>
            <w:t xml:space="preserve">Supplementary Fig. 40. (a) Score plot and (b) permutation test PLS-DA model for HCC vs NC in discovery cohort. (c) Volcano plot for HCC vs NC in discovery cohort. (d) Heatmap of significantly changed metabolites with FDR-adjusted </w:t>
          </w:r>
          <w:r>
            <w:rPr>
              <w:rStyle w:val="16"/>
              <w:rFonts w:ascii="Times New Roman" w:hAnsi="Times New Roman"/>
              <w:b/>
              <w:bCs/>
              <w:i/>
              <w:iCs/>
            </w:rPr>
            <w:t>p</w:t>
          </w:r>
          <w:r>
            <w:rPr>
              <w:rStyle w:val="16"/>
              <w:rFonts w:ascii="Times New Roman" w:hAnsi="Times New Roman"/>
              <w:b/>
              <w:bCs/>
            </w:rPr>
            <w:t xml:space="preserve"> &lt; 0.05 for HCC and NC group in discovery cohort. (e) KEGG metabolic pathways differentially regulated in HCC compared to NC. Each circle was colored by the -log10(</w:t>
          </w:r>
          <w:r>
            <w:rPr>
              <w:rStyle w:val="16"/>
              <w:rFonts w:ascii="Times New Roman" w:hAnsi="Times New Roman"/>
              <w:b/>
              <w:bCs/>
              <w:i/>
              <w:iCs/>
            </w:rPr>
            <w:t>p</w:t>
          </w:r>
          <w:r>
            <w:rPr>
              <w:rStyle w:val="16"/>
              <w:rFonts w:ascii="Times New Roman" w:hAnsi="Times New Roman"/>
              <w:b/>
              <w:bCs/>
            </w:rPr>
            <w:t>-value).</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_Toc229846984 \h </w:instrText>
          </w:r>
          <w:r>
            <w:rPr>
              <w:rFonts w:ascii="Times New Roman" w:hAnsi="Times New Roman"/>
            </w:rPr>
            <w:fldChar w:fldCharType="separate"/>
          </w:r>
          <w:r>
            <w:rPr>
              <w:rFonts w:ascii="Times New Roman" w:hAnsi="Times New Roman"/>
            </w:rPr>
            <w:t>47</w:t>
          </w:r>
          <w:r>
            <w:rPr>
              <w:rFonts w:ascii="Times New Roman" w:hAnsi="Times New Roman"/>
            </w:rPr>
            <w:fldChar w:fldCharType="end"/>
          </w:r>
          <w:r>
            <w:rPr>
              <w:rFonts w:ascii="Times New Roman" w:hAnsi="Times New Roman"/>
            </w:rPr>
            <w:fldChar w:fldCharType="end"/>
          </w:r>
        </w:p>
        <w:p w14:paraId="5E381C11">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"_Toc229846985" </w:instrText>
          </w:r>
          <w:r>
            <w:rPr>
              <w:rFonts w:ascii="Times New Roman" w:hAnsi="Times New Roman"/>
            </w:rPr>
            <w:fldChar w:fldCharType="separate"/>
          </w:r>
          <w:r>
            <w:rPr>
              <w:rStyle w:val="16"/>
              <w:rFonts w:ascii="Times New Roman" w:hAnsi="Times New Roman"/>
              <w:b/>
              <w:bCs/>
            </w:rPr>
            <w:t xml:space="preserve">Supplementary Fig. 41. (a) Score plot and (b) permutation test PLS-DA model for HCC vs LR in discovery cohort. (c) Volcano plot for HCC vs LR in discovery cohort. (d) Heatmap of significantly changed metabolites with FDR-adjusted </w:t>
          </w:r>
          <w:r>
            <w:rPr>
              <w:rStyle w:val="16"/>
              <w:rFonts w:ascii="Times New Roman" w:hAnsi="Times New Roman"/>
              <w:b/>
              <w:bCs/>
              <w:i/>
              <w:iCs/>
            </w:rPr>
            <w:t>p</w:t>
          </w:r>
          <w:r>
            <w:rPr>
              <w:rStyle w:val="16"/>
              <w:rFonts w:ascii="Times New Roman" w:hAnsi="Times New Roman"/>
              <w:b/>
              <w:bCs/>
            </w:rPr>
            <w:t xml:space="preserve"> &lt; 0.05 for HCC and LR group in discovery cohort. (e) KEGG metabolic pathways differentially regulated in HCC compared to LR. Each circle was colored by the -log10(</w:t>
          </w:r>
          <w:r>
            <w:rPr>
              <w:rStyle w:val="16"/>
              <w:rFonts w:ascii="Times New Roman" w:hAnsi="Times New Roman"/>
              <w:b/>
              <w:bCs/>
              <w:i/>
              <w:iCs/>
            </w:rPr>
            <w:t>p</w:t>
          </w:r>
          <w:r>
            <w:rPr>
              <w:rStyle w:val="16"/>
              <w:rFonts w:ascii="Times New Roman" w:hAnsi="Times New Roman"/>
              <w:b/>
              <w:bCs/>
            </w:rPr>
            <w:t>-value).</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_Toc229846985 \h </w:instrText>
          </w:r>
          <w:r>
            <w:rPr>
              <w:rFonts w:ascii="Times New Roman" w:hAnsi="Times New Roman"/>
            </w:rPr>
            <w:fldChar w:fldCharType="separate"/>
          </w:r>
          <w:r>
            <w:rPr>
              <w:rFonts w:ascii="Times New Roman" w:hAnsi="Times New Roman"/>
            </w:rPr>
            <w:t>48</w:t>
          </w:r>
          <w:r>
            <w:rPr>
              <w:rFonts w:ascii="Times New Roman" w:hAnsi="Times New Roman"/>
            </w:rPr>
            <w:fldChar w:fldCharType="end"/>
          </w:r>
          <w:r>
            <w:rPr>
              <w:rFonts w:ascii="Times New Roman" w:hAnsi="Times New Roman"/>
            </w:rPr>
            <w:fldChar w:fldCharType="end"/>
          </w:r>
        </w:p>
        <w:p w14:paraId="299992EA">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"_Toc229846986" </w:instrText>
          </w:r>
          <w:r>
            <w:rPr>
              <w:rFonts w:ascii="Times New Roman" w:hAnsi="Times New Roman"/>
            </w:rPr>
            <w:fldChar w:fldCharType="separate"/>
          </w:r>
          <w:r>
            <w:rPr>
              <w:rStyle w:val="16"/>
              <w:rFonts w:ascii="Times New Roman" w:hAnsi="Times New Roman"/>
              <w:b/>
              <w:bCs/>
            </w:rPr>
            <w:t>Supplementary Fig. 42. Serum lipid-class remodeling across the discovery cohort.</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_Toc229846986 \h </w:instrText>
          </w:r>
          <w:r>
            <w:rPr>
              <w:rFonts w:ascii="Times New Roman" w:hAnsi="Times New Roman"/>
            </w:rPr>
            <w:fldChar w:fldCharType="separate"/>
          </w:r>
          <w:r>
            <w:rPr>
              <w:rFonts w:ascii="Times New Roman" w:hAnsi="Times New Roman"/>
            </w:rPr>
            <w:t>49</w:t>
          </w:r>
          <w:r>
            <w:rPr>
              <w:rFonts w:ascii="Times New Roman" w:hAnsi="Times New Roman"/>
            </w:rPr>
            <w:fldChar w:fldCharType="end"/>
          </w:r>
          <w:r>
            <w:rPr>
              <w:rFonts w:ascii="Times New Roman" w:hAnsi="Times New Roman"/>
            </w:rPr>
            <w:fldChar w:fldCharType="end"/>
          </w:r>
        </w:p>
        <w:p w14:paraId="03A5F394">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"_Toc229846987" </w:instrText>
          </w:r>
          <w:r>
            <w:rPr>
              <w:rFonts w:ascii="Times New Roman" w:hAnsi="Times New Roman"/>
            </w:rPr>
            <w:fldChar w:fldCharType="separate"/>
          </w:r>
          <w:r>
            <w:rPr>
              <w:rStyle w:val="16"/>
              <w:rFonts w:ascii="Times New Roman" w:hAnsi="Times New Roman"/>
              <w:b/>
              <w:bCs/>
            </w:rPr>
            <w:t>Supplementary Fig. 43. Analysis of specific dysregulated pathways driving the pathogenesis of HCC.</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_Toc229846987 \h </w:instrText>
          </w:r>
          <w:r>
            <w:rPr>
              <w:rFonts w:ascii="Times New Roman" w:hAnsi="Times New Roman"/>
            </w:rPr>
            <w:fldChar w:fldCharType="separate"/>
          </w:r>
          <w:r>
            <w:rPr>
              <w:rFonts w:ascii="Times New Roman" w:hAnsi="Times New Roman"/>
            </w:rPr>
            <w:t>50</w:t>
          </w:r>
          <w:r>
            <w:rPr>
              <w:rFonts w:ascii="Times New Roman" w:hAnsi="Times New Roman"/>
            </w:rPr>
            <w:fldChar w:fldCharType="end"/>
          </w:r>
          <w:r>
            <w:rPr>
              <w:rFonts w:ascii="Times New Roman" w:hAnsi="Times New Roman"/>
            </w:rPr>
            <w:fldChar w:fldCharType="end"/>
          </w:r>
        </w:p>
        <w:p w14:paraId="107E1CB5">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"_Toc229846988" </w:instrText>
          </w:r>
          <w:r>
            <w:rPr>
              <w:rFonts w:ascii="Times New Roman" w:hAnsi="Times New Roman"/>
            </w:rPr>
            <w:fldChar w:fldCharType="separate"/>
          </w:r>
          <w:r>
            <w:rPr>
              <w:rStyle w:val="16"/>
              <w:rFonts w:ascii="Times New Roman" w:hAnsi="Times New Roman"/>
              <w:b/>
              <w:bCs/>
            </w:rPr>
            <w:t>Supplementary Fig. 44. Representative metabolites imaged by the MoO</w:t>
          </w:r>
          <w:r>
            <w:rPr>
              <w:rStyle w:val="16"/>
              <w:rFonts w:ascii="Times New Roman" w:hAnsi="Times New Roman"/>
              <w:b/>
              <w:bCs/>
              <w:vertAlign w:val="subscript"/>
            </w:rPr>
            <w:t>x</w:t>
          </w:r>
          <w:r>
            <w:rPr>
              <w:rStyle w:val="16"/>
              <w:rFonts w:ascii="Times New Roman" w:hAnsi="Times New Roman"/>
              <w:b/>
              <w:bCs/>
            </w:rPr>
            <w:t>-5-assisted MALDI-MSI platform.</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_Toc229846988 \h </w:instrText>
          </w:r>
          <w:r>
            <w:rPr>
              <w:rFonts w:ascii="Times New Roman" w:hAnsi="Times New Roman"/>
            </w:rPr>
            <w:fldChar w:fldCharType="separate"/>
          </w:r>
          <w:r>
            <w:rPr>
              <w:rFonts w:ascii="Times New Roman" w:hAnsi="Times New Roman"/>
            </w:rPr>
            <w:t>51</w:t>
          </w:r>
          <w:r>
            <w:rPr>
              <w:rFonts w:ascii="Times New Roman" w:hAnsi="Times New Roman"/>
            </w:rPr>
            <w:fldChar w:fldCharType="end"/>
          </w:r>
          <w:r>
            <w:rPr>
              <w:rFonts w:ascii="Times New Roman" w:hAnsi="Times New Roman"/>
            </w:rPr>
            <w:fldChar w:fldCharType="end"/>
          </w:r>
        </w:p>
        <w:p w14:paraId="511FF81C">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"_Toc229846989" </w:instrText>
          </w:r>
          <w:r>
            <w:rPr>
              <w:rFonts w:ascii="Times New Roman" w:hAnsi="Times New Roman"/>
            </w:rPr>
            <w:fldChar w:fldCharType="separate"/>
          </w:r>
          <w:r>
            <w:rPr>
              <w:rStyle w:val="16"/>
              <w:rFonts w:ascii="Times New Roman" w:hAnsi="Times New Roman"/>
              <w:b/>
              <w:bCs/>
            </w:rPr>
            <w:t>Supplementary Fig. 45. Boxplot of seven serum biomarkers across normal controls, high-risk liver disease and hepatocellular carcinoma (HCC vs NC or LR vs NC) in discovery cohort and validation cohort.</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_Toc229846989 \h </w:instrText>
          </w:r>
          <w:r>
            <w:rPr>
              <w:rFonts w:ascii="Times New Roman" w:hAnsi="Times New Roman"/>
            </w:rPr>
            <w:fldChar w:fldCharType="separate"/>
          </w:r>
          <w:r>
            <w:rPr>
              <w:rFonts w:ascii="Times New Roman" w:hAnsi="Times New Roman"/>
            </w:rPr>
            <w:t>52</w:t>
          </w:r>
          <w:r>
            <w:rPr>
              <w:rFonts w:ascii="Times New Roman" w:hAnsi="Times New Roman"/>
            </w:rPr>
            <w:fldChar w:fldCharType="end"/>
          </w:r>
          <w:r>
            <w:rPr>
              <w:rFonts w:ascii="Times New Roman" w:hAnsi="Times New Roman"/>
            </w:rPr>
            <w:fldChar w:fldCharType="end"/>
          </w:r>
        </w:p>
        <w:p w14:paraId="527E3864">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"_Toc229846990" </w:instrText>
          </w:r>
          <w:r>
            <w:rPr>
              <w:rFonts w:ascii="Times New Roman" w:hAnsi="Times New Roman"/>
            </w:rPr>
            <w:fldChar w:fldCharType="separate"/>
          </w:r>
          <w:r>
            <w:rPr>
              <w:rStyle w:val="16"/>
              <w:rFonts w:ascii="Times New Roman" w:hAnsi="Times New Roman"/>
              <w:b/>
              <w:bCs/>
            </w:rPr>
            <w:t>Supplementary Fig. 46. Comparison of AFP and AFP combined with 7-Panel biomarker for HCC vs high-risk liver disease discrimination in the discovery and validation cohorts. AFP-based analysis was restricted to the HCC vs LR comparison because AFP measurements were not available for normal controls.</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_Toc229846990 \h </w:instrText>
          </w:r>
          <w:r>
            <w:rPr>
              <w:rFonts w:ascii="Times New Roman" w:hAnsi="Times New Roman"/>
            </w:rPr>
            <w:fldChar w:fldCharType="separate"/>
          </w:r>
          <w:r>
            <w:rPr>
              <w:rFonts w:ascii="Times New Roman" w:hAnsi="Times New Roman"/>
            </w:rPr>
            <w:t>53</w:t>
          </w:r>
          <w:r>
            <w:rPr>
              <w:rFonts w:ascii="Times New Roman" w:hAnsi="Times New Roman"/>
            </w:rPr>
            <w:fldChar w:fldCharType="end"/>
          </w:r>
          <w:r>
            <w:rPr>
              <w:rFonts w:ascii="Times New Roman" w:hAnsi="Times New Roman"/>
            </w:rPr>
            <w:fldChar w:fldCharType="end"/>
          </w:r>
        </w:p>
        <w:p w14:paraId="4F463596">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"_Toc229846991" </w:instrText>
          </w:r>
          <w:r>
            <w:rPr>
              <w:rFonts w:ascii="Times New Roman" w:hAnsi="Times New Roman"/>
            </w:rPr>
            <w:fldChar w:fldCharType="separate"/>
          </w:r>
          <w:r>
            <w:rPr>
              <w:rStyle w:val="16"/>
              <w:rFonts w:ascii="Times New Roman" w:hAnsi="Times New Roman"/>
              <w:b/>
              <w:bCs/>
            </w:rPr>
            <w:t>Supplementary Fig. 47. Diagnostic performance of the 7-Panel biomarker in AFP-negative HCC.</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_Toc229846991 \h </w:instrText>
          </w:r>
          <w:r>
            <w:rPr>
              <w:rFonts w:ascii="Times New Roman" w:hAnsi="Times New Roman"/>
            </w:rPr>
            <w:fldChar w:fldCharType="separate"/>
          </w:r>
          <w:r>
            <w:rPr>
              <w:rFonts w:ascii="Times New Roman" w:hAnsi="Times New Roman"/>
            </w:rPr>
            <w:t>54</w:t>
          </w:r>
          <w:r>
            <w:rPr>
              <w:rFonts w:ascii="Times New Roman" w:hAnsi="Times New Roman"/>
            </w:rPr>
            <w:fldChar w:fldCharType="end"/>
          </w:r>
          <w:r>
            <w:rPr>
              <w:rFonts w:ascii="Times New Roman" w:hAnsi="Times New Roman"/>
            </w:rPr>
            <w:fldChar w:fldCharType="end"/>
          </w:r>
        </w:p>
        <w:p w14:paraId="641D438E">
          <w:pPr>
            <w:pStyle w:val="8"/>
            <w:tabs>
              <w:tab w:val="right" w:leader="dot" w:pos="9016"/>
            </w:tabs>
            <w:rPr>
              <w:rFonts w:ascii="Times New Roman" w:hAnsi="Times New Roman"/>
            </w:rPr>
          </w:pPr>
        </w:p>
        <w:p w14:paraId="53828C7D">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"_Toc229846992" </w:instrText>
          </w:r>
          <w:r>
            <w:rPr>
              <w:rFonts w:ascii="Times New Roman" w:hAnsi="Times New Roman"/>
            </w:rPr>
            <w:fldChar w:fldCharType="separate"/>
          </w:r>
          <w:r>
            <w:rPr>
              <w:rStyle w:val="16"/>
              <w:rFonts w:ascii="Times New Roman" w:hAnsi="Times New Roman"/>
              <w:b/>
              <w:bCs/>
            </w:rPr>
            <w:t>Supplementary Table 1.</w:t>
          </w:r>
          <w:r>
            <w:rPr>
              <w:rStyle w:val="16"/>
              <w:rFonts w:ascii="Times New Roman" w:hAnsi="Times New Roman"/>
            </w:rPr>
            <w:t xml:space="preserve"> </w:t>
          </w:r>
          <w:r>
            <w:rPr>
              <w:rStyle w:val="16"/>
              <w:rFonts w:ascii="Times New Roman" w:hAnsi="Times New Roman"/>
              <w:b/>
              <w:bCs/>
            </w:rPr>
            <w:t>Results of structural analysis obtained from XRD Rietveld refinement of MoO</w:t>
          </w:r>
          <w:r>
            <w:rPr>
              <w:rStyle w:val="16"/>
              <w:rFonts w:ascii="Times New Roman" w:hAnsi="Times New Roman"/>
              <w:b/>
              <w:bCs/>
              <w:vertAlign w:val="subscript"/>
            </w:rPr>
            <w:t>x</w:t>
          </w:r>
          <w:r>
            <w:rPr>
              <w:rStyle w:val="16"/>
              <w:rFonts w:ascii="Times New Roman" w:hAnsi="Times New Roman"/>
              <w:b/>
              <w:bCs/>
            </w:rPr>
            <w:t>-0, MoO</w:t>
          </w:r>
          <w:r>
            <w:rPr>
              <w:rStyle w:val="16"/>
              <w:rFonts w:ascii="Times New Roman" w:hAnsi="Times New Roman"/>
              <w:b/>
              <w:bCs/>
              <w:vertAlign w:val="subscript"/>
            </w:rPr>
            <w:t>x</w:t>
          </w:r>
          <w:r>
            <w:rPr>
              <w:rStyle w:val="16"/>
              <w:rFonts w:ascii="Times New Roman" w:hAnsi="Times New Roman"/>
              <w:b/>
              <w:bCs/>
            </w:rPr>
            <w:t>-2 and MoO</w:t>
          </w:r>
          <w:r>
            <w:rPr>
              <w:rStyle w:val="16"/>
              <w:rFonts w:ascii="Times New Roman" w:hAnsi="Times New Roman"/>
              <w:b/>
              <w:bCs/>
              <w:vertAlign w:val="subscript"/>
            </w:rPr>
            <w:t>x</w:t>
          </w:r>
          <w:r>
            <w:rPr>
              <w:rStyle w:val="16"/>
              <w:rFonts w:ascii="Times New Roman" w:hAnsi="Times New Roman"/>
              <w:b/>
              <w:bCs/>
            </w:rPr>
            <w:t>-5.</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_Toc229846992 \h </w:instrText>
          </w:r>
          <w:r>
            <w:rPr>
              <w:rFonts w:ascii="Times New Roman" w:hAnsi="Times New Roman"/>
            </w:rPr>
            <w:fldChar w:fldCharType="separate"/>
          </w:r>
          <w:r>
            <w:rPr>
              <w:rFonts w:ascii="Times New Roman" w:hAnsi="Times New Roman"/>
            </w:rPr>
            <w:t>55</w:t>
          </w:r>
          <w:r>
            <w:rPr>
              <w:rFonts w:ascii="Times New Roman" w:hAnsi="Times New Roman"/>
            </w:rPr>
            <w:fldChar w:fldCharType="end"/>
          </w:r>
          <w:r>
            <w:rPr>
              <w:rFonts w:ascii="Times New Roman" w:hAnsi="Times New Roman"/>
            </w:rPr>
            <w:fldChar w:fldCharType="end"/>
          </w:r>
        </w:p>
        <w:p w14:paraId="52547ECF">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"_Toc229846993" </w:instrText>
          </w:r>
          <w:r>
            <w:rPr>
              <w:rFonts w:ascii="Times New Roman" w:hAnsi="Times New Roman"/>
            </w:rPr>
            <w:fldChar w:fldCharType="separate"/>
          </w:r>
          <w:r>
            <w:rPr>
              <w:rStyle w:val="16"/>
              <w:rFonts w:ascii="Times New Roman" w:hAnsi="Times New Roman"/>
              <w:b/>
              <w:bCs/>
            </w:rPr>
            <w:t>Supplementary Table 2. Positron annihilation spectroscopy parameters of MoO</w:t>
          </w:r>
          <w:r>
            <w:rPr>
              <w:rStyle w:val="16"/>
              <w:rFonts w:ascii="Times New Roman" w:hAnsi="Times New Roman"/>
              <w:b/>
              <w:bCs/>
              <w:vertAlign w:val="subscript"/>
            </w:rPr>
            <w:t>x</w:t>
          </w:r>
          <w:r>
            <w:rPr>
              <w:rStyle w:val="16"/>
              <w:rFonts w:ascii="Times New Roman" w:hAnsi="Times New Roman"/>
              <w:b/>
              <w:bCs/>
            </w:rPr>
            <w:t>-0, MoO</w:t>
          </w:r>
          <w:r>
            <w:rPr>
              <w:rStyle w:val="16"/>
              <w:rFonts w:ascii="Times New Roman" w:hAnsi="Times New Roman"/>
              <w:b/>
              <w:bCs/>
              <w:vertAlign w:val="subscript"/>
            </w:rPr>
            <w:t>x</w:t>
          </w:r>
          <w:r>
            <w:rPr>
              <w:rStyle w:val="16"/>
              <w:rFonts w:ascii="Times New Roman" w:hAnsi="Times New Roman"/>
              <w:b/>
              <w:bCs/>
            </w:rPr>
            <w:t>-2 and MoO</w:t>
          </w:r>
          <w:r>
            <w:rPr>
              <w:rStyle w:val="16"/>
              <w:rFonts w:ascii="Times New Roman" w:hAnsi="Times New Roman"/>
              <w:b/>
              <w:bCs/>
              <w:vertAlign w:val="subscript"/>
            </w:rPr>
            <w:t>x</w:t>
          </w:r>
          <w:r>
            <w:rPr>
              <w:rStyle w:val="16"/>
              <w:rFonts w:ascii="Times New Roman" w:hAnsi="Times New Roman"/>
              <w:b/>
              <w:bCs/>
            </w:rPr>
            <w:t>-5.</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_Toc229846993 \h </w:instrText>
          </w:r>
          <w:r>
            <w:rPr>
              <w:rFonts w:ascii="Times New Roman" w:hAnsi="Times New Roman"/>
            </w:rPr>
            <w:fldChar w:fldCharType="separate"/>
          </w:r>
          <w:r>
            <w:rPr>
              <w:rFonts w:ascii="Times New Roman" w:hAnsi="Times New Roman"/>
            </w:rPr>
            <w:t>56</w:t>
          </w:r>
          <w:r>
            <w:rPr>
              <w:rFonts w:ascii="Times New Roman" w:hAnsi="Times New Roman"/>
            </w:rPr>
            <w:fldChar w:fldCharType="end"/>
          </w:r>
          <w:r>
            <w:rPr>
              <w:rFonts w:ascii="Times New Roman" w:hAnsi="Times New Roman"/>
            </w:rPr>
            <w:fldChar w:fldCharType="end"/>
          </w:r>
        </w:p>
        <w:p w14:paraId="0E91BE84">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"_Toc229846994" </w:instrText>
          </w:r>
          <w:r>
            <w:rPr>
              <w:rFonts w:ascii="Times New Roman" w:hAnsi="Times New Roman"/>
            </w:rPr>
            <w:fldChar w:fldCharType="separate"/>
          </w:r>
          <w:r>
            <w:rPr>
              <w:rStyle w:val="16"/>
              <w:rFonts w:ascii="Times New Roman" w:hAnsi="Times New Roman"/>
              <w:b/>
              <w:bCs/>
            </w:rPr>
            <w:t>Supplementary Table 3. EXAFS parameters of MoO</w:t>
          </w:r>
          <w:r>
            <w:rPr>
              <w:rStyle w:val="16"/>
              <w:rFonts w:ascii="Times New Roman" w:hAnsi="Times New Roman"/>
              <w:b/>
              <w:bCs/>
              <w:vertAlign w:val="subscript"/>
            </w:rPr>
            <w:t>x</w:t>
          </w:r>
          <w:r>
            <w:rPr>
              <w:rStyle w:val="16"/>
              <w:rFonts w:ascii="Times New Roman" w:hAnsi="Times New Roman"/>
              <w:b/>
              <w:bCs/>
            </w:rPr>
            <w:t>-0, MoO</w:t>
          </w:r>
          <w:r>
            <w:rPr>
              <w:rStyle w:val="16"/>
              <w:rFonts w:ascii="Times New Roman" w:hAnsi="Times New Roman"/>
              <w:b/>
              <w:bCs/>
              <w:vertAlign w:val="subscript"/>
            </w:rPr>
            <w:t>x</w:t>
          </w:r>
          <w:r>
            <w:rPr>
              <w:rStyle w:val="16"/>
              <w:rFonts w:ascii="Times New Roman" w:hAnsi="Times New Roman"/>
              <w:b/>
              <w:bCs/>
            </w:rPr>
            <w:t>-2 and MoO</w:t>
          </w:r>
          <w:r>
            <w:rPr>
              <w:rStyle w:val="16"/>
              <w:rFonts w:ascii="Times New Roman" w:hAnsi="Times New Roman"/>
              <w:b/>
              <w:bCs/>
              <w:vertAlign w:val="subscript"/>
            </w:rPr>
            <w:t>x</w:t>
          </w:r>
          <w:r>
            <w:rPr>
              <w:rStyle w:val="16"/>
              <w:rFonts w:ascii="Times New Roman" w:hAnsi="Times New Roman"/>
              <w:b/>
              <w:bCs/>
            </w:rPr>
            <w:t>-5.</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_Toc229846994 \h </w:instrText>
          </w:r>
          <w:r>
            <w:rPr>
              <w:rFonts w:ascii="Times New Roman" w:hAnsi="Times New Roman"/>
            </w:rPr>
            <w:fldChar w:fldCharType="separate"/>
          </w:r>
          <w:r>
            <w:rPr>
              <w:rFonts w:ascii="Times New Roman" w:hAnsi="Times New Roman"/>
            </w:rPr>
            <w:t>57</w:t>
          </w:r>
          <w:r>
            <w:rPr>
              <w:rFonts w:ascii="Times New Roman" w:hAnsi="Times New Roman"/>
            </w:rPr>
            <w:fldChar w:fldCharType="end"/>
          </w:r>
          <w:r>
            <w:rPr>
              <w:rFonts w:ascii="Times New Roman" w:hAnsi="Times New Roman"/>
            </w:rPr>
            <w:fldChar w:fldCharType="end"/>
          </w:r>
        </w:p>
        <w:p w14:paraId="08469656">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"_Toc229846995" </w:instrText>
          </w:r>
          <w:r>
            <w:rPr>
              <w:rFonts w:ascii="Times New Roman" w:hAnsi="Times New Roman"/>
            </w:rPr>
            <w:fldChar w:fldCharType="separate"/>
          </w:r>
          <w:r>
            <w:rPr>
              <w:rStyle w:val="16"/>
              <w:rFonts w:ascii="Times New Roman" w:hAnsi="Times New Roman"/>
              <w:b/>
              <w:bCs/>
            </w:rPr>
            <w:t>Supplementary Table 4. Detailed information of identified metabolites from mouse brain tissue in positive ion mode.</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_Toc229846995 \h </w:instrText>
          </w:r>
          <w:r>
            <w:rPr>
              <w:rFonts w:ascii="Times New Roman" w:hAnsi="Times New Roman"/>
            </w:rPr>
            <w:fldChar w:fldCharType="separate"/>
          </w:r>
          <w:r>
            <w:rPr>
              <w:rFonts w:ascii="Times New Roman" w:hAnsi="Times New Roman"/>
            </w:rPr>
            <w:t>58</w:t>
          </w:r>
          <w:r>
            <w:rPr>
              <w:rFonts w:ascii="Times New Roman" w:hAnsi="Times New Roman"/>
            </w:rPr>
            <w:fldChar w:fldCharType="end"/>
          </w:r>
          <w:r>
            <w:rPr>
              <w:rFonts w:ascii="Times New Roman" w:hAnsi="Times New Roman"/>
            </w:rPr>
            <w:fldChar w:fldCharType="end"/>
          </w:r>
        </w:p>
        <w:p w14:paraId="1702268E">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"_Toc229846996" </w:instrText>
          </w:r>
          <w:r>
            <w:rPr>
              <w:rFonts w:ascii="Times New Roman" w:hAnsi="Times New Roman"/>
            </w:rPr>
            <w:fldChar w:fldCharType="separate"/>
          </w:r>
          <w:r>
            <w:rPr>
              <w:rStyle w:val="16"/>
              <w:rFonts w:ascii="Times New Roman" w:hAnsi="Times New Roman"/>
              <w:b/>
              <w:bCs/>
            </w:rPr>
            <w:t>Supplementary Table 5. Detailed information of seven serum biomarkers across normal controls, high-risk liver disease and hepatocellular carcinoma (HCC vs NC or LR vs NC) in discovery cohort and validation cohort.</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_Toc229846996 \h </w:instrText>
          </w:r>
          <w:r>
            <w:rPr>
              <w:rFonts w:ascii="Times New Roman" w:hAnsi="Times New Roman"/>
            </w:rPr>
            <w:fldChar w:fldCharType="separate"/>
          </w:r>
          <w:r>
            <w:rPr>
              <w:rFonts w:ascii="Times New Roman" w:hAnsi="Times New Roman"/>
            </w:rPr>
            <w:t>59</w:t>
          </w:r>
          <w:r>
            <w:rPr>
              <w:rFonts w:ascii="Times New Roman" w:hAnsi="Times New Roman"/>
            </w:rPr>
            <w:fldChar w:fldCharType="end"/>
          </w:r>
          <w:r>
            <w:rPr>
              <w:rFonts w:ascii="Times New Roman" w:hAnsi="Times New Roman"/>
            </w:rPr>
            <w:fldChar w:fldCharType="end"/>
          </w:r>
        </w:p>
        <w:p w14:paraId="488DC9BC">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"_Toc229846997" </w:instrText>
          </w:r>
          <w:r>
            <w:rPr>
              <w:rFonts w:ascii="Times New Roman" w:hAnsi="Times New Roman"/>
            </w:rPr>
            <w:fldChar w:fldCharType="separate"/>
          </w:r>
          <w:r>
            <w:rPr>
              <w:rStyle w:val="16"/>
              <w:rFonts w:ascii="Times New Roman" w:hAnsi="Times New Roman"/>
              <w:b/>
              <w:bCs/>
            </w:rPr>
            <w:t>Supplementary Table 6. Detailed information of seven serum biomarkers across high-risk liver disease and hepatocellular carcinoma (HCC vs LR) in discovery cohort and validation cohort.</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_Toc229846997 \h </w:instrText>
          </w:r>
          <w:r>
            <w:rPr>
              <w:rFonts w:ascii="Times New Roman" w:hAnsi="Times New Roman"/>
            </w:rPr>
            <w:fldChar w:fldCharType="separate"/>
          </w:r>
          <w:r>
            <w:rPr>
              <w:rFonts w:ascii="Times New Roman" w:hAnsi="Times New Roman"/>
            </w:rPr>
            <w:t>60</w:t>
          </w:r>
          <w:r>
            <w:rPr>
              <w:rFonts w:ascii="Times New Roman" w:hAnsi="Times New Roman"/>
            </w:rPr>
            <w:fldChar w:fldCharType="end"/>
          </w:r>
          <w:r>
            <w:rPr>
              <w:rFonts w:ascii="Times New Roman" w:hAnsi="Times New Roman"/>
            </w:rPr>
            <w:fldChar w:fldCharType="end"/>
          </w:r>
        </w:p>
        <w:p w14:paraId="02811B53">
          <w:pPr>
            <w:pStyle w:val="8"/>
            <w:tabs>
              <w:tab w:val="right" w:leader="dot" w:pos="9016"/>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HYPERLINK \l "_Toc229846998" </w:instrText>
          </w:r>
          <w:r>
            <w:rPr>
              <w:rFonts w:ascii="Times New Roman" w:hAnsi="Times New Roman"/>
            </w:rPr>
            <w:fldChar w:fldCharType="separate"/>
          </w:r>
          <w:r>
            <w:rPr>
              <w:rStyle w:val="16"/>
              <w:rFonts w:ascii="Times New Roman" w:hAnsi="Times New Roman"/>
              <w:b/>
              <w:bCs/>
            </w:rPr>
            <w:t>References</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_Toc229846998 \h </w:instrText>
          </w:r>
          <w:r>
            <w:rPr>
              <w:rFonts w:ascii="Times New Roman" w:hAnsi="Times New Roman"/>
            </w:rPr>
            <w:fldChar w:fldCharType="separate"/>
          </w:r>
          <w:r>
            <w:rPr>
              <w:rFonts w:ascii="Times New Roman" w:hAnsi="Times New Roman"/>
            </w:rPr>
            <w:t>61</w:t>
          </w:r>
          <w:r>
            <w:rPr>
              <w:rFonts w:ascii="Times New Roman" w:hAnsi="Times New Roman"/>
            </w:rPr>
            <w:fldChar w:fldCharType="end"/>
          </w:r>
          <w:r>
            <w:rPr>
              <w:rFonts w:ascii="Times New Roman" w:hAnsi="Times New Roman"/>
            </w:rPr>
            <w:fldChar w:fldCharType="end"/>
          </w:r>
        </w:p>
        <w:p w14:paraId="387FEBD4">
          <w:pPr>
            <w:adjustRightInd w:val="0"/>
            <w:snapToGrid w:val="0"/>
            <w:rPr>
              <w:rFonts w:ascii="Times New Roman" w:hAnsi="Times New Roman" w:cs="Times New Roman"/>
            </w:rPr>
          </w:pPr>
          <w:r>
            <w:rPr>
              <w:rFonts w:ascii="Times New Roman" w:hAnsi="Times New Roman" w:cs="Times New Roman"/>
              <w:sz w:val="24"/>
              <w:szCs w:val="24"/>
              <w:lang w:val="zh-CN"/>
            </w:rPr>
            <w:fldChar w:fldCharType="end"/>
          </w:r>
        </w:p>
      </w:sdtContent>
    </w:sdt>
    <w:p w14:paraId="3D28CE95">
      <w:pPr>
        <w:widowControl/>
        <w:adjustRightInd w:val="0"/>
        <w:snapToGrid w:val="0"/>
        <w:jc w:val="left"/>
        <w:rPr>
          <w:rFonts w:ascii="Times New Roman" w:hAnsi="Times New Roman" w:eastAsia="Times New Roman" w:cs="Times New Roman"/>
          <w:b/>
          <w:bCs/>
          <w:kern w:val="44"/>
          <w:sz w:val="24"/>
          <w:szCs w:val="32"/>
        </w:rPr>
      </w:pPr>
      <w:bookmarkStart w:id="22" w:name="_Hlk221706287"/>
      <w:r>
        <w:rPr>
          <w:rFonts w:ascii="Times New Roman" w:hAnsi="Times New Roman" w:cs="Times New Roman"/>
          <w:b/>
          <w:bCs/>
        </w:rPr>
        <w:br w:type="page"/>
      </w:r>
    </w:p>
    <w:bookmarkEnd w:id="22"/>
    <w:p w14:paraId="5EDBBA52">
      <w:pPr>
        <w:pStyle w:val="39"/>
        <w:adjustRightInd w:val="0"/>
        <w:snapToGrid w:val="0"/>
        <w:spacing w:before="0" w:beforeLines="0" w:after="0" w:afterLines="0" w:line="480" w:lineRule="auto"/>
        <w:rPr>
          <w:b/>
          <w:bCs/>
        </w:rPr>
      </w:pPr>
      <w:bookmarkStart w:id="23" w:name="_Toc229846942"/>
      <w:bookmarkStart w:id="24" w:name="OLE_LINK80"/>
      <w:r>
        <w:rPr>
          <w:b/>
          <w:bCs/>
        </w:rPr>
        <w:t>Chemicals and Reagents</w:t>
      </w:r>
      <w:bookmarkEnd w:id="23"/>
    </w:p>
    <w:bookmarkEnd w:id="24"/>
    <w:p w14:paraId="27AFA89E">
      <w:pPr>
        <w:adjustRightInd w:val="0"/>
        <w:snapToGrid w:val="0"/>
        <w:spacing w:beforeLines="0" w:afterLines="0" w:line="480" w:lineRule="auto"/>
        <w:ind w:firstLine="240" w:firstLineChars="100"/>
        <w:rPr>
          <w:rFonts w:ascii="Times New Roman" w:hAnsi="Times New Roman" w:cs="Times New Roman"/>
          <w:sz w:val="24"/>
        </w:rPr>
      </w:pPr>
      <w:r>
        <w:rPr>
          <w:rFonts w:ascii="Times New Roman" w:hAnsi="Times New Roman" w:cs="Times New Roman"/>
          <w:sz w:val="24"/>
        </w:rPr>
        <w:t>Ammonium molybdate tetrahydrate ((NH</w:t>
      </w:r>
      <w:r>
        <w:rPr>
          <w:rFonts w:ascii="Times New Roman" w:hAnsi="Times New Roman" w:cs="Times New Roman"/>
          <w:sz w:val="24"/>
          <w:vertAlign w:val="subscript"/>
        </w:rPr>
        <w:t>4</w:t>
      </w:r>
      <w:r>
        <w:rPr>
          <w:rFonts w:ascii="Times New Roman" w:hAnsi="Times New Roman" w:cs="Times New Roman"/>
          <w:sz w:val="24"/>
        </w:rPr>
        <w:t>)</w:t>
      </w:r>
      <w:r>
        <w:rPr>
          <w:rFonts w:ascii="Times New Roman" w:hAnsi="Times New Roman" w:cs="Times New Roman"/>
          <w:sz w:val="24"/>
          <w:vertAlign w:val="subscript"/>
        </w:rPr>
        <w:t>6</w:t>
      </w:r>
      <w:r>
        <w:rPr>
          <w:rFonts w:ascii="Times New Roman" w:hAnsi="Times New Roman" w:cs="Times New Roman"/>
          <w:sz w:val="24"/>
        </w:rPr>
        <w:t>Mo</w:t>
      </w:r>
      <w:r>
        <w:rPr>
          <w:rFonts w:ascii="Times New Roman" w:hAnsi="Times New Roman" w:cs="Times New Roman"/>
          <w:sz w:val="24"/>
          <w:vertAlign w:val="subscript"/>
        </w:rPr>
        <w:t>7</w:t>
      </w:r>
      <w:r>
        <w:rPr>
          <w:rFonts w:ascii="Times New Roman" w:hAnsi="Times New Roman" w:cs="Times New Roman"/>
          <w:sz w:val="24"/>
        </w:rPr>
        <w:t>O</w:t>
      </w:r>
      <w:r>
        <w:rPr>
          <w:rFonts w:ascii="Times New Roman" w:hAnsi="Times New Roman" w:cs="Times New Roman"/>
          <w:sz w:val="24"/>
          <w:vertAlign w:val="subscript"/>
        </w:rPr>
        <w:t>24</w:t>
      </w:r>
      <w:r>
        <w:rPr>
          <w:rFonts w:ascii="Times New Roman" w:hAnsi="Times New Roman" w:eastAsia="MS Gothic" w:cs="Cambria Math"/>
          <w:sz w:val="24"/>
        </w:rPr>
        <w:t>⋅</w:t>
      </w:r>
      <w:r>
        <w:rPr>
          <w:rFonts w:ascii="Times New Roman" w:hAnsi="Times New Roman" w:cs="Times New Roman"/>
          <w:sz w:val="24"/>
        </w:rPr>
        <w:t>4H</w:t>
      </w:r>
      <w:r>
        <w:rPr>
          <w:rFonts w:ascii="Times New Roman" w:hAnsi="Times New Roman" w:cs="Times New Roman"/>
          <w:sz w:val="24"/>
          <w:vertAlign w:val="subscript"/>
        </w:rPr>
        <w:t>2</w:t>
      </w:r>
      <w:r>
        <w:rPr>
          <w:rFonts w:ascii="Times New Roman" w:hAnsi="Times New Roman" w:cs="Times New Roman"/>
          <w:sz w:val="24"/>
        </w:rPr>
        <w:t>O), anhydrous ethanol and hydrochloric acid (HCl) were obtained from Shanghai Macklin Biochemical Co., Ltd (Shanghai, China). 2,5-Dihydroxybenzoic acid (DHB), sinapinic acid (SA) and α-Cyano-4-hydroxycinnamic acid (CHCA) were bought from Shanghai Macklin Biochemical Co., Ltd (Shanghai, China). Histidine, glucose, argini</w:t>
      </w:r>
      <w:r>
        <w:rPr>
          <w:rFonts w:ascii="Times New Roman" w:hAnsi="Times New Roman" w:cs="Times New Roman"/>
          <w:sz w:val="24"/>
          <w:szCs w:val="24"/>
        </w:rPr>
        <w:t xml:space="preserve">ne and tryptophan </w:t>
      </w:r>
      <w:r>
        <w:rPr>
          <w:rFonts w:ascii="Times New Roman" w:hAnsi="Times New Roman" w:cs="Times New Roman"/>
          <w:sz w:val="24"/>
        </w:rPr>
        <w:t>were bought from Sigma-Aldrich. Deionized water was prepared by ultrapure water from Milli-Q system (Merck KgaA). Indium tin oxide (ITO)-coated glass plates were purchased from Beijing Yihong Guangjie Biotechnology Co., Ltd (Beijing, China). Brain tissues were obtained from healthy adult C57 mice and purchased from Servicebio Technology Co., Ltd (Wuhan, China). All chemicals were analytical grade and used without further purification.</w:t>
      </w:r>
    </w:p>
    <w:p w14:paraId="6D9D5D51">
      <w:pPr>
        <w:adjustRightInd w:val="0"/>
        <w:snapToGrid w:val="0"/>
        <w:spacing w:beforeLines="0" w:afterLines="0" w:line="480" w:lineRule="auto"/>
        <w:ind w:firstLine="240" w:firstLineChars="100"/>
        <w:rPr>
          <w:rFonts w:ascii="Times New Roman" w:hAnsi="Times New Roman" w:cs="Times New Roman"/>
          <w:sz w:val="24"/>
        </w:rPr>
      </w:pPr>
    </w:p>
    <w:p w14:paraId="532A9DA4">
      <w:pPr>
        <w:pStyle w:val="39"/>
        <w:adjustRightInd w:val="0"/>
        <w:snapToGrid w:val="0"/>
        <w:spacing w:before="0" w:beforeLines="0" w:after="0" w:afterLines="0" w:line="480" w:lineRule="auto"/>
        <w:rPr>
          <w:b/>
          <w:bCs/>
        </w:rPr>
      </w:pPr>
      <w:bookmarkStart w:id="25" w:name="_Toc229846943"/>
      <w:r>
        <w:rPr>
          <w:b/>
          <w:bCs/>
        </w:rPr>
        <w:t>Statistical Analysis and Metabolites Annotation</w:t>
      </w:r>
      <w:bookmarkEnd w:id="25"/>
    </w:p>
    <w:p w14:paraId="2F65445E">
      <w:pPr>
        <w:adjustRightInd w:val="0"/>
        <w:snapToGrid w:val="0"/>
        <w:spacing w:beforeLines="0" w:afterLines="0" w:line="480" w:lineRule="auto"/>
        <w:ind w:firstLine="240" w:firstLineChars="10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b/>
          <w:bCs/>
          <w:color w:val="000000" w:themeColor="text1"/>
          <w:sz w:val="24"/>
          <w14:textFill>
            <w14:solidFill>
              <w14:schemeClr w14:val="tx1"/>
            </w14:solidFill>
          </w14:textFill>
        </w:rPr>
        <w:t xml:space="preserve">Data processing and metabolite annotation. </w:t>
      </w:r>
      <w:r>
        <w:rPr>
          <w:rFonts w:ascii="Times New Roman" w:hAnsi="Times New Roman" w:cs="Times New Roman"/>
          <w:color w:val="000000" w:themeColor="text1"/>
          <w:sz w:val="24"/>
          <w14:textFill>
            <w14:solidFill>
              <w14:schemeClr w14:val="tx1"/>
            </w14:solidFill>
          </w14:textFill>
        </w:rPr>
        <w:t>Raw serum metabolomics data acquired from the LDI</w:t>
      </w:r>
      <w:r>
        <w:rPr>
          <w:rFonts w:hint="eastAsia" w:ascii="Times New Roman" w:hAnsi="Times New Roman" w:cs="Times New Roman"/>
          <w:color w:val="000000" w:themeColor="text1"/>
          <w:sz w:val="24"/>
          <w14:textFill>
            <w14:solidFill>
              <w14:schemeClr w14:val="tx1"/>
            </w14:solidFill>
          </w14:textFill>
        </w:rPr>
        <w:t>-MS</w:t>
      </w:r>
      <w:r>
        <w:rPr>
          <w:rFonts w:ascii="Times New Roman" w:hAnsi="Times New Roman" w:cs="Times New Roman"/>
          <w:color w:val="000000" w:themeColor="text1"/>
          <w:sz w:val="24"/>
          <w14:textFill>
            <w14:solidFill>
              <w14:schemeClr w14:val="tx1"/>
            </w14:solidFill>
          </w14:textFill>
        </w:rPr>
        <w:t xml:space="preserve"> platform were processed using a custom Python script for peak extraction and alignment. Stable characteristic ions were screened with thresholds of intensity greater than 10 and a detection rate exceeding 60% across all samples. </w:t>
      </w:r>
      <w:bookmarkStart w:id="26" w:name="_Hlk220665803"/>
      <w:r>
        <w:rPr>
          <w:rFonts w:ascii="Times New Roman" w:hAnsi="Times New Roman" w:cs="Times New Roman"/>
          <w:color w:val="000000" w:themeColor="text1"/>
          <w:sz w:val="24"/>
          <w14:textFill>
            <w14:solidFill>
              <w14:schemeClr w14:val="tx1"/>
            </w14:solidFill>
          </w14:textFill>
        </w:rPr>
        <w:t>To monitor analytical performance and correct for signal drift during large-scale batch acquisition, pooled quality control (QC) samples were injected at regular intervals throughout the analytical sequence. Data normalization and drift correction were performed using the Systematic Error Removal using Random Forest (SERRF) algorithm, which applies a machine learning-based approach to model and remove systematic technical variation while preserving biological variance</w:t>
      </w:r>
      <w:r>
        <w:rPr>
          <w:rFonts w:ascii="Times New Roman" w:hAnsi="Times New Roman" w:cs="Times New Roman"/>
          <w:color w:val="000000" w:themeColor="text1"/>
          <w:sz w:val="24"/>
          <w14:textFill>
            <w14:solidFill>
              <w14:schemeClr w14:val="tx1"/>
            </w14:solidFill>
          </w14:textFill>
        </w:rPr>
        <w:fldChar w:fldCharType="begin"/>
      </w:r>
      <w:r>
        <w:rPr>
          <w:rFonts w:ascii="Times New Roman" w:hAnsi="Times New Roman" w:cs="Times New Roman"/>
          <w:color w:val="000000" w:themeColor="text1"/>
          <w:sz w:val="24"/>
          <w14:textFill>
            <w14:solidFill>
              <w14:schemeClr w14:val="tx1"/>
            </w14:solidFill>
          </w14:textFill>
        </w:rPr>
        <w:instrText xml:space="preserve"> ADDIN EN.CITE &lt;EndNote&gt;&lt;Cite&gt;&lt;Author&gt;Fan&lt;/Author&gt;&lt;Year&gt;2019&lt;/Year&gt;&lt;RecNum&gt;2083&lt;/RecNum&gt;&lt;DisplayText&gt;&lt;style face="superscript"&gt;1&lt;/style&gt;&lt;/DisplayText&gt;&lt;record&gt;&lt;rec-number&gt;2083&lt;/rec-number&gt;&lt;foreign-keys&gt;&lt;key app="EN" db-id="s9p9pveacwpfayepzzqx9w5v52drd9w0d9f2" timestamp="1777512351"&gt;2083&lt;/key&gt;&lt;/foreign-keys&gt;&lt;ref-type name="Journal Article"&gt;17&lt;/ref-type&gt;&lt;contributors&gt;&lt;authors&gt;&lt;author&gt;Fan, Sili&lt;/author&gt;&lt;author&gt;Kind, Tobias&lt;/author&gt;&lt;author&gt;Cajka, Tomas&lt;/author&gt;&lt;author&gt;Hazen, Stanley L.&lt;/author&gt;&lt;author&gt;Tang, W. H. Wilson&lt;/author&gt;&lt;author&gt;Kaddurah-Daouk, Rima&lt;/author&gt;&lt;author&gt;Irvin, Marguerite R.&lt;/author&gt;&lt;author&gt;Arnett, Donna K.&lt;/author&gt;&lt;author&gt;Barupal, Dinesh K.&lt;/author&gt;&lt;author&gt;Fiehn, Oliver&lt;/author&gt;&lt;/authors&gt;&lt;/contributors&gt;&lt;titles&gt;&lt;title&gt;Systematic Error Removal Using Random Forest for Normalizing Large-Scale Untargeted Lipidomics Data&lt;/title&gt;&lt;secondary-title&gt;Analytical Chemistry&lt;/secondary-title&gt;&lt;/titles&gt;&lt;periodical&gt;&lt;full-title&gt;ANALYTICAL CHEMISTRY&lt;/full-title&gt;&lt;/periodical&gt;&lt;pages&gt;3590-3596&lt;/pages&gt;&lt;volume&gt;91&lt;/volume&gt;&lt;number&gt;5&lt;/number&gt;&lt;section&gt;3590&lt;/section&gt;&lt;dates&gt;&lt;year&gt;2019&lt;/year&gt;&lt;/dates&gt;&lt;isbn&gt;0003-2700&amp;#xD;1520-6882&lt;/isbn&gt;&lt;urls&gt;&lt;/urls&gt;&lt;electronic-resource-num&gt;10.1021/acs.analchem.8b05592&lt;/electronic-resource-num&gt;&lt;/record&gt;&lt;/Cite&gt;&lt;/EndNote&gt;</w:instrText>
      </w:r>
      <w:r>
        <w:rPr>
          <w:rFonts w:ascii="Times New Roman" w:hAnsi="Times New Roman" w:cs="Times New Roman"/>
          <w:color w:val="000000" w:themeColor="text1"/>
          <w:sz w:val="24"/>
          <w14:textFill>
            <w14:solidFill>
              <w14:schemeClr w14:val="tx1"/>
            </w14:solidFill>
          </w14:textFill>
        </w:rPr>
        <w:fldChar w:fldCharType="separate"/>
      </w:r>
      <w:r>
        <w:rPr>
          <w:rFonts w:ascii="Times New Roman" w:hAnsi="Times New Roman" w:cs="Times New Roman"/>
          <w:color w:val="000000" w:themeColor="text1"/>
          <w:sz w:val="24"/>
          <w:vertAlign w:val="superscript"/>
          <w14:textFill>
            <w14:solidFill>
              <w14:schemeClr w14:val="tx1"/>
            </w14:solidFill>
          </w14:textFill>
        </w:rPr>
        <w:t>1</w:t>
      </w:r>
      <w:r>
        <w:rPr>
          <w:rFonts w:ascii="Times New Roman" w:hAnsi="Times New Roman" w:cs="Times New Roman"/>
          <w:color w:val="000000" w:themeColor="text1"/>
          <w:sz w:val="24"/>
          <w14:textFill>
            <w14:solidFill>
              <w14:schemeClr w14:val="tx1"/>
            </w14:solidFill>
          </w14:textFill>
        </w:rPr>
        <w:fldChar w:fldCharType="end"/>
      </w:r>
      <w:r>
        <w:rPr>
          <w:rFonts w:ascii="Times New Roman" w:hAnsi="Times New Roman" w:cs="Times New Roman"/>
          <w:color w:val="000000" w:themeColor="text1"/>
          <w:sz w:val="24"/>
          <w14:textFill>
            <w14:solidFill>
              <w14:schemeClr w14:val="tx1"/>
            </w14:solidFill>
          </w14:textFill>
        </w:rPr>
        <w:t>. The resulting normalized data matrix was used for downstream statistical analyses. Tentative metabolite annotation was performed by matching accurate mass against the Human Metabolome Database (HMDB)</w:t>
      </w:r>
      <w:r>
        <w:rPr>
          <w:rFonts w:hint="eastAsia" w:ascii="Times New Roman" w:hAnsi="Times New Roman" w:cs="Times New Roman"/>
          <w:color w:val="000000" w:themeColor="text1"/>
          <w:sz w:val="24"/>
          <w14:textFill>
            <w14:solidFill>
              <w14:schemeClr w14:val="tx1"/>
            </w14:solidFill>
          </w14:textFill>
        </w:rPr>
        <w:t xml:space="preserve">, LIPID MAPS </w:t>
      </w:r>
      <w:r>
        <w:rPr>
          <w:rFonts w:ascii="Times New Roman" w:hAnsi="Times New Roman" w:cs="Times New Roman"/>
          <w:color w:val="000000" w:themeColor="text1"/>
          <w:sz w:val="24"/>
          <w14:textFill>
            <w14:solidFill>
              <w14:schemeClr w14:val="tx1"/>
            </w14:solidFill>
          </w14:textFill>
        </w:rPr>
        <w:t xml:space="preserve">and </w:t>
      </w:r>
      <w:r>
        <w:rPr>
          <w:rFonts w:hint="eastAsia" w:ascii="Times New Roman" w:hAnsi="Times New Roman" w:cs="Times New Roman"/>
          <w:color w:val="000000" w:themeColor="text1"/>
          <w:sz w:val="24"/>
          <w14:textFill>
            <w14:solidFill>
              <w14:schemeClr w14:val="tx1"/>
            </w14:solidFill>
          </w14:textFill>
        </w:rPr>
        <w:t xml:space="preserve">in-house </w:t>
      </w:r>
      <w:r>
        <w:rPr>
          <w:rFonts w:ascii="Times New Roman" w:hAnsi="Times New Roman" w:cs="Times New Roman"/>
          <w:color w:val="000000" w:themeColor="text1"/>
          <w:sz w:val="24"/>
          <w14:textFill>
            <w14:solidFill>
              <w14:schemeClr w14:val="tx1"/>
            </w14:solidFill>
          </w14:textFill>
        </w:rPr>
        <w:t>database, with a mass error tolerance of less than 10 ppm.</w:t>
      </w:r>
      <w:bookmarkEnd w:id="26"/>
      <w:r>
        <w:rPr>
          <w:rFonts w:ascii="Times New Roman" w:hAnsi="Times New Roman" w:cs="Times New Roman"/>
          <w:color w:val="000000" w:themeColor="text1"/>
          <w:sz w:val="24"/>
          <w14:textFill>
            <w14:solidFill>
              <w14:schemeClr w14:val="tx1"/>
            </w14:solidFill>
          </w14:textFill>
        </w:rPr>
        <w:t xml:space="preserve"> </w:t>
      </w:r>
    </w:p>
    <w:p w14:paraId="659CB9E8">
      <w:pPr>
        <w:adjustRightInd w:val="0"/>
        <w:snapToGrid w:val="0"/>
        <w:spacing w:beforeLines="0" w:afterLines="0" w:line="480" w:lineRule="auto"/>
        <w:ind w:firstLine="240" w:firstLineChars="10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b/>
          <w:bCs/>
          <w:color w:val="000000" w:themeColor="text1"/>
          <w:sz w:val="24"/>
          <w14:textFill>
            <w14:solidFill>
              <w14:schemeClr w14:val="tx1"/>
            </w14:solidFill>
          </w14:textFill>
        </w:rPr>
        <w:t xml:space="preserve">Statistical analysis. </w:t>
      </w:r>
      <w:r>
        <w:rPr>
          <w:rFonts w:ascii="Times New Roman" w:hAnsi="Times New Roman" w:cs="Times New Roman"/>
          <w:color w:val="000000" w:themeColor="text1"/>
          <w:sz w:val="24"/>
          <w14:textFill>
            <w14:solidFill>
              <w14:schemeClr w14:val="tx1"/>
            </w14:solidFill>
          </w14:textFill>
        </w:rPr>
        <w:t>Multivariate statistical analyses, including principal component analysis (PCA) and partial least squares-discriminant analysis (PLS-DA), were conducted in SIMCA-P software (v13.0, Umetrics). Statistical significance between group comparisons was assessed using the Wilcoxon rank-sum test. Data visualization plots, such as Venn diagrams, volcano plots, heatmaps, and ROC curves, were conducted using the R language. Metabolic pathway enrichment and topology analyses were carried out using MetaboAnalyst (https://www.metaboanalyst.ca/).</w:t>
      </w:r>
    </w:p>
    <w:p w14:paraId="3B5A1C2B">
      <w:pPr>
        <w:adjustRightInd w:val="0"/>
        <w:snapToGrid w:val="0"/>
        <w:spacing w:beforeLines="0" w:afterLines="0" w:line="480" w:lineRule="auto"/>
        <w:ind w:firstLine="240" w:firstLineChars="100"/>
        <w:rPr>
          <w:rFonts w:ascii="Times New Roman" w:hAnsi="Times New Roman" w:cs="Times New Roman"/>
          <w:color w:val="000000" w:themeColor="text1"/>
          <w:sz w:val="24"/>
          <w14:textFill>
            <w14:solidFill>
              <w14:schemeClr w14:val="tx1"/>
            </w14:solidFill>
          </w14:textFill>
        </w:rPr>
      </w:pPr>
    </w:p>
    <w:p w14:paraId="103FC535">
      <w:pPr>
        <w:pStyle w:val="39"/>
        <w:adjustRightInd w:val="0"/>
        <w:snapToGrid w:val="0"/>
        <w:spacing w:before="0" w:beforeLines="0" w:after="0" w:afterLines="0" w:line="480" w:lineRule="auto"/>
        <w:rPr>
          <w:b/>
          <w:bCs/>
        </w:rPr>
      </w:pPr>
      <w:bookmarkStart w:id="27" w:name="_Toc229846944"/>
      <w:r>
        <w:rPr>
          <w:b/>
          <w:bCs/>
        </w:rPr>
        <w:t xml:space="preserve">Density functional theory </w:t>
      </w:r>
      <w:r>
        <w:rPr>
          <w:rFonts w:hint="eastAsia" w:eastAsiaTheme="minorEastAsia"/>
          <w:b/>
          <w:bCs/>
        </w:rPr>
        <w:t xml:space="preserve">(DFT) </w:t>
      </w:r>
      <w:r>
        <w:rPr>
          <w:b/>
          <w:bCs/>
        </w:rPr>
        <w:t>calculations</w:t>
      </w:r>
      <w:bookmarkEnd w:id="27"/>
    </w:p>
    <w:p w14:paraId="641689EC">
      <w:pPr>
        <w:adjustRightInd w:val="0"/>
        <w:snapToGrid w:val="0"/>
        <w:spacing w:beforeLines="0" w:afterLines="0" w:line="480" w:lineRule="auto"/>
        <w:ind w:firstLine="240" w:firstLineChars="10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All the calculations were performed </w:t>
      </w:r>
      <w:r>
        <w:rPr>
          <w:rFonts w:hint="eastAsia" w:ascii="Times New Roman" w:hAnsi="Times New Roman" w:cs="Times New Roman"/>
          <w:color w:val="000000" w:themeColor="text1"/>
          <w:sz w:val="24"/>
          <w14:textFill>
            <w14:solidFill>
              <w14:schemeClr w14:val="tx1"/>
            </w14:solidFill>
          </w14:textFill>
        </w:rPr>
        <w:t>using</w:t>
      </w:r>
      <w:r>
        <w:rPr>
          <w:rFonts w:ascii="Times New Roman" w:hAnsi="Times New Roman" w:cs="Times New Roman"/>
          <w:color w:val="000000" w:themeColor="text1"/>
          <w:sz w:val="24"/>
          <w14:textFill>
            <w14:solidFill>
              <w14:schemeClr w14:val="tx1"/>
            </w14:solidFill>
          </w14:textFill>
        </w:rPr>
        <w:t xml:space="preserve"> the density functional theory with the projector augmented-wave </w:t>
      </w:r>
      <w:r>
        <w:rPr>
          <w:rFonts w:hint="eastAsia" w:ascii="Times New Roman" w:hAnsi="Times New Roman" w:cs="Times New Roman"/>
          <w:color w:val="000000" w:themeColor="text1"/>
          <w:sz w:val="24"/>
          <w14:textFill>
            <w14:solidFill>
              <w14:schemeClr w14:val="tx1"/>
            </w14:solidFill>
          </w14:textFill>
        </w:rPr>
        <w:t xml:space="preserve">(PAW) </w:t>
      </w:r>
      <w:r>
        <w:rPr>
          <w:rFonts w:ascii="Times New Roman" w:hAnsi="Times New Roman" w:cs="Times New Roman"/>
          <w:color w:val="000000" w:themeColor="text1"/>
          <w:sz w:val="24"/>
          <w14:textFill>
            <w14:solidFill>
              <w14:schemeClr w14:val="tx1"/>
            </w14:solidFill>
          </w14:textFill>
        </w:rPr>
        <w:t xml:space="preserve">method, as implemented in the Vienna </w:t>
      </w:r>
      <w:r>
        <w:rPr>
          <w:rFonts w:hint="eastAsia" w:ascii="Times New Roman" w:hAnsi="Times New Roman" w:cs="Times New Roman"/>
          <w:color w:val="000000" w:themeColor="text1"/>
          <w:sz w:val="24"/>
          <w14:textFill>
            <w14:solidFill>
              <w14:schemeClr w14:val="tx1"/>
            </w14:solidFill>
          </w14:textFill>
        </w:rPr>
        <w:t>A</w:t>
      </w:r>
      <w:r>
        <w:rPr>
          <w:rFonts w:ascii="Times New Roman" w:hAnsi="Times New Roman" w:cs="Times New Roman"/>
          <w:color w:val="000000" w:themeColor="text1"/>
          <w:sz w:val="24"/>
          <w14:textFill>
            <w14:solidFill>
              <w14:schemeClr w14:val="tx1"/>
            </w14:solidFill>
          </w14:textFill>
        </w:rPr>
        <w:t xml:space="preserve">b initio </w:t>
      </w:r>
      <w:r>
        <w:rPr>
          <w:rFonts w:hint="eastAsia" w:ascii="Times New Roman" w:hAnsi="Times New Roman" w:cs="Times New Roman"/>
          <w:color w:val="000000" w:themeColor="text1"/>
          <w:sz w:val="24"/>
          <w14:textFill>
            <w14:solidFill>
              <w14:schemeClr w14:val="tx1"/>
            </w14:solidFill>
          </w14:textFill>
        </w:rPr>
        <w:t>S</w:t>
      </w:r>
      <w:r>
        <w:rPr>
          <w:rFonts w:ascii="Times New Roman" w:hAnsi="Times New Roman" w:cs="Times New Roman"/>
          <w:color w:val="000000" w:themeColor="text1"/>
          <w:sz w:val="24"/>
          <w14:textFill>
            <w14:solidFill>
              <w14:schemeClr w14:val="tx1"/>
            </w14:solidFill>
          </w14:textFill>
        </w:rPr>
        <w:t xml:space="preserve">imulation </w:t>
      </w:r>
      <w:r>
        <w:rPr>
          <w:rFonts w:hint="eastAsia" w:ascii="Times New Roman" w:hAnsi="Times New Roman" w:cs="Times New Roman"/>
          <w:color w:val="000000" w:themeColor="text1"/>
          <w:sz w:val="24"/>
          <w14:textFill>
            <w14:solidFill>
              <w14:schemeClr w14:val="tx1"/>
            </w14:solidFill>
          </w14:textFill>
        </w:rPr>
        <w:t>P</w:t>
      </w:r>
      <w:r>
        <w:rPr>
          <w:rFonts w:ascii="Times New Roman" w:hAnsi="Times New Roman" w:cs="Times New Roman"/>
          <w:color w:val="000000" w:themeColor="text1"/>
          <w:sz w:val="24"/>
          <w14:textFill>
            <w14:solidFill>
              <w14:schemeClr w14:val="tx1"/>
            </w14:solidFill>
          </w14:textFill>
        </w:rPr>
        <w:t>ackage</w:t>
      </w:r>
      <w:r>
        <w:rPr>
          <w:rFonts w:ascii="Times New Roman" w:hAnsi="Times New Roman" w:cs="Times New Roman"/>
          <w:color w:val="000000" w:themeColor="text1"/>
          <w:sz w:val="24"/>
          <w14:textFill>
            <w14:solidFill>
              <w14:schemeClr w14:val="tx1"/>
            </w14:solidFill>
          </w14:textFill>
        </w:rPr>
        <w:fldChar w:fldCharType="begin">
          <w:fldData xml:space="preserve">PEVuZE5vdGU+PENpdGU+PEF1dGhvcj5LcmVzc2U8L0F1dGhvcj48WWVhcj4xOTk5PC9ZZWFyPjxS
ZWNOdW0+MjA4MDwvUmVjTnVtPjxEaXNwbGF5VGV4dD48c3R5bGUgZmFjZT0ic3VwZXJzY3JpcHQi
PjIsIDM8L3N0eWxlPjwvRGlzcGxheVRleHQ+PHJlY29yZD48cmVjLW51bWJlcj4yMDgwPC9yZWMt
bnVtYmVyPjxmb3JlaWduLWtleXM+PGtleSBhcHA9IkVOIiBkYi1pZD0iczlwOXB2ZWFjd3BmYXll
cHp6cXg5dzV2NTJkcmQ5dzBkOWYyIiB0aW1lc3RhbXA9IjE3Nzc1MTE1NzIiPjIwODA8L2tleT48
L2ZvcmVpZ24ta2V5cz48cmVmLXR5cGUgbmFtZT0iSm91cm5hbCBBcnRpY2xlIj4xNzwvcmVmLXR5
cGU+PGNvbnRyaWJ1dG9ycz48YXV0aG9ycz48YXV0aG9yPktyZXNzZSwgRy48L2F1dGhvcj48YXV0
aG9yPkpvdWJlcnQsIEQuPC9hdXRob3I+PC9hdXRob3JzPjwvY29udHJpYnV0b3JzPjx0aXRsZXM+
PHRpdGxlPkZyb20gdWx0cmFzb2Z0IHBzZXVkb3BvdGVudGlhbHMgdG8gdGhlIHByb2plY3RvciBh
dWdtZW50ZWQtd2F2ZSBtZXRob2Q8L3RpdGxlPjxzZWNvbmRhcnktdGl0bGU+UGh5c2ljYWwgUmV2
aWV3IEI8L3NlY29uZGFyeS10aXRsZT48L3RpdGxlcz48cGVyaW9kaWNhbD48ZnVsbC10aXRsZT5Q
aHlzaWNhbCBSZXZpZXcgQjwvZnVsbC10aXRsZT48L3BlcmlvZGljYWw+PHBhZ2VzPjE3NTgtMTc3
NTwvcGFnZXM+PHZvbHVtZT41OTwvdm9sdW1lPjxudW1iZXI+MzwvbnVtYmVyPjxkYXRlcz48eWVh
cj4xOTk5PC95ZWFyPjwvZGF0ZXM+PHVybHM+PC91cmxzPjwvcmVjb3JkPjwvQ2l0ZT48Q2l0ZT48
QXV0aG9yPkE8L0F1dGhvcj48WWVhcj4xOTk2PC9ZZWFyPjxSZWNOdW0+MjA3NjwvUmVjTnVtPjxy
ZWNvcmQ+PHJlYy1udW1iZXI+MjA3NjwvcmVjLW51bWJlcj48Zm9yZWlnbi1rZXlzPjxrZXkgYXBw
PSJFTiIgZGItaWQ9InM5cDlwdmVhY3dwZmF5ZXB6enF4OXc1djUyZHJkOXcwZDlmMiIgdGltZXN0
YW1wPSIxNzc3NTExNTcyIj4yMDc2PC9rZXk+PC9mb3JlaWduLWtleXM+PHJlZi10eXBlIG5hbWU9
IkpvdXJuYWwgQXJ0aWNsZSI+MTc8L3JlZi10eXBlPjxjb250cmlidXRvcnM+PGF1dGhvcnM+PGF1
dGhvcj5BLCBHLiBLcmVzc2U8L2F1dGhvcj48YXV0aG9yPkouIEZ1cnRobcO8bGxlciBiPC9hdXRo
b3I+PC9hdXRob3JzPjwvY29udHJpYnV0b3JzPjx0aXRsZXM+PHRpdGxlPkVmZmljaWVuY3kgb2Yg
YWItaW5pdGlvIHRvdGFsIGVuZXJneSBjYWxjdWxhdGlvbnMgZm9yIG1ldGFscyBhbmQgc2VtaWNv
bmR1Y3RvcnMgdXNpbmcgYSBwbGFuZS13YXZlIGJhc2lzIHNldCAtIFNjaWVuY2VEaXJlY3Q8L3Rp
dGxlPjxzZWNvbmRhcnktdGl0bGU+Q29tcHV0YXRpb25hbCBNYXRlcmlhbHMgU2NpZW5jZTwvc2Vj
b25kYXJ5LXRpdGxlPjwvdGl0bGVzPjxwZXJpb2RpY2FsPjxmdWxsLXRpdGxlPkNvbXB1dGF0aW9u
YWwgTWF0ZXJpYWxzIFNjaWVuY2U8L2Z1bGwtdGl0bGU+PC9wZXJpb2RpY2FsPjxwYWdlcz4xNS01
MDwvcGFnZXM+PHZvbHVtZT42PC92b2x1bWU+PG51bWJlcj4xPC9udW1iZXI+PGRhdGVzPjx5ZWFy
PjE5OTY8L3llYXI+PC9kYXRlcz48dXJscz48L3VybHM+PC9yZWNvcmQ+PC9DaXRlPjxDaXRlPjxB
dXRob3I+QTwvQXV0aG9yPjxZZWFyPjE5OTY8L1llYXI+PFJlY051bT4yMDc2PC9SZWNOdW0+PHJl
Y29yZD48cmVjLW51bWJlcj4yMDc2PC9yZWMtbnVtYmVyPjxmb3JlaWduLWtleXM+PGtleSBhcHA9
IkVOIiBkYi1pZD0iczlwOXB2ZWFjd3BmYXllcHp6cXg5dzV2NTJkcmQ5dzBkOWYyIiB0aW1lc3Rh
bXA9IjE3Nzc1MTE1NzIiPjIwNzY8L2tleT48L2ZvcmVpZ24ta2V5cz48cmVmLXR5cGUgbmFtZT0i
Sm91cm5hbCBBcnRpY2xlIj4xNzwvcmVmLXR5cGU+PGNvbnRyaWJ1dG9ycz48YXV0aG9ycz48YXV0
aG9yPkEsIEcuIEtyZXNzZTwvYXV0aG9yPjxhdXRob3I+Si4gRnVydGhtw7xsbGVyIGI8L2F1dGhv
cj48L2F1dGhvcnM+PC9jb250cmlidXRvcnM+PHRpdGxlcz48dGl0bGU+RWZmaWNpZW5jeSBvZiBh
Yi1pbml0aW8gdG90YWwgZW5lcmd5IGNhbGN1bGF0aW9ucyBmb3IgbWV0YWxzIGFuZCBzZW1pY29u
ZHVjdG9ycyB1c2luZyBhIHBsYW5lLXdhdmUgYmFzaXMgc2V0IC0gU2NpZW5jZURpcmVjdDwvdGl0
bGU+PHNlY29uZGFyeS10aXRsZT5Db21wdXRhdGlvbmFsIE1hdGVyaWFscyBTY2llbmNlPC9zZWNv
bmRhcnktdGl0bGU+PC90aXRsZXM+PHBlcmlvZGljYWw+PGZ1bGwtdGl0bGU+Q29tcHV0YXRpb25h
bCBNYXRlcmlhbHMgU2NpZW5jZTwvZnVsbC10aXRsZT48L3BlcmlvZGljYWw+PHBhZ2VzPjE1LTUw
PC9wYWdlcz48dm9sdW1lPjY8L3ZvbHVtZT48bnVtYmVyPjE8L251bWJlcj48ZGF0ZXM+PHllYXI+
MTk5NjwveWVhcj48L2RhdGVzPjx1cmxzPjwvdXJscz48L3JlY29yZD48L0NpdGU+PC9FbmROb3Rl
PgBAAA==
</w:fldData>
        </w:fldChar>
      </w:r>
      <w:r>
        <w:rPr>
          <w:rFonts w:ascii="Times New Roman" w:hAnsi="Times New Roman" w:cs="Times New Roman"/>
          <w:color w:val="000000" w:themeColor="text1"/>
          <w:sz w:val="24"/>
          <w14:textFill>
            <w14:solidFill>
              <w14:schemeClr w14:val="tx1"/>
            </w14:solidFill>
          </w14:textFill>
        </w:rPr>
        <w:instrText xml:space="preserve"> ADDIN EN.CITE </w:instrText>
      </w:r>
      <w:r>
        <w:rPr>
          <w:rFonts w:ascii="Times New Roman" w:hAnsi="Times New Roman" w:cs="Times New Roman"/>
          <w:color w:val="000000" w:themeColor="text1"/>
          <w:sz w:val="24"/>
          <w14:textFill>
            <w14:solidFill>
              <w14:schemeClr w14:val="tx1"/>
            </w14:solidFill>
          </w14:textFill>
        </w:rPr>
        <w:fldChar w:fldCharType="begin">
          <w:fldData xml:space="preserve">PEVuZE5vdGU+PENpdGU+PEF1dGhvcj5LcmVzc2U8L0F1dGhvcj48WWVhcj4xOTk5PC9ZZWFyPjxS
ZWNOdW0+MjA4MDwvUmVjTnVtPjxEaXNwbGF5VGV4dD48c3R5bGUgZmFjZT0ic3VwZXJzY3JpcHQi
PjIsIDM8L3N0eWxlPjwvRGlzcGxheVRleHQ+PHJlY29yZD48cmVjLW51bWJlcj4yMDgwPC9yZWMt
bnVtYmVyPjxmb3JlaWduLWtleXM+PGtleSBhcHA9IkVOIiBkYi1pZD0iczlwOXB2ZWFjd3BmYXll
cHp6cXg5dzV2NTJkcmQ5dzBkOWYyIiB0aW1lc3RhbXA9IjE3Nzc1MTE1NzIiPjIwODA8L2tleT48
L2ZvcmVpZ24ta2V5cz48cmVmLXR5cGUgbmFtZT0iSm91cm5hbCBBcnRpY2xlIj4xNzwvcmVmLXR5
cGU+PGNvbnRyaWJ1dG9ycz48YXV0aG9ycz48YXV0aG9yPktyZXNzZSwgRy48L2F1dGhvcj48YXV0
aG9yPkpvdWJlcnQsIEQuPC9hdXRob3I+PC9hdXRob3JzPjwvY29udHJpYnV0b3JzPjx0aXRsZXM+
PHRpdGxlPkZyb20gdWx0cmFzb2Z0IHBzZXVkb3BvdGVudGlhbHMgdG8gdGhlIHByb2plY3RvciBh
dWdtZW50ZWQtd2F2ZSBtZXRob2Q8L3RpdGxlPjxzZWNvbmRhcnktdGl0bGU+UGh5c2ljYWwgUmV2
aWV3IEI8L3NlY29uZGFyeS10aXRsZT48L3RpdGxlcz48cGVyaW9kaWNhbD48ZnVsbC10aXRsZT5Q
aHlzaWNhbCBSZXZpZXcgQjwvZnVsbC10aXRsZT48L3BlcmlvZGljYWw+PHBhZ2VzPjE3NTgtMTc3
NTwvcGFnZXM+PHZvbHVtZT41OTwvdm9sdW1lPjxudW1iZXI+MzwvbnVtYmVyPjxkYXRlcz48eWVh
cj4xOTk5PC95ZWFyPjwvZGF0ZXM+PHVybHM+PC91cmxzPjwvcmVjb3JkPjwvQ2l0ZT48Q2l0ZT48
QXV0aG9yPkE8L0F1dGhvcj48WWVhcj4xOTk2PC9ZZWFyPjxSZWNOdW0+MjA3NjwvUmVjTnVtPjxy
ZWNvcmQ+PHJlYy1udW1iZXI+MjA3NjwvcmVjLW51bWJlcj48Zm9yZWlnbi1rZXlzPjxrZXkgYXBw
PSJFTiIgZGItaWQ9InM5cDlwdmVhY3dwZmF5ZXB6enF4OXc1djUyZHJkOXcwZDlmMiIgdGltZXN0
YW1wPSIxNzc3NTExNTcyIj4yMDc2PC9rZXk+PC9mb3JlaWduLWtleXM+PHJlZi10eXBlIG5hbWU9
IkpvdXJuYWwgQXJ0aWNsZSI+MTc8L3JlZi10eXBlPjxjb250cmlidXRvcnM+PGF1dGhvcnM+PGF1
dGhvcj5BLCBHLiBLcmVzc2U8L2F1dGhvcj48YXV0aG9yPkouIEZ1cnRobcO8bGxlciBiPC9hdXRo
b3I+PC9hdXRob3JzPjwvY29udHJpYnV0b3JzPjx0aXRsZXM+PHRpdGxlPkVmZmljaWVuY3kgb2Yg
YWItaW5pdGlvIHRvdGFsIGVuZXJneSBjYWxjdWxhdGlvbnMgZm9yIG1ldGFscyBhbmQgc2VtaWNv
bmR1Y3RvcnMgdXNpbmcgYSBwbGFuZS13YXZlIGJhc2lzIHNldCAtIFNjaWVuY2VEaXJlY3Q8L3Rp
dGxlPjxzZWNvbmRhcnktdGl0bGU+Q29tcHV0YXRpb25hbCBNYXRlcmlhbHMgU2NpZW5jZTwvc2Vj
b25kYXJ5LXRpdGxlPjwvdGl0bGVzPjxwZXJpb2RpY2FsPjxmdWxsLXRpdGxlPkNvbXB1dGF0aW9u
YWwgTWF0ZXJpYWxzIFNjaWVuY2U8L2Z1bGwtdGl0bGU+PC9wZXJpb2RpY2FsPjxwYWdlcz4xNS01
MDwvcGFnZXM+PHZvbHVtZT42PC92b2x1bWU+PG51bWJlcj4xPC9udW1iZXI+PGRhdGVzPjx5ZWFy
PjE5OTY8L3llYXI+PC9kYXRlcz48dXJscz48L3VybHM+PC9yZWNvcmQ+PC9DaXRlPjxDaXRlPjxB
dXRob3I+QTwvQXV0aG9yPjxZZWFyPjE5OTY8L1llYXI+PFJlY051bT4yMDc2PC9SZWNOdW0+PHJl
Y29yZD48cmVjLW51bWJlcj4yMDc2PC9yZWMtbnVtYmVyPjxmb3JlaWduLWtleXM+PGtleSBhcHA9
IkVOIiBkYi1pZD0iczlwOXB2ZWFjd3BmYXllcHp6cXg5dzV2NTJkcmQ5dzBkOWYyIiB0aW1lc3Rh
bXA9IjE3Nzc1MTE1NzIiPjIwNzY8L2tleT48L2ZvcmVpZ24ta2V5cz48cmVmLXR5cGUgbmFtZT0i
Sm91cm5hbCBBcnRpY2xlIj4xNzwvcmVmLXR5cGU+PGNvbnRyaWJ1dG9ycz48YXV0aG9ycz48YXV0
aG9yPkEsIEcuIEtyZXNzZTwvYXV0aG9yPjxhdXRob3I+Si4gRnVydGhtw7xsbGVyIGI8L2F1dGhv
cj48L2F1dGhvcnM+PC9jb250cmlidXRvcnM+PHRpdGxlcz48dGl0bGU+RWZmaWNpZW5jeSBvZiBh
Yi1pbml0aW8gdG90YWwgZW5lcmd5IGNhbGN1bGF0aW9ucyBmb3IgbWV0YWxzIGFuZCBzZW1pY29u
ZHVjdG9ycyB1c2luZyBhIHBsYW5lLXdhdmUgYmFzaXMgc2V0IC0gU2NpZW5jZURpcmVjdDwvdGl0
bGU+PHNlY29uZGFyeS10aXRsZT5Db21wdXRhdGlvbmFsIE1hdGVyaWFscyBTY2llbmNlPC9zZWNv
bmRhcnktdGl0bGU+PC90aXRsZXM+PHBlcmlvZGljYWw+PGZ1bGwtdGl0bGU+Q29tcHV0YXRpb25h
bCBNYXRlcmlhbHMgU2NpZW5jZTwvZnVsbC10aXRsZT48L3BlcmlvZGljYWw+PHBhZ2VzPjE1LTUw
PC9wYWdlcz48dm9sdW1lPjY8L3ZvbHVtZT48bnVtYmVyPjE8L251bWJlcj48ZGF0ZXM+PHllYXI+
MTk5NjwveWVhcj48L2RhdGVzPjx1cmxzPjwvdXJscz48L3JlY29yZD48L0NpdGU+PC9FbmROb3Rl
PgBAAA==
</w:fldData>
        </w:fldChar>
      </w:r>
      <w:r>
        <w:rPr>
          <w:rFonts w:ascii="Times New Roman" w:hAnsi="Times New Roman" w:cs="Times New Roman"/>
          <w:color w:val="000000" w:themeColor="text1"/>
          <w:sz w:val="24"/>
          <w14:textFill>
            <w14:solidFill>
              <w14:schemeClr w14:val="tx1"/>
            </w14:solidFill>
          </w14:textFill>
        </w:rPr>
        <w:instrText xml:space="preserve"> ADDIN EN.CITE.DATA </w:instrText>
      </w:r>
      <w:r>
        <w:rPr>
          <w:rFonts w:ascii="Times New Roman" w:hAnsi="Times New Roman" w:cs="Times New Roman"/>
          <w:color w:val="000000" w:themeColor="text1"/>
          <w:sz w:val="24"/>
          <w14:textFill>
            <w14:solidFill>
              <w14:schemeClr w14:val="tx1"/>
            </w14:solidFill>
          </w14:textFill>
        </w:rPr>
        <w:fldChar w:fldCharType="end"/>
      </w:r>
      <w:r>
        <w:rPr>
          <w:rFonts w:ascii="Times New Roman" w:hAnsi="Times New Roman" w:cs="Times New Roman"/>
          <w:color w:val="000000" w:themeColor="text1"/>
          <w:sz w:val="24"/>
          <w14:textFill>
            <w14:solidFill>
              <w14:schemeClr w14:val="tx1"/>
            </w14:solidFill>
          </w14:textFill>
        </w:rPr>
        <w:fldChar w:fldCharType="separate"/>
      </w:r>
      <w:r>
        <w:rPr>
          <w:rFonts w:ascii="Times New Roman" w:hAnsi="Times New Roman" w:cs="Times New Roman"/>
          <w:color w:val="000000" w:themeColor="text1"/>
          <w:sz w:val="24"/>
          <w:vertAlign w:val="superscript"/>
          <w14:textFill>
            <w14:solidFill>
              <w14:schemeClr w14:val="tx1"/>
            </w14:solidFill>
          </w14:textFill>
        </w:rPr>
        <w:t>2, 3</w:t>
      </w:r>
      <w:r>
        <w:rPr>
          <w:rFonts w:ascii="Times New Roman" w:hAnsi="Times New Roman" w:cs="Times New Roman"/>
          <w:color w:val="000000" w:themeColor="text1"/>
          <w:sz w:val="24"/>
          <w14:textFill>
            <w14:solidFill>
              <w14:schemeClr w14:val="tx1"/>
            </w14:solidFill>
          </w14:textFill>
        </w:rPr>
        <w:fldChar w:fldCharType="end"/>
      </w:r>
      <w:r>
        <w:rPr>
          <w:rFonts w:ascii="Times New Roman" w:hAnsi="Times New Roman" w:cs="Times New Roman"/>
          <w:color w:val="000000" w:themeColor="text1"/>
          <w:sz w:val="24"/>
          <w14:textFill>
            <w14:solidFill>
              <w14:schemeClr w14:val="tx1"/>
            </w14:solidFill>
          </w14:textFill>
        </w:rPr>
        <w:t>. The exchange</w:t>
      </w:r>
      <w:r>
        <w:rPr>
          <w:rFonts w:hint="eastAsia" w:ascii="Times New Roman" w:hAnsi="Times New Roman" w:cs="Times New Roman"/>
          <w:color w:val="000000" w:themeColor="text1"/>
          <w:sz w:val="24"/>
          <w14:textFill>
            <w14:solidFill>
              <w14:schemeClr w14:val="tx1"/>
            </w14:solidFill>
          </w14:textFill>
        </w:rPr>
        <w:t>-</w:t>
      </w:r>
      <w:r>
        <w:rPr>
          <w:rFonts w:ascii="Times New Roman" w:hAnsi="Times New Roman" w:cs="Times New Roman"/>
          <w:color w:val="000000" w:themeColor="text1"/>
          <w:sz w:val="24"/>
          <w14:textFill>
            <w14:solidFill>
              <w14:schemeClr w14:val="tx1"/>
            </w14:solidFill>
          </w14:textFill>
        </w:rPr>
        <w:t>correlation interactions were described using the Perdew-Burke-Ernzerhof (PBE) functional within</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the generalized gradient approximation (GGA)</w:t>
      </w:r>
      <w:r>
        <w:rPr>
          <w:rFonts w:ascii="Times New Roman" w:hAnsi="Times New Roman" w:cs="Times New Roman"/>
          <w:color w:val="000000" w:themeColor="text1"/>
          <w:sz w:val="24"/>
          <w14:textFill>
            <w14:solidFill>
              <w14:schemeClr w14:val="tx1"/>
            </w14:solidFill>
          </w14:textFill>
        </w:rPr>
        <w:fldChar w:fldCharType="begin"/>
      </w:r>
      <w:r>
        <w:rPr>
          <w:rFonts w:ascii="Times New Roman" w:hAnsi="Times New Roman" w:cs="Times New Roman"/>
          <w:color w:val="000000" w:themeColor="text1"/>
          <w:sz w:val="24"/>
          <w14:textFill>
            <w14:solidFill>
              <w14:schemeClr w14:val="tx1"/>
            </w14:solidFill>
          </w14:textFill>
        </w:rPr>
        <w:instrText xml:space="preserve"> ADDIN EN.CITE &lt;EndNote&gt;&lt;Cite&gt;&lt;Author&gt;John&lt;/Author&gt;&lt;Year&gt;1997&lt;/Year&gt;&lt;RecNum&gt;2081&lt;/RecNum&gt;&lt;DisplayText&gt;&lt;style face="superscript"&gt;4&lt;/style&gt;&lt;/DisplayText&gt;&lt;record&gt;&lt;rec-number&gt;2081&lt;/rec-number&gt;&lt;foreign-keys&gt;&lt;key app="EN" db-id="s9p9pveacwpfayepzzqx9w5v52drd9w0d9f2" timestamp="1777511572"&gt;2081&lt;/key&gt;&lt;/foreign-keys&gt;&lt;ref-type name="Journal Article"&gt;17&lt;/ref-type&gt;&lt;contributors&gt;&lt;authors&gt;&lt;author&gt;John&lt;/author&gt;&lt;author&gt;P.&lt;/author&gt;&lt;author&gt;Perdew&lt;/author&gt;&lt;author&gt;Kieron&lt;/author&gt;&lt;author&gt;Burke&lt;/author&gt;&lt;author&gt;Matthias&lt;/author&gt;&lt;author&gt;Ernzerhof&lt;/author&gt;&lt;/authors&gt;&lt;/contributors&gt;&lt;titles&gt;&lt;title&gt;Generalized Gradient Approximation Made Simple [Phys. Rev. Lett. 77, 3865 (1996)]&lt;/title&gt;&lt;secondary-title&gt;Physical Review Letters&lt;/secondary-title&gt;&lt;/titles&gt;&lt;periodical&gt;&lt;full-title&gt;Physical Review Letters&lt;/full-title&gt;&lt;/periodical&gt;&lt;dates&gt;&lt;year&gt;1997&lt;/year&gt;&lt;/dates&gt;&lt;urls&gt;&lt;/urls&gt;&lt;/record&gt;&lt;/Cite&gt;&lt;/EndNote&gt;</w:instrText>
      </w:r>
      <w:r>
        <w:rPr>
          <w:rFonts w:ascii="Times New Roman" w:hAnsi="Times New Roman" w:cs="Times New Roman"/>
          <w:color w:val="000000" w:themeColor="text1"/>
          <w:sz w:val="24"/>
          <w14:textFill>
            <w14:solidFill>
              <w14:schemeClr w14:val="tx1"/>
            </w14:solidFill>
          </w14:textFill>
        </w:rPr>
        <w:fldChar w:fldCharType="separate"/>
      </w:r>
      <w:r>
        <w:rPr>
          <w:rFonts w:ascii="Times New Roman" w:hAnsi="Times New Roman" w:cs="Times New Roman"/>
          <w:color w:val="000000" w:themeColor="text1"/>
          <w:sz w:val="24"/>
          <w:vertAlign w:val="superscript"/>
          <w14:textFill>
            <w14:solidFill>
              <w14:schemeClr w14:val="tx1"/>
            </w14:solidFill>
          </w14:textFill>
        </w:rPr>
        <w:t>4</w:t>
      </w:r>
      <w:r>
        <w:rPr>
          <w:rFonts w:ascii="Times New Roman" w:hAnsi="Times New Roman" w:cs="Times New Roman"/>
          <w:color w:val="000000" w:themeColor="text1"/>
          <w:sz w:val="24"/>
          <w14:textFill>
            <w14:solidFill>
              <w14:schemeClr w14:val="tx1"/>
            </w14:solidFill>
          </w14:textFill>
        </w:rPr>
        <w:fldChar w:fldCharType="end"/>
      </w:r>
      <w:r>
        <w:rPr>
          <w:rFonts w:ascii="Times New Roman" w:hAnsi="Times New Roman" w:cs="Times New Roman"/>
          <w:color w:val="000000" w:themeColor="text1"/>
          <w:sz w:val="24"/>
          <w14:textFill>
            <w14:solidFill>
              <w14:schemeClr w14:val="tx1"/>
            </w14:solidFill>
          </w14:textFill>
        </w:rPr>
        <w:t>. The long range van der Waals interaction</w:t>
      </w:r>
      <w:r>
        <w:rPr>
          <w:rFonts w:hint="eastAsia" w:ascii="Times New Roman" w:hAnsi="Times New Roman" w:cs="Times New Roman"/>
          <w:color w:val="000000" w:themeColor="text1"/>
          <w:sz w:val="24"/>
          <w14:textFill>
            <w14:solidFill>
              <w14:schemeClr w14:val="tx1"/>
            </w14:solidFill>
          </w14:textFill>
        </w:rPr>
        <w:t>s</w:t>
      </w:r>
      <w:r>
        <w:rPr>
          <w:rFonts w:ascii="Times New Roman" w:hAnsi="Times New Roman" w:cs="Times New Roman"/>
          <w:color w:val="000000" w:themeColor="text1"/>
          <w:sz w:val="24"/>
          <w14:textFill>
            <w14:solidFill>
              <w14:schemeClr w14:val="tx1"/>
            </w14:solidFill>
          </w14:textFill>
        </w:rPr>
        <w:t xml:space="preserve"> were described using the DFT-D3 approach</w:t>
      </w:r>
      <w:r>
        <w:rPr>
          <w:rFonts w:ascii="Times New Roman" w:hAnsi="Times New Roman" w:cs="Times New Roman"/>
          <w:color w:val="000000" w:themeColor="text1"/>
          <w:sz w:val="24"/>
          <w14:textFill>
            <w14:solidFill>
              <w14:schemeClr w14:val="tx1"/>
            </w14:solidFill>
          </w14:textFill>
        </w:rPr>
        <w:fldChar w:fldCharType="begin"/>
      </w:r>
      <w:r>
        <w:rPr>
          <w:rFonts w:ascii="Times New Roman" w:hAnsi="Times New Roman" w:cs="Times New Roman"/>
          <w:color w:val="000000" w:themeColor="text1"/>
          <w:sz w:val="24"/>
          <w14:textFill>
            <w14:solidFill>
              <w14:schemeClr w14:val="tx1"/>
            </w14:solidFill>
          </w14:textFill>
        </w:rPr>
        <w:instrText xml:space="preserve"> ADDIN EN.CITE &lt;EndNote&gt;&lt;Cite&gt;&lt;Author&gt;Grimme&lt;/Author&gt;&lt;Year&gt;2010&lt;/Year&gt;&lt;RecNum&gt;2079&lt;/RecNum&gt;&lt;DisplayText&gt;&lt;style face="superscript"&gt;5&lt;/style&gt;&lt;/DisplayText&gt;&lt;record&gt;&lt;rec-number&gt;2079&lt;/rec-number&gt;&lt;foreign-keys&gt;&lt;key app="EN" db-id="s9p9pveacwpfayepzzqx9w5v52drd9w0d9f2" timestamp="1777511572"&gt;2079&lt;/key&gt;&lt;/foreign-keys&gt;&lt;ref-type name="Journal Article"&gt;17&lt;/ref-type&gt;&lt;contributors&gt;&lt;authors&gt;&lt;author&gt;Grimme, Stefan&lt;/author&gt;&lt;author&gt;Antony, Jens&lt;/author&gt;&lt;author&gt;Ehrlich, Stephan&lt;/author&gt;&lt;author&gt;Krieg, Helge&lt;/author&gt;&lt;/authors&gt;&lt;/contributors&gt;&lt;titles&gt;&lt;title&gt;A consistent and accurate ab initio parametrization of density functional dispersion correction (DFT-D) for the 94 elements H-Pu&lt;/title&gt;&lt;secondary-title&gt;Journal of Chemical Physics&lt;/secondary-title&gt;&lt;/titles&gt;&lt;periodical&gt;&lt;full-title&gt;Journal of Chemical Physics&lt;/full-title&gt;&lt;/periodical&gt;&lt;pages&gt;154104&lt;/pages&gt;&lt;volume&gt;132&lt;/volume&gt;&lt;number&gt;15&lt;/number&gt;&lt;dates&gt;&lt;year&gt;2010&lt;/year&gt;&lt;/dates&gt;&lt;urls&gt;&lt;/urls&gt;&lt;/record&gt;&lt;/Cite&gt;&lt;/EndNote&gt;</w:instrText>
      </w:r>
      <w:r>
        <w:rPr>
          <w:rFonts w:ascii="Times New Roman" w:hAnsi="Times New Roman" w:cs="Times New Roman"/>
          <w:color w:val="000000" w:themeColor="text1"/>
          <w:sz w:val="24"/>
          <w14:textFill>
            <w14:solidFill>
              <w14:schemeClr w14:val="tx1"/>
            </w14:solidFill>
          </w14:textFill>
        </w:rPr>
        <w:fldChar w:fldCharType="separate"/>
      </w:r>
      <w:r>
        <w:rPr>
          <w:rFonts w:ascii="Times New Roman" w:hAnsi="Times New Roman" w:cs="Times New Roman"/>
          <w:color w:val="000000" w:themeColor="text1"/>
          <w:sz w:val="24"/>
          <w:vertAlign w:val="superscript"/>
          <w14:textFill>
            <w14:solidFill>
              <w14:schemeClr w14:val="tx1"/>
            </w14:solidFill>
          </w14:textFill>
        </w:rPr>
        <w:t>5</w:t>
      </w:r>
      <w:r>
        <w:rPr>
          <w:rFonts w:ascii="Times New Roman" w:hAnsi="Times New Roman" w:cs="Times New Roman"/>
          <w:color w:val="000000" w:themeColor="text1"/>
          <w:sz w:val="24"/>
          <w14:textFill>
            <w14:solidFill>
              <w14:schemeClr w14:val="tx1"/>
            </w14:solidFill>
          </w14:textFill>
        </w:rPr>
        <w:fldChar w:fldCharType="end"/>
      </w:r>
      <w:r>
        <w:rPr>
          <w:rFonts w:ascii="Times New Roman" w:hAnsi="Times New Roman" w:cs="Times New Roman"/>
          <w:color w:val="000000" w:themeColor="text1"/>
          <w:sz w:val="24"/>
          <w14:textFill>
            <w14:solidFill>
              <w14:schemeClr w14:val="tx1"/>
            </w14:solidFill>
          </w14:textFill>
        </w:rPr>
        <w:t xml:space="preserve">. The plane-wave cut-off energy </w:t>
      </w:r>
      <w:r>
        <w:rPr>
          <w:rFonts w:hint="eastAsia" w:ascii="Times New Roman" w:hAnsi="Times New Roman" w:cs="Times New Roman"/>
          <w:color w:val="000000" w:themeColor="text1"/>
          <w:sz w:val="24"/>
          <w14:textFill>
            <w14:solidFill>
              <w14:schemeClr w14:val="tx1"/>
            </w14:solidFill>
          </w14:textFill>
        </w:rPr>
        <w:t>wa</w:t>
      </w:r>
      <w:r>
        <w:rPr>
          <w:rFonts w:ascii="Times New Roman" w:hAnsi="Times New Roman" w:cs="Times New Roman"/>
          <w:color w:val="000000" w:themeColor="text1"/>
          <w:sz w:val="24"/>
          <w14:textFill>
            <w14:solidFill>
              <w14:schemeClr w14:val="tx1"/>
            </w14:solidFill>
          </w14:textFill>
        </w:rPr>
        <w:t>s set to 450 eV.</w:t>
      </w:r>
    </w:p>
    <w:p w14:paraId="335B2820">
      <w:pPr>
        <w:adjustRightInd w:val="0"/>
        <w:snapToGrid w:val="0"/>
        <w:spacing w:beforeLines="0" w:afterLines="0" w:line="480" w:lineRule="auto"/>
        <w:ind w:firstLine="240" w:firstLineChars="10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The energy criterion </w:t>
      </w:r>
      <w:r>
        <w:rPr>
          <w:rFonts w:hint="eastAsia" w:ascii="Times New Roman" w:hAnsi="Times New Roman" w:cs="Times New Roman"/>
          <w:color w:val="000000" w:themeColor="text1"/>
          <w:sz w:val="24"/>
          <w14:textFill>
            <w14:solidFill>
              <w14:schemeClr w14:val="tx1"/>
            </w14:solidFill>
          </w14:textFill>
        </w:rPr>
        <w:t>wa</w:t>
      </w:r>
      <w:r>
        <w:rPr>
          <w:rFonts w:ascii="Times New Roman" w:hAnsi="Times New Roman" w:cs="Times New Roman"/>
          <w:color w:val="000000" w:themeColor="text1"/>
          <w:sz w:val="24"/>
          <w14:textFill>
            <w14:solidFill>
              <w14:schemeClr w14:val="tx1"/>
            </w14:solidFill>
          </w14:textFill>
        </w:rPr>
        <w:t>s set to 10</w:t>
      </w:r>
      <w:r>
        <w:rPr>
          <w:rFonts w:hint="eastAsia" w:ascii="Times New Roman" w:hAnsi="Times New Roman" w:cs="Times New Roman"/>
          <w:color w:val="000000" w:themeColor="text1"/>
          <w:sz w:val="24"/>
          <w:vertAlign w:val="superscript"/>
          <w14:textFill>
            <w14:solidFill>
              <w14:schemeClr w14:val="tx1"/>
            </w14:solidFill>
          </w14:textFill>
        </w:rPr>
        <w:t>-</w:t>
      </w:r>
      <w:r>
        <w:rPr>
          <w:rFonts w:ascii="Times New Roman" w:hAnsi="Times New Roman" w:cs="Times New Roman"/>
          <w:color w:val="000000" w:themeColor="text1"/>
          <w:sz w:val="24"/>
          <w:vertAlign w:val="superscript"/>
          <w14:textFill>
            <w14:solidFill>
              <w14:schemeClr w14:val="tx1"/>
            </w14:solidFill>
          </w14:textFill>
        </w:rPr>
        <w:t>5</w:t>
      </w:r>
      <w:r>
        <w:rPr>
          <w:rFonts w:ascii="Times New Roman" w:hAnsi="Times New Roman" w:cs="Times New Roman"/>
          <w:color w:val="000000" w:themeColor="text1"/>
          <w:sz w:val="24"/>
          <w14:textFill>
            <w14:solidFill>
              <w14:schemeClr w14:val="tx1"/>
            </w14:solidFill>
          </w14:textFill>
        </w:rPr>
        <w:t xml:space="preserve"> eV in iterative solution of the Kohn-Sham equation. A vacuum layer of 15 Å is added perpendicular to the </w:t>
      </w:r>
      <w:r>
        <w:rPr>
          <w:rFonts w:hint="eastAsia" w:ascii="Times New Roman" w:hAnsi="Times New Roman" w:cs="Times New Roman"/>
          <w:color w:val="000000" w:themeColor="text1"/>
          <w:sz w:val="24"/>
          <w14:textFill>
            <w14:solidFill>
              <w14:schemeClr w14:val="tx1"/>
            </w14:solidFill>
          </w14:textFill>
        </w:rPr>
        <w:t>slab</w:t>
      </w:r>
      <w:r>
        <w:rPr>
          <w:rFonts w:ascii="Times New Roman" w:hAnsi="Times New Roman" w:cs="Times New Roman"/>
          <w:color w:val="000000" w:themeColor="text1"/>
          <w:sz w:val="24"/>
          <w14:textFill>
            <w14:solidFill>
              <w14:schemeClr w14:val="tx1"/>
            </w14:solidFill>
          </w14:textFill>
        </w:rPr>
        <w:t xml:space="preserve"> to avoid artificial interaction between periodic images. The Brillouin zone integration is performed using a 2x2x1 Monkhorst</w:t>
      </w:r>
      <w:r>
        <w:rPr>
          <w:rFonts w:hint="eastAsia" w:ascii="Times New Roman" w:hAnsi="Times New Roman" w:cs="Times New Roman"/>
          <w:color w:val="000000" w:themeColor="text1"/>
          <w:sz w:val="24"/>
          <w14:textFill>
            <w14:solidFill>
              <w14:schemeClr w14:val="tx1"/>
            </w14:solidFill>
          </w14:textFill>
        </w:rPr>
        <w:t>-</w:t>
      </w:r>
      <w:r>
        <w:rPr>
          <w:rFonts w:ascii="Times New Roman" w:hAnsi="Times New Roman" w:cs="Times New Roman"/>
          <w:color w:val="000000" w:themeColor="text1"/>
          <w:sz w:val="24"/>
          <w14:textFill>
            <w14:solidFill>
              <w14:schemeClr w14:val="tx1"/>
            </w14:solidFill>
          </w14:textFill>
        </w:rPr>
        <w:t xml:space="preserve">Pack k-point mesh. All the structures </w:t>
      </w:r>
      <w:r>
        <w:rPr>
          <w:rFonts w:hint="eastAsia" w:ascii="Times New Roman" w:hAnsi="Times New Roman" w:cs="Times New Roman"/>
          <w:color w:val="000000" w:themeColor="text1"/>
          <w:sz w:val="24"/>
          <w14:textFill>
            <w14:solidFill>
              <w14:schemeClr w14:val="tx1"/>
            </w14:solidFill>
          </w14:textFill>
        </w:rPr>
        <w:t>were</w:t>
      </w:r>
      <w:r>
        <w:rPr>
          <w:rFonts w:ascii="Times New Roman" w:hAnsi="Times New Roman" w:cs="Times New Roman"/>
          <w:color w:val="000000" w:themeColor="text1"/>
          <w:sz w:val="24"/>
          <w14:textFill>
            <w14:solidFill>
              <w14:schemeClr w14:val="tx1"/>
            </w14:solidFill>
          </w14:textFill>
        </w:rPr>
        <w:t xml:space="preserve"> relaxed until the residual forces on each atom was less than 0.03 eV/Å.</w:t>
      </w:r>
      <w:r>
        <w:rPr>
          <w:rFonts w:hint="eastAsia" w:ascii="Times New Roman" w:hAnsi="Times New Roman" w:cs="Times New Roman"/>
          <w:color w:val="000000" w:themeColor="text1"/>
          <w:sz w:val="24"/>
          <w14:textFill>
            <w14:solidFill>
              <w14:schemeClr w14:val="tx1"/>
            </w14:solidFill>
          </w14:textFill>
        </w:rPr>
        <w:t xml:space="preserve"> The differential charge density was obtained using the VASPKIT package and visualized with VESTA</w:t>
      </w:r>
      <w:r>
        <w:rPr>
          <w:rFonts w:ascii="Times New Roman" w:hAnsi="Times New Roman" w:cs="Times New Roman"/>
          <w:color w:val="000000" w:themeColor="text1"/>
          <w:sz w:val="24"/>
          <w14:textFill>
            <w14:solidFill>
              <w14:schemeClr w14:val="tx1"/>
            </w14:solidFill>
          </w14:textFill>
        </w:rPr>
        <w:fldChar w:fldCharType="begin"/>
      </w:r>
      <w:r>
        <w:rPr>
          <w:rFonts w:ascii="Times New Roman" w:hAnsi="Times New Roman" w:cs="Times New Roman"/>
          <w:color w:val="000000" w:themeColor="text1"/>
          <w:sz w:val="24"/>
          <w14:textFill>
            <w14:solidFill>
              <w14:schemeClr w14:val="tx1"/>
            </w14:solidFill>
          </w14:textFill>
        </w:rPr>
        <w:instrText xml:space="preserve"> ADDIN EN.CITE &lt;EndNote&gt;&lt;Cite&gt;&lt;Author&gt;Wang&lt;/Author&gt;&lt;Year&gt;2021&lt;/Year&gt;&lt;RecNum&gt;2077&lt;/RecNum&gt;&lt;DisplayText&gt;&lt;style face="superscript"&gt;6, 7&lt;/style&gt;&lt;/DisplayText&gt;&lt;record&gt;&lt;rec-number&gt;2077&lt;/rec-number&gt;&lt;foreign-keys&gt;&lt;key app="EN" db-id="s9p9pveacwpfayepzzqx9w5v52drd9w0d9f2" timestamp="1777511572"&gt;2077&lt;/key&gt;&lt;/foreign-keys&gt;&lt;ref-type name="Journal Article"&gt;17&lt;/ref-type&gt;&lt;contributors&gt;&lt;authors&gt;&lt;author&gt;Wang, Vei&lt;/author&gt;&lt;author&gt;Xu, Nan&lt;/author&gt;&lt;author&gt;Liu, Jin Cheng&lt;/author&gt;&lt;author&gt;Tang, Gang&lt;/author&gt;&lt;author&gt;Geng, Wen Tong&lt;/author&gt;&lt;/authors&gt;&lt;/contributors&gt;&lt;titles&gt;&lt;title&gt;VASPKIT: A user-friendly interface facilitating high-throughput computing and analysis using VASP code&lt;/title&gt;&lt;secondary-title&gt;Computer Physics Communications&lt;/secondary-title&gt;&lt;/titles&gt;&lt;periodical&gt;&lt;full-title&gt;Computer Physics Communications&lt;/full-title&gt;&lt;/periodical&gt;&lt;pages&gt;108033&lt;/pages&gt;&lt;dates&gt;&lt;year&gt;2021&lt;/year&gt;&lt;/dates&gt;&lt;urls&gt;&lt;/urls&gt;&lt;/record&gt;&lt;/Cite&gt;&lt;Cite&gt;&lt;Author&gt;Momma&lt;/Author&gt;&lt;Year&gt;2011&lt;/Year&gt;&lt;RecNum&gt;2078&lt;/RecNum&gt;&lt;record&gt;&lt;rec-number&gt;2078&lt;/rec-number&gt;&lt;foreign-keys&gt;&lt;key app="EN" db-id="s9p9pveacwpfayepzzqx9w5v52drd9w0d9f2" timestamp="1777511572"&gt;2078&lt;/key&gt;&lt;/foreign-keys&gt;&lt;ref-type name="Journal Article"&gt;17&lt;/ref-type&gt;&lt;contributors&gt;&lt;authors&gt;&lt;author&gt;Momma, Koichi&lt;/author&gt;&lt;author&gt;Izumi, Fujio&lt;/author&gt;&lt;/authors&gt;&lt;/con</w:instrText>
      </w:r>
      <w:r>
        <w:rPr>
          <w:rFonts w:hint="eastAsia" w:ascii="Times New Roman" w:hAnsi="Times New Roman" w:cs="Times New Roman"/>
          <w:color w:val="000000" w:themeColor="text1"/>
          <w:sz w:val="24"/>
          <w14:textFill>
            <w14:solidFill>
              <w14:schemeClr w14:val="tx1"/>
            </w14:solidFill>
          </w14:textFill>
        </w:rPr>
        <w:instrText xml:space="preserve">tributors&gt;&lt;titles&gt;&lt;title&gt;VESTA3 for three‐dimensional visualization of crystal, volumetric and morphology data&lt;/title&gt;&lt;secondary-title&gt;Journal of Applied Crystallography&lt;/secondary-title&gt;&lt;/titles&gt;&lt;periodical&gt;&lt;full-title&gt;Journal of Applied Crystallography&lt;</w:instrText>
      </w:r>
      <w:r>
        <w:rPr>
          <w:rFonts w:ascii="Times New Roman" w:hAnsi="Times New Roman" w:cs="Times New Roman"/>
          <w:color w:val="000000" w:themeColor="text1"/>
          <w:sz w:val="24"/>
          <w14:textFill>
            <w14:solidFill>
              <w14:schemeClr w14:val="tx1"/>
            </w14:solidFill>
          </w14:textFill>
        </w:rPr>
        <w:instrText xml:space="preserve">/full-title&gt;&lt;/periodical&gt;&lt;volume&gt;44&lt;/volume&gt;&lt;dates&gt;&lt;year&gt;2011&lt;/year&gt;&lt;/dates&gt;&lt;urls&gt;&lt;/urls&gt;&lt;/record&gt;&lt;/Cite&gt;&lt;/EndNote&gt;</w:instrText>
      </w:r>
      <w:r>
        <w:rPr>
          <w:rFonts w:ascii="Times New Roman" w:hAnsi="Times New Roman" w:cs="Times New Roman"/>
          <w:color w:val="000000" w:themeColor="text1"/>
          <w:sz w:val="24"/>
          <w14:textFill>
            <w14:solidFill>
              <w14:schemeClr w14:val="tx1"/>
            </w14:solidFill>
          </w14:textFill>
        </w:rPr>
        <w:fldChar w:fldCharType="separate"/>
      </w:r>
      <w:r>
        <w:rPr>
          <w:rFonts w:ascii="Times New Roman" w:hAnsi="Times New Roman" w:cs="Times New Roman"/>
          <w:color w:val="000000" w:themeColor="text1"/>
          <w:sz w:val="24"/>
          <w:vertAlign w:val="superscript"/>
          <w14:textFill>
            <w14:solidFill>
              <w14:schemeClr w14:val="tx1"/>
            </w14:solidFill>
          </w14:textFill>
        </w:rPr>
        <w:t>6, 7</w:t>
      </w:r>
      <w:r>
        <w:rPr>
          <w:rFonts w:ascii="Times New Roman" w:hAnsi="Times New Roman" w:cs="Times New Roman"/>
          <w:color w:val="000000" w:themeColor="text1"/>
          <w:sz w:val="24"/>
          <w14:textFill>
            <w14:solidFill>
              <w14:schemeClr w14:val="tx1"/>
            </w14:solidFill>
          </w14:textFill>
        </w:rPr>
        <w:fldChar w:fldCharType="end"/>
      </w:r>
      <w:r>
        <w:rPr>
          <w:rFonts w:hint="eastAsia" w:ascii="Times New Roman" w:hAnsi="Times New Roman" w:cs="Times New Roman"/>
          <w:color w:val="000000" w:themeColor="text1"/>
          <w:sz w:val="24"/>
          <w14:textFill>
            <w14:solidFill>
              <w14:schemeClr w14:val="tx1"/>
            </w14:solidFill>
          </w14:textFill>
        </w:rPr>
        <w:t>.</w:t>
      </w:r>
    </w:p>
    <w:bookmarkEnd w:id="21"/>
    <w:p w14:paraId="55970CC7">
      <w:pPr>
        <w:widowControl/>
        <w:adjustRightInd w:val="0"/>
        <w:snapToGrid w:val="0"/>
        <w:spacing w:beforeLines="0" w:afterLines="0" w:line="480" w:lineRule="auto"/>
        <w:jc w:val="left"/>
        <w:rPr>
          <w:rFonts w:ascii="Times New Roman" w:hAnsi="Times New Roman" w:cs="Times New Roman"/>
          <w:b/>
          <w:bCs/>
          <w:sz w:val="28"/>
          <w:szCs w:val="32"/>
        </w:rPr>
      </w:pPr>
      <w:r>
        <w:rPr>
          <w:rFonts w:ascii="Times New Roman" w:hAnsi="Times New Roman" w:cs="Times New Roman"/>
          <w:b/>
          <w:bCs/>
          <w:sz w:val="28"/>
          <w:szCs w:val="32"/>
        </w:rPr>
        <w:br w:type="page"/>
      </w:r>
    </w:p>
    <w:p w14:paraId="024BEAEA">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4471670" cy="1818005"/>
            <wp:effectExtent l="0" t="0" r="5080" b="0"/>
            <wp:docPr id="4274710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471045" name="图片 15"/>
                    <pic:cNvPicPr>
                      <a:picLocks noChangeAspect="1"/>
                    </pic:cNvPicPr>
                  </pic:nvPicPr>
                  <pic:blipFill>
                    <a:blip r:embed="rId6"/>
                    <a:stretch>
                      <a:fillRect/>
                    </a:stretch>
                  </pic:blipFill>
                  <pic:spPr>
                    <a:xfrm>
                      <a:off x="0" y="0"/>
                      <a:ext cx="4487699" cy="1824713"/>
                    </a:xfrm>
                    <a:prstGeom prst="rect">
                      <a:avLst/>
                    </a:prstGeom>
                  </pic:spPr>
                </pic:pic>
              </a:graphicData>
            </a:graphic>
          </wp:inline>
        </w:drawing>
      </w:r>
    </w:p>
    <w:p w14:paraId="357FD146">
      <w:pPr>
        <w:pStyle w:val="39"/>
        <w:adjustRightInd w:val="0"/>
        <w:snapToGrid w:val="0"/>
        <w:spacing w:before="0" w:beforeLines="0" w:after="0" w:afterLines="0" w:line="480" w:lineRule="auto"/>
        <w:rPr>
          <w:rFonts w:eastAsiaTheme="minorEastAsia"/>
          <w:color w:val="000000" w:themeColor="text1"/>
          <w14:textFill>
            <w14:solidFill>
              <w14:schemeClr w14:val="tx1"/>
            </w14:solidFill>
          </w14:textFill>
        </w:rPr>
      </w:pPr>
      <w:bookmarkStart w:id="28" w:name="_Toc229846945"/>
      <w:r>
        <w:rPr>
          <w:b/>
          <w:bCs/>
        </w:rPr>
        <w:t xml:space="preserve">Supplementary Fig. </w:t>
      </w:r>
      <w:r>
        <w:rPr>
          <w:rFonts w:eastAsiaTheme="minorEastAsia"/>
          <w:b/>
          <w:bCs/>
        </w:rPr>
        <w:t>1</w:t>
      </w:r>
      <w:r>
        <w:rPr>
          <w:b/>
          <w:bCs/>
        </w:rPr>
        <w:t xml:space="preserve">. X-ray diffraction </w:t>
      </w:r>
      <w:r>
        <w:rPr>
          <w:rFonts w:eastAsiaTheme="minorEastAsia"/>
          <w:b/>
          <w:bCs/>
        </w:rPr>
        <w:t xml:space="preserve">(XRD) </w:t>
      </w:r>
      <w:r>
        <w:rPr>
          <w:b/>
          <w:bCs/>
        </w:rPr>
        <w:t>analysis of MoO</w:t>
      </w:r>
      <w:r>
        <w:rPr>
          <w:b/>
          <w:bCs/>
          <w:vertAlign w:val="subscript"/>
        </w:rPr>
        <w:t>x</w:t>
      </w:r>
      <w:r>
        <w:rPr>
          <w:b/>
          <w:bCs/>
        </w:rPr>
        <w:t xml:space="preserve"> samples.</w:t>
      </w:r>
      <w:bookmarkEnd w:id="28"/>
    </w:p>
    <w:p w14:paraId="45D630BC">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(a) Refined XRD patterns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and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-2. (b) XRD patterns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-0/2/5/10/15.</w:t>
      </w:r>
    </w:p>
    <w:p w14:paraId="273A1942">
      <w:pPr>
        <w:adjustRightInd w:val="0"/>
        <w:snapToGrid w:val="0"/>
        <w:spacing w:beforeLines="0" w:afterLines="0" w:line="480" w:lineRule="auto"/>
        <w:ind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Refined XRD patterns of MoO</w:t>
      </w:r>
      <w:r>
        <w:rPr>
          <w:rFonts w:ascii="Times New Roman" w:hAnsi="Times New Roman" w:cs="Times New Roman"/>
          <w:color w:val="000000" w:themeColor="text1"/>
          <w:sz w:val="24"/>
          <w:szCs w:val="24"/>
          <w:vertAlign w:val="subscript"/>
          <w14:textFill>
            <w14:solidFill>
              <w14:schemeClr w14:val="tx1"/>
            </w14:solidFill>
          </w14:textFill>
        </w:rPr>
        <w:t>x</w:t>
      </w:r>
      <w:r>
        <w:rPr>
          <w:rFonts w:ascii="Times New Roman" w:hAnsi="Times New Roman" w:cs="Times New Roman"/>
          <w:color w:val="000000" w:themeColor="text1"/>
          <w:sz w:val="24"/>
          <w:szCs w:val="24"/>
          <w14:textFill>
            <w14:solidFill>
              <w14:schemeClr w14:val="tx1"/>
            </w14:solidFill>
          </w14:textFill>
        </w:rPr>
        <w:t>-0 and MoO</w:t>
      </w:r>
      <w:r>
        <w:rPr>
          <w:rFonts w:ascii="Times New Roman" w:hAnsi="Times New Roman" w:cs="Times New Roman"/>
          <w:color w:val="000000" w:themeColor="text1"/>
          <w:sz w:val="24"/>
          <w:szCs w:val="24"/>
          <w:vertAlign w:val="subscript"/>
          <w14:textFill>
            <w14:solidFill>
              <w14:schemeClr w14:val="tx1"/>
            </w14:solidFill>
          </w14:textFill>
        </w:rPr>
        <w:t>x</w:t>
      </w:r>
      <w:r>
        <w:rPr>
          <w:rFonts w:ascii="Times New Roman" w:hAnsi="Times New Roman" w:cs="Times New Roman"/>
          <w:color w:val="000000" w:themeColor="text1"/>
          <w:sz w:val="24"/>
          <w:szCs w:val="24"/>
          <w14:textFill>
            <w14:solidFill>
              <w14:schemeClr w14:val="tx1"/>
            </w14:solidFill>
          </w14:textFill>
        </w:rPr>
        <w:t>-2 can be well fitted using the orthorhombic α-MoO</w:t>
      </w:r>
      <w:r>
        <w:rPr>
          <w:rFonts w:ascii="Times New Roman" w:hAnsi="Times New Roman" w:cs="Times New Roman"/>
          <w:color w:val="000000" w:themeColor="text1"/>
          <w:sz w:val="24"/>
          <w:szCs w:val="24"/>
          <w:vertAlign w:val="subscript"/>
          <w14:textFill>
            <w14:solidFill>
              <w14:schemeClr w14:val="tx1"/>
            </w14:solidFill>
          </w14:textFill>
        </w:rPr>
        <w:t>3</w:t>
      </w:r>
      <w:r>
        <w:rPr>
          <w:rFonts w:ascii="Times New Roman" w:hAnsi="Times New Roman" w:cs="Times New Roman"/>
          <w:color w:val="000000" w:themeColor="text1"/>
          <w:sz w:val="24"/>
          <w:szCs w:val="24"/>
          <w14:textFill>
            <w14:solidFill>
              <w14:schemeClr w14:val="tx1"/>
            </w14:solidFill>
          </w14:textFill>
        </w:rPr>
        <w:t xml:space="preserve"> structural model, as indicated by the close agreement between the experimental and calculated profiles and the small residual difference curves. The refined values of GOF, Rₚ, and R</w:t>
      </w:r>
      <w:r>
        <w:rPr>
          <w:rFonts w:ascii="Times New Roman" w:hAnsi="Times New Roman" w:cs="Times New Roman"/>
          <w:color w:val="000000" w:themeColor="text1"/>
          <w:sz w:val="24"/>
          <w:szCs w:val="24"/>
          <w:vertAlign w:val="subscript"/>
          <w14:textFill>
            <w14:solidFill>
              <w14:schemeClr w14:val="tx1"/>
            </w14:solidFill>
          </w14:textFill>
        </w:rPr>
        <w:t>wp</w:t>
      </w:r>
      <w:r>
        <w:rPr>
          <w:rFonts w:ascii="Times New Roman" w:hAnsi="Times New Roman" w:cs="Times New Roman"/>
          <w:color w:val="000000" w:themeColor="text1"/>
          <w:sz w:val="24"/>
          <w:szCs w:val="24"/>
          <w14:textFill>
            <w14:solidFill>
              <w14:schemeClr w14:val="tx1"/>
            </w14:solidFill>
          </w14:textFill>
        </w:rPr>
        <w:t xml:space="preserve"> are within acceptable ranges, further supporting the reliability of the refinement. Across the full series, MoO</w:t>
      </w:r>
      <w:r>
        <w:rPr>
          <w:rFonts w:ascii="Times New Roman" w:hAnsi="Times New Roman" w:cs="Times New Roman"/>
          <w:color w:val="000000" w:themeColor="text1"/>
          <w:sz w:val="24"/>
          <w:szCs w:val="24"/>
          <w:vertAlign w:val="subscript"/>
          <w14:textFill>
            <w14:solidFill>
              <w14:schemeClr w14:val="tx1"/>
            </w14:solidFill>
          </w14:textFill>
        </w:rPr>
        <w:t>x</w:t>
      </w:r>
      <w:r>
        <w:rPr>
          <w:rFonts w:ascii="Times New Roman" w:hAnsi="Times New Roman" w:cs="Times New Roman"/>
          <w:color w:val="000000" w:themeColor="text1"/>
          <w:sz w:val="24"/>
          <w:szCs w:val="24"/>
          <w14:textFill>
            <w14:solidFill>
              <w14:schemeClr w14:val="tx1"/>
            </w14:solidFill>
          </w14:textFill>
        </w:rPr>
        <w:t>-0</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 xml:space="preserve"> MoO</w:t>
      </w:r>
      <w:r>
        <w:rPr>
          <w:rFonts w:ascii="Times New Roman" w:hAnsi="Times New Roman" w:cs="Times New Roman"/>
          <w:color w:val="000000" w:themeColor="text1"/>
          <w:sz w:val="24"/>
          <w:szCs w:val="24"/>
          <w:vertAlign w:val="subscript"/>
          <w14:textFill>
            <w14:solidFill>
              <w14:schemeClr w14:val="tx1"/>
            </w14:solidFill>
          </w14:textFill>
        </w:rPr>
        <w:t>x</w:t>
      </w:r>
      <w:r>
        <w:rPr>
          <w:rFonts w:ascii="Times New Roman" w:hAnsi="Times New Roman" w:cs="Times New Roman"/>
          <w:color w:val="000000" w:themeColor="text1"/>
          <w:sz w:val="24"/>
          <w:szCs w:val="24"/>
          <w14:textFill>
            <w14:solidFill>
              <w14:schemeClr w14:val="tx1"/>
            </w14:solidFill>
          </w14:textFill>
        </w:rPr>
        <w:t>-2, and MoO</w:t>
      </w:r>
      <w:r>
        <w:rPr>
          <w:rFonts w:ascii="Times New Roman" w:hAnsi="Times New Roman" w:cs="Times New Roman"/>
          <w:color w:val="000000" w:themeColor="text1"/>
          <w:sz w:val="24"/>
          <w:szCs w:val="24"/>
          <w:vertAlign w:val="subscript"/>
          <w14:textFill>
            <w14:solidFill>
              <w14:schemeClr w14:val="tx1"/>
            </w14:solidFill>
          </w14:textFill>
        </w:rPr>
        <w:t>x</w:t>
      </w:r>
      <w:r>
        <w:rPr>
          <w:rFonts w:ascii="Times New Roman" w:hAnsi="Times New Roman" w:cs="Times New Roman"/>
          <w:color w:val="000000" w:themeColor="text1"/>
          <w:sz w:val="24"/>
          <w:szCs w:val="24"/>
          <w14:textFill>
            <w14:solidFill>
              <w14:schemeClr w14:val="tx1"/>
            </w14:solidFill>
          </w14:textFill>
        </w:rPr>
        <w:t>-5 retain the same overall diffraction framework, whereas more substantial changes appear only in MoO</w:t>
      </w:r>
      <w:r>
        <w:rPr>
          <w:rFonts w:ascii="Times New Roman" w:hAnsi="Times New Roman" w:cs="Times New Roman"/>
          <w:color w:val="000000" w:themeColor="text1"/>
          <w:sz w:val="24"/>
          <w:szCs w:val="24"/>
          <w:vertAlign w:val="subscript"/>
          <w14:textFill>
            <w14:solidFill>
              <w14:schemeClr w14:val="tx1"/>
            </w14:solidFill>
          </w14:textFill>
        </w:rPr>
        <w:t>x</w:t>
      </w:r>
      <w:r>
        <w:rPr>
          <w:rFonts w:ascii="Times New Roman" w:hAnsi="Times New Roman" w:cs="Times New Roman"/>
          <w:color w:val="000000" w:themeColor="text1"/>
          <w:sz w:val="24"/>
          <w:szCs w:val="24"/>
          <w14:textFill>
            <w14:solidFill>
              <w14:schemeClr w14:val="tx1"/>
            </w14:solidFill>
          </w14:textFill>
        </w:rPr>
        <w:t>-10 and MoO</w:t>
      </w:r>
      <w:r>
        <w:rPr>
          <w:rFonts w:ascii="Times New Roman" w:hAnsi="Times New Roman" w:cs="Times New Roman"/>
          <w:color w:val="000000" w:themeColor="text1"/>
          <w:sz w:val="24"/>
          <w:szCs w:val="24"/>
          <w:vertAlign w:val="subscript"/>
          <w14:textFill>
            <w14:solidFill>
              <w14:schemeClr w14:val="tx1"/>
            </w14:solidFill>
          </w14:textFill>
        </w:rPr>
        <w:t>x</w:t>
      </w:r>
      <w:r>
        <w:rPr>
          <w:rFonts w:ascii="Times New Roman" w:hAnsi="Times New Roman" w:cs="Times New Roman"/>
          <w:color w:val="000000" w:themeColor="text1"/>
          <w:sz w:val="24"/>
          <w:szCs w:val="24"/>
          <w14:textFill>
            <w14:solidFill>
              <w14:schemeClr w14:val="tx1"/>
            </w14:solidFill>
          </w14:textFill>
        </w:rPr>
        <w:t>-15. These data indicate that moderate reduction introduces oxygen deficiency within an α-MoO</w:t>
      </w:r>
      <w:r>
        <w:rPr>
          <w:rFonts w:ascii="Times New Roman" w:hAnsi="Times New Roman" w:cs="Times New Roman"/>
          <w:color w:val="000000" w:themeColor="text1"/>
          <w:sz w:val="24"/>
          <w:szCs w:val="24"/>
          <w:vertAlign w:val="subscript"/>
          <w14:textFill>
            <w14:solidFill>
              <w14:schemeClr w14:val="tx1"/>
            </w14:solidFill>
          </w14:textFill>
        </w:rPr>
        <w:t>3</w:t>
      </w:r>
      <w:r>
        <w:rPr>
          <w:rFonts w:ascii="Times New Roman" w:hAnsi="Times New Roman" w:cs="Times New Roman"/>
          <w:color w:val="000000" w:themeColor="text1"/>
          <w:sz w:val="24"/>
          <w:szCs w:val="24"/>
          <w14:textFill>
            <w14:solidFill>
              <w14:schemeClr w14:val="tx1"/>
            </w14:solidFill>
          </w14:textFill>
        </w:rPr>
        <w:t>-derived lattice before more pronounced bulk structural reorganization occurs at higher reduction degree</w:t>
      </w:r>
      <w:r>
        <w:rPr>
          <w:rFonts w:ascii="Times New Roman" w:hAnsi="Times New Roman" w:cs="Times New Roman"/>
          <w:color w:val="000000" w:themeColor="text1"/>
          <w:sz w:val="24"/>
          <w14:textFill>
            <w14:solidFill>
              <w14:schemeClr w14:val="tx1"/>
            </w14:solidFill>
          </w14:textFill>
        </w:rPr>
        <w:t>.</w:t>
      </w:r>
    </w:p>
    <w:p w14:paraId="51DCCC82">
      <w:pPr>
        <w:adjustRightInd/>
        <w:snapToGrid/>
        <w:ind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br w:type="page"/>
      </w:r>
    </w:p>
    <w:p w14:paraId="391EF018">
      <w:pPr>
        <w:adjustRightInd w:val="0"/>
        <w:snapToGrid w:val="0"/>
        <w:spacing w:beforeLines="0" w:afterLines="0" w:line="480" w:lineRule="auto"/>
        <w:ind w:firstLine="240" w:firstLineChars="100"/>
        <w:rPr>
          <w:rFonts w:ascii="Times New Roman" w:hAnsi="Times New Roman" w:cs="Times New Roman"/>
          <w:color w:val="000000" w:themeColor="text1"/>
          <w:sz w:val="24"/>
          <w14:textFill>
            <w14:solidFill>
              <w14:schemeClr w14:val="tx1"/>
            </w14:solidFill>
          </w14:textFill>
        </w:rPr>
      </w:pPr>
    </w:p>
    <w:p w14:paraId="2BCC6021">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p>
    <w:p w14:paraId="0C0EACD8">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rPr>
        <w:drawing>
          <wp:inline distT="0" distB="0" distL="0" distR="0">
            <wp:extent cx="2461260" cy="1834515"/>
            <wp:effectExtent l="0" t="0" r="0" b="0"/>
            <wp:docPr id="12790558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055862" name="图片 1"/>
                    <pic:cNvPicPr>
                      <a:picLocks noChangeAspect="1"/>
                    </pic:cNvPicPr>
                  </pic:nvPicPr>
                  <pic:blipFill>
                    <a:blip r:embed="rId7"/>
                    <a:stretch>
                      <a:fillRect/>
                    </a:stretch>
                  </pic:blipFill>
                  <pic:spPr>
                    <a:xfrm>
                      <a:off x="0" y="0"/>
                      <a:ext cx="2484422" cy="1851893"/>
                    </a:xfrm>
                    <a:prstGeom prst="rect">
                      <a:avLst/>
                    </a:prstGeom>
                  </pic:spPr>
                </pic:pic>
              </a:graphicData>
            </a:graphic>
          </wp:inline>
        </w:drawing>
      </w:r>
    </w:p>
    <w:p w14:paraId="559BD955">
      <w:pPr>
        <w:pStyle w:val="39"/>
        <w:adjustRightInd w:val="0"/>
        <w:snapToGrid w:val="0"/>
        <w:spacing w:before="0" w:beforeLines="0" w:after="0" w:afterLines="0" w:line="480" w:lineRule="auto"/>
        <w:rPr>
          <w:rFonts w:eastAsiaTheme="minorEastAsia"/>
          <w:b/>
          <w:bCs/>
        </w:rPr>
      </w:pPr>
      <w:bookmarkStart w:id="29" w:name="_Toc229846946"/>
      <w:r>
        <w:rPr>
          <w:b/>
          <w:bCs/>
        </w:rPr>
        <w:t xml:space="preserve">Supplementary Fig. </w:t>
      </w:r>
      <w:r>
        <w:rPr>
          <w:rFonts w:eastAsiaTheme="minorEastAsia"/>
          <w:b/>
          <w:bCs/>
        </w:rPr>
        <w:t>2</w:t>
      </w:r>
      <w:r>
        <w:rPr>
          <w:b/>
          <w:bCs/>
        </w:rPr>
        <w:t>. Raman spectra of MoO</w:t>
      </w:r>
      <w:r>
        <w:rPr>
          <w:b/>
          <w:bCs/>
          <w:vertAlign w:val="subscript"/>
        </w:rPr>
        <w:t>x</w:t>
      </w:r>
      <w:r>
        <w:rPr>
          <w:b/>
          <w:bCs/>
        </w:rPr>
        <w:t>-0/2/5/10/15.</w:t>
      </w:r>
      <w:bookmarkEnd w:id="29"/>
    </w:p>
    <w:p w14:paraId="10143037">
      <w:pPr>
        <w:adjustRightInd w:val="0"/>
        <w:snapToGrid w:val="0"/>
        <w:spacing w:beforeLines="0" w:afterLines="0" w:line="480" w:lineRule="auto"/>
        <w:ind w:firstLine="0" w:firstLineChars="0"/>
        <w:rPr>
          <w:rFonts w:hint="eastAsia" w:ascii="Times New Roman" w:hAnsi="Times New Roman"/>
          <w:szCs w:val="24"/>
        </w:rPr>
      </w:pPr>
      <w:r>
        <w:rPr>
          <w:rFonts w:ascii="Times New Roman" w:hAnsi="Times New Roman" w:cs="Times New Roman"/>
          <w:sz w:val="24"/>
          <w:szCs w:val="24"/>
        </w:rPr>
        <w:t xml:space="preserve">Raman spectra of the </w:t>
      </w:r>
      <w:r>
        <w:rPr>
          <w:rFonts w:ascii="Times New Roman" w:hAnsi="Times New Roman" w:cs="Times New Roman"/>
          <w:color w:val="000000" w:themeColor="text1"/>
          <w:sz w:val="24"/>
          <w:szCs w:val="24"/>
          <w14:textFill>
            <w14:solidFill>
              <w14:schemeClr w14:val="tx1"/>
            </w14:solidFill>
          </w14:textFill>
        </w:rPr>
        <w:t>MoO</w:t>
      </w:r>
      <w:r>
        <w:rPr>
          <w:rFonts w:ascii="Times New Roman" w:hAnsi="Times New Roman" w:cs="Times New Roman"/>
          <w:color w:val="000000" w:themeColor="text1"/>
          <w:sz w:val="24"/>
          <w:szCs w:val="24"/>
          <w:vertAlign w:val="subscript"/>
          <w14:textFill>
            <w14:solidFill>
              <w14:schemeClr w14:val="tx1"/>
            </w14:solidFill>
          </w14:textFill>
        </w:rPr>
        <w:t>x</w:t>
      </w:r>
      <w:r>
        <w:rPr>
          <w:rFonts w:ascii="Times New Roman" w:hAnsi="Times New Roman" w:cs="Times New Roman"/>
          <w:sz w:val="24"/>
          <w:szCs w:val="24"/>
        </w:rPr>
        <w:t xml:space="preserve"> series show progressive perturbation of the local Mo-O bonding environment during reduction. The α-MoO</w:t>
      </w:r>
      <w:r>
        <w:rPr>
          <w:rFonts w:ascii="Times New Roman" w:hAnsi="Times New Roman" w:cs="Times New Roman"/>
          <w:sz w:val="24"/>
          <w:szCs w:val="24"/>
          <w:vertAlign w:val="subscript"/>
        </w:rPr>
        <w:t>3</w:t>
      </w:r>
      <w:r>
        <w:rPr>
          <w:rFonts w:ascii="Times New Roman" w:hAnsi="Times New Roman" w:cs="Times New Roman"/>
          <w:sz w:val="24"/>
          <w:szCs w:val="24"/>
        </w:rPr>
        <w:t>-derived O-Mo-O (~820 cm</w:t>
      </w:r>
      <w:r>
        <w:rPr>
          <w:rFonts w:ascii="Times New Roman" w:hAnsi="Times New Roman" w:cs="Times New Roman"/>
          <w:sz w:val="24"/>
          <w:szCs w:val="24"/>
          <w:vertAlign w:val="superscript"/>
        </w:rPr>
        <w:t>-1</w:t>
      </w:r>
      <w:r>
        <w:rPr>
          <w:rFonts w:ascii="Times New Roman" w:hAnsi="Times New Roman" w:cs="Times New Roman"/>
          <w:sz w:val="24"/>
          <w:szCs w:val="24"/>
        </w:rPr>
        <w:t>) and terminal Mo=O (~995 cm</w:t>
      </w:r>
      <w:r>
        <w:rPr>
          <w:rFonts w:ascii="Times New Roman" w:hAnsi="Times New Roman" w:cs="Times New Roman"/>
          <w:sz w:val="24"/>
          <w:szCs w:val="24"/>
          <w:vertAlign w:val="superscript"/>
        </w:rPr>
        <w:t>-1</w:t>
      </w:r>
      <w:r>
        <w:rPr>
          <w:rFonts w:ascii="Times New Roman" w:hAnsi="Times New Roman" w:cs="Times New Roman"/>
          <w:sz w:val="24"/>
          <w:szCs w:val="24"/>
        </w:rPr>
        <w:t>) modes remain observable across the series, but both bands become progressively broader and less well defined from MoO</w:t>
      </w:r>
      <w:r>
        <w:rPr>
          <w:rFonts w:ascii="Times New Roman" w:hAnsi="Times New Roman" w:cs="Times New Roman"/>
          <w:sz w:val="24"/>
          <w:szCs w:val="24"/>
          <w:vertAlign w:val="subscript"/>
        </w:rPr>
        <w:t>x</w:t>
      </w:r>
      <w:r>
        <w:rPr>
          <w:rFonts w:ascii="Times New Roman" w:hAnsi="Times New Roman" w:cs="Times New Roman"/>
          <w:sz w:val="24"/>
          <w:szCs w:val="24"/>
        </w:rPr>
        <w:t>-0 to MoO</w:t>
      </w:r>
      <w:r>
        <w:rPr>
          <w:rFonts w:ascii="Times New Roman" w:hAnsi="Times New Roman" w:cs="Times New Roman"/>
          <w:sz w:val="24"/>
          <w:szCs w:val="24"/>
          <w:vertAlign w:val="subscript"/>
        </w:rPr>
        <w:t>x</w:t>
      </w:r>
      <w:r>
        <w:rPr>
          <w:rFonts w:ascii="Times New Roman" w:hAnsi="Times New Roman" w:cs="Times New Roman"/>
          <w:sz w:val="24"/>
          <w:szCs w:val="24"/>
        </w:rPr>
        <w:t>-15 under identical acquisition conditions. Because absolute intensity can depend on local sampling conditions, the interpretation here is based mainly on band persistence and line-shape evolution rather than on peak height alone. These spectral changes indicate continuous distortion of both bridging-oxygen-related and terminal-oxygen-related motifs, with MoO</w:t>
      </w:r>
      <w:r>
        <w:rPr>
          <w:rFonts w:ascii="Times New Roman" w:hAnsi="Times New Roman" w:cs="Times New Roman"/>
          <w:sz w:val="24"/>
          <w:szCs w:val="24"/>
          <w:vertAlign w:val="subscript"/>
        </w:rPr>
        <w:t>x</w:t>
      </w:r>
      <w:r>
        <w:rPr>
          <w:rFonts w:ascii="Times New Roman" w:hAnsi="Times New Roman" w:cs="Times New Roman"/>
          <w:sz w:val="24"/>
          <w:szCs w:val="24"/>
        </w:rPr>
        <w:t>-5 already showing substantial local coordination perturbation relative to MoO</w:t>
      </w:r>
      <w:r>
        <w:rPr>
          <w:rFonts w:ascii="Times New Roman" w:hAnsi="Times New Roman" w:cs="Times New Roman"/>
          <w:sz w:val="24"/>
          <w:szCs w:val="24"/>
          <w:vertAlign w:val="subscript"/>
        </w:rPr>
        <w:t>x</w:t>
      </w:r>
      <w:r>
        <w:rPr>
          <w:rFonts w:ascii="Times New Roman" w:hAnsi="Times New Roman" w:cs="Times New Roman"/>
          <w:sz w:val="24"/>
          <w:szCs w:val="24"/>
        </w:rPr>
        <w:t>-0.</w:t>
      </w:r>
    </w:p>
    <w:p w14:paraId="2F128632">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4680585" cy="2553970"/>
            <wp:effectExtent l="0" t="0" r="5715" b="0"/>
            <wp:docPr id="89167396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673969" name="图片 27"/>
                    <pic:cNvPicPr>
                      <a:picLocks noChangeAspect="1"/>
                    </pic:cNvPicPr>
                  </pic:nvPicPr>
                  <pic:blipFill>
                    <a:blip r:embed="rId8"/>
                    <a:stretch>
                      <a:fillRect/>
                    </a:stretch>
                  </pic:blipFill>
                  <pic:spPr>
                    <a:xfrm>
                      <a:off x="0" y="0"/>
                      <a:ext cx="4721652" cy="2576875"/>
                    </a:xfrm>
                    <a:prstGeom prst="rect">
                      <a:avLst/>
                    </a:prstGeom>
                  </pic:spPr>
                </pic:pic>
              </a:graphicData>
            </a:graphic>
          </wp:inline>
        </w:drawing>
      </w:r>
    </w:p>
    <w:p w14:paraId="74B308D9">
      <w:pPr>
        <w:pStyle w:val="39"/>
        <w:adjustRightInd w:val="0"/>
        <w:snapToGrid w:val="0"/>
        <w:spacing w:before="0" w:beforeLines="0" w:after="0" w:afterLines="0" w:line="480" w:lineRule="auto"/>
        <w:rPr>
          <w:rFonts w:eastAsiaTheme="minorEastAsia"/>
          <w:b/>
          <w:bCs/>
        </w:rPr>
      </w:pPr>
      <w:bookmarkStart w:id="30" w:name="_Toc229846947"/>
      <w:r>
        <w:rPr>
          <w:b/>
          <w:bCs/>
        </w:rPr>
        <w:t xml:space="preserve">Supplementary Fig. </w:t>
      </w:r>
      <w:r>
        <w:rPr>
          <w:rFonts w:eastAsiaTheme="minorEastAsia"/>
          <w:b/>
          <w:bCs/>
        </w:rPr>
        <w:t>3</w:t>
      </w:r>
      <w:r>
        <w:rPr>
          <w:b/>
          <w:bCs/>
        </w:rPr>
        <w:t xml:space="preserve">. </w:t>
      </w:r>
      <w:r>
        <w:rPr>
          <w:rFonts w:eastAsiaTheme="minorEastAsia"/>
          <w:b/>
          <w:bCs/>
        </w:rPr>
        <w:t>D</w:t>
      </w:r>
      <w:r>
        <w:rPr>
          <w:b/>
          <w:bCs/>
        </w:rPr>
        <w:t>igital photographs and scanning electron microscopy (SEM) images of MoO</w:t>
      </w:r>
      <w:r>
        <w:rPr>
          <w:b/>
          <w:bCs/>
          <w:vertAlign w:val="subscript"/>
        </w:rPr>
        <w:t>x</w:t>
      </w:r>
      <w:r>
        <w:rPr>
          <w:b/>
          <w:bCs/>
        </w:rPr>
        <w:t>-0/2/5/10/15.</w:t>
      </w:r>
      <w:bookmarkEnd w:id="30"/>
      <w:r>
        <w:rPr>
          <w:color w:val="000000" w:themeColor="text1"/>
          <w14:textFill>
            <w14:solidFill>
              <w14:schemeClr w14:val="tx1"/>
            </w14:solidFill>
          </w14:textFill>
        </w:rPr>
        <w:t xml:space="preserve"> </w:t>
      </w:r>
    </w:p>
    <w:p w14:paraId="104068B9">
      <w:pPr>
        <w:adjustRightInd w:val="0"/>
        <w:snapToGrid w:val="0"/>
        <w:spacing w:beforeLines="0" w:afterLines="0" w:line="480" w:lineRule="auto"/>
        <w:rPr>
          <w:rFonts w:ascii="Times New Roman" w:hAnsi="Times New Roman" w:cs="Times New Roman"/>
        </w:rPr>
      </w:pPr>
      <w:r>
        <w:rPr>
          <w:rFonts w:ascii="Times New Roman" w:hAnsi="Times New Roman" w:cs="Times New Roman"/>
          <w:color w:val="000000" w:themeColor="text1"/>
          <w:sz w:val="24"/>
          <w:szCs w:val="24"/>
          <w14:textFill>
            <w14:solidFill>
              <w14:schemeClr w14:val="tx1"/>
            </w14:solidFill>
          </w14:textFill>
        </w:rPr>
        <w:t>(a) Digital photographs of MoO</w:t>
      </w:r>
      <w:r>
        <w:rPr>
          <w:rFonts w:ascii="Times New Roman" w:hAnsi="Times New Roman" w:cs="Times New Roman"/>
          <w:color w:val="000000" w:themeColor="text1"/>
          <w:sz w:val="24"/>
          <w:szCs w:val="24"/>
          <w:vertAlign w:val="subscript"/>
          <w14:textFill>
            <w14:solidFill>
              <w14:schemeClr w14:val="tx1"/>
            </w14:solidFill>
          </w14:textFill>
        </w:rPr>
        <w:t>x</w:t>
      </w:r>
      <w:r>
        <w:rPr>
          <w:rFonts w:ascii="Times New Roman" w:hAnsi="Times New Roman" w:cs="Times New Roman"/>
          <w:color w:val="000000" w:themeColor="text1"/>
          <w:sz w:val="24"/>
          <w:szCs w:val="24"/>
          <w14:textFill>
            <w14:solidFill>
              <w14:schemeClr w14:val="tx1"/>
            </w14:solidFill>
          </w14:textFill>
        </w:rPr>
        <w:t>-0/2/5/10/15 dispersed in aqueous solution. (b-f) Corresponding SEM images of MoO</w:t>
      </w:r>
      <w:r>
        <w:rPr>
          <w:rFonts w:ascii="Times New Roman" w:hAnsi="Times New Roman" w:cs="Times New Roman"/>
          <w:color w:val="000000" w:themeColor="text1"/>
          <w:sz w:val="24"/>
          <w:szCs w:val="24"/>
          <w:vertAlign w:val="subscript"/>
          <w14:textFill>
            <w14:solidFill>
              <w14:schemeClr w14:val="tx1"/>
            </w14:solidFill>
          </w14:textFill>
        </w:rPr>
        <w:t>x</w:t>
      </w:r>
      <w:r>
        <w:rPr>
          <w:rFonts w:ascii="Times New Roman" w:hAnsi="Times New Roman" w:cs="Times New Roman"/>
          <w:color w:val="000000" w:themeColor="text1"/>
          <w:sz w:val="24"/>
          <w:szCs w:val="24"/>
          <w14:textFill>
            <w14:solidFill>
              <w14:schemeClr w14:val="tx1"/>
            </w14:solidFill>
          </w14:textFill>
        </w:rPr>
        <w:t>-0/2/5/10/15.</w:t>
      </w:r>
    </w:p>
    <w:p w14:paraId="13676120">
      <w:pPr>
        <w:adjustRightInd w:val="0"/>
        <w:snapToGrid w:val="0"/>
        <w:spacing w:beforeLines="0" w:afterLines="0" w:line="480" w:lineRule="auto"/>
        <w:ind w:firstLine="240" w:firstLineChars="1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The dispersions gradually darken from MoO</w:t>
      </w:r>
      <w:r>
        <w:rPr>
          <w:rFonts w:ascii="Times New Roman" w:hAnsi="Times New Roman" w:cs="Times New Roman"/>
          <w:color w:val="000000" w:themeColor="text1"/>
          <w:sz w:val="24"/>
          <w:szCs w:val="24"/>
          <w:vertAlign w:val="subscript"/>
          <w14:textFill>
            <w14:solidFill>
              <w14:schemeClr w14:val="tx1"/>
            </w14:solidFill>
          </w14:textFill>
        </w:rPr>
        <w:t>x</w:t>
      </w:r>
      <w:r>
        <w:rPr>
          <w:rFonts w:ascii="Times New Roman" w:hAnsi="Times New Roman" w:cs="Times New Roman"/>
          <w:color w:val="000000" w:themeColor="text1"/>
          <w:sz w:val="24"/>
          <w:szCs w:val="24"/>
          <w14:textFill>
            <w14:solidFill>
              <w14:schemeClr w14:val="tx1"/>
            </w14:solidFill>
          </w14:textFill>
        </w:rPr>
        <w:t>-0 to MoO</w:t>
      </w:r>
      <w:r>
        <w:rPr>
          <w:rFonts w:ascii="Times New Roman" w:hAnsi="Times New Roman" w:cs="Times New Roman"/>
          <w:color w:val="000000" w:themeColor="text1"/>
          <w:sz w:val="24"/>
          <w:szCs w:val="24"/>
          <w:vertAlign w:val="subscript"/>
          <w14:textFill>
            <w14:solidFill>
              <w14:schemeClr w14:val="tx1"/>
            </w14:solidFill>
          </w14:textFill>
        </w:rPr>
        <w:t>x</w:t>
      </w:r>
      <w:r>
        <w:rPr>
          <w:rFonts w:ascii="Times New Roman" w:hAnsi="Times New Roman" w:cs="Times New Roman"/>
          <w:color w:val="000000" w:themeColor="text1"/>
          <w:sz w:val="24"/>
          <w:szCs w:val="24"/>
          <w14:textFill>
            <w14:solidFill>
              <w14:schemeClr w14:val="tx1"/>
            </w14:solidFill>
          </w14:textFill>
        </w:rPr>
        <w:t>-15, indicating continuous macroscopic changes during reduction. MoO</w:t>
      </w:r>
      <w:r>
        <w:rPr>
          <w:rFonts w:ascii="Times New Roman" w:hAnsi="Times New Roman" w:cs="Times New Roman"/>
          <w:color w:val="000000" w:themeColor="text1"/>
          <w:sz w:val="24"/>
          <w:szCs w:val="24"/>
          <w:vertAlign w:val="subscript"/>
          <w14:textFill>
            <w14:solidFill>
              <w14:schemeClr w14:val="tx1"/>
            </w14:solidFill>
          </w14:textFill>
        </w:rPr>
        <w:t>x</w:t>
      </w:r>
      <w:r>
        <w:rPr>
          <w:rFonts w:ascii="Times New Roman" w:hAnsi="Times New Roman" w:cs="Times New Roman"/>
          <w:color w:val="000000" w:themeColor="text1"/>
          <w:sz w:val="24"/>
          <w:szCs w:val="24"/>
          <w14:textFill>
            <w14:solidFill>
              <w14:schemeClr w14:val="tx1"/>
            </w14:solidFill>
          </w14:textFill>
        </w:rPr>
        <w:t>-0 is dominated by sheet-like nanostructures, whereas SEM images show that MoO</w:t>
      </w:r>
      <w:r>
        <w:rPr>
          <w:rFonts w:ascii="Times New Roman" w:hAnsi="Times New Roman" w:cs="Times New Roman"/>
          <w:color w:val="000000" w:themeColor="text1"/>
          <w:sz w:val="24"/>
          <w:szCs w:val="24"/>
          <w:vertAlign w:val="subscript"/>
          <w14:textFill>
            <w14:solidFill>
              <w14:schemeClr w14:val="tx1"/>
            </w14:solidFill>
          </w14:textFill>
        </w:rPr>
        <w:t>x</w:t>
      </w:r>
      <w:r>
        <w:rPr>
          <w:rFonts w:ascii="Times New Roman" w:hAnsi="Times New Roman" w:cs="Times New Roman"/>
          <w:color w:val="000000" w:themeColor="text1"/>
          <w:sz w:val="24"/>
          <w:szCs w:val="24"/>
          <w14:textFill>
            <w14:solidFill>
              <w14:schemeClr w14:val="tx1"/>
            </w14:solidFill>
          </w14:textFill>
        </w:rPr>
        <w:t>-2 and MoO</w:t>
      </w:r>
      <w:r>
        <w:rPr>
          <w:rFonts w:ascii="Times New Roman" w:hAnsi="Times New Roman" w:cs="Times New Roman"/>
          <w:color w:val="000000" w:themeColor="text1"/>
          <w:sz w:val="24"/>
          <w:szCs w:val="24"/>
          <w:vertAlign w:val="subscript"/>
          <w14:textFill>
            <w14:solidFill>
              <w14:schemeClr w14:val="tx1"/>
            </w14:solidFill>
          </w14:textFill>
        </w:rPr>
        <w:t>x</w:t>
      </w:r>
      <w:r>
        <w:rPr>
          <w:rFonts w:ascii="Times New Roman" w:hAnsi="Times New Roman" w:cs="Times New Roman"/>
          <w:color w:val="000000" w:themeColor="text1"/>
          <w:sz w:val="24"/>
          <w:szCs w:val="24"/>
          <w14:textFill>
            <w14:solidFill>
              <w14:schemeClr w14:val="tx1"/>
            </w14:solidFill>
          </w14:textFill>
        </w:rPr>
        <w:t>-5 evolve into flower-like nanosheet assemblies. Under stronger reduction, MoO</w:t>
      </w:r>
      <w:r>
        <w:rPr>
          <w:rFonts w:ascii="Times New Roman" w:hAnsi="Times New Roman" w:cs="Times New Roman"/>
          <w:color w:val="000000" w:themeColor="text1"/>
          <w:sz w:val="24"/>
          <w:szCs w:val="24"/>
          <w:vertAlign w:val="subscript"/>
          <w14:textFill>
            <w14:solidFill>
              <w14:schemeClr w14:val="tx1"/>
            </w14:solidFill>
          </w14:textFill>
        </w:rPr>
        <w:t>x</w:t>
      </w:r>
      <w:r>
        <w:rPr>
          <w:rFonts w:ascii="Times New Roman" w:hAnsi="Times New Roman" w:cs="Times New Roman"/>
          <w:color w:val="000000" w:themeColor="text1"/>
          <w:sz w:val="24"/>
          <w:szCs w:val="24"/>
          <w14:textFill>
            <w14:solidFill>
              <w14:schemeClr w14:val="tx1"/>
            </w14:solidFill>
          </w14:textFill>
        </w:rPr>
        <w:t>-10 becomes more strongly reconstructed and MoO</w:t>
      </w:r>
      <w:r>
        <w:rPr>
          <w:rFonts w:ascii="Times New Roman" w:hAnsi="Times New Roman" w:cs="Times New Roman"/>
          <w:color w:val="000000" w:themeColor="text1"/>
          <w:sz w:val="24"/>
          <w:szCs w:val="24"/>
          <w:vertAlign w:val="subscript"/>
          <w14:textFill>
            <w14:solidFill>
              <w14:schemeClr w14:val="tx1"/>
            </w14:solidFill>
          </w14:textFill>
        </w:rPr>
        <w:t>x</w:t>
      </w:r>
      <w:r>
        <w:rPr>
          <w:rFonts w:ascii="Times New Roman" w:hAnsi="Times New Roman" w:cs="Times New Roman"/>
          <w:color w:val="000000" w:themeColor="text1"/>
          <w:sz w:val="24"/>
          <w:szCs w:val="24"/>
          <w14:textFill>
            <w14:solidFill>
              <w14:schemeClr w14:val="tx1"/>
            </w14:solidFill>
          </w14:textFill>
        </w:rPr>
        <w:t>-15 develops a more aggregated particulate morphology. These results indicate that defect evolution is accompanied by progressive structural reorganization rather than by simple defect accumulation alone.</w:t>
      </w:r>
    </w:p>
    <w:p w14:paraId="73B191B1">
      <w:pPr>
        <w:adjustRightInd w:val="0"/>
        <w:snapToGrid w:val="0"/>
        <w:spacing w:beforeLines="0" w:afterLines="0" w:line="480" w:lineRule="auto"/>
        <w:jc w:val="center"/>
        <w:rPr>
          <w:rFonts w:ascii="Times New Roman" w:hAnsi="Times New Roman" w:cs="Times New Roman"/>
        </w:rPr>
      </w:pPr>
      <w:r>
        <w:rPr>
          <w:rFonts w:ascii="Times New Roman" w:hAnsi="Times New Roman" w:cs="Times New Roman"/>
        </w:rPr>
        <w:drawing>
          <wp:inline distT="0" distB="0" distL="0" distR="0">
            <wp:extent cx="3672205" cy="3172460"/>
            <wp:effectExtent l="0" t="0" r="4445" b="8890"/>
            <wp:docPr id="9778375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837544" name="图片 6"/>
                    <pic:cNvPicPr>
                      <a:picLocks noChangeAspect="1"/>
                    </pic:cNvPicPr>
                  </pic:nvPicPr>
                  <pic:blipFill>
                    <a:blip r:embed="rId9"/>
                    <a:stretch>
                      <a:fillRect/>
                    </a:stretch>
                  </pic:blipFill>
                  <pic:spPr>
                    <a:xfrm>
                      <a:off x="0" y="0"/>
                      <a:ext cx="3690521" cy="3188013"/>
                    </a:xfrm>
                    <a:prstGeom prst="rect">
                      <a:avLst/>
                    </a:prstGeom>
                  </pic:spPr>
                </pic:pic>
              </a:graphicData>
            </a:graphic>
          </wp:inline>
        </w:drawing>
      </w:r>
    </w:p>
    <w:p w14:paraId="40748747">
      <w:pPr>
        <w:pStyle w:val="39"/>
        <w:adjustRightInd w:val="0"/>
        <w:snapToGrid w:val="0"/>
        <w:spacing w:before="0" w:beforeLines="0" w:after="0" w:afterLines="0" w:line="480" w:lineRule="auto"/>
        <w:rPr>
          <w:rFonts w:eastAsiaTheme="minorEastAsia"/>
          <w:b/>
          <w:bCs/>
        </w:rPr>
      </w:pPr>
      <w:bookmarkStart w:id="31" w:name="_Toc229846948"/>
      <w:r>
        <w:rPr>
          <w:b/>
          <w:bCs/>
        </w:rPr>
        <w:t xml:space="preserve">Supplementary Fig. </w:t>
      </w:r>
      <w:r>
        <w:rPr>
          <w:rFonts w:eastAsiaTheme="minorEastAsia"/>
          <w:b/>
          <w:bCs/>
        </w:rPr>
        <w:t>4</w:t>
      </w:r>
      <w:r>
        <w:rPr>
          <w:b/>
          <w:bCs/>
        </w:rPr>
        <w:t>. High-</w:t>
      </w:r>
      <w:r>
        <w:rPr>
          <w:rFonts w:eastAsiaTheme="minorEastAsia"/>
          <w:b/>
          <w:bCs/>
        </w:rPr>
        <w:t>r</w:t>
      </w:r>
      <w:r>
        <w:rPr>
          <w:b/>
          <w:bCs/>
        </w:rPr>
        <w:t xml:space="preserve">esolution </w:t>
      </w:r>
      <w:r>
        <w:rPr>
          <w:rFonts w:eastAsiaTheme="minorEastAsia"/>
          <w:b/>
          <w:bCs/>
        </w:rPr>
        <w:t>t</w:t>
      </w:r>
      <w:r>
        <w:rPr>
          <w:b/>
          <w:bCs/>
        </w:rPr>
        <w:t xml:space="preserve">ransmission </w:t>
      </w:r>
      <w:r>
        <w:rPr>
          <w:rFonts w:eastAsiaTheme="minorEastAsia"/>
          <w:b/>
          <w:bCs/>
        </w:rPr>
        <w:t>e</w:t>
      </w:r>
      <w:r>
        <w:rPr>
          <w:b/>
          <w:bCs/>
        </w:rPr>
        <w:t xml:space="preserve">lectron </w:t>
      </w:r>
      <w:r>
        <w:rPr>
          <w:rFonts w:eastAsiaTheme="minorEastAsia"/>
          <w:b/>
          <w:bCs/>
        </w:rPr>
        <w:t>m</w:t>
      </w:r>
      <w:r>
        <w:rPr>
          <w:b/>
          <w:bCs/>
        </w:rPr>
        <w:t>icroscopy</w:t>
      </w:r>
      <w:r>
        <w:rPr>
          <w:rFonts w:eastAsiaTheme="minorEastAsia"/>
          <w:b/>
          <w:bCs/>
        </w:rPr>
        <w:t xml:space="preserve"> (HRTEM) and </w:t>
      </w:r>
      <w:r>
        <w:rPr>
          <w:b/>
          <w:bCs/>
        </w:rPr>
        <w:t>High-angle annular dark-field scanning transmission electron microscopy (HAADF-STEM) of MoO</w:t>
      </w:r>
      <w:r>
        <w:rPr>
          <w:b/>
          <w:bCs/>
          <w:vertAlign w:val="subscript"/>
        </w:rPr>
        <w:t>x</w:t>
      </w:r>
      <w:r>
        <w:rPr>
          <w:b/>
          <w:bCs/>
        </w:rPr>
        <w:t>-</w:t>
      </w:r>
      <w:r>
        <w:rPr>
          <w:rFonts w:eastAsiaTheme="minorEastAsia"/>
          <w:b/>
          <w:bCs/>
        </w:rPr>
        <w:t>0</w:t>
      </w:r>
      <w:r>
        <w:rPr>
          <w:b/>
          <w:bCs/>
        </w:rPr>
        <w:t>.</w:t>
      </w:r>
      <w:bookmarkEnd w:id="31"/>
    </w:p>
    <w:p w14:paraId="451599B8">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(a-c) Low- and intermediate-magnification TEM images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showing elongated sheet-like crystallites with relatively uniform contrast. (d) HRTEM images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and corresponding SAED pattern, indicating good crystallinity. (e) HRTEM image showing lattice fringes with interplanar spacings of 0.198 and 0.187 nm, corresponding to the (200) and (002) planes of orthorhombic α-MoO</w:t>
      </w:r>
      <w:r>
        <w:rPr>
          <w:rFonts w:ascii="Times New Roman" w:hAnsi="Times New Roman" w:cs="Times New Roman"/>
          <w:color w:val="000000" w:themeColor="text1"/>
          <w:sz w:val="24"/>
          <w:vertAlign w:val="subscript"/>
          <w14:textFill>
            <w14:solidFill>
              <w14:schemeClr w14:val="tx1"/>
            </w14:solidFill>
          </w14:textFill>
        </w:rPr>
        <w:t>3</w:t>
      </w:r>
      <w:r>
        <w:rPr>
          <w:rFonts w:ascii="Times New Roman" w:hAnsi="Times New Roman" w:cs="Times New Roman"/>
          <w:color w:val="000000" w:themeColor="text1"/>
          <w:sz w:val="24"/>
          <w14:textFill>
            <w14:solidFill>
              <w14:schemeClr w14:val="tx1"/>
            </w14:solidFill>
          </w14:textFill>
        </w:rPr>
        <w:t>, respectively. (f-h) Atomic-resolution HAADF-STEM analysis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including the experimental image, enlarged atomic-column image, and simulated intensity profile. (i) STEM elemental maps of Mo and O in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w:t>
      </w:r>
    </w:p>
    <w:p w14:paraId="7B278D7C">
      <w:pPr>
        <w:adjustRightInd w:val="0"/>
        <w:snapToGrid w:val="0"/>
        <w:spacing w:beforeLines="0" w:afterLines="0" w:line="480" w:lineRule="auto"/>
        <w:ind w:firstLine="240" w:firstLineChars="10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HRTEM images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(a-e) reveal clear lattice fringes with interplanar spacings of 0.198 nm and 0.187 nm, corresponding to the (200) and (002) planes of crystalline MoO</w:t>
      </w:r>
      <w:r>
        <w:rPr>
          <w:rFonts w:ascii="Times New Roman" w:hAnsi="Times New Roman" w:cs="Times New Roman"/>
          <w:color w:val="000000" w:themeColor="text1"/>
          <w:sz w:val="24"/>
          <w:vertAlign w:val="subscript"/>
          <w14:textFill>
            <w14:solidFill>
              <w14:schemeClr w14:val="tx1"/>
            </w14:solidFill>
          </w14:textFill>
        </w:rPr>
        <w:t>3</w:t>
      </w:r>
      <w:r>
        <w:rPr>
          <w:rFonts w:ascii="Times New Roman" w:hAnsi="Times New Roman" w:cs="Times New Roman"/>
          <w:color w:val="000000" w:themeColor="text1"/>
          <w:sz w:val="24"/>
          <w14:textFill>
            <w14:solidFill>
              <w14:schemeClr w14:val="tx1"/>
            </w14:solidFill>
          </w14:textFill>
        </w:rPr>
        <w:t>, confirming that the lattice structure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matches that of MoO</w:t>
      </w:r>
      <w:r>
        <w:rPr>
          <w:rFonts w:ascii="Times New Roman" w:hAnsi="Times New Roman" w:cs="Times New Roman"/>
          <w:color w:val="000000" w:themeColor="text1"/>
          <w:sz w:val="24"/>
          <w:vertAlign w:val="subscript"/>
          <w14:textFill>
            <w14:solidFill>
              <w14:schemeClr w14:val="tx1"/>
            </w14:solidFill>
          </w14:textFill>
        </w:rPr>
        <w:t>3</w:t>
      </w:r>
      <w:r>
        <w:rPr>
          <w:rFonts w:ascii="Times New Roman" w:hAnsi="Times New Roman" w:cs="Times New Roman"/>
          <w:color w:val="000000" w:themeColor="text1"/>
          <w:sz w:val="24"/>
          <w14:textFill>
            <w14:solidFill>
              <w14:schemeClr w14:val="tx1"/>
            </w14:solidFill>
          </w14:textFill>
        </w:rPr>
        <w:t>. HAADF-STEM images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(f-i) further display well-ordered atomic columns without detectable lattice distortion, and the corresponding intensity profile agrees well with the MoO</w:t>
      </w:r>
      <w:r>
        <w:rPr>
          <w:rFonts w:ascii="Times New Roman" w:hAnsi="Times New Roman" w:cs="Times New Roman"/>
          <w:color w:val="000000" w:themeColor="text1"/>
          <w:sz w:val="24"/>
          <w:vertAlign w:val="subscript"/>
          <w14:textFill>
            <w14:solidFill>
              <w14:schemeClr w14:val="tx1"/>
            </w14:solidFill>
          </w14:textFill>
        </w:rPr>
        <w:t>3</w:t>
      </w:r>
      <w:r>
        <w:rPr>
          <w:rFonts w:ascii="Times New Roman" w:hAnsi="Times New Roman" w:cs="Times New Roman"/>
          <w:color w:val="000000" w:themeColor="text1"/>
          <w:sz w:val="24"/>
          <w14:textFill>
            <w14:solidFill>
              <w14:schemeClr w14:val="tx1"/>
            </w14:solidFill>
          </w14:textFill>
        </w:rPr>
        <w:t xml:space="preserve"> lattice model, indicating that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contains negligible oxygen vacancies and retains a crystal structure essentially identical to stoichiometric MoO</w:t>
      </w:r>
      <w:r>
        <w:rPr>
          <w:rFonts w:ascii="Times New Roman" w:hAnsi="Times New Roman" w:cs="Times New Roman"/>
          <w:color w:val="000000" w:themeColor="text1"/>
          <w:sz w:val="24"/>
          <w:vertAlign w:val="subscript"/>
          <w14:textFill>
            <w14:solidFill>
              <w14:schemeClr w14:val="tx1"/>
            </w14:solidFill>
          </w14:textFill>
        </w:rPr>
        <w:t>3</w:t>
      </w:r>
      <w:r>
        <w:rPr>
          <w:rFonts w:ascii="Times New Roman" w:hAnsi="Times New Roman" w:cs="Times New Roman"/>
          <w:color w:val="000000" w:themeColor="text1"/>
          <w:sz w:val="24"/>
          <w14:textFill>
            <w14:solidFill>
              <w14:schemeClr w14:val="tx1"/>
            </w14:solidFill>
          </w14:textFill>
        </w:rPr>
        <w:t>. Together, these results support that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behaves as a vacancy-lean reference with a largely preserved MoO</w:t>
      </w:r>
      <w:r>
        <w:rPr>
          <w:rFonts w:ascii="Times New Roman" w:hAnsi="Times New Roman" w:cs="Times New Roman"/>
          <w:color w:val="000000" w:themeColor="text1"/>
          <w:sz w:val="24"/>
          <w:vertAlign w:val="subscript"/>
          <w14:textFill>
            <w14:solidFill>
              <w14:schemeClr w14:val="tx1"/>
            </w14:solidFill>
          </w14:textFill>
        </w:rPr>
        <w:t>3</w:t>
      </w:r>
      <w:r>
        <w:rPr>
          <w:rFonts w:ascii="Times New Roman" w:hAnsi="Times New Roman" w:cs="Times New Roman"/>
          <w:color w:val="000000" w:themeColor="text1"/>
          <w:sz w:val="24"/>
          <w14:textFill>
            <w14:solidFill>
              <w14:schemeClr w14:val="tx1"/>
            </w14:solidFill>
          </w14:textFill>
        </w:rPr>
        <w:t>-derived lattice and without obvious local distortion or defect-rich domains.</w:t>
      </w:r>
    </w:p>
    <w:p w14:paraId="2579B5A6">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4885690" cy="3870325"/>
            <wp:effectExtent l="0" t="0" r="0" b="0"/>
            <wp:docPr id="107"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6"/>
                    <pic:cNvPicPr>
                      <a:picLocks noChangeAspect="1"/>
                    </pic:cNvPicPr>
                  </pic:nvPicPr>
                  <pic:blipFill>
                    <a:blip r:embed="rId10"/>
                    <a:stretch>
                      <a:fillRect/>
                    </a:stretch>
                  </pic:blipFill>
                  <pic:spPr>
                    <a:xfrm>
                      <a:off x="0" y="0"/>
                      <a:ext cx="4895028" cy="3877626"/>
                    </a:xfrm>
                    <a:prstGeom prst="rect">
                      <a:avLst/>
                    </a:prstGeom>
                  </pic:spPr>
                </pic:pic>
              </a:graphicData>
            </a:graphic>
          </wp:inline>
        </w:drawing>
      </w:r>
    </w:p>
    <w:p w14:paraId="6649570E">
      <w:pPr>
        <w:pStyle w:val="39"/>
        <w:adjustRightInd w:val="0"/>
        <w:snapToGrid w:val="0"/>
        <w:spacing w:before="0" w:beforeLines="0" w:after="0" w:afterLines="0" w:line="480" w:lineRule="auto"/>
        <w:rPr>
          <w:rFonts w:eastAsiaTheme="minorEastAsia"/>
          <w:b/>
          <w:bCs/>
        </w:rPr>
      </w:pPr>
      <w:bookmarkStart w:id="32" w:name="_Toc229846949"/>
      <w:r>
        <w:rPr>
          <w:b/>
          <w:bCs/>
        </w:rPr>
        <w:t xml:space="preserve">Supplementary Fig. </w:t>
      </w:r>
      <w:r>
        <w:rPr>
          <w:rFonts w:eastAsiaTheme="minorEastAsia"/>
          <w:b/>
          <w:bCs/>
        </w:rPr>
        <w:t>5</w:t>
      </w:r>
      <w:r>
        <w:rPr>
          <w:b/>
          <w:bCs/>
        </w:rPr>
        <w:t xml:space="preserve">. </w:t>
      </w:r>
      <w:r>
        <w:rPr>
          <w:rFonts w:eastAsiaTheme="minorEastAsia"/>
          <w:b/>
          <w:bCs/>
        </w:rPr>
        <w:t>HRTEM</w:t>
      </w:r>
      <w:r>
        <w:rPr>
          <w:b/>
          <w:bCs/>
        </w:rPr>
        <w:t xml:space="preserve"> </w:t>
      </w:r>
      <w:r>
        <w:rPr>
          <w:rFonts w:eastAsiaTheme="minorEastAsia"/>
          <w:b/>
          <w:bCs/>
        </w:rPr>
        <w:t xml:space="preserve">and </w:t>
      </w:r>
      <w:r>
        <w:rPr>
          <w:b/>
          <w:bCs/>
        </w:rPr>
        <w:t>HAADF-STEM of MoO</w:t>
      </w:r>
      <w:r>
        <w:rPr>
          <w:b/>
          <w:bCs/>
          <w:vertAlign w:val="subscript"/>
        </w:rPr>
        <w:t>x</w:t>
      </w:r>
      <w:r>
        <w:rPr>
          <w:b/>
          <w:bCs/>
        </w:rPr>
        <w:t>-</w:t>
      </w:r>
      <w:r>
        <w:rPr>
          <w:rFonts w:eastAsiaTheme="minorEastAsia"/>
          <w:b/>
          <w:bCs/>
        </w:rPr>
        <w:t>2</w:t>
      </w:r>
      <w:r>
        <w:rPr>
          <w:b/>
          <w:bCs/>
        </w:rPr>
        <w:t>.</w:t>
      </w:r>
      <w:bookmarkEnd w:id="32"/>
    </w:p>
    <w:p w14:paraId="4C5B651D">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(a-c) Low- and intermediate-magnification TEM images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-2.</w:t>
      </w:r>
      <w:r>
        <w:rPr>
          <w:rFonts w:ascii="Times New Roman" w:hAnsi="Times New Roman" w:cs="Times New Roman"/>
        </w:rPr>
        <w:t xml:space="preserve"> </w:t>
      </w:r>
      <w:r>
        <w:rPr>
          <w:rFonts w:ascii="Times New Roman" w:hAnsi="Times New Roman" w:cs="Times New Roman"/>
          <w:color w:val="000000" w:themeColor="text1"/>
          <w:sz w:val="24"/>
          <w14:textFill>
            <w14:solidFill>
              <w14:schemeClr w14:val="tx1"/>
            </w14:solidFill>
          </w14:textFill>
        </w:rPr>
        <w:t>(d) HRTEM image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-2 and corresponding SAED pattern.</w:t>
      </w:r>
      <w:r>
        <w:rPr>
          <w:rFonts w:ascii="Times New Roman" w:hAnsi="Times New Roman" w:cs="Times New Roman"/>
        </w:rPr>
        <w:t xml:space="preserve"> </w:t>
      </w:r>
      <w:r>
        <w:rPr>
          <w:rFonts w:ascii="Times New Roman" w:hAnsi="Times New Roman" w:cs="Times New Roman"/>
          <w:color w:val="000000" w:themeColor="text1"/>
          <w:sz w:val="24"/>
          <w14:textFill>
            <w14:solidFill>
              <w14:schemeClr w14:val="tx1"/>
            </w14:solidFill>
          </w14:textFill>
        </w:rPr>
        <w:t>(e) High-resolution TEM image showing lattice fringes with interplanar spacings of 0.198 and 0.187 nm, corresponding to the (200) and (002) planes of orthorhombic alpha-MoO</w:t>
      </w:r>
      <w:r>
        <w:rPr>
          <w:rFonts w:ascii="Times New Roman" w:hAnsi="Times New Roman" w:cs="Times New Roman"/>
          <w:color w:val="000000" w:themeColor="text1"/>
          <w:sz w:val="24"/>
          <w:vertAlign w:val="subscript"/>
          <w14:textFill>
            <w14:solidFill>
              <w14:schemeClr w14:val="tx1"/>
            </w14:solidFill>
          </w14:textFill>
        </w:rPr>
        <w:t>3</w:t>
      </w:r>
      <w:r>
        <w:rPr>
          <w:rFonts w:ascii="Times New Roman" w:hAnsi="Times New Roman" w:cs="Times New Roman"/>
          <w:color w:val="000000" w:themeColor="text1"/>
          <w:sz w:val="24"/>
          <w14:textFill>
            <w14:solidFill>
              <w14:schemeClr w14:val="tx1"/>
            </w14:solidFill>
          </w14:textFill>
        </w:rPr>
        <w:t>, respectively.</w:t>
      </w:r>
    </w:p>
    <w:p w14:paraId="061B4361">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Compared with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-2 retains the MoO</w:t>
      </w:r>
      <w:r>
        <w:rPr>
          <w:rFonts w:ascii="Times New Roman" w:hAnsi="Times New Roman" w:cs="Times New Roman"/>
          <w:color w:val="000000" w:themeColor="text1"/>
          <w:sz w:val="24"/>
          <w:vertAlign w:val="subscript"/>
          <w14:textFill>
            <w14:solidFill>
              <w14:schemeClr w14:val="tx1"/>
            </w14:solidFill>
          </w14:textFill>
        </w:rPr>
        <w:t>3</w:t>
      </w:r>
      <w:r>
        <w:rPr>
          <w:rFonts w:ascii="Times New Roman" w:hAnsi="Times New Roman" w:cs="Times New Roman"/>
          <w:color w:val="000000" w:themeColor="text1"/>
          <w:sz w:val="24"/>
          <w14:textFill>
            <w14:solidFill>
              <w14:schemeClr w14:val="tx1"/>
            </w14:solidFill>
          </w14:textFill>
        </w:rPr>
        <w:t>-derived lattice framework but shows local lattice distortions in HRTEM and HAADF-STEM images, consistent with isolated oxygen-vacancy point defects rather than extended defect clusters.</w:t>
      </w:r>
    </w:p>
    <w:p w14:paraId="6BD67014">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4553585" cy="3469005"/>
            <wp:effectExtent l="0" t="0" r="0" b="0"/>
            <wp:docPr id="8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5"/>
                    <pic:cNvPicPr>
                      <a:picLocks noChangeAspect="1"/>
                    </pic:cNvPicPr>
                  </pic:nvPicPr>
                  <pic:blipFill>
                    <a:blip r:embed="rId11"/>
                    <a:stretch>
                      <a:fillRect/>
                    </a:stretch>
                  </pic:blipFill>
                  <pic:spPr>
                    <a:xfrm>
                      <a:off x="0" y="0"/>
                      <a:ext cx="4574402" cy="3485282"/>
                    </a:xfrm>
                    <a:prstGeom prst="rect">
                      <a:avLst/>
                    </a:prstGeom>
                  </pic:spPr>
                </pic:pic>
              </a:graphicData>
            </a:graphic>
          </wp:inline>
        </w:drawing>
      </w:r>
    </w:p>
    <w:p w14:paraId="493A5BAC">
      <w:pPr>
        <w:pStyle w:val="39"/>
        <w:adjustRightInd w:val="0"/>
        <w:snapToGrid w:val="0"/>
        <w:spacing w:before="0" w:beforeLines="0" w:after="0" w:afterLines="0" w:line="480" w:lineRule="auto"/>
        <w:rPr>
          <w:rFonts w:eastAsiaTheme="minorEastAsia"/>
          <w:b/>
          <w:bCs/>
        </w:rPr>
      </w:pPr>
      <w:bookmarkStart w:id="33" w:name="_Toc229846950"/>
      <w:r>
        <w:rPr>
          <w:b/>
          <w:bCs/>
        </w:rPr>
        <w:t xml:space="preserve">Supplementary Fig. </w:t>
      </w:r>
      <w:r>
        <w:rPr>
          <w:rFonts w:eastAsiaTheme="minorEastAsia"/>
          <w:b/>
          <w:bCs/>
        </w:rPr>
        <w:t>6</w:t>
      </w:r>
      <w:r>
        <w:rPr>
          <w:b/>
          <w:bCs/>
        </w:rPr>
        <w:t xml:space="preserve">. </w:t>
      </w:r>
      <w:r>
        <w:rPr>
          <w:rFonts w:eastAsiaTheme="minorEastAsia"/>
          <w:b/>
          <w:bCs/>
        </w:rPr>
        <w:t>TEM, HRTEM</w:t>
      </w:r>
      <w:r>
        <w:rPr>
          <w:b/>
          <w:bCs/>
        </w:rPr>
        <w:t xml:space="preserve"> </w:t>
      </w:r>
      <w:r>
        <w:rPr>
          <w:rFonts w:eastAsiaTheme="minorEastAsia"/>
          <w:b/>
          <w:bCs/>
        </w:rPr>
        <w:t>and</w:t>
      </w:r>
      <w:r>
        <w:rPr>
          <w:b/>
          <w:bCs/>
        </w:rPr>
        <w:t xml:space="preserve"> HAADF-STEM of MoO</w:t>
      </w:r>
      <w:r>
        <w:rPr>
          <w:b/>
          <w:bCs/>
          <w:vertAlign w:val="subscript"/>
        </w:rPr>
        <w:t>x</w:t>
      </w:r>
      <w:r>
        <w:rPr>
          <w:b/>
          <w:bCs/>
        </w:rPr>
        <w:t>-</w:t>
      </w:r>
      <w:r>
        <w:rPr>
          <w:rFonts w:eastAsiaTheme="minorEastAsia"/>
          <w:b/>
          <w:bCs/>
        </w:rPr>
        <w:t>5</w:t>
      </w:r>
      <w:r>
        <w:rPr>
          <w:b/>
          <w:bCs/>
        </w:rPr>
        <w:t>.</w:t>
      </w:r>
      <w:bookmarkEnd w:id="33"/>
    </w:p>
    <w:p w14:paraId="6A2C05A4">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(a-c) TEM images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showing flower-like nanosheet assemblies.</w:t>
      </w:r>
      <w:r>
        <w:rPr>
          <w:rFonts w:ascii="Times New Roman" w:hAnsi="Times New Roman" w:cs="Times New Roman"/>
        </w:rPr>
        <w:t xml:space="preserve"> </w:t>
      </w:r>
      <w:r>
        <w:rPr>
          <w:rFonts w:ascii="Times New Roman" w:hAnsi="Times New Roman" w:cs="Times New Roman"/>
          <w:color w:val="000000" w:themeColor="text1"/>
          <w:sz w:val="24"/>
          <w14:textFill>
            <w14:solidFill>
              <w14:schemeClr w14:val="tx1"/>
            </w14:solidFill>
          </w14:textFill>
        </w:rPr>
        <w:t>(d,e) HRTEM images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revealing lattice fringes that can still be indexed to the MoO</w:t>
      </w:r>
      <w:r>
        <w:rPr>
          <w:rFonts w:ascii="Times New Roman" w:hAnsi="Times New Roman" w:cs="Times New Roman"/>
          <w:color w:val="000000" w:themeColor="text1"/>
          <w:sz w:val="24"/>
          <w:vertAlign w:val="subscript"/>
          <w14:textFill>
            <w14:solidFill>
              <w14:schemeClr w14:val="tx1"/>
            </w14:solidFill>
          </w14:textFill>
        </w:rPr>
        <w:t>3</w:t>
      </w:r>
      <w:r>
        <w:rPr>
          <w:rFonts w:ascii="Times New Roman" w:hAnsi="Times New Roman" w:cs="Times New Roman"/>
          <w:color w:val="000000" w:themeColor="text1"/>
          <w:sz w:val="24"/>
          <w14:textFill>
            <w14:solidFill>
              <w14:schemeClr w14:val="tx1"/>
            </w14:solidFill>
          </w14:textFill>
        </w:rPr>
        <w:t>-derived framework.</w:t>
      </w:r>
      <w:r>
        <w:rPr>
          <w:rFonts w:ascii="Times New Roman" w:hAnsi="Times New Roman" w:cs="Times New Roman"/>
        </w:rPr>
        <w:t xml:space="preserve"> </w:t>
      </w:r>
      <w:r>
        <w:rPr>
          <w:rFonts w:ascii="Times New Roman" w:hAnsi="Times New Roman" w:cs="Times New Roman"/>
          <w:color w:val="000000" w:themeColor="text1"/>
          <w:sz w:val="24"/>
          <w14:textFill>
            <w14:solidFill>
              <w14:schemeClr w14:val="tx1"/>
            </w14:solidFill>
          </w14:textFill>
        </w:rPr>
        <w:t>(f-i) Atomic-resolution lattice images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highlighting the coexistence of ordered regions and defect-rich domains with reduced atomic periodicity.</w:t>
      </w:r>
    </w:p>
    <w:p w14:paraId="7EBECF58">
      <w:pPr>
        <w:adjustRightInd/>
        <w:snapToGrid/>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br w:type="page"/>
      </w:r>
    </w:p>
    <w:p w14:paraId="03BABDA7">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p>
    <w:p w14:paraId="6C092E89">
      <w:pPr>
        <w:adjustRightInd w:val="0"/>
        <w:snapToGrid w:val="0"/>
        <w:spacing w:beforeLines="0" w:afterLines="0" w:line="480" w:lineRule="auto"/>
        <w:jc w:val="center"/>
        <w:rPr>
          <w:rFonts w:ascii="Times New Roman" w:hAnsi="Times New Roman" w:cs="Times New Roman"/>
          <w:b/>
          <w:bCs/>
        </w:rPr>
      </w:pPr>
      <w:r>
        <w:rPr>
          <w:rFonts w:ascii="Times New Roman" w:hAnsi="Times New Roman"/>
        </w:rPr>
        <w:t xml:space="preserve"> </w:t>
      </w:r>
      <w:r>
        <w:rPr>
          <w:rFonts w:ascii="Times New Roman" w:hAnsi="Times New Roman"/>
        </w:rPr>
        <w:t xml:space="preserve"> </w:t>
      </w:r>
      <w:r>
        <w:rPr>
          <w:rFonts w:ascii="Times New Roman" w:hAnsi="Times New Roman"/>
        </w:rPr>
        <w:drawing>
          <wp:inline distT="0" distB="0" distL="0" distR="0">
            <wp:extent cx="4718685" cy="1974850"/>
            <wp:effectExtent l="0" t="0" r="5715" b="6350"/>
            <wp:docPr id="3672453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245355" name="图片 1"/>
                    <pic:cNvPicPr>
                      <a:picLocks noChangeAspect="1"/>
                    </pic:cNvPicPr>
                  </pic:nvPicPr>
                  <pic:blipFill>
                    <a:blip r:embed="rId12"/>
                    <a:stretch>
                      <a:fillRect/>
                    </a:stretch>
                  </pic:blipFill>
                  <pic:spPr>
                    <a:xfrm>
                      <a:off x="0" y="0"/>
                      <a:ext cx="4718713" cy="1975275"/>
                    </a:xfrm>
                    <a:prstGeom prst="rect">
                      <a:avLst/>
                    </a:prstGeom>
                  </pic:spPr>
                </pic:pic>
              </a:graphicData>
            </a:graphic>
          </wp:inline>
        </w:drawing>
      </w:r>
    </w:p>
    <w:p w14:paraId="4D372684">
      <w:pPr>
        <w:pStyle w:val="39"/>
        <w:adjustRightInd w:val="0"/>
        <w:snapToGrid w:val="0"/>
        <w:spacing w:before="0" w:beforeLines="0" w:after="0" w:afterLines="0" w:line="480" w:lineRule="auto"/>
        <w:rPr>
          <w:b/>
          <w:bCs/>
        </w:rPr>
      </w:pPr>
      <w:bookmarkStart w:id="34" w:name="_Toc229846951"/>
      <w:r>
        <w:rPr>
          <w:b/>
          <w:bCs/>
        </w:rPr>
        <w:t xml:space="preserve">Supplementary Fig. </w:t>
      </w:r>
      <w:r>
        <w:rPr>
          <w:rFonts w:eastAsiaTheme="minorEastAsia"/>
          <w:b/>
          <w:bCs/>
        </w:rPr>
        <w:t>7</w:t>
      </w:r>
      <w:r>
        <w:rPr>
          <w:b/>
          <w:bCs/>
        </w:rPr>
        <w:t>. Electron paramagnetic resonance (EPR) analysis of MoO</w:t>
      </w:r>
      <w:r>
        <w:rPr>
          <w:b/>
          <w:bCs/>
          <w:vertAlign w:val="subscript"/>
        </w:rPr>
        <w:t>x</w:t>
      </w:r>
      <w:r>
        <w:rPr>
          <w:b/>
          <w:bCs/>
        </w:rPr>
        <w:t xml:space="preserve"> samples.</w:t>
      </w:r>
      <w:bookmarkEnd w:id="34"/>
    </w:p>
    <w:p w14:paraId="74E843ED">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(a) EPR spectra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-0/2/5/10/15, indicating the evolution of defect-related paramagnetic signals. (b) EPR spectra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-2 and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highlighting the Mo</w:t>
      </w:r>
      <w:r>
        <w:rPr>
          <w:rFonts w:ascii="Times New Roman" w:hAnsi="Times New Roman" w:cs="Times New Roman"/>
          <w:color w:val="000000" w:themeColor="text1"/>
          <w:sz w:val="24"/>
          <w:vertAlign w:val="superscript"/>
          <w14:textFill>
            <w14:solidFill>
              <w14:schemeClr w14:val="tx1"/>
            </w14:solidFill>
          </w14:textFill>
        </w:rPr>
        <w:t>5+</w:t>
      </w:r>
      <w:r>
        <w:rPr>
          <w:rFonts w:ascii="Times New Roman" w:hAnsi="Times New Roman" w:cs="Times New Roman"/>
          <w:color w:val="000000" w:themeColor="text1"/>
          <w:sz w:val="24"/>
          <w14:textFill>
            <w14:solidFill>
              <w14:schemeClr w14:val="tx1"/>
            </w14:solidFill>
          </w14:textFill>
        </w:rPr>
        <w:t xml:space="preserve"> signals related to oxygen vacancies.</w:t>
      </w:r>
    </w:p>
    <w:p w14:paraId="01DFFA3D">
      <w:pPr>
        <w:adjustRightInd/>
        <w:snapToGrid/>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br w:type="page"/>
      </w:r>
    </w:p>
    <w:p w14:paraId="23D2ADF1">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p>
    <w:p w14:paraId="6BDB4C43">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5226050" cy="3237865"/>
            <wp:effectExtent l="0" t="0" r="0" b="635"/>
            <wp:docPr id="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pic:cNvPicPr>
                      <a:picLocks noChangeAspect="1"/>
                    </pic:cNvPicPr>
                  </pic:nvPicPr>
                  <pic:blipFill>
                    <a:blip r:embed="rId13"/>
                    <a:stretch>
                      <a:fillRect/>
                    </a:stretch>
                  </pic:blipFill>
                  <pic:spPr>
                    <a:xfrm>
                      <a:off x="0" y="0"/>
                      <a:ext cx="5232090" cy="3241508"/>
                    </a:xfrm>
                    <a:prstGeom prst="rect">
                      <a:avLst/>
                    </a:prstGeom>
                  </pic:spPr>
                </pic:pic>
              </a:graphicData>
            </a:graphic>
          </wp:inline>
        </w:drawing>
      </w:r>
    </w:p>
    <w:p w14:paraId="0A1A387D">
      <w:pPr>
        <w:pStyle w:val="39"/>
        <w:adjustRightInd w:val="0"/>
        <w:snapToGrid w:val="0"/>
        <w:spacing w:before="0" w:beforeLines="0" w:after="0" w:afterLines="0" w:line="480" w:lineRule="auto"/>
        <w:rPr>
          <w:rFonts w:eastAsiaTheme="minorEastAsia"/>
          <w:b/>
          <w:bCs/>
        </w:rPr>
      </w:pPr>
      <w:bookmarkStart w:id="35" w:name="_Toc229846952"/>
      <w:r>
        <w:rPr>
          <w:b/>
          <w:bCs/>
        </w:rPr>
        <w:t xml:space="preserve">Supplementary Fig. </w:t>
      </w:r>
      <w:r>
        <w:rPr>
          <w:rFonts w:eastAsiaTheme="minorEastAsia"/>
          <w:b/>
          <w:bCs/>
        </w:rPr>
        <w:t>8</w:t>
      </w:r>
      <w:r>
        <w:rPr>
          <w:b/>
          <w:bCs/>
        </w:rPr>
        <w:t xml:space="preserve">. </w:t>
      </w:r>
      <w:bookmarkStart w:id="36" w:name="_Hlk197522993"/>
      <w:bookmarkStart w:id="37" w:name="OLE_LINK7"/>
      <w:r>
        <w:rPr>
          <w:b/>
          <w:bCs/>
        </w:rPr>
        <w:t>X-ray photoelectron spectroscopy</w:t>
      </w:r>
      <w:bookmarkEnd w:id="36"/>
      <w:r>
        <w:rPr>
          <w:b/>
          <w:bCs/>
        </w:rPr>
        <w:t xml:space="preserve"> (XPS) investigation of MoO</w:t>
      </w:r>
      <w:r>
        <w:rPr>
          <w:b/>
          <w:bCs/>
          <w:vertAlign w:val="subscript"/>
        </w:rPr>
        <w:t>x</w:t>
      </w:r>
      <w:r>
        <w:rPr>
          <w:b/>
          <w:bCs/>
        </w:rPr>
        <w:t xml:space="preserve"> samples.</w:t>
      </w:r>
      <w:bookmarkEnd w:id="35"/>
      <w:bookmarkEnd w:id="37"/>
    </w:p>
    <w:p w14:paraId="35805340">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(a) Survey XPS spectra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-0/2/5/10/15. (b-f) High-resolution Mo 3d spectra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-0/2/5/10/15.</w:t>
      </w:r>
    </w:p>
    <w:p w14:paraId="0EBB9E82">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Survey spectra confirm the presence of Mo and O without detectable impurity-derived signals. High-resolution Mo 3d spectra show progressive enrichment of lower-valent Mo species from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to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-15, indicating that defect-state evolution is accompanied by partial reduction of Mo centers and continuous surface electronic-state reconstruction.</w:t>
      </w:r>
    </w:p>
    <w:p w14:paraId="59D4BEF9">
      <w:pPr>
        <w:adjustRightInd w:val="0"/>
        <w:snapToGrid w:val="0"/>
        <w:spacing w:beforeLines="0" w:afterLines="0" w:line="480" w:lineRule="auto"/>
        <w:jc w:val="center"/>
        <w:rPr>
          <w:rFonts w:ascii="Times New Roman" w:hAnsi="Times New Roman" w:cs="Times New Roman"/>
        </w:rPr>
      </w:pPr>
      <w:r>
        <w:rPr>
          <w:rFonts w:ascii="Times New Roman" w:hAnsi="Times New Roman" w:cs="Times New Roman"/>
        </w:rPr>
        <w:drawing>
          <wp:inline distT="0" distB="0" distL="0" distR="0">
            <wp:extent cx="5207635" cy="3145155"/>
            <wp:effectExtent l="0" t="0" r="0" b="0"/>
            <wp:docPr id="6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8"/>
                    <pic:cNvPicPr>
                      <a:picLocks noChangeAspect="1"/>
                    </pic:cNvPicPr>
                  </pic:nvPicPr>
                  <pic:blipFill>
                    <a:blip r:embed="rId14"/>
                    <a:stretch>
                      <a:fillRect/>
                    </a:stretch>
                  </pic:blipFill>
                  <pic:spPr>
                    <a:xfrm>
                      <a:off x="0" y="0"/>
                      <a:ext cx="5215989" cy="3150051"/>
                    </a:xfrm>
                    <a:prstGeom prst="rect">
                      <a:avLst/>
                    </a:prstGeom>
                  </pic:spPr>
                </pic:pic>
              </a:graphicData>
            </a:graphic>
          </wp:inline>
        </w:drawing>
      </w:r>
    </w:p>
    <w:p w14:paraId="4424FB98">
      <w:pPr>
        <w:pStyle w:val="39"/>
        <w:adjustRightInd w:val="0"/>
        <w:snapToGrid w:val="0"/>
        <w:spacing w:before="0" w:beforeLines="0" w:after="0" w:afterLines="0" w:line="480" w:lineRule="auto"/>
        <w:rPr>
          <w:rFonts w:eastAsiaTheme="minorEastAsia"/>
          <w:b/>
          <w:bCs/>
        </w:rPr>
      </w:pPr>
      <w:bookmarkStart w:id="38" w:name="_Toc229846953"/>
      <w:r>
        <w:rPr>
          <w:b/>
          <w:bCs/>
        </w:rPr>
        <w:t xml:space="preserve">Supplementary Fig. </w:t>
      </w:r>
      <w:r>
        <w:rPr>
          <w:rFonts w:eastAsiaTheme="minorEastAsia"/>
          <w:b/>
          <w:bCs/>
        </w:rPr>
        <w:t>9</w:t>
      </w:r>
      <w:r>
        <w:rPr>
          <w:b/>
          <w:bCs/>
        </w:rPr>
        <w:t xml:space="preserve">. </w:t>
      </w:r>
      <w:bookmarkStart w:id="39" w:name="_Hlk197353154"/>
      <w:r>
        <w:rPr>
          <w:rFonts w:eastAsiaTheme="minorEastAsia"/>
          <w:b/>
          <w:bCs/>
        </w:rPr>
        <w:t xml:space="preserve">EXAFS </w:t>
      </w:r>
      <w:r>
        <w:rPr>
          <w:rFonts w:hint="eastAsia"/>
          <w:b/>
          <w:bCs/>
        </w:rPr>
        <w:t>analysis</w:t>
      </w:r>
      <w:r>
        <w:rPr>
          <w:b/>
          <w:bCs/>
        </w:rPr>
        <w:t xml:space="preserve"> of Mo foil, MoO</w:t>
      </w:r>
      <w:r>
        <w:rPr>
          <w:b/>
          <w:bCs/>
          <w:vertAlign w:val="subscript"/>
        </w:rPr>
        <w:t>2</w:t>
      </w:r>
      <w:r>
        <w:rPr>
          <w:b/>
          <w:bCs/>
        </w:rPr>
        <w:t>, MoO</w:t>
      </w:r>
      <w:r>
        <w:rPr>
          <w:b/>
          <w:bCs/>
          <w:vertAlign w:val="subscript"/>
        </w:rPr>
        <w:t>3</w:t>
      </w:r>
      <w:r>
        <w:rPr>
          <w:b/>
          <w:bCs/>
        </w:rPr>
        <w:t>, MoO</w:t>
      </w:r>
      <w:r>
        <w:rPr>
          <w:b/>
          <w:bCs/>
          <w:vertAlign w:val="subscript"/>
        </w:rPr>
        <w:t>x</w:t>
      </w:r>
      <w:r>
        <w:rPr>
          <w:b/>
          <w:bCs/>
        </w:rPr>
        <w:t>-2 and MoO</w:t>
      </w:r>
      <w:r>
        <w:rPr>
          <w:b/>
          <w:bCs/>
          <w:vertAlign w:val="subscript"/>
        </w:rPr>
        <w:t>x</w:t>
      </w:r>
      <w:r>
        <w:rPr>
          <w:b/>
          <w:bCs/>
        </w:rPr>
        <w:t>-5.</w:t>
      </w:r>
      <w:bookmarkEnd w:id="38"/>
      <w:bookmarkEnd w:id="39"/>
    </w:p>
    <w:p w14:paraId="2A944FAA">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(a) Wavelet-transform EXAFS spectra of Mo foil, MoO</w:t>
      </w:r>
      <w:r>
        <w:rPr>
          <w:rFonts w:ascii="Times New Roman" w:hAnsi="Times New Roman" w:cs="Times New Roman"/>
          <w:color w:val="000000" w:themeColor="text1"/>
          <w:sz w:val="24"/>
          <w:vertAlign w:val="subscript"/>
          <w14:textFill>
            <w14:solidFill>
              <w14:schemeClr w14:val="tx1"/>
            </w14:solidFill>
          </w14:textFill>
        </w:rPr>
        <w:t>2</w:t>
      </w:r>
      <w:r>
        <w:rPr>
          <w:rFonts w:ascii="Times New Roman" w:hAnsi="Times New Roman" w:cs="Times New Roman"/>
          <w:color w:val="000000" w:themeColor="text1"/>
          <w:sz w:val="24"/>
          <w14:textFill>
            <w14:solidFill>
              <w14:schemeClr w14:val="tx1"/>
            </w14:solidFill>
          </w14:textFill>
        </w:rPr>
        <w:t>, MoO</w:t>
      </w:r>
      <w:r>
        <w:rPr>
          <w:rFonts w:ascii="Times New Roman" w:hAnsi="Times New Roman" w:cs="Times New Roman"/>
          <w:color w:val="000000" w:themeColor="text1"/>
          <w:sz w:val="24"/>
          <w:vertAlign w:val="subscript"/>
          <w14:textFill>
            <w14:solidFill>
              <w14:schemeClr w14:val="tx1"/>
            </w14:solidFill>
          </w14:textFill>
        </w:rPr>
        <w:t>3</w:t>
      </w:r>
      <w:r>
        <w:rPr>
          <w:rFonts w:ascii="Times New Roman" w:hAnsi="Times New Roman" w:cs="Times New Roman"/>
          <w:color w:val="000000" w:themeColor="text1"/>
          <w:sz w:val="24"/>
          <w14:textFill>
            <w14:solidFill>
              <w14:schemeClr w14:val="tx1"/>
            </w14:solidFill>
          </w14:textFill>
        </w:rPr>
        <w:t>,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-2 and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(b) K-space EXAFS fitting curves. (c) Fourier-transformed EXAFS fitting curves.</w:t>
      </w:r>
    </w:p>
    <w:p w14:paraId="5BCDEDCA">
      <w:pPr>
        <w:adjustRightInd w:val="0"/>
        <w:snapToGrid w:val="0"/>
        <w:spacing w:beforeLines="0" w:afterLines="0" w:line="480" w:lineRule="auto"/>
        <w:ind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XANES and EXAFS results show that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-2 and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both retain oxygen-coordinated Mo environments while evolving toward more reduced local states. Relative to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-2,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exhibits a more distorted local coordination environment and a more pronounced reconstruction of the coordination shell. The absence of detectable metallic Mo-Mo coordination supports that defect evolution remains confined within an oxide lattice rather than proceeding to metallic segregation.</w:t>
      </w:r>
    </w:p>
    <w:p w14:paraId="51ED6224">
      <w:pPr>
        <w:adjustRightInd/>
        <w:snapToGrid/>
        <w:ind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br w:type="page"/>
      </w:r>
    </w:p>
    <w:p w14:paraId="57930E7B">
      <w:pPr>
        <w:adjustRightInd w:val="0"/>
        <w:snapToGrid w:val="0"/>
        <w:spacing w:beforeLines="0" w:afterLines="0" w:line="480" w:lineRule="auto"/>
        <w:ind w:firstLine="240" w:firstLineChars="100"/>
        <w:rPr>
          <w:rFonts w:ascii="Times New Roman" w:hAnsi="Times New Roman" w:cs="Times New Roman"/>
          <w:color w:val="000000" w:themeColor="text1"/>
          <w:sz w:val="24"/>
          <w14:textFill>
            <w14:solidFill>
              <w14:schemeClr w14:val="tx1"/>
            </w14:solidFill>
          </w14:textFill>
        </w:rPr>
      </w:pPr>
    </w:p>
    <w:p w14:paraId="34D2B33E">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rPr>
        <w:drawing>
          <wp:inline distT="0" distB="0" distL="0" distR="0">
            <wp:extent cx="2131695" cy="1603375"/>
            <wp:effectExtent l="0" t="0" r="1905" b="0"/>
            <wp:docPr id="15838476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847683" name="图片 1"/>
                    <pic:cNvPicPr>
                      <a:picLocks noChangeAspect="1"/>
                    </pic:cNvPicPr>
                  </pic:nvPicPr>
                  <pic:blipFill>
                    <a:blip r:embed="rId15"/>
                    <a:stretch>
                      <a:fillRect/>
                    </a:stretch>
                  </pic:blipFill>
                  <pic:spPr>
                    <a:xfrm>
                      <a:off x="0" y="0"/>
                      <a:ext cx="2150429" cy="1617229"/>
                    </a:xfrm>
                    <a:prstGeom prst="rect">
                      <a:avLst/>
                    </a:prstGeom>
                  </pic:spPr>
                </pic:pic>
              </a:graphicData>
            </a:graphic>
          </wp:inline>
        </w:drawing>
      </w:r>
    </w:p>
    <w:p w14:paraId="4BCC31BB">
      <w:pPr>
        <w:pStyle w:val="39"/>
        <w:adjustRightInd w:val="0"/>
        <w:snapToGrid w:val="0"/>
        <w:spacing w:before="0" w:beforeLines="0" w:after="0" w:afterLines="0" w:line="480" w:lineRule="auto"/>
        <w:rPr>
          <w:rFonts w:eastAsiaTheme="minorEastAsia"/>
          <w:b/>
          <w:bCs/>
        </w:rPr>
      </w:pPr>
      <w:bookmarkStart w:id="40" w:name="_Toc229846954"/>
      <w:r>
        <w:rPr>
          <w:b/>
          <w:bCs/>
        </w:rPr>
        <w:t xml:space="preserve">Supplementary Fig. </w:t>
      </w:r>
      <w:r>
        <w:rPr>
          <w:rFonts w:eastAsiaTheme="minorEastAsia"/>
          <w:b/>
          <w:bCs/>
        </w:rPr>
        <w:t>10</w:t>
      </w:r>
      <w:r>
        <w:rPr>
          <w:b/>
          <w:bCs/>
        </w:rPr>
        <w:t>. Ultraviolet-visible (UV-vis) absorption spectra of MoO</w:t>
      </w:r>
      <w:r>
        <w:rPr>
          <w:b/>
          <w:bCs/>
          <w:vertAlign w:val="subscript"/>
        </w:rPr>
        <w:t>x</w:t>
      </w:r>
      <w:r>
        <w:rPr>
          <w:b/>
          <w:bCs/>
        </w:rPr>
        <w:t>-0/2/5.</w:t>
      </w:r>
      <w:bookmarkEnd w:id="40"/>
    </w:p>
    <w:p w14:paraId="2C0D7583">
      <w:pPr>
        <w:adjustRightInd w:val="0"/>
        <w:snapToGrid w:val="0"/>
        <w:spacing w:beforeLines="0" w:afterLines="0" w:line="480" w:lineRule="auto"/>
        <w:ind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UV-vis spectra show progressive enhancement of optical absorption from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to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with the strongest response observed for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This trend is already evident near 355 nm, the excitation wavelength used for LDI, indicating that defect evolution increases optical accessibility under the experimental conditions. The stronger absorption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near 355 nm is consistent with improved photon harvesting under the excitation conditions used for LDI-MS.</w:t>
      </w:r>
    </w:p>
    <w:p w14:paraId="55E35015">
      <w:pPr>
        <w:adjustRightInd/>
        <w:snapToGrid/>
        <w:ind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br w:type="page"/>
      </w:r>
    </w:p>
    <w:p w14:paraId="0FB4211B">
      <w:pPr>
        <w:adjustRightInd w:val="0"/>
        <w:snapToGrid w:val="0"/>
        <w:spacing w:beforeLines="0" w:afterLines="0" w:line="480" w:lineRule="auto"/>
        <w:ind w:firstLine="240" w:firstLineChars="100"/>
        <w:rPr>
          <w:rFonts w:hint="default" w:ascii="Times New Roman" w:hAnsi="Times New Roman" w:cs="Times New Roman"/>
          <w:color w:val="000000" w:themeColor="text1"/>
          <w:sz w:val="24"/>
          <w14:textFill>
            <w14:solidFill>
              <w14:schemeClr w14:val="tx1"/>
            </w14:solidFill>
          </w14:textFill>
        </w:rPr>
      </w:pPr>
    </w:p>
    <w:p w14:paraId="3C3BF3F3">
      <w:pPr>
        <w:adjustRightInd w:val="0"/>
        <w:snapToGrid w:val="0"/>
        <w:spacing w:beforeLines="0" w:afterLines="0" w:line="480" w:lineRule="auto"/>
        <w:jc w:val="center"/>
        <w:rPr>
          <w:rFonts w:ascii="Times New Roman" w:hAnsi="Times New Roman" w:cs="Times New Roman"/>
        </w:rPr>
      </w:pPr>
      <w:r>
        <w:rPr>
          <w:rFonts w:ascii="Times New Roman" w:hAnsi="Times New Roman" w:cs="Times New Roman"/>
        </w:rPr>
        <w:drawing>
          <wp:inline distT="0" distB="0" distL="0" distR="0">
            <wp:extent cx="5731510" cy="2279650"/>
            <wp:effectExtent l="0" t="0" r="2540" b="6350"/>
            <wp:docPr id="105615731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157310" name="图片 13"/>
                    <pic:cNvPicPr>
                      <a:picLocks noChangeAspect="1"/>
                    </pic:cNvPicPr>
                  </pic:nvPicPr>
                  <pic:blipFill>
                    <a:blip r:embed="rId16"/>
                    <a:stretch>
                      <a:fillRect/>
                    </a:stretch>
                  </pic:blipFill>
                  <pic:spPr>
                    <a:xfrm>
                      <a:off x="0" y="0"/>
                      <a:ext cx="5731510" cy="2279650"/>
                    </a:xfrm>
                    <a:prstGeom prst="rect">
                      <a:avLst/>
                    </a:prstGeom>
                  </pic:spPr>
                </pic:pic>
              </a:graphicData>
            </a:graphic>
          </wp:inline>
        </w:drawing>
      </w:r>
    </w:p>
    <w:p w14:paraId="15BD7FCC">
      <w:pPr>
        <w:pStyle w:val="39"/>
        <w:adjustRightInd w:val="0"/>
        <w:snapToGrid w:val="0"/>
        <w:spacing w:before="0" w:beforeLines="0" w:after="0" w:afterLines="0" w:line="480" w:lineRule="auto"/>
        <w:rPr>
          <w:rFonts w:eastAsiaTheme="minorEastAsia"/>
          <w:b/>
          <w:bCs/>
        </w:rPr>
      </w:pPr>
      <w:bookmarkStart w:id="41" w:name="_Hlk197352099"/>
      <w:bookmarkStart w:id="42" w:name="_Toc229846955"/>
      <w:bookmarkStart w:id="43" w:name="OLE_LINK97"/>
      <w:r>
        <w:rPr>
          <w:b/>
          <w:bCs/>
        </w:rPr>
        <w:t xml:space="preserve">Supplementary Fig. </w:t>
      </w:r>
      <w:r>
        <w:rPr>
          <w:rFonts w:eastAsiaTheme="minorEastAsia"/>
          <w:b/>
          <w:bCs/>
        </w:rPr>
        <w:t>11</w:t>
      </w:r>
      <w:r>
        <w:rPr>
          <w:b/>
          <w:bCs/>
        </w:rPr>
        <w:t xml:space="preserve">. </w:t>
      </w:r>
      <w:bookmarkEnd w:id="41"/>
      <w:r>
        <w:rPr>
          <w:b/>
          <w:bCs/>
        </w:rPr>
        <w:t>Thermal desorption performance using 4</w:t>
      </w:r>
      <w:r>
        <w:rPr>
          <w:rFonts w:eastAsiaTheme="minorEastAsia"/>
          <w:b/>
          <w:bCs/>
        </w:rPr>
        <w:t>-</w:t>
      </w:r>
      <w:r>
        <w:rPr>
          <w:b/>
          <w:bCs/>
        </w:rPr>
        <w:t>MeBP</w:t>
      </w:r>
      <w:r>
        <w:rPr>
          <w:b/>
          <w:bCs/>
          <w:vertAlign w:val="superscript"/>
        </w:rPr>
        <w:t>+</w:t>
      </w:r>
      <w:r>
        <w:rPr>
          <w:b/>
          <w:bCs/>
        </w:rPr>
        <w:t xml:space="preserve"> as a probe ion</w:t>
      </w:r>
      <w:r>
        <w:t xml:space="preserve"> </w:t>
      </w:r>
      <w:r>
        <w:rPr>
          <w:b/>
          <w:bCs/>
        </w:rPr>
        <w:t>and charge desorption performance using TBA</w:t>
      </w:r>
      <w:r>
        <w:rPr>
          <w:rFonts w:eastAsiaTheme="minorEastAsia"/>
          <w:b/>
          <w:bCs/>
          <w:vertAlign w:val="superscript"/>
        </w:rPr>
        <w:t>+</w:t>
      </w:r>
      <w:r>
        <w:rPr>
          <w:b/>
          <w:bCs/>
        </w:rPr>
        <w:t xml:space="preserve"> as a probe ion.</w:t>
      </w:r>
      <w:bookmarkEnd w:id="42"/>
      <w:r>
        <w:rPr>
          <w:rFonts w:eastAsiaTheme="minorEastAsia"/>
          <w:b/>
          <w:bCs/>
        </w:rPr>
        <w:t xml:space="preserve"> </w:t>
      </w:r>
    </w:p>
    <w:p w14:paraId="6C54B960">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(a) Bond cleavage of 4-MeBP</w:t>
      </w:r>
      <w:r>
        <w:rPr>
          <w:rFonts w:ascii="Times New Roman" w:hAnsi="Times New Roman" w:cs="Times New Roman"/>
          <w:color w:val="000000" w:themeColor="text1"/>
          <w:sz w:val="24"/>
          <w:vertAlign w:val="superscript"/>
          <w14:textFill>
            <w14:solidFill>
              <w14:schemeClr w14:val="tx1"/>
            </w14:solidFill>
          </w14:textFill>
        </w:rPr>
        <w:t>+</w:t>
      </w:r>
      <w:r>
        <w:rPr>
          <w:rFonts w:ascii="Times New Roman" w:hAnsi="Times New Roman" w:cs="Times New Roman"/>
          <w:color w:val="000000" w:themeColor="text1"/>
          <w:sz w:val="24"/>
          <w14:textFill>
            <w14:solidFill>
              <w14:schemeClr w14:val="tx1"/>
            </w14:solidFill>
          </w14:textFill>
        </w:rPr>
        <w:t xml:space="preserve"> resulting in the formation of 4-MeB</w:t>
      </w:r>
      <w:r>
        <w:rPr>
          <w:rFonts w:ascii="Times New Roman" w:hAnsi="Times New Roman" w:cs="Times New Roman"/>
          <w:color w:val="000000" w:themeColor="text1"/>
          <w:sz w:val="24"/>
          <w:vertAlign w:val="superscript"/>
          <w14:textFill>
            <w14:solidFill>
              <w14:schemeClr w14:val="tx1"/>
            </w14:solidFill>
          </w14:textFill>
        </w:rPr>
        <w:t>+</w:t>
      </w:r>
      <w:r>
        <w:rPr>
          <w:rFonts w:ascii="Times New Roman" w:hAnsi="Times New Roman" w:cs="Times New Roman"/>
          <w:color w:val="000000" w:themeColor="text1"/>
          <w:sz w:val="24"/>
          <w14:textFill>
            <w14:solidFill>
              <w14:schemeClr w14:val="tx1"/>
            </w14:solidFill>
          </w14:textFill>
        </w:rPr>
        <w:t xml:space="preserve"> and pyridine. (b) Total ion intensity of 4-MeBP</w:t>
      </w:r>
      <w:r>
        <w:rPr>
          <w:rFonts w:ascii="Times New Roman" w:hAnsi="Times New Roman" w:cs="Times New Roman"/>
          <w:color w:val="000000" w:themeColor="text1"/>
          <w:sz w:val="24"/>
          <w:vertAlign w:val="superscript"/>
          <w14:textFill>
            <w14:solidFill>
              <w14:schemeClr w14:val="tx1"/>
            </w14:solidFill>
          </w14:textFill>
        </w:rPr>
        <w:t>+</w:t>
      </w:r>
      <w:r>
        <w:rPr>
          <w:rFonts w:ascii="Times New Roman" w:hAnsi="Times New Roman" w:cs="Times New Roman"/>
          <w:color w:val="000000" w:themeColor="text1"/>
          <w:sz w:val="24"/>
          <w14:textFill>
            <w14:solidFill>
              <w14:schemeClr w14:val="tx1"/>
            </w14:solidFill>
          </w14:textFill>
        </w:rPr>
        <w:t xml:space="preserve"> detected on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-0/2/5 with 65% laser energy. (c) Total ion intensity of 4-MeBP</w:t>
      </w:r>
      <w:r>
        <w:rPr>
          <w:rFonts w:ascii="Times New Roman" w:hAnsi="Times New Roman" w:cs="Times New Roman"/>
          <w:color w:val="000000" w:themeColor="text1"/>
          <w:sz w:val="24"/>
          <w:vertAlign w:val="superscript"/>
          <w14:textFill>
            <w14:solidFill>
              <w14:schemeClr w14:val="tx1"/>
            </w14:solidFill>
          </w14:textFill>
        </w:rPr>
        <w:t>+</w:t>
      </w:r>
      <w:r>
        <w:rPr>
          <w:rFonts w:ascii="Times New Roman" w:hAnsi="Times New Roman" w:cs="Times New Roman"/>
          <w:color w:val="000000" w:themeColor="text1"/>
          <w:sz w:val="24"/>
          <w14:textFill>
            <w14:solidFill>
              <w14:schemeClr w14:val="tx1"/>
            </w14:solidFill>
          </w14:textFill>
        </w:rPr>
        <w:t xml:space="preserve"> on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at different relative laser energies. (d) Total ion intensity of TBA</w:t>
      </w:r>
      <w:r>
        <w:rPr>
          <w:rFonts w:ascii="Times New Roman" w:hAnsi="Times New Roman" w:cs="Times New Roman"/>
          <w:color w:val="000000" w:themeColor="text1"/>
          <w:sz w:val="24"/>
          <w:vertAlign w:val="superscript"/>
          <w14:textFill>
            <w14:solidFill>
              <w14:schemeClr w14:val="tx1"/>
            </w14:solidFill>
          </w14:textFill>
        </w:rPr>
        <w:t>+</w:t>
      </w:r>
      <w:r>
        <w:rPr>
          <w:rFonts w:ascii="Times New Roman" w:hAnsi="Times New Roman" w:cs="Times New Roman"/>
          <w:color w:val="000000" w:themeColor="text1"/>
          <w:sz w:val="24"/>
          <w14:textFill>
            <w14:solidFill>
              <w14:schemeClr w14:val="tx1"/>
            </w14:solidFill>
          </w14:textFill>
        </w:rPr>
        <w:t xml:space="preserve"> on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-0/2/5.</w:t>
      </w:r>
    </w:p>
    <w:p w14:paraId="3697FD7C">
      <w:pPr>
        <w:adjustRightInd w:val="0"/>
        <w:snapToGrid w:val="0"/>
        <w:spacing w:beforeLines="0" w:afterLines="0" w:line="480" w:lineRule="auto"/>
        <w:ind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4-MeBP</w:t>
      </w:r>
      <w:r>
        <w:rPr>
          <w:rFonts w:ascii="Times New Roman" w:hAnsi="Times New Roman" w:cs="Times New Roman"/>
          <w:color w:val="000000" w:themeColor="text1"/>
          <w:sz w:val="24"/>
          <w:vertAlign w:val="superscript"/>
          <w14:textFill>
            <w14:solidFill>
              <w14:schemeClr w14:val="tx1"/>
            </w14:solidFill>
          </w14:textFill>
        </w:rPr>
        <w:t>+</w:t>
      </w:r>
      <w:r>
        <w:rPr>
          <w:rFonts w:ascii="Times New Roman" w:hAnsi="Times New Roman" w:cs="Times New Roman"/>
          <w:color w:val="000000" w:themeColor="text1"/>
          <w:sz w:val="24"/>
          <w14:textFill>
            <w14:solidFill>
              <w14:schemeClr w14:val="tx1"/>
            </w14:solidFill>
          </w14:textFill>
        </w:rPr>
        <w:t xml:space="preserve"> was selected as a thermometer ion because benzylpyridinium salts undergo a simple and well-defined bond-cleavage pathway, allowing internal energy transfer during desorption to be assessed from characteristic fragmentation. Under laser irradiation, no diagnostic thermal-fragmentation product of 4-MeBP</w:t>
      </w:r>
      <w:r>
        <w:rPr>
          <w:rFonts w:ascii="Times New Roman" w:hAnsi="Times New Roman" w:cs="Times New Roman"/>
          <w:color w:val="000000" w:themeColor="text1"/>
          <w:sz w:val="24"/>
          <w:vertAlign w:val="superscript"/>
          <w14:textFill>
            <w14:solidFill>
              <w14:schemeClr w14:val="tx1"/>
            </w14:solidFill>
          </w14:textFill>
        </w:rPr>
        <w:t>+</w:t>
      </w:r>
      <w:r>
        <w:rPr>
          <w:rFonts w:ascii="Times New Roman" w:hAnsi="Times New Roman" w:cs="Times New Roman"/>
          <w:color w:val="000000" w:themeColor="text1"/>
          <w:sz w:val="24"/>
          <w14:textFill>
            <w14:solidFill>
              <w14:schemeClr w14:val="tx1"/>
            </w14:solidFill>
          </w14:textFill>
        </w:rPr>
        <w:t xml:space="preserve"> is observed, indicating that photothermal dissociation is not dominant in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-assisted LDI. By contrast, TBA</w:t>
      </w:r>
      <w:r>
        <w:rPr>
          <w:rFonts w:ascii="Times New Roman" w:hAnsi="Times New Roman" w:cs="Times New Roman"/>
          <w:color w:val="000000" w:themeColor="text1"/>
          <w:sz w:val="24"/>
          <w:vertAlign w:val="superscript"/>
          <w14:textFill>
            <w14:solidFill>
              <w14:schemeClr w14:val="tx1"/>
            </w14:solidFill>
          </w14:textFill>
        </w:rPr>
        <w:t>+</w:t>
      </w:r>
      <w:r>
        <w:rPr>
          <w:rFonts w:ascii="Times New Roman" w:hAnsi="Times New Roman" w:cs="Times New Roman"/>
          <w:color w:val="000000" w:themeColor="text1"/>
          <w:sz w:val="24"/>
          <w14:textFill>
            <w14:solidFill>
              <w14:schemeClr w14:val="tx1"/>
            </w14:solidFill>
          </w14:textFill>
        </w:rPr>
        <w:t xml:space="preserve"> was used as a charge-desorption probe because it is a permanently charged, non-protonatable cation, and its signal enhancement therefore cannot be attributed to protonation chemistry. Together, these probes distinguish thermal activation from charge-mediated desorption and indicate that the enhanced LDI performance of vacancy-cluster-rich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 xml:space="preserve"> is not primarily governed by photothermal heating.</w:t>
      </w:r>
    </w:p>
    <w:p w14:paraId="5B8E0552">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5049520" cy="2840990"/>
            <wp:effectExtent l="0" t="0" r="0" b="0"/>
            <wp:docPr id="14419128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1282" name="图片 15"/>
                    <pic:cNvPicPr>
                      <a:picLocks noChangeAspect="1"/>
                    </pic:cNvPicPr>
                  </pic:nvPicPr>
                  <pic:blipFill>
                    <a:blip r:embed="rId17">
                      <a:clrChange>
                        <a:clrFrom>
                          <a:srgbClr val="FDFDFE"/>
                        </a:clrFrom>
                        <a:clrTo>
                          <a:srgbClr val="FDFDFE">
                            <a:alpha val="0"/>
                          </a:srgbClr>
                        </a:clrTo>
                      </a:clrChange>
                    </a:blip>
                    <a:stretch>
                      <a:fillRect/>
                    </a:stretch>
                  </pic:blipFill>
                  <pic:spPr>
                    <a:xfrm>
                      <a:off x="0" y="0"/>
                      <a:ext cx="5072674" cy="2854432"/>
                    </a:xfrm>
                    <a:prstGeom prst="rect">
                      <a:avLst/>
                    </a:prstGeom>
                  </pic:spPr>
                </pic:pic>
              </a:graphicData>
            </a:graphic>
          </wp:inline>
        </w:drawing>
      </w:r>
    </w:p>
    <w:p w14:paraId="7B208256">
      <w:pPr>
        <w:pStyle w:val="39"/>
        <w:adjustRightInd w:val="0"/>
        <w:snapToGrid w:val="0"/>
        <w:spacing w:before="0" w:beforeLines="0" w:after="0" w:afterLines="0" w:line="480" w:lineRule="auto"/>
        <w:rPr>
          <w:rFonts w:eastAsiaTheme="minorEastAsia"/>
          <w:b/>
          <w:bCs/>
        </w:rPr>
      </w:pPr>
      <w:bookmarkStart w:id="44" w:name="_Toc229846956"/>
      <w:r>
        <w:rPr>
          <w:b/>
          <w:bCs/>
        </w:rPr>
        <w:t>Supplementary Fig. 1</w:t>
      </w:r>
      <w:r>
        <w:rPr>
          <w:rFonts w:eastAsiaTheme="minorEastAsia"/>
          <w:b/>
          <w:bCs/>
        </w:rPr>
        <w:t>2</w:t>
      </w:r>
      <w:r>
        <w:rPr>
          <w:b/>
          <w:bCs/>
        </w:rPr>
        <w:t>. Comparative photothermal conversion performance of MoO</w:t>
      </w:r>
      <w:r>
        <w:rPr>
          <w:b/>
          <w:bCs/>
          <w:vertAlign w:val="subscript"/>
        </w:rPr>
        <w:t>x</w:t>
      </w:r>
      <w:r>
        <w:rPr>
          <w:b/>
          <w:bCs/>
        </w:rPr>
        <w:t>-0/2/5.</w:t>
      </w:r>
      <w:bookmarkEnd w:id="44"/>
    </w:p>
    <w:p w14:paraId="694A87E5">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(a) Schematic illustration of photothermal imaging. (b) Temperature evolution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-0/2/5 under continuous 355 nm irradiation. (c) Corresponding thermal images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-0/2/5 under continuous 355 nm irradiation.</w:t>
      </w:r>
    </w:p>
    <w:p w14:paraId="43C24029">
      <w:pPr>
        <w:adjustRightInd w:val="0"/>
        <w:snapToGrid w:val="0"/>
        <w:spacing w:beforeLines="0" w:afterLines="0" w:line="480" w:lineRule="auto"/>
        <w:ind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Temperature evolution and thermal images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-2, and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were recorded under continuous laser irradiation. The temperature increase remains gradual across the tested time window, with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showing only a modest rise after prolonged irradiation. These data indicate that irradiation induces only limited photothermal accumulation under the present conditions and provide a thermal profile consistent with the absence of 4-MeBP⁺ fragmentation.</w:t>
      </w:r>
    </w:p>
    <w:p w14:paraId="150F3482">
      <w:pPr>
        <w:adjustRightInd/>
        <w:snapToGrid/>
        <w:ind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br w:type="page"/>
      </w:r>
    </w:p>
    <w:p w14:paraId="00479E8C">
      <w:pPr>
        <w:adjustRightInd w:val="0"/>
        <w:snapToGrid w:val="0"/>
        <w:spacing w:beforeLines="0" w:afterLines="0" w:line="480" w:lineRule="auto"/>
        <w:ind w:firstLine="240" w:firstLineChars="100"/>
        <w:rPr>
          <w:rFonts w:ascii="Times New Roman" w:hAnsi="Times New Roman" w:cs="Times New Roman"/>
          <w:color w:val="000000" w:themeColor="text1"/>
          <w:sz w:val="24"/>
          <w14:textFill>
            <w14:solidFill>
              <w14:schemeClr w14:val="tx1"/>
            </w14:solidFill>
          </w14:textFill>
        </w:rPr>
      </w:pPr>
    </w:p>
    <w:p w14:paraId="3E0AC35E">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4467860" cy="1694180"/>
            <wp:effectExtent l="0" t="0" r="8890" b="1270"/>
            <wp:docPr id="80169840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698401" name="图片 12"/>
                    <pic:cNvPicPr>
                      <a:picLocks noChangeAspect="1"/>
                    </pic:cNvPicPr>
                  </pic:nvPicPr>
                  <pic:blipFill>
                    <a:blip r:embed="rId18"/>
                    <a:stretch>
                      <a:fillRect/>
                    </a:stretch>
                  </pic:blipFill>
                  <pic:spPr>
                    <a:xfrm>
                      <a:off x="0" y="0"/>
                      <a:ext cx="4479845" cy="1698927"/>
                    </a:xfrm>
                    <a:prstGeom prst="rect">
                      <a:avLst/>
                    </a:prstGeom>
                  </pic:spPr>
                </pic:pic>
              </a:graphicData>
            </a:graphic>
          </wp:inline>
        </w:drawing>
      </w:r>
    </w:p>
    <w:p w14:paraId="28E6F2D3">
      <w:pPr>
        <w:pStyle w:val="39"/>
        <w:adjustRightInd w:val="0"/>
        <w:snapToGrid w:val="0"/>
        <w:spacing w:before="0" w:beforeLines="0" w:after="0" w:afterLines="0" w:line="480" w:lineRule="auto"/>
        <w:rPr>
          <w:b/>
          <w:bCs/>
        </w:rPr>
      </w:pPr>
      <w:bookmarkStart w:id="45" w:name="_Toc229846957"/>
      <w:r>
        <w:rPr>
          <w:b/>
          <w:bCs/>
        </w:rPr>
        <w:t>Supplementary Fig. 1</w:t>
      </w:r>
      <w:r>
        <w:rPr>
          <w:rFonts w:eastAsiaTheme="minorEastAsia"/>
          <w:b/>
          <w:bCs/>
        </w:rPr>
        <w:t>3</w:t>
      </w:r>
      <w:r>
        <w:rPr>
          <w:b/>
          <w:bCs/>
        </w:rPr>
        <w:t>. (a) Photoluminescence (PL) and (b) time-resolved photoluminescence (TRPL) of MoO</w:t>
      </w:r>
      <w:r>
        <w:rPr>
          <w:b/>
          <w:bCs/>
          <w:vertAlign w:val="subscript"/>
        </w:rPr>
        <w:t>x</w:t>
      </w:r>
      <w:r>
        <w:rPr>
          <w:b/>
          <w:bCs/>
        </w:rPr>
        <w:t>-0/2/5.</w:t>
      </w:r>
      <w:bookmarkEnd w:id="45"/>
    </w:p>
    <w:p w14:paraId="13678161">
      <w:pPr>
        <w:adjustRightInd w:val="0"/>
        <w:snapToGrid w:val="0"/>
        <w:spacing w:beforeLines="0" w:afterLines="0" w:line="480" w:lineRule="auto"/>
        <w:ind w:firstLine="0" w:firstLineChars="0"/>
        <w:rPr>
          <w:rFonts w:ascii="Times New Roman" w:hAnsi="Times New Roman" w:cs="Times New Roman"/>
        </w:rPr>
      </w:pPr>
      <w:r>
        <w:rPr>
          <w:rFonts w:ascii="Times New Roman" w:hAnsi="Times New Roman" w:cs="Times New Roman"/>
          <w:kern w:val="44"/>
          <w:sz w:val="24"/>
          <w:szCs w:val="24"/>
        </w:rPr>
        <w:t>PL and TRPL measurements were used here as complementary probes of early-stage excited-state dynamics in the MoO</w:t>
      </w:r>
      <w:r>
        <w:rPr>
          <w:rFonts w:ascii="Times New Roman" w:hAnsi="Times New Roman" w:cs="Times New Roman"/>
          <w:kern w:val="44"/>
          <w:sz w:val="24"/>
          <w:szCs w:val="24"/>
          <w:vertAlign w:val="subscript"/>
        </w:rPr>
        <w:t>x</w:t>
      </w:r>
      <w:r>
        <w:rPr>
          <w:rFonts w:ascii="Times New Roman" w:hAnsi="Times New Roman" w:cs="Times New Roman"/>
          <w:kern w:val="44"/>
          <w:sz w:val="24"/>
          <w:szCs w:val="24"/>
        </w:rPr>
        <w:t xml:space="preserve"> series. The strongly quenched PL of MoO</w:t>
      </w:r>
      <w:r>
        <w:rPr>
          <w:rFonts w:ascii="Times New Roman" w:hAnsi="Times New Roman" w:cs="Times New Roman"/>
          <w:kern w:val="44"/>
          <w:sz w:val="24"/>
          <w:szCs w:val="24"/>
          <w:vertAlign w:val="subscript"/>
        </w:rPr>
        <w:t>x</w:t>
      </w:r>
      <w:r>
        <w:rPr>
          <w:rFonts w:ascii="Times New Roman" w:hAnsi="Times New Roman" w:cs="Times New Roman"/>
          <w:kern w:val="44"/>
          <w:sz w:val="24"/>
          <w:szCs w:val="24"/>
        </w:rPr>
        <w:t>-5 indicates that radiative recombination is effectively suppressed in the vacancy-cluster-rich state. Importantly, this PL quenching is accompanied by a monotonic increase in the average TRPL lifetime from 2.402 ns for MoO</w:t>
      </w:r>
      <w:r>
        <w:rPr>
          <w:rFonts w:ascii="Times New Roman" w:hAnsi="Times New Roman" w:cs="Times New Roman"/>
          <w:kern w:val="44"/>
          <w:sz w:val="24"/>
          <w:szCs w:val="24"/>
          <w:vertAlign w:val="subscript"/>
        </w:rPr>
        <w:t>x</w:t>
      </w:r>
      <w:r>
        <w:rPr>
          <w:rFonts w:ascii="Times New Roman" w:hAnsi="Times New Roman" w:cs="Times New Roman"/>
          <w:kern w:val="44"/>
          <w:sz w:val="24"/>
          <w:szCs w:val="24"/>
        </w:rPr>
        <w:t>-0 to 2.808 ns for MoO</w:t>
      </w:r>
      <w:r>
        <w:rPr>
          <w:rFonts w:ascii="Times New Roman" w:hAnsi="Times New Roman" w:cs="Times New Roman"/>
          <w:kern w:val="44"/>
          <w:sz w:val="24"/>
          <w:szCs w:val="24"/>
          <w:vertAlign w:val="subscript"/>
        </w:rPr>
        <w:t>x</w:t>
      </w:r>
      <w:r>
        <w:rPr>
          <w:rFonts w:ascii="Times New Roman" w:hAnsi="Times New Roman" w:cs="Times New Roman"/>
          <w:kern w:val="44"/>
          <w:sz w:val="24"/>
          <w:szCs w:val="24"/>
        </w:rPr>
        <w:t>-2 and 2.981 ns for MoO</w:t>
      </w:r>
      <w:r>
        <w:rPr>
          <w:rFonts w:ascii="Times New Roman" w:hAnsi="Times New Roman" w:cs="Times New Roman"/>
          <w:kern w:val="44"/>
          <w:sz w:val="24"/>
          <w:szCs w:val="24"/>
          <w:vertAlign w:val="subscript"/>
        </w:rPr>
        <w:t>x</w:t>
      </w:r>
      <w:r>
        <w:rPr>
          <w:rFonts w:ascii="Times New Roman" w:hAnsi="Times New Roman" w:cs="Times New Roman"/>
          <w:kern w:val="44"/>
          <w:sz w:val="24"/>
          <w:szCs w:val="24"/>
        </w:rPr>
        <w:t xml:space="preserve">-5, showing that the excited-state carrier population persists progressively longer before recombination as the defect state evolves from vacancy-lean to vacancy-cluster-rich. </w:t>
      </w:r>
      <w:r>
        <w:rPr>
          <w:rFonts w:hint="eastAsia" w:ascii="Times New Roman" w:hAnsi="Times New Roman" w:cs="Times New Roman"/>
          <w:kern w:val="44"/>
          <w:sz w:val="24"/>
          <w:szCs w:val="24"/>
        </w:rPr>
        <w:t>T</w:t>
      </w:r>
      <w:r>
        <w:rPr>
          <w:rFonts w:ascii="Times New Roman" w:hAnsi="Times New Roman" w:cs="Times New Roman"/>
          <w:kern w:val="44"/>
          <w:sz w:val="24"/>
          <w:szCs w:val="24"/>
        </w:rPr>
        <w:t>he longer decay lifetime does not simply indicate weaker emission, but instead supports reduced prompt carrier loss after excitation and a more favorable kinetic condition for subsequent surface charge accumulation.</w:t>
      </w:r>
    </w:p>
    <w:p w14:paraId="451A3917">
      <w:pPr>
        <w:adjustRightInd w:val="0"/>
        <w:snapToGrid w:val="0"/>
        <w:spacing w:beforeLines="0" w:afterLines="0" w:line="480" w:lineRule="auto"/>
        <w:jc w:val="cente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drawing>
          <wp:inline distT="0" distB="0" distL="0" distR="0">
            <wp:extent cx="5731510" cy="3978910"/>
            <wp:effectExtent l="0" t="0" r="2540" b="2540"/>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19"/>
                    <a:stretch>
                      <a:fillRect/>
                    </a:stretch>
                  </pic:blipFill>
                  <pic:spPr>
                    <a:xfrm>
                      <a:off x="0" y="0"/>
                      <a:ext cx="5731510" cy="3978910"/>
                    </a:xfrm>
                    <a:prstGeom prst="rect">
                      <a:avLst/>
                    </a:prstGeom>
                  </pic:spPr>
                </pic:pic>
              </a:graphicData>
            </a:graphic>
          </wp:inline>
        </w:drawing>
      </w:r>
    </w:p>
    <w:p w14:paraId="1883B17F">
      <w:pPr>
        <w:pStyle w:val="39"/>
        <w:adjustRightInd w:val="0"/>
        <w:snapToGrid w:val="0"/>
        <w:spacing w:before="0" w:beforeLines="0" w:after="0" w:afterLines="0" w:line="480" w:lineRule="auto"/>
        <w:rPr>
          <w:rFonts w:eastAsiaTheme="minorEastAsia"/>
          <w:b/>
          <w:bCs/>
        </w:rPr>
      </w:pPr>
      <w:bookmarkStart w:id="46" w:name="_Toc229846958"/>
      <w:r>
        <w:rPr>
          <w:b/>
          <w:bCs/>
        </w:rPr>
        <w:t>Supplementary Fig. 1</w:t>
      </w:r>
      <w:r>
        <w:rPr>
          <w:rFonts w:eastAsiaTheme="minorEastAsia"/>
          <w:b/>
          <w:bCs/>
        </w:rPr>
        <w:t>4</w:t>
      </w:r>
      <w:r>
        <w:rPr>
          <w:b/>
          <w:bCs/>
        </w:rPr>
        <w:t xml:space="preserve">. Transient </w:t>
      </w:r>
      <w:r>
        <w:rPr>
          <w:rFonts w:eastAsiaTheme="minorEastAsia"/>
          <w:b/>
          <w:bCs/>
        </w:rPr>
        <w:t>a</w:t>
      </w:r>
      <w:r>
        <w:rPr>
          <w:b/>
          <w:bCs/>
        </w:rPr>
        <w:t xml:space="preserve">bsorption </w:t>
      </w:r>
      <w:r>
        <w:rPr>
          <w:rFonts w:eastAsiaTheme="minorEastAsia"/>
          <w:b/>
          <w:bCs/>
        </w:rPr>
        <w:t>s</w:t>
      </w:r>
      <w:r>
        <w:rPr>
          <w:b/>
          <w:bCs/>
        </w:rPr>
        <w:t>pectroscopy (</w:t>
      </w:r>
      <w:r>
        <w:rPr>
          <w:rFonts w:eastAsiaTheme="minorEastAsia"/>
          <w:b/>
          <w:bCs/>
        </w:rPr>
        <w:t>TAS</w:t>
      </w:r>
      <w:r>
        <w:rPr>
          <w:b/>
          <w:bCs/>
        </w:rPr>
        <w:t>) of MoO</w:t>
      </w:r>
      <w:r>
        <w:rPr>
          <w:b/>
          <w:bCs/>
          <w:vertAlign w:val="subscript"/>
        </w:rPr>
        <w:t>x</w:t>
      </w:r>
      <w:r>
        <w:rPr>
          <w:b/>
          <w:bCs/>
        </w:rPr>
        <w:t>-0</w:t>
      </w:r>
      <w:r>
        <w:rPr>
          <w:rFonts w:hint="eastAsia" w:eastAsiaTheme="minorEastAsia"/>
          <w:b/>
          <w:bCs/>
        </w:rPr>
        <w:t xml:space="preserve">, </w:t>
      </w:r>
      <w:r>
        <w:rPr>
          <w:b/>
          <w:bCs/>
        </w:rPr>
        <w:t>MoO</w:t>
      </w:r>
      <w:r>
        <w:rPr>
          <w:b/>
          <w:bCs/>
          <w:vertAlign w:val="subscript"/>
        </w:rPr>
        <w:t>x</w:t>
      </w:r>
      <w:r>
        <w:rPr>
          <w:b/>
          <w:bCs/>
        </w:rPr>
        <w:t>-2</w:t>
      </w:r>
      <w:r>
        <w:rPr>
          <w:rFonts w:hint="eastAsia" w:eastAsiaTheme="minorEastAsia"/>
          <w:b/>
          <w:bCs/>
        </w:rPr>
        <w:t xml:space="preserve"> and </w:t>
      </w:r>
      <w:r>
        <w:rPr>
          <w:b/>
          <w:bCs/>
        </w:rPr>
        <w:t>MoO</w:t>
      </w:r>
      <w:r>
        <w:rPr>
          <w:b/>
          <w:bCs/>
          <w:vertAlign w:val="subscript"/>
        </w:rPr>
        <w:t>x</w:t>
      </w:r>
      <w:r>
        <w:rPr>
          <w:b/>
          <w:bCs/>
        </w:rPr>
        <w:t>-</w:t>
      </w:r>
      <w:r>
        <w:rPr>
          <w:rFonts w:hint="eastAsia" w:eastAsiaTheme="minorEastAsia"/>
          <w:b/>
          <w:bCs/>
        </w:rPr>
        <w:t>5</w:t>
      </w:r>
      <w:r>
        <w:rPr>
          <w:b/>
          <w:bCs/>
        </w:rPr>
        <w:t>.</w:t>
      </w:r>
      <w:bookmarkEnd w:id="46"/>
    </w:p>
    <w:p w14:paraId="2192E5D3">
      <w:pPr>
        <w:adjustRightInd w:val="0"/>
        <w:snapToGrid w:val="0"/>
        <w:spacing w:beforeLines="0" w:afterLines="0" w:line="480" w:lineRule="auto"/>
        <w:ind w:firstLine="0" w:firstLineChars="0"/>
        <w:rPr>
          <w:rFonts w:hint="eastAsia"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TAS in the 400-800 nm shows a clear defect-configuration-dependent acceleration of excited-state relaxation across the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 xml:space="preserve"> series. The fitted decay components decrease progressively from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to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-2 and further to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while the corresponding contour maps show increasingly pronounced visible-region transient features, especially in the ~500-650 nm. These results indicate that oxygen-vacancy introduction, particularly vacancy cluster</w:t>
      </w:r>
      <w:r>
        <w:rPr>
          <w:rFonts w:hint="eastAsia" w:ascii="Times New Roman" w:hAnsi="Times New Roman" w:cs="Times New Roman"/>
          <w:color w:val="000000" w:themeColor="text1"/>
          <w:sz w:val="24"/>
          <w14:textFill>
            <w14:solidFill>
              <w14:schemeClr w14:val="tx1"/>
            </w14:solidFill>
          </w14:textFill>
        </w:rPr>
        <w:t>s</w:t>
      </w:r>
      <w:r>
        <w:rPr>
          <w:rFonts w:ascii="Times New Roman" w:hAnsi="Times New Roman" w:cs="Times New Roman"/>
          <w:color w:val="000000" w:themeColor="text1"/>
          <w:sz w:val="24"/>
          <w14:textFill>
            <w14:solidFill>
              <w14:schemeClr w14:val="tx1"/>
            </w14:solidFill>
          </w14:textFill>
        </w:rPr>
        <w:t>, accelerates the redistribution of the initially excited population into defect-associated intermediate states. The comparison therefore shows that point vacancies already establish a defect-coupled excited-state pathway, whereas vacancy cluster</w:t>
      </w:r>
      <w:r>
        <w:rPr>
          <w:rFonts w:hint="eastAsia" w:ascii="Times New Roman" w:hAnsi="Times New Roman" w:cs="Times New Roman"/>
          <w:color w:val="000000" w:themeColor="text1"/>
          <w:sz w:val="24"/>
          <w14:textFill>
            <w14:solidFill>
              <w14:schemeClr w14:val="tx1"/>
            </w14:solidFill>
          </w14:textFill>
        </w:rPr>
        <w:t>s</w:t>
      </w:r>
      <w:r>
        <w:rPr>
          <w:rFonts w:ascii="Times New Roman" w:hAnsi="Times New Roman" w:cs="Times New Roman"/>
          <w:color w:val="000000" w:themeColor="text1"/>
          <w:sz w:val="24"/>
          <w14:textFill>
            <w14:solidFill>
              <w14:schemeClr w14:val="tx1"/>
            </w14:solidFill>
          </w14:textFill>
        </w:rPr>
        <w:t xml:space="preserve"> strengthen this process further and produces the most effective excited-state reorganization.</w:t>
      </w:r>
      <w:r>
        <w:rPr>
          <w:rFonts w:hint="eastAsia" w:ascii="Times New Roman" w:hAnsi="Times New Roman"/>
        </w:rPr>
        <w:t xml:space="preserve"> </w:t>
      </w:r>
      <w:r>
        <w:rPr>
          <w:rFonts w:hint="eastAsia" w:ascii="Times New Roman" w:hAnsi="Times New Roman" w:cs="Times New Roman"/>
          <w:color w:val="000000" w:themeColor="text1"/>
          <w:sz w:val="24"/>
          <w14:textFill>
            <w14:solidFill>
              <w14:schemeClr w14:val="tx1"/>
            </w14:solidFill>
          </w14:textFill>
        </w:rPr>
        <w:t>Supplementary Fig. 14e-g MoO</w:t>
      </w:r>
      <w:r>
        <w:rPr>
          <w:rFonts w:ascii="Times New Roman" w:hAnsi="Times New Roman" w:cs="Times New Roman"/>
          <w:color w:val="000000" w:themeColor="text1"/>
          <w:sz w:val="24"/>
          <w:vertAlign w:val="subscript"/>
          <w14:textFill>
            <w14:solidFill>
              <w14:schemeClr w14:val="tx1"/>
            </w14:solidFill>
          </w14:textFill>
        </w:rPr>
        <w:t>x</w:t>
      </w:r>
      <w:r>
        <w:rPr>
          <w:rFonts w:hint="eastAsia" w:ascii="Times New Roman" w:hAnsi="Times New Roman" w:cs="Times New Roman"/>
          <w:color w:val="000000" w:themeColor="text1"/>
          <w:sz w:val="24"/>
          <w14:textFill>
            <w14:solidFill>
              <w14:schemeClr w14:val="tx1"/>
            </w14:solidFill>
          </w14:textFill>
        </w:rPr>
        <w:t>-0 shows weak visible transient modulation with broad, low intensity features that gradually attenuate over the measured delay window, indicating limited defect coupled carrier perturbation in the vacancy lean state. MoO</w:t>
      </w:r>
      <w:r>
        <w:rPr>
          <w:rFonts w:ascii="Times New Roman" w:hAnsi="Times New Roman" w:cs="Times New Roman"/>
          <w:color w:val="000000" w:themeColor="text1"/>
          <w:sz w:val="24"/>
          <w:vertAlign w:val="subscript"/>
          <w14:textFill>
            <w14:solidFill>
              <w14:schemeClr w14:val="tx1"/>
            </w14:solidFill>
          </w14:textFill>
        </w:rPr>
        <w:t>x</w:t>
      </w:r>
      <w:r>
        <w:rPr>
          <w:rFonts w:hint="eastAsia" w:ascii="Times New Roman" w:hAnsi="Times New Roman" w:cs="Times New Roman"/>
          <w:color w:val="000000" w:themeColor="text1"/>
          <w:sz w:val="24"/>
          <w14:textFill>
            <w14:solidFill>
              <w14:schemeClr w14:val="tx1"/>
            </w14:solidFill>
          </w14:textFill>
        </w:rPr>
        <w:t>-2 displays more discernible photoinduced absorption across the visible region, especially within the 500 to 600 nm range, suggesting that isolated point vacancies begin to couple with carrier relaxation and introduce intermediate defect related transient features. In MoO</w:t>
      </w:r>
      <w:r>
        <w:rPr>
          <w:rFonts w:ascii="Times New Roman" w:hAnsi="Times New Roman" w:cs="Times New Roman"/>
          <w:color w:val="000000" w:themeColor="text1"/>
          <w:sz w:val="24"/>
          <w:vertAlign w:val="subscript"/>
          <w14:textFill>
            <w14:solidFill>
              <w14:schemeClr w14:val="tx1"/>
            </w14:solidFill>
          </w14:textFill>
        </w:rPr>
        <w:t>x</w:t>
      </w:r>
      <w:r>
        <w:rPr>
          <w:rFonts w:hint="eastAsia" w:ascii="Times New Roman" w:hAnsi="Times New Roman" w:cs="Times New Roman"/>
          <w:color w:val="000000" w:themeColor="text1"/>
          <w:sz w:val="24"/>
          <w14:textFill>
            <w14:solidFill>
              <w14:schemeClr w14:val="tx1"/>
            </w14:solidFill>
          </w14:textFill>
        </w:rPr>
        <w:t>-5, the transient response becomes the strongest and most structured, with pronounced visible region photoinduced absorption and clearer long wavelength evolution between approximately 650 and 750 nm. This progressive spectral evolution from weak transient modulation in MoO</w:t>
      </w:r>
      <w:r>
        <w:rPr>
          <w:rFonts w:ascii="Times New Roman" w:hAnsi="Times New Roman" w:cs="Times New Roman"/>
          <w:color w:val="000000" w:themeColor="text1"/>
          <w:sz w:val="24"/>
          <w:vertAlign w:val="subscript"/>
          <w14:textFill>
            <w14:solidFill>
              <w14:schemeClr w14:val="tx1"/>
            </w14:solidFill>
          </w14:textFill>
        </w:rPr>
        <w:t>x</w:t>
      </w:r>
      <w:r>
        <w:rPr>
          <w:rFonts w:hint="eastAsia" w:ascii="Times New Roman" w:hAnsi="Times New Roman" w:cs="Times New Roman"/>
          <w:color w:val="000000" w:themeColor="text1"/>
          <w:sz w:val="24"/>
          <w14:textFill>
            <w14:solidFill>
              <w14:schemeClr w14:val="tx1"/>
            </w14:solidFill>
          </w14:textFill>
        </w:rPr>
        <w:t>-0, through point defect coupled response in MoO</w:t>
      </w:r>
      <w:r>
        <w:rPr>
          <w:rFonts w:ascii="Times New Roman" w:hAnsi="Times New Roman" w:cs="Times New Roman"/>
          <w:color w:val="000000" w:themeColor="text1"/>
          <w:sz w:val="24"/>
          <w:vertAlign w:val="subscript"/>
          <w14:textFill>
            <w14:solidFill>
              <w14:schemeClr w14:val="tx1"/>
            </w14:solidFill>
          </w14:textFill>
        </w:rPr>
        <w:t>x</w:t>
      </w:r>
      <w:r>
        <w:rPr>
          <w:rFonts w:hint="eastAsia" w:ascii="Times New Roman" w:hAnsi="Times New Roman" w:cs="Times New Roman"/>
          <w:color w:val="000000" w:themeColor="text1"/>
          <w:sz w:val="24"/>
          <w14:textFill>
            <w14:solidFill>
              <w14:schemeClr w14:val="tx1"/>
            </w14:solidFill>
          </w14:textFill>
        </w:rPr>
        <w:t>-2, to the strongly modulated spectra of MoO</w:t>
      </w:r>
      <w:r>
        <w:rPr>
          <w:rFonts w:ascii="Times New Roman" w:hAnsi="Times New Roman" w:cs="Times New Roman"/>
          <w:color w:val="000000" w:themeColor="text1"/>
          <w:sz w:val="24"/>
          <w:vertAlign w:val="subscript"/>
          <w14:textFill>
            <w14:solidFill>
              <w14:schemeClr w14:val="tx1"/>
            </w14:solidFill>
          </w14:textFill>
        </w:rPr>
        <w:t>x</w:t>
      </w:r>
      <w:r>
        <w:rPr>
          <w:rFonts w:hint="eastAsia" w:ascii="Times New Roman" w:hAnsi="Times New Roman" w:cs="Times New Roman"/>
          <w:color w:val="000000" w:themeColor="text1"/>
          <w:sz w:val="24"/>
          <w14:textFill>
            <w14:solidFill>
              <w14:schemeClr w14:val="tx1"/>
            </w14:solidFill>
          </w14:textFill>
        </w:rPr>
        <w:t>-5 supports a defect state dependent evolution of photogenerated carrier dynamics, in which the vacancy-clustered state produces the most prominent transient spectral response. These selected-delay spectra provide direct spectral line evidence that complements the pseudo-colour fs TAS maps and supports the carrier dynamics analysis discussed in the main text.</w:t>
      </w:r>
    </w:p>
    <w:p w14:paraId="137F5199">
      <w:pPr>
        <w:adjustRightInd/>
        <w:snapToGrid/>
        <w:ind w:firstLine="0" w:firstLineChars="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br w:type="page"/>
      </w:r>
    </w:p>
    <w:p w14:paraId="1A006F90">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4082415" cy="3001010"/>
            <wp:effectExtent l="0" t="0" r="0" b="8890"/>
            <wp:docPr id="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pic:cNvPicPr>
                      <a:picLocks noChangeAspect="1"/>
                    </pic:cNvPicPr>
                  </pic:nvPicPr>
                  <pic:blipFill>
                    <a:blip r:embed="rId20"/>
                    <a:stretch>
                      <a:fillRect/>
                    </a:stretch>
                  </pic:blipFill>
                  <pic:spPr>
                    <a:xfrm>
                      <a:off x="0" y="0"/>
                      <a:ext cx="4102917" cy="3015738"/>
                    </a:xfrm>
                    <a:prstGeom prst="rect">
                      <a:avLst/>
                    </a:prstGeom>
                  </pic:spPr>
                </pic:pic>
              </a:graphicData>
            </a:graphic>
          </wp:inline>
        </w:drawing>
      </w:r>
    </w:p>
    <w:p w14:paraId="1858995E">
      <w:pPr>
        <w:pStyle w:val="39"/>
        <w:adjustRightInd w:val="0"/>
        <w:snapToGrid w:val="0"/>
        <w:spacing w:before="0" w:beforeLines="0" w:after="0" w:afterLines="0" w:line="480" w:lineRule="auto"/>
        <w:rPr>
          <w:rFonts w:eastAsiaTheme="minorEastAsia"/>
          <w:b/>
          <w:bCs/>
        </w:rPr>
      </w:pPr>
      <w:bookmarkStart w:id="47" w:name="_Toc229846959"/>
      <w:r>
        <w:rPr>
          <w:b/>
          <w:bCs/>
        </w:rPr>
        <w:t>Supplementary Fig. 1</w:t>
      </w:r>
      <w:r>
        <w:rPr>
          <w:rFonts w:eastAsiaTheme="minorEastAsia"/>
          <w:b/>
          <w:bCs/>
        </w:rPr>
        <w:t>5</w:t>
      </w:r>
      <w:r>
        <w:rPr>
          <w:b/>
          <w:bCs/>
        </w:rPr>
        <w:t xml:space="preserve">. In situ </w:t>
      </w:r>
      <w:r>
        <w:rPr>
          <w:rFonts w:eastAsiaTheme="minorEastAsia"/>
          <w:b/>
          <w:bCs/>
        </w:rPr>
        <w:t>e</w:t>
      </w:r>
      <w:r>
        <w:rPr>
          <w:b/>
          <w:bCs/>
        </w:rPr>
        <w:t>lectrochemical impedance spectroscopy (EIS) of MoO</w:t>
      </w:r>
      <w:r>
        <w:rPr>
          <w:b/>
          <w:bCs/>
          <w:vertAlign w:val="subscript"/>
        </w:rPr>
        <w:t>x</w:t>
      </w:r>
      <w:r>
        <w:rPr>
          <w:b/>
          <w:bCs/>
        </w:rPr>
        <w:t>-0/2/5 before and after 355 nm irradiation.</w:t>
      </w:r>
      <w:bookmarkEnd w:id="47"/>
    </w:p>
    <w:p w14:paraId="7169B18B">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(a) Schematic illustration of the electrochemical impedance measurement. (b-d) Electrochemical impedance results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-2, and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before and after laser irradiation at 355 nm.</w:t>
      </w:r>
    </w:p>
    <w:p w14:paraId="190EC597">
      <w:pPr>
        <w:adjustRightInd w:val="0"/>
        <w:snapToGrid w:val="0"/>
        <w:spacing w:beforeLines="0" w:afterLines="0" w:line="480" w:lineRule="auto"/>
        <w:ind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The interfacial charge-transfer resistance decreases progressively from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to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under dark conditions, indicating facilitated intrinsic charge transport with defect-state evolution. Under 355 nm irradiation, all samples show reduced Nyquist semicircle diameters, confirming light-accelerated charge transfer. The strongest photoresponse is observed for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 xml:space="preserve">-5, with </w:t>
      </w:r>
      <w:r>
        <w:rPr>
          <w:rFonts w:hint="eastAsia" w:ascii="Times New Roman" w:hAnsi="Times New Roman" w:cs="Times New Roman"/>
          <w:color w:val="000000" w:themeColor="text1"/>
          <w:sz w:val="24"/>
          <w14:textFill>
            <w14:solidFill>
              <w14:schemeClr w14:val="tx1"/>
            </w14:solidFill>
          </w14:textFill>
        </w:rPr>
        <w:t>Δ</w:t>
      </w:r>
      <w:r>
        <w:rPr>
          <w:rFonts w:ascii="Times New Roman" w:hAnsi="Times New Roman" w:cs="Times New Roman"/>
          <w:color w:val="000000" w:themeColor="text1"/>
          <w:sz w:val="24"/>
          <w14:textFill>
            <w14:solidFill>
              <w14:schemeClr w14:val="tx1"/>
            </w14:solidFill>
          </w14:textFill>
        </w:rPr>
        <w:t xml:space="preserve">Z decreasing from 68.89 </w:t>
      </w:r>
      <w:r>
        <w:rPr>
          <w:rFonts w:hint="eastAsia" w:ascii="Times New Roman" w:hAnsi="Times New Roman" w:cs="Times New Roman"/>
          <w:color w:val="000000" w:themeColor="text1"/>
          <w:sz w:val="24"/>
          <w14:textFill>
            <w14:solidFill>
              <w14:schemeClr w14:val="tx1"/>
            </w14:solidFill>
          </w14:textFill>
        </w:rPr>
        <w:t>Ω</w:t>
      </w:r>
      <w:r>
        <w:rPr>
          <w:rFonts w:ascii="Times New Roman" w:hAnsi="Times New Roman" w:cs="Times New Roman"/>
          <w:color w:val="000000" w:themeColor="text1"/>
          <w:sz w:val="24"/>
          <w14:textFill>
            <w14:solidFill>
              <w14:schemeClr w14:val="tx1"/>
            </w14:solidFill>
          </w14:textFill>
        </w:rPr>
        <w:t xml:space="preserve"> to 15.96 </w:t>
      </w:r>
      <w:r>
        <w:rPr>
          <w:rFonts w:hint="eastAsia" w:ascii="Times New Roman" w:hAnsi="Times New Roman" w:cs="Times New Roman"/>
          <w:color w:val="000000" w:themeColor="text1"/>
          <w:sz w:val="24"/>
          <w14:textFill>
            <w14:solidFill>
              <w14:schemeClr w14:val="tx1"/>
            </w14:solidFill>
          </w14:textFill>
        </w:rPr>
        <w:t>Ω</w:t>
      </w:r>
      <w:r>
        <w:rPr>
          <w:rFonts w:ascii="Times New Roman" w:hAnsi="Times New Roman" w:cs="Times New Roman"/>
          <w:color w:val="000000" w:themeColor="text1"/>
          <w:sz w:val="24"/>
          <w14:textFill>
            <w14:solidFill>
              <w14:schemeClr w14:val="tx1"/>
            </w14:solidFill>
          </w14:textFill>
        </w:rPr>
        <w:t>, whereas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 xml:space="preserve">-0 decreases only from 94.09 </w:t>
      </w:r>
      <w:r>
        <w:rPr>
          <w:rFonts w:hint="eastAsia" w:ascii="Times New Roman" w:hAnsi="Times New Roman" w:cs="Times New Roman"/>
          <w:color w:val="000000" w:themeColor="text1"/>
          <w:sz w:val="24"/>
          <w14:textFill>
            <w14:solidFill>
              <w14:schemeClr w14:val="tx1"/>
            </w14:solidFill>
          </w14:textFill>
        </w:rPr>
        <w:t>Ω</w:t>
      </w:r>
      <w:r>
        <w:rPr>
          <w:rFonts w:ascii="Times New Roman" w:hAnsi="Times New Roman" w:cs="Times New Roman"/>
          <w:color w:val="000000" w:themeColor="text1"/>
          <w:sz w:val="24"/>
          <w14:textFill>
            <w14:solidFill>
              <w14:schemeClr w14:val="tx1"/>
            </w14:solidFill>
          </w14:textFill>
        </w:rPr>
        <w:t xml:space="preserve"> to 76.15 </w:t>
      </w:r>
      <w:r>
        <w:rPr>
          <w:rFonts w:hint="eastAsia" w:ascii="Times New Roman" w:hAnsi="Times New Roman" w:cs="Times New Roman"/>
          <w:color w:val="000000" w:themeColor="text1"/>
          <w:sz w:val="24"/>
          <w14:textFill>
            <w14:solidFill>
              <w14:schemeClr w14:val="tx1"/>
            </w14:solidFill>
          </w14:textFill>
        </w:rPr>
        <w:t>Ω</w:t>
      </w:r>
      <w:r>
        <w:rPr>
          <w:rFonts w:ascii="Times New Roman" w:hAnsi="Times New Roman" w:cs="Times New Roman"/>
          <w:color w:val="000000" w:themeColor="text1"/>
          <w:sz w:val="24"/>
          <w14:textFill>
            <w14:solidFill>
              <w14:schemeClr w14:val="tx1"/>
            </w14:solidFill>
          </w14:textFill>
        </w:rPr>
        <w:t>. This behavior supports that the vacancy-cluster</w:t>
      </w:r>
      <w:r>
        <w:rPr>
          <w:rFonts w:hint="eastAsia" w:ascii="Times New Roman" w:hAnsi="Times New Roman" w:cs="Times New Roman"/>
          <w:color w:val="000000" w:themeColor="text1"/>
          <w:sz w:val="24"/>
          <w14:textFill>
            <w14:solidFill>
              <w14:schemeClr w14:val="tx1"/>
            </w14:solidFill>
          </w14:textFill>
        </w:rPr>
        <w:t>ed</w:t>
      </w:r>
      <w:r>
        <w:rPr>
          <w:rFonts w:ascii="Times New Roman" w:hAnsi="Times New Roman" w:cs="Times New Roman"/>
          <w:color w:val="000000" w:themeColor="text1"/>
          <w:sz w:val="24"/>
          <w14:textFill>
            <w14:solidFill>
              <w14:schemeClr w14:val="tx1"/>
            </w14:solidFill>
          </w14:textFill>
        </w:rPr>
        <w:t xml:space="preserve"> state combines lower baseline resistance with the strongest light-induced interfacial charge-transport enhancement.</w:t>
      </w:r>
    </w:p>
    <w:p w14:paraId="450747D8">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1732915" cy="1437640"/>
            <wp:effectExtent l="0" t="0" r="635" b="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1"/>
                    <a:stretch>
                      <a:fillRect/>
                    </a:stretch>
                  </pic:blipFill>
                  <pic:spPr>
                    <a:xfrm>
                      <a:off x="0" y="0"/>
                      <a:ext cx="1744692" cy="1447176"/>
                    </a:xfrm>
                    <a:prstGeom prst="rect">
                      <a:avLst/>
                    </a:prstGeom>
                  </pic:spPr>
                </pic:pic>
              </a:graphicData>
            </a:graphic>
          </wp:inline>
        </w:drawing>
      </w:r>
    </w:p>
    <w:p w14:paraId="435C0AF3">
      <w:pPr>
        <w:pStyle w:val="39"/>
        <w:adjustRightInd w:val="0"/>
        <w:snapToGrid w:val="0"/>
        <w:spacing w:before="0" w:beforeLines="0" w:after="0" w:afterLines="0" w:line="480" w:lineRule="auto"/>
        <w:rPr>
          <w:rFonts w:eastAsiaTheme="minorEastAsia"/>
          <w:b/>
          <w:bCs/>
        </w:rPr>
      </w:pPr>
      <w:bookmarkStart w:id="48" w:name="_Toc229846960"/>
      <w:r>
        <w:rPr>
          <w:b/>
          <w:bCs/>
        </w:rPr>
        <w:t>Supplementary Fig. 1</w:t>
      </w:r>
      <w:r>
        <w:rPr>
          <w:rFonts w:eastAsiaTheme="minorEastAsia"/>
          <w:b/>
          <w:bCs/>
        </w:rPr>
        <w:t>6</w:t>
      </w:r>
      <w:r>
        <w:rPr>
          <w:b/>
          <w:bCs/>
        </w:rPr>
        <w:t xml:space="preserve">. Transient </w:t>
      </w:r>
      <w:r>
        <w:rPr>
          <w:rFonts w:eastAsiaTheme="minorEastAsia"/>
          <w:b/>
          <w:bCs/>
        </w:rPr>
        <w:t>p</w:t>
      </w:r>
      <w:r>
        <w:rPr>
          <w:b/>
          <w:bCs/>
        </w:rPr>
        <w:t xml:space="preserve">hotocurrent </w:t>
      </w:r>
      <w:r>
        <w:rPr>
          <w:rFonts w:eastAsiaTheme="minorEastAsia"/>
          <w:b/>
          <w:bCs/>
        </w:rPr>
        <w:t>r</w:t>
      </w:r>
      <w:r>
        <w:rPr>
          <w:b/>
          <w:bCs/>
        </w:rPr>
        <w:t>esponse of MoO</w:t>
      </w:r>
      <w:r>
        <w:rPr>
          <w:b/>
          <w:bCs/>
          <w:vertAlign w:val="subscript"/>
        </w:rPr>
        <w:t>x</w:t>
      </w:r>
      <w:r>
        <w:rPr>
          <w:b/>
          <w:bCs/>
        </w:rPr>
        <w:t>-0/2/5.</w:t>
      </w:r>
      <w:bookmarkEnd w:id="48"/>
    </w:p>
    <w:p w14:paraId="454745A5">
      <w:pPr>
        <w:adjustRightInd w:val="0"/>
        <w:snapToGrid w:val="0"/>
        <w:spacing w:beforeLines="0" w:afterLines="0" w:line="480" w:lineRule="auto"/>
        <w:ind w:firstLine="240" w:firstLineChars="10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delivered the highest photocurrent intensity, followed by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-2 and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 xml:space="preserve">-0, demonstrating that </w:t>
      </w:r>
      <w:r>
        <w:rPr>
          <w:rFonts w:hint="eastAsia" w:ascii="Times New Roman" w:hAnsi="Times New Roman" w:cs="Times New Roman"/>
          <w:color w:val="000000" w:themeColor="text1"/>
          <w:sz w:val="24"/>
          <w14:textFill>
            <w14:solidFill>
              <w14:schemeClr w14:val="tx1"/>
            </w14:solidFill>
          </w14:textFill>
        </w:rPr>
        <w:t>defect-state evolution toward vacancy clusters promote photogenerated charge separation and transport</w:t>
      </w:r>
      <w:r>
        <w:rPr>
          <w:rFonts w:ascii="Times New Roman" w:hAnsi="Times New Roman" w:cs="Times New Roman"/>
          <w:color w:val="000000" w:themeColor="text1"/>
          <w:sz w:val="24"/>
          <w14:textFill>
            <w14:solidFill>
              <w14:schemeClr w14:val="tx1"/>
            </w14:solidFill>
          </w14:textFill>
        </w:rPr>
        <w:t>.</w:t>
      </w:r>
    </w:p>
    <w:p w14:paraId="45120323">
      <w:pPr>
        <w:adjustRightInd/>
        <w:snapToGrid/>
        <w:ind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br w:type="page"/>
      </w:r>
    </w:p>
    <w:p w14:paraId="2A0819C4">
      <w:pPr>
        <w:adjustRightInd w:val="0"/>
        <w:snapToGrid w:val="0"/>
        <w:spacing w:beforeLines="0" w:afterLines="0" w:line="480" w:lineRule="auto"/>
        <w:ind w:firstLine="240" w:firstLineChars="100"/>
        <w:rPr>
          <w:rFonts w:ascii="Times New Roman" w:hAnsi="Times New Roman" w:cs="Times New Roman"/>
          <w:color w:val="000000" w:themeColor="text1"/>
          <w:sz w:val="24"/>
          <w14:textFill>
            <w14:solidFill>
              <w14:schemeClr w14:val="tx1"/>
            </w14:solidFill>
          </w14:textFill>
        </w:rPr>
      </w:pPr>
    </w:p>
    <w:p w14:paraId="79344B75">
      <w:pPr>
        <w:adjustRightInd w:val="0"/>
        <w:snapToGrid w:val="0"/>
        <w:spacing w:beforeLines="0" w:afterLines="0" w:line="480" w:lineRule="auto"/>
        <w:jc w:val="center"/>
        <w:rPr>
          <w:rFonts w:ascii="Times New Roman" w:hAnsi="Times New Roman" w:cs="Times New Roman"/>
          <w:b/>
          <w:bCs/>
        </w:rPr>
      </w:pPr>
      <w:r>
        <w:rPr>
          <w:rFonts w:ascii="Times New Roman" w:hAnsi="Times New Roman"/>
        </w:rPr>
        <w:t xml:space="preserve"> </w:t>
      </w:r>
      <w:r>
        <w:rPr>
          <w:rFonts w:ascii="Times New Roman" w:hAnsi="Times New Roman"/>
        </w:rPr>
        <w:drawing>
          <wp:inline distT="0" distB="0" distL="0" distR="0">
            <wp:extent cx="2606675" cy="1870710"/>
            <wp:effectExtent l="0" t="0" r="3175" b="0"/>
            <wp:docPr id="1599191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19140" name="图片 1"/>
                    <pic:cNvPicPr>
                      <a:picLocks noChangeAspect="1"/>
                    </pic:cNvPicPr>
                  </pic:nvPicPr>
                  <pic:blipFill>
                    <a:blip r:embed="rId22"/>
                    <a:stretch>
                      <a:fillRect/>
                    </a:stretch>
                  </pic:blipFill>
                  <pic:spPr>
                    <a:xfrm>
                      <a:off x="0" y="0"/>
                      <a:ext cx="2612734" cy="1875460"/>
                    </a:xfrm>
                    <a:prstGeom prst="rect">
                      <a:avLst/>
                    </a:prstGeom>
                  </pic:spPr>
                </pic:pic>
              </a:graphicData>
            </a:graphic>
          </wp:inline>
        </w:drawing>
      </w:r>
    </w:p>
    <w:p w14:paraId="42EC9912">
      <w:pPr>
        <w:pStyle w:val="39"/>
        <w:adjustRightInd w:val="0"/>
        <w:snapToGrid w:val="0"/>
        <w:spacing w:before="0" w:beforeLines="0" w:after="0" w:afterLines="0" w:line="480" w:lineRule="auto"/>
        <w:rPr>
          <w:rFonts w:eastAsiaTheme="minorEastAsia"/>
          <w:b/>
          <w:bCs/>
        </w:rPr>
      </w:pPr>
      <w:bookmarkStart w:id="49" w:name="_Toc229846961"/>
      <w:r>
        <w:rPr>
          <w:b/>
          <w:bCs/>
        </w:rPr>
        <w:t>Supplementary Fig. 1</w:t>
      </w:r>
      <w:r>
        <w:rPr>
          <w:rFonts w:eastAsiaTheme="minorEastAsia"/>
          <w:b/>
          <w:bCs/>
        </w:rPr>
        <w:t>7</w:t>
      </w:r>
      <w:r>
        <w:rPr>
          <w:b/>
          <w:bCs/>
        </w:rPr>
        <w:t xml:space="preserve">. </w:t>
      </w:r>
      <w:bookmarkStart w:id="50" w:name="_Hlk219753548"/>
      <w:r>
        <w:rPr>
          <w:b/>
          <w:bCs/>
        </w:rPr>
        <w:t>Surface photovoltage spectroscopy</w:t>
      </w:r>
      <w:bookmarkEnd w:id="50"/>
      <w:r>
        <w:rPr>
          <w:b/>
          <w:bCs/>
        </w:rPr>
        <w:t xml:space="preserve"> of MoO</w:t>
      </w:r>
      <w:r>
        <w:rPr>
          <w:b/>
          <w:bCs/>
          <w:vertAlign w:val="subscript"/>
        </w:rPr>
        <w:t>x</w:t>
      </w:r>
      <w:r>
        <w:rPr>
          <w:b/>
          <w:bCs/>
        </w:rPr>
        <w:t>-0/2/5.</w:t>
      </w:r>
      <w:bookmarkEnd w:id="49"/>
    </w:p>
    <w:p w14:paraId="0BC8D6AB">
      <w:pPr>
        <w:adjustRightInd w:val="0"/>
        <w:snapToGrid w:val="0"/>
        <w:spacing w:beforeLines="0" w:afterLines="0" w:line="480" w:lineRule="auto"/>
        <w:ind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All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 xml:space="preserve"> samples exhibit SPV responses in the ~320 to 550 nm range, with the amplitude increasing from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to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-2 and reaching a maximum in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These spectra indicate progressively stronger photoinduced surface potential build-up as the defect state evolves toward vacancy cluster</w:t>
      </w:r>
      <w:r>
        <w:rPr>
          <w:rFonts w:hint="eastAsia" w:ascii="Times New Roman" w:hAnsi="Times New Roman" w:cs="Times New Roman"/>
          <w:color w:val="000000" w:themeColor="text1"/>
          <w:sz w:val="24"/>
          <w14:textFill>
            <w14:solidFill>
              <w14:schemeClr w14:val="tx1"/>
            </w14:solidFill>
          </w14:textFill>
        </w:rPr>
        <w:t>s</w:t>
      </w:r>
      <w:r>
        <w:rPr>
          <w:rFonts w:ascii="Times New Roman" w:hAnsi="Times New Roman" w:cs="Times New Roman"/>
          <w:color w:val="000000" w:themeColor="text1"/>
          <w:sz w:val="24"/>
          <w14:textFill>
            <w14:solidFill>
              <w14:schemeClr w14:val="tx1"/>
            </w14:solidFill>
          </w14:textFill>
        </w:rPr>
        <w:t>, supporting more effective conversion of photoexcitation into surface-directed charge accumulation.</w:t>
      </w:r>
    </w:p>
    <w:p w14:paraId="37E12323">
      <w:pPr>
        <w:adjustRightInd/>
        <w:snapToGrid/>
        <w:ind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br w:type="page"/>
      </w:r>
    </w:p>
    <w:p w14:paraId="7E033D1E">
      <w:pPr>
        <w:adjustRightInd w:val="0"/>
        <w:snapToGrid w:val="0"/>
        <w:spacing w:beforeLines="0" w:afterLines="0" w:line="480" w:lineRule="auto"/>
        <w:ind w:firstLine="240" w:firstLineChars="100"/>
        <w:rPr>
          <w:rFonts w:hint="default" w:ascii="Times New Roman" w:hAnsi="Times New Roman" w:cs="Times New Roman"/>
          <w:color w:val="000000" w:themeColor="text1"/>
          <w:sz w:val="24"/>
          <w14:textFill>
            <w14:solidFill>
              <w14:schemeClr w14:val="tx1"/>
            </w14:solidFill>
          </w14:textFill>
        </w:rPr>
      </w:pPr>
    </w:p>
    <w:p w14:paraId="0E6BC6DB">
      <w:pPr>
        <w:tabs>
          <w:tab w:val="left" w:pos="3261"/>
        </w:tabs>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4857750" cy="3078480"/>
            <wp:effectExtent l="0" t="0" r="0" b="7620"/>
            <wp:docPr id="158666702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667025" name="图片 51"/>
                    <pic:cNvPicPr>
                      <a:picLocks noChangeAspect="1"/>
                    </pic:cNvPicPr>
                  </pic:nvPicPr>
                  <pic:blipFill>
                    <a:blip r:embed="rId23"/>
                    <a:stretch>
                      <a:fillRect/>
                    </a:stretch>
                  </pic:blipFill>
                  <pic:spPr>
                    <a:xfrm>
                      <a:off x="0" y="0"/>
                      <a:ext cx="4879939" cy="3092538"/>
                    </a:xfrm>
                    <a:prstGeom prst="rect">
                      <a:avLst/>
                    </a:prstGeom>
                  </pic:spPr>
                </pic:pic>
              </a:graphicData>
            </a:graphic>
          </wp:inline>
        </w:drawing>
      </w:r>
    </w:p>
    <w:p w14:paraId="5DDACB60">
      <w:pPr>
        <w:pStyle w:val="39"/>
        <w:adjustRightInd w:val="0"/>
        <w:snapToGrid w:val="0"/>
        <w:spacing w:before="0" w:beforeLines="0" w:after="0" w:afterLines="0" w:line="480" w:lineRule="auto"/>
        <w:rPr>
          <w:b/>
          <w:bCs/>
          <w:color w:val="000000" w:themeColor="text1"/>
          <w14:textFill>
            <w14:solidFill>
              <w14:schemeClr w14:val="tx1"/>
            </w14:solidFill>
          </w14:textFill>
        </w:rPr>
      </w:pPr>
      <w:bookmarkStart w:id="51" w:name="_Toc229846962"/>
      <w:r>
        <w:rPr>
          <w:b/>
          <w:bCs/>
        </w:rPr>
        <w:t xml:space="preserve">Supplementary Fig. </w:t>
      </w:r>
      <w:r>
        <w:rPr>
          <w:rFonts w:eastAsiaTheme="minorEastAsia"/>
          <w:b/>
          <w:bCs/>
        </w:rPr>
        <w:t>18. K</w:t>
      </w:r>
      <w:r>
        <w:rPr>
          <w:b/>
          <w:bCs/>
        </w:rPr>
        <w:t>elvin probe force microscopy (KPFM)</w:t>
      </w:r>
      <w:r>
        <w:t xml:space="preserve"> </w:t>
      </w:r>
      <w:r>
        <w:rPr>
          <w:b/>
          <w:bCs/>
        </w:rPr>
        <w:t>mapping of MoO</w:t>
      </w:r>
      <w:r>
        <w:rPr>
          <w:rFonts w:eastAsiaTheme="minorEastAsia"/>
          <w:b/>
          <w:bCs/>
          <w:vertAlign w:val="subscript"/>
        </w:rPr>
        <w:t>x</w:t>
      </w:r>
      <w:r>
        <w:rPr>
          <w:b/>
          <w:bCs/>
        </w:rPr>
        <w:t>-0 and MoO</w:t>
      </w:r>
      <w:r>
        <w:rPr>
          <w:rFonts w:eastAsiaTheme="minorEastAsia"/>
          <w:b/>
          <w:bCs/>
          <w:vertAlign w:val="subscript"/>
        </w:rPr>
        <w:t>x</w:t>
      </w:r>
      <w:r>
        <w:rPr>
          <w:b/>
          <w:bCs/>
        </w:rPr>
        <w:t>-5 under dark and illumination conditions.</w:t>
      </w:r>
      <w:bookmarkEnd w:id="51"/>
    </w:p>
    <w:p w14:paraId="5C5278B9">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(a) KPFM images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under dark and laser irradiation conditions, showing a minor change in surface potential difference from 67.15 mV to 76.91 mV. (b) KPFM images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 xml:space="preserve">-5 </w:t>
      </w:r>
      <w:bookmarkStart w:id="52" w:name="_Hlk223852765"/>
      <w:r>
        <w:rPr>
          <w:rFonts w:ascii="Times New Roman" w:hAnsi="Times New Roman" w:cs="Times New Roman"/>
          <w:color w:val="000000" w:themeColor="text1"/>
          <w:sz w:val="24"/>
          <w14:textFill>
            <w14:solidFill>
              <w14:schemeClr w14:val="tx1"/>
            </w14:solidFill>
          </w14:textFill>
        </w:rPr>
        <w:t>under dark and laser irradiation</w:t>
      </w:r>
      <w:bookmarkEnd w:id="52"/>
      <w:r>
        <w:rPr>
          <w:rFonts w:ascii="Times New Roman" w:hAnsi="Times New Roman" w:cs="Times New Roman"/>
          <w:color w:val="000000" w:themeColor="text1"/>
          <w:sz w:val="24"/>
          <w14:textFill>
            <w14:solidFill>
              <w14:schemeClr w14:val="tx1"/>
            </w14:solidFill>
          </w14:textFill>
        </w:rPr>
        <w:t xml:space="preserve"> conditions. Insets show the corresponding surface-potential differences.</w:t>
      </w:r>
    </w:p>
    <w:p w14:paraId="34FED83A">
      <w:pPr>
        <w:adjustRightInd w:val="0"/>
        <w:snapToGrid w:val="0"/>
        <w:spacing w:beforeLines="0" w:afterLines="0" w:line="480" w:lineRule="auto"/>
        <w:ind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shows only a weak light-induced change in surface-potential difference, from 67.15 mV in the dark to 76.91 mV under illumination, whereas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exhibits both a larger dark-state potential contrast of 141.75 mV and a much stronger increase to 347.59 mV upon illumination. These results indicate that the vacancy-cluster</w:t>
      </w:r>
      <w:r>
        <w:rPr>
          <w:rFonts w:hint="eastAsia" w:ascii="Times New Roman" w:hAnsi="Times New Roman" w:cs="Times New Roman"/>
          <w:color w:val="000000" w:themeColor="text1"/>
          <w:sz w:val="24"/>
          <w14:textFill>
            <w14:solidFill>
              <w14:schemeClr w14:val="tx1"/>
            </w14:solidFill>
          </w14:textFill>
        </w:rPr>
        <w:t>ed</w:t>
      </w:r>
      <w:r>
        <w:rPr>
          <w:rFonts w:ascii="Times New Roman" w:hAnsi="Times New Roman" w:cs="Times New Roman"/>
          <w:color w:val="000000" w:themeColor="text1"/>
          <w:sz w:val="24"/>
          <w14:textFill>
            <w14:solidFill>
              <w14:schemeClr w14:val="tx1"/>
            </w14:solidFill>
          </w14:textFill>
        </w:rPr>
        <w:t xml:space="preserve"> state enhances not only static electronic polarization, but also dynamic photoinduced surface potential build-up, consistent with more effective surface charge accumulation.</w:t>
      </w:r>
    </w:p>
    <w:p w14:paraId="0FACC4EC">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color w:val="000000" w:themeColor="text1"/>
          <w:sz w:val="24"/>
          <w14:textFill>
            <w14:solidFill>
              <w14:schemeClr w14:val="tx1"/>
            </w14:solidFill>
          </w14:textFill>
        </w:rPr>
        <w:drawing>
          <wp:inline distT="0" distB="0" distL="0" distR="0">
            <wp:extent cx="3500755" cy="3392170"/>
            <wp:effectExtent l="0" t="0" r="4445" b="0"/>
            <wp:docPr id="2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pic:cNvPicPr>
                      <a:picLocks noChangeAspect="1"/>
                    </pic:cNvPicPr>
                  </pic:nvPicPr>
                  <pic:blipFill>
                    <a:blip r:embed="rId24"/>
                    <a:stretch>
                      <a:fillRect/>
                    </a:stretch>
                  </pic:blipFill>
                  <pic:spPr>
                    <a:xfrm>
                      <a:off x="0" y="0"/>
                      <a:ext cx="3510390" cy="3401298"/>
                    </a:xfrm>
                    <a:prstGeom prst="rect">
                      <a:avLst/>
                    </a:prstGeom>
                  </pic:spPr>
                </pic:pic>
              </a:graphicData>
            </a:graphic>
          </wp:inline>
        </w:drawing>
      </w:r>
    </w:p>
    <w:p w14:paraId="388CF635">
      <w:pPr>
        <w:pStyle w:val="39"/>
        <w:adjustRightInd w:val="0"/>
        <w:snapToGrid w:val="0"/>
        <w:spacing w:before="0" w:beforeLines="0" w:after="0" w:afterLines="0" w:line="480" w:lineRule="auto"/>
        <w:rPr>
          <w:rFonts w:eastAsiaTheme="minorEastAsia"/>
          <w:b/>
          <w:bCs/>
        </w:rPr>
      </w:pPr>
      <w:bookmarkStart w:id="53" w:name="_Toc229846963"/>
      <w:r>
        <w:rPr>
          <w:b/>
          <w:bCs/>
        </w:rPr>
        <w:t>Supplementary Fig. 1</w:t>
      </w:r>
      <w:r>
        <w:rPr>
          <w:rFonts w:eastAsiaTheme="minorEastAsia"/>
          <w:b/>
          <w:bCs/>
        </w:rPr>
        <w:t>9</w:t>
      </w:r>
      <w:r>
        <w:rPr>
          <w:b/>
          <w:bCs/>
        </w:rPr>
        <w:t xml:space="preserve">. In situ </w:t>
      </w:r>
      <w:r>
        <w:rPr>
          <w:rFonts w:eastAsiaTheme="minorEastAsia"/>
          <w:b/>
          <w:bCs/>
        </w:rPr>
        <w:t>XAFS</w:t>
      </w:r>
      <w:r>
        <w:rPr>
          <w:b/>
          <w:bCs/>
        </w:rPr>
        <w:t xml:space="preserve"> of MoO</w:t>
      </w:r>
      <w:r>
        <w:rPr>
          <w:b/>
          <w:bCs/>
          <w:vertAlign w:val="subscript"/>
        </w:rPr>
        <w:t>x</w:t>
      </w:r>
      <w:r>
        <w:rPr>
          <w:b/>
          <w:bCs/>
        </w:rPr>
        <w:t>-5.</w:t>
      </w:r>
      <w:bookmarkEnd w:id="53"/>
    </w:p>
    <w:p w14:paraId="7D81A17E">
      <w:pPr>
        <w:adjustRightInd w:val="0"/>
        <w:snapToGrid w:val="0"/>
        <w:spacing w:beforeLines="0" w:afterLines="0" w:line="480" w:lineRule="auto"/>
        <w:ind w:firstLine="0" w:firstLineChars="0"/>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In situ Mo K-edge XAFS spectra of MoO</w:t>
      </w:r>
      <w:r>
        <w:rPr>
          <w:rFonts w:ascii="Times New Roman" w:hAnsi="Times New Roman" w:cs="Times New Roman"/>
          <w:color w:val="000000" w:themeColor="text1"/>
          <w:sz w:val="24"/>
          <w:vertAlign w:val="subscript"/>
          <w14:textFill>
            <w14:solidFill>
              <w14:schemeClr w14:val="tx1"/>
            </w14:solidFill>
          </w14:textFill>
        </w:rPr>
        <w:t>x</w:t>
      </w:r>
      <w:r>
        <w:rPr>
          <w:rFonts w:hint="eastAsia" w:ascii="Times New Roman" w:hAnsi="Times New Roman" w:cs="Times New Roman"/>
          <w:color w:val="000000" w:themeColor="text1"/>
          <w:sz w:val="24"/>
          <w14:textFill>
            <w14:solidFill>
              <w14:schemeClr w14:val="tx1"/>
            </w14:solidFill>
          </w14:textFill>
        </w:rPr>
        <w:t>-5 were collected under dark and 355 nm irradiation conditions to support the light-responsive local coordination analysis discussed in the main text. The spectra include the corresponding XANES and FT-EXAFS profiles, together with the fitting results used to extract the Mo-O coordination parameters</w:t>
      </w:r>
      <w:r>
        <w:rPr>
          <w:rFonts w:ascii="Times New Roman" w:hAnsi="Times New Roman" w:cs="Times New Roman"/>
          <w:color w:val="000000" w:themeColor="text1"/>
          <w:sz w:val="24"/>
          <w14:textFill>
            <w14:solidFill>
              <w14:schemeClr w14:val="tx1"/>
            </w14:solidFill>
          </w14:textFill>
        </w:rPr>
        <w:t>.</w:t>
      </w:r>
    </w:p>
    <w:p w14:paraId="52F9F53C">
      <w:pPr>
        <w:adjustRightInd/>
        <w:snapToGrid/>
        <w:ind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br w:type="page"/>
      </w:r>
    </w:p>
    <w:p w14:paraId="225296CA">
      <w:pPr>
        <w:adjustRightInd w:val="0"/>
        <w:snapToGrid w:val="0"/>
        <w:spacing w:beforeLines="0" w:afterLines="0" w:line="480" w:lineRule="auto"/>
        <w:ind w:firstLine="240" w:firstLineChars="100"/>
        <w:rPr>
          <w:rFonts w:hint="default" w:ascii="Times New Roman" w:hAnsi="Times New Roman" w:cs="Times New Roman"/>
          <w:color w:val="000000" w:themeColor="text1"/>
          <w:sz w:val="24"/>
          <w14:textFill>
            <w14:solidFill>
              <w14:schemeClr w14:val="tx1"/>
            </w14:solidFill>
          </w14:textFill>
        </w:rPr>
      </w:pPr>
    </w:p>
    <w:p w14:paraId="12C8170D">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3380105" cy="1717675"/>
            <wp:effectExtent l="0" t="0" r="0" b="0"/>
            <wp:docPr id="21174996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499634" name="图片 5"/>
                    <pic:cNvPicPr>
                      <a:picLocks noChangeAspect="1"/>
                    </pic:cNvPicPr>
                  </pic:nvPicPr>
                  <pic:blipFill>
                    <a:blip r:embed="rId25"/>
                    <a:stretch>
                      <a:fillRect/>
                    </a:stretch>
                  </pic:blipFill>
                  <pic:spPr>
                    <a:xfrm>
                      <a:off x="0" y="0"/>
                      <a:ext cx="3419535" cy="1737547"/>
                    </a:xfrm>
                    <a:prstGeom prst="rect">
                      <a:avLst/>
                    </a:prstGeom>
                  </pic:spPr>
                </pic:pic>
              </a:graphicData>
            </a:graphic>
          </wp:inline>
        </w:drawing>
      </w:r>
    </w:p>
    <w:p w14:paraId="21290B64">
      <w:pPr>
        <w:pStyle w:val="39"/>
        <w:adjustRightInd w:val="0"/>
        <w:snapToGrid w:val="0"/>
        <w:spacing w:before="0" w:beforeLines="0" w:after="0" w:afterLines="0" w:line="480" w:lineRule="auto"/>
        <w:rPr>
          <w:rFonts w:eastAsiaTheme="minorEastAsia"/>
          <w:b/>
          <w:bCs/>
        </w:rPr>
      </w:pPr>
      <w:bookmarkStart w:id="54" w:name="_Toc229846964"/>
      <w:r>
        <w:rPr>
          <w:b/>
          <w:bCs/>
        </w:rPr>
        <w:t xml:space="preserve">Supplementary Fig. </w:t>
      </w:r>
      <w:r>
        <w:rPr>
          <w:rFonts w:eastAsiaTheme="minorEastAsia"/>
          <w:b/>
          <w:bCs/>
        </w:rPr>
        <w:t>20</w:t>
      </w:r>
      <w:r>
        <w:rPr>
          <w:b/>
          <w:bCs/>
        </w:rPr>
        <w:t xml:space="preserve">. In situ </w:t>
      </w:r>
      <w:r>
        <w:rPr>
          <w:rFonts w:eastAsiaTheme="minorEastAsia"/>
          <w:b/>
          <w:bCs/>
        </w:rPr>
        <w:t xml:space="preserve">EPR </w:t>
      </w:r>
      <w:r>
        <w:rPr>
          <w:b/>
          <w:bCs/>
        </w:rPr>
        <w:t>of MoO</w:t>
      </w:r>
      <w:r>
        <w:rPr>
          <w:b/>
          <w:bCs/>
          <w:vertAlign w:val="subscript"/>
        </w:rPr>
        <w:t>x</w:t>
      </w:r>
      <w:r>
        <w:rPr>
          <w:b/>
          <w:bCs/>
        </w:rPr>
        <w:t>-0/2/5</w:t>
      </w:r>
      <w:r>
        <w:t xml:space="preserve"> </w:t>
      </w:r>
      <w:r>
        <w:rPr>
          <w:b/>
          <w:bCs/>
        </w:rPr>
        <w:t>under laser irradiation.</w:t>
      </w:r>
      <w:bookmarkEnd w:id="54"/>
    </w:p>
    <w:p w14:paraId="48F2712F">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(a) Hole-related in situ EPR signals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-0/2/5 under irradiation. (b) OH-related radical signals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-0/2/5 under irradiation.</w:t>
      </w:r>
    </w:p>
    <w:p w14:paraId="30CE1A14">
      <w:pPr>
        <w:adjustRightInd w:val="0"/>
        <w:snapToGrid w:val="0"/>
        <w:spacing w:beforeLines="0" w:afterLines="0" w:line="480" w:lineRule="auto"/>
        <w:ind w:firstLine="0" w:firstLineChars="0"/>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T</w:t>
      </w:r>
      <w:r>
        <w:rPr>
          <w:rFonts w:ascii="Times New Roman" w:hAnsi="Times New Roman" w:cs="Times New Roman"/>
          <w:color w:val="000000" w:themeColor="text1"/>
          <w:sz w:val="24"/>
          <w14:textFill>
            <w14:solidFill>
              <w14:schemeClr w14:val="tx1"/>
            </w14:solidFill>
          </w14:textFill>
        </w:rPr>
        <w:t>he hole-related signal decreases from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to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whereas the OH-related signal increase</w:t>
      </w:r>
      <w:r>
        <w:rPr>
          <w:rFonts w:hint="eastAsia" w:ascii="Times New Roman" w:hAnsi="Times New Roman" w:cs="Times New Roman"/>
          <w:color w:val="000000" w:themeColor="text1"/>
          <w:sz w:val="24"/>
          <w14:textFill>
            <w14:solidFill>
              <w14:schemeClr w14:val="tx1"/>
            </w14:solidFill>
          </w14:textFill>
        </w:rPr>
        <w:t>s</w:t>
      </w:r>
      <w:r>
        <w:rPr>
          <w:rFonts w:ascii="Times New Roman" w:hAnsi="Times New Roman" w:cs="Times New Roman"/>
          <w:color w:val="000000" w:themeColor="text1"/>
          <w:sz w:val="24"/>
          <w14:textFill>
            <w14:solidFill>
              <w14:schemeClr w14:val="tx1"/>
            </w14:solidFill>
          </w14:textFill>
        </w:rPr>
        <w:t>. These results indicate that defect-state evolution strengthens light-triggered hole retention and promotes its coupling to surface hydroxyl activation, with the strongest response observed in the vacancy-cluster</w:t>
      </w:r>
      <w:r>
        <w:rPr>
          <w:rFonts w:hint="eastAsia" w:ascii="Times New Roman" w:hAnsi="Times New Roman" w:cs="Times New Roman"/>
          <w:color w:val="000000" w:themeColor="text1"/>
          <w:sz w:val="24"/>
          <w14:textFill>
            <w14:solidFill>
              <w14:schemeClr w14:val="tx1"/>
            </w14:solidFill>
          </w14:textFill>
        </w:rPr>
        <w:t>ed</w:t>
      </w:r>
      <w:r>
        <w:rPr>
          <w:rFonts w:ascii="Times New Roman" w:hAnsi="Times New Roman" w:cs="Times New Roman"/>
          <w:color w:val="000000" w:themeColor="text1"/>
          <w:sz w:val="24"/>
          <w14:textFill>
            <w14:solidFill>
              <w14:schemeClr w14:val="tx1"/>
            </w14:solidFill>
          </w14:textFill>
        </w:rPr>
        <w:t xml:space="preserve"> state.</w:t>
      </w:r>
    </w:p>
    <w:p w14:paraId="111F1263">
      <w:pPr>
        <w:adjustRightInd/>
        <w:snapToGrid/>
        <w:ind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br w:type="page"/>
      </w:r>
    </w:p>
    <w:p w14:paraId="5CDB626D">
      <w:pPr>
        <w:adjustRightInd w:val="0"/>
        <w:snapToGrid w:val="0"/>
        <w:spacing w:beforeLines="0" w:afterLines="0" w:line="480" w:lineRule="auto"/>
        <w:ind w:firstLine="240" w:firstLineChars="100"/>
        <w:rPr>
          <w:rFonts w:ascii="Times New Roman" w:hAnsi="Times New Roman" w:cs="Times New Roman"/>
          <w:color w:val="000000" w:themeColor="text1"/>
          <w:sz w:val="24"/>
          <w14:textFill>
            <w14:solidFill>
              <w14:schemeClr w14:val="tx1"/>
            </w14:solidFill>
          </w14:textFill>
        </w:rPr>
      </w:pPr>
    </w:p>
    <w:p w14:paraId="094EAC39">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4464050" cy="3473450"/>
            <wp:effectExtent l="0" t="0" r="0" b="0"/>
            <wp:docPr id="17318320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832075" name="图片 1"/>
                    <pic:cNvPicPr>
                      <a:picLocks noChangeAspect="1"/>
                    </pic:cNvPicPr>
                  </pic:nvPicPr>
                  <pic:blipFill>
                    <a:blip r:embed="rId26"/>
                    <a:stretch>
                      <a:fillRect/>
                    </a:stretch>
                  </pic:blipFill>
                  <pic:spPr>
                    <a:xfrm>
                      <a:off x="0" y="0"/>
                      <a:ext cx="4482133" cy="3487483"/>
                    </a:xfrm>
                    <a:prstGeom prst="rect">
                      <a:avLst/>
                    </a:prstGeom>
                  </pic:spPr>
                </pic:pic>
              </a:graphicData>
            </a:graphic>
          </wp:inline>
        </w:drawing>
      </w:r>
    </w:p>
    <w:p w14:paraId="32A4A596">
      <w:pPr>
        <w:pStyle w:val="39"/>
        <w:adjustRightInd w:val="0"/>
        <w:snapToGrid w:val="0"/>
        <w:spacing w:before="0" w:beforeLines="0" w:after="0" w:afterLines="0" w:line="480" w:lineRule="auto"/>
        <w:rPr>
          <w:b/>
          <w:bCs/>
        </w:rPr>
      </w:pPr>
      <w:bookmarkStart w:id="55" w:name="_Toc229846965"/>
      <w:r>
        <w:rPr>
          <w:b/>
          <w:bCs/>
        </w:rPr>
        <w:t xml:space="preserve">Supplementary Fig. </w:t>
      </w:r>
      <w:r>
        <w:rPr>
          <w:rFonts w:eastAsiaTheme="minorEastAsia"/>
          <w:b/>
          <w:bCs/>
        </w:rPr>
        <w:t>21</w:t>
      </w:r>
      <w:r>
        <w:rPr>
          <w:b/>
          <w:bCs/>
        </w:rPr>
        <w:t xml:space="preserve">. In situ </w:t>
      </w:r>
      <w:r>
        <w:rPr>
          <w:rFonts w:eastAsiaTheme="minorEastAsia"/>
          <w:b/>
          <w:bCs/>
        </w:rPr>
        <w:t>diffuse reflectance infrared Fourier transform spectroscopy</w:t>
      </w:r>
      <w:r>
        <w:rPr>
          <w:b/>
          <w:bCs/>
        </w:rPr>
        <w:t xml:space="preserve"> </w:t>
      </w:r>
      <w:r>
        <w:rPr>
          <w:rFonts w:eastAsiaTheme="minorEastAsia"/>
          <w:b/>
          <w:bCs/>
        </w:rPr>
        <w:t xml:space="preserve">(DRIFTS) </w:t>
      </w:r>
      <w:r>
        <w:rPr>
          <w:b/>
          <w:bCs/>
        </w:rPr>
        <w:t>of MoO</w:t>
      </w:r>
      <w:r>
        <w:rPr>
          <w:b/>
          <w:bCs/>
          <w:vertAlign w:val="subscript"/>
        </w:rPr>
        <w:t>x</w:t>
      </w:r>
      <w:r>
        <w:rPr>
          <w:b/>
          <w:bCs/>
        </w:rPr>
        <w:t>-0.</w:t>
      </w:r>
      <w:bookmarkEnd w:id="55"/>
    </w:p>
    <w:p w14:paraId="70111A2E">
      <w:pPr>
        <w:rPr>
          <w:b/>
          <w:bCs/>
        </w:rPr>
      </w:pPr>
      <w:r>
        <w:rPr>
          <w:b/>
          <w:bCs/>
        </w:rPr>
        <w:br w:type="page"/>
      </w:r>
    </w:p>
    <w:p w14:paraId="3850E9CF">
      <w:pPr>
        <w:pStyle w:val="39"/>
        <w:adjustRightInd w:val="0"/>
        <w:snapToGrid w:val="0"/>
        <w:spacing w:before="0" w:beforeLines="0" w:after="0" w:afterLines="0" w:line="480" w:lineRule="auto"/>
        <w:rPr>
          <w:b/>
          <w:bCs/>
        </w:rPr>
      </w:pPr>
    </w:p>
    <w:p w14:paraId="0E060D43">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4484370" cy="3545205"/>
            <wp:effectExtent l="0" t="0" r="0" b="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7"/>
                    <a:stretch>
                      <a:fillRect/>
                    </a:stretch>
                  </pic:blipFill>
                  <pic:spPr>
                    <a:xfrm>
                      <a:off x="0" y="0"/>
                      <a:ext cx="4496382" cy="3554861"/>
                    </a:xfrm>
                    <a:prstGeom prst="rect">
                      <a:avLst/>
                    </a:prstGeom>
                  </pic:spPr>
                </pic:pic>
              </a:graphicData>
            </a:graphic>
          </wp:inline>
        </w:drawing>
      </w:r>
    </w:p>
    <w:p w14:paraId="138DFC4D">
      <w:pPr>
        <w:pStyle w:val="39"/>
        <w:adjustRightInd w:val="0"/>
        <w:snapToGrid w:val="0"/>
        <w:spacing w:before="0" w:beforeLines="0" w:after="0" w:afterLines="0" w:line="480" w:lineRule="auto"/>
        <w:rPr>
          <w:b/>
          <w:bCs/>
        </w:rPr>
      </w:pPr>
      <w:bookmarkStart w:id="56" w:name="_Toc229846966"/>
      <w:r>
        <w:rPr>
          <w:b/>
          <w:bCs/>
        </w:rPr>
        <w:t xml:space="preserve">Supplementary Fig. </w:t>
      </w:r>
      <w:r>
        <w:rPr>
          <w:rFonts w:eastAsiaTheme="minorEastAsia"/>
          <w:b/>
          <w:bCs/>
        </w:rPr>
        <w:t>22</w:t>
      </w:r>
      <w:r>
        <w:rPr>
          <w:b/>
          <w:bCs/>
        </w:rPr>
        <w:t xml:space="preserve">. In situ </w:t>
      </w:r>
      <w:r>
        <w:rPr>
          <w:rFonts w:eastAsiaTheme="minorEastAsia"/>
          <w:b/>
          <w:bCs/>
        </w:rPr>
        <w:t>DRIFTS</w:t>
      </w:r>
      <w:r>
        <w:rPr>
          <w:b/>
          <w:bCs/>
        </w:rPr>
        <w:t xml:space="preserve"> of MoO</w:t>
      </w:r>
      <w:r>
        <w:rPr>
          <w:b/>
          <w:bCs/>
          <w:vertAlign w:val="subscript"/>
        </w:rPr>
        <w:t>x</w:t>
      </w:r>
      <w:r>
        <w:rPr>
          <w:b/>
          <w:bCs/>
        </w:rPr>
        <w:t>-</w:t>
      </w:r>
      <w:r>
        <w:rPr>
          <w:rFonts w:eastAsiaTheme="minorEastAsia"/>
          <w:b/>
          <w:bCs/>
        </w:rPr>
        <w:t>2</w:t>
      </w:r>
      <w:r>
        <w:rPr>
          <w:b/>
          <w:bCs/>
        </w:rPr>
        <w:t>.</w:t>
      </w:r>
      <w:bookmarkEnd w:id="56"/>
    </w:p>
    <w:p w14:paraId="18461955">
      <w:pPr>
        <w:rPr>
          <w:b/>
          <w:bCs/>
        </w:rPr>
      </w:pPr>
      <w:r>
        <w:rPr>
          <w:b/>
          <w:bCs/>
        </w:rPr>
        <w:br w:type="page"/>
      </w:r>
    </w:p>
    <w:p w14:paraId="785A92D6">
      <w:pPr>
        <w:pStyle w:val="39"/>
        <w:adjustRightInd w:val="0"/>
        <w:snapToGrid w:val="0"/>
        <w:spacing w:before="0" w:beforeLines="0" w:after="0" w:afterLines="0" w:line="480" w:lineRule="auto"/>
        <w:rPr>
          <w:b/>
          <w:bCs/>
        </w:rPr>
      </w:pPr>
    </w:p>
    <w:p w14:paraId="66882BCB">
      <w:pPr>
        <w:adjustRightInd w:val="0"/>
        <w:snapToGrid w:val="0"/>
        <w:spacing w:beforeLines="0" w:afterLines="0" w:line="480" w:lineRule="auto"/>
        <w:jc w:val="center"/>
        <w:rPr>
          <w:rFonts w:ascii="Times New Roman" w:hAnsi="Times New Roman" w:cs="Times New Roman"/>
          <w:b/>
          <w:bCs/>
        </w:rPr>
      </w:pPr>
      <w:r>
        <w:rPr>
          <w:rFonts w:ascii="Times New Roman" w:hAnsi="Times New Roman"/>
        </w:rPr>
        <w:t xml:space="preserve"> </w:t>
      </w:r>
      <w:r>
        <w:rPr>
          <w:rFonts w:ascii="Times New Roman" w:hAnsi="Times New Roman" w:cs="Times New Roman"/>
          <w:b/>
          <w:bCs/>
        </w:rPr>
        <w:drawing>
          <wp:inline distT="0" distB="0" distL="0" distR="0">
            <wp:extent cx="5327015" cy="2007235"/>
            <wp:effectExtent l="0" t="0" r="6985" b="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28"/>
                    <a:stretch>
                      <a:fillRect/>
                    </a:stretch>
                  </pic:blipFill>
                  <pic:spPr>
                    <a:xfrm>
                      <a:off x="0" y="0"/>
                      <a:ext cx="5340508" cy="2012305"/>
                    </a:xfrm>
                    <a:prstGeom prst="rect">
                      <a:avLst/>
                    </a:prstGeom>
                  </pic:spPr>
                </pic:pic>
              </a:graphicData>
            </a:graphic>
          </wp:inline>
        </w:drawing>
      </w:r>
    </w:p>
    <w:p w14:paraId="11050A47">
      <w:pPr>
        <w:pStyle w:val="39"/>
        <w:adjustRightInd w:val="0"/>
        <w:snapToGrid w:val="0"/>
        <w:spacing w:before="0" w:beforeLines="0" w:after="0" w:afterLines="0" w:line="480" w:lineRule="auto"/>
        <w:rPr>
          <w:rFonts w:eastAsiaTheme="minorEastAsia"/>
          <w:b/>
          <w:bCs/>
        </w:rPr>
      </w:pPr>
      <w:bookmarkStart w:id="57" w:name="_Toc229846967"/>
      <w:r>
        <w:rPr>
          <w:b/>
          <w:bCs/>
        </w:rPr>
        <w:t xml:space="preserve">Supplementary Fig. </w:t>
      </w:r>
      <w:r>
        <w:rPr>
          <w:rFonts w:eastAsiaTheme="minorEastAsia"/>
          <w:b/>
          <w:bCs/>
        </w:rPr>
        <w:t>23</w:t>
      </w:r>
      <w:r>
        <w:rPr>
          <w:b/>
          <w:bCs/>
        </w:rPr>
        <w:t xml:space="preserve">. In situ </w:t>
      </w:r>
      <w:r>
        <w:rPr>
          <w:rFonts w:eastAsiaTheme="minorEastAsia"/>
          <w:b/>
          <w:bCs/>
        </w:rPr>
        <w:t>DRIFTS</w:t>
      </w:r>
      <w:r>
        <w:rPr>
          <w:b/>
          <w:bCs/>
        </w:rPr>
        <w:t xml:space="preserve"> of MoO</w:t>
      </w:r>
      <w:r>
        <w:rPr>
          <w:b/>
          <w:bCs/>
          <w:vertAlign w:val="subscript"/>
        </w:rPr>
        <w:t>x</w:t>
      </w:r>
      <w:r>
        <w:rPr>
          <w:b/>
          <w:bCs/>
        </w:rPr>
        <w:t>-5.</w:t>
      </w:r>
      <w:bookmarkEnd w:id="57"/>
    </w:p>
    <w:p w14:paraId="61CB3BE2">
      <w:pPr>
        <w:adjustRightInd w:val="0"/>
        <w:snapToGrid w:val="0"/>
        <w:spacing w:beforeLines="0" w:afterLines="0" w:line="480" w:lineRule="auto"/>
        <w:ind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Supplementary Figs. 21 to 23 present the full</w:t>
      </w:r>
      <w:r>
        <w:rPr>
          <w:rFonts w:hint="eastAsia" w:ascii="Times New Roman" w:hAnsi="Times New Roman" w:cs="Times New Roman"/>
          <w:color w:val="000000" w:themeColor="text1"/>
          <w:sz w:val="24"/>
          <w14:textFill>
            <w14:solidFill>
              <w14:schemeClr w14:val="tx1"/>
            </w14:solidFill>
          </w14:textFill>
        </w:rPr>
        <w:t>-</w:t>
      </w:r>
      <w:r>
        <w:rPr>
          <w:rFonts w:ascii="Times New Roman" w:hAnsi="Times New Roman" w:cs="Times New Roman"/>
          <w:color w:val="000000" w:themeColor="text1"/>
          <w:sz w:val="24"/>
          <w14:textFill>
            <w14:solidFill>
              <w14:schemeClr w14:val="tx1"/>
            </w14:solidFill>
          </w14:textFill>
        </w:rPr>
        <w:t>time dependent DRIFTS datasets used to compare the interfacial spectral evolution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-2, and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During the irradiation stage,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shows only weak spectral changes, whereas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-2 displays clearer evolution of oxygenated surface features and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exhibits the most developed spectral response. After analyte addition, analyte associated vibrations become more evident, with the strongest spectral evolution observed on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The concurrent attenuation of oxygenated intermediate bands and growth of analyte associated bands in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records a more complete transition from light activated oxygenated surface chemistry to analyte coupled interfacial reactions. These spectra provide the full temporal DRIFTS evidence for the vacancy dependent interfacial chemistry discussed in the main text.</w:t>
      </w:r>
    </w:p>
    <w:p w14:paraId="433EA6A7">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4455160" cy="4476115"/>
            <wp:effectExtent l="0" t="0" r="2540" b="635"/>
            <wp:docPr id="6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5"/>
                    <pic:cNvPicPr>
                      <a:picLocks noChangeAspect="1"/>
                    </pic:cNvPicPr>
                  </pic:nvPicPr>
                  <pic:blipFill>
                    <a:blip r:embed="rId29"/>
                    <a:stretch>
                      <a:fillRect/>
                    </a:stretch>
                  </pic:blipFill>
                  <pic:spPr>
                    <a:xfrm>
                      <a:off x="0" y="0"/>
                      <a:ext cx="4470467" cy="4491765"/>
                    </a:xfrm>
                    <a:prstGeom prst="rect">
                      <a:avLst/>
                    </a:prstGeom>
                  </pic:spPr>
                </pic:pic>
              </a:graphicData>
            </a:graphic>
          </wp:inline>
        </w:drawing>
      </w:r>
    </w:p>
    <w:p w14:paraId="0915789F">
      <w:pPr>
        <w:pStyle w:val="39"/>
        <w:adjustRightInd w:val="0"/>
        <w:snapToGrid w:val="0"/>
        <w:spacing w:before="0" w:beforeLines="0" w:after="0" w:afterLines="0" w:line="480" w:lineRule="auto"/>
        <w:rPr>
          <w:rFonts w:eastAsiaTheme="minorEastAsia"/>
          <w:b/>
          <w:bCs/>
        </w:rPr>
      </w:pPr>
      <w:bookmarkStart w:id="58" w:name="_Toc229846968"/>
      <w:r>
        <w:rPr>
          <w:b/>
          <w:bCs/>
        </w:rPr>
        <w:t xml:space="preserve">Supplementary Fig. </w:t>
      </w:r>
      <w:r>
        <w:rPr>
          <w:rFonts w:eastAsiaTheme="minorEastAsia"/>
          <w:b/>
          <w:bCs/>
        </w:rPr>
        <w:t>24</w:t>
      </w:r>
      <w:r>
        <w:rPr>
          <w:b/>
          <w:bCs/>
        </w:rPr>
        <w:t>. In situ Raman spectra of MoO</w:t>
      </w:r>
      <w:r>
        <w:rPr>
          <w:b/>
          <w:bCs/>
          <w:vertAlign w:val="subscript"/>
        </w:rPr>
        <w:t>x</w:t>
      </w:r>
      <w:r>
        <w:rPr>
          <w:b/>
          <w:bCs/>
        </w:rPr>
        <w:t>-0/2/5.</w:t>
      </w:r>
      <w:bookmarkEnd w:id="58"/>
    </w:p>
    <w:p w14:paraId="3BFDB60A">
      <w:pPr>
        <w:adjustRightInd w:val="0"/>
        <w:snapToGrid w:val="0"/>
        <w:spacing w:beforeLines="0" w:afterLines="0" w:line="480" w:lineRule="auto"/>
        <w:ind w:firstLine="0" w:firstLineChars="0"/>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In situ Raman shows vacancy-dependent evolution of Mo-O and O-Mo-O vibrations under irradiation. MoO</w:t>
      </w:r>
      <w:r>
        <w:rPr>
          <w:rFonts w:ascii="Times New Roman" w:hAnsi="Times New Roman" w:cs="Times New Roman"/>
          <w:color w:val="000000" w:themeColor="text1"/>
          <w:sz w:val="24"/>
          <w:vertAlign w:val="subscript"/>
          <w14:textFill>
            <w14:solidFill>
              <w14:schemeClr w14:val="tx1"/>
            </w14:solidFill>
          </w14:textFill>
        </w:rPr>
        <w:t>x</w:t>
      </w:r>
      <w:r>
        <w:rPr>
          <w:rFonts w:hint="eastAsia" w:ascii="Times New Roman" w:hAnsi="Times New Roman" w:cs="Times New Roman"/>
          <w:color w:val="000000" w:themeColor="text1"/>
          <w:sz w:val="24"/>
          <w14:textFill>
            <w14:solidFill>
              <w14:schemeClr w14:val="tx1"/>
            </w14:solidFill>
          </w14:textFill>
        </w:rPr>
        <w:t>-5 exhibits the strongest Mo-O response and the slowest attenuation of the O-Mo-O vibration, indicating stabilization of an activated oxygenated surface state</w:t>
      </w:r>
      <w:r>
        <w:rPr>
          <w:rFonts w:ascii="Times New Roman" w:hAnsi="Times New Roman" w:cs="Times New Roman"/>
          <w:color w:val="000000" w:themeColor="text1"/>
          <w:sz w:val="24"/>
          <w14:textFill>
            <w14:solidFill>
              <w14:schemeClr w14:val="tx1"/>
            </w14:solidFill>
          </w14:textFill>
        </w:rPr>
        <w:t>.</w:t>
      </w:r>
    </w:p>
    <w:p w14:paraId="347B896C">
      <w:pPr>
        <w:adjustRightInd/>
        <w:snapToGrid/>
        <w:ind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br w:type="page"/>
      </w:r>
    </w:p>
    <w:p w14:paraId="78D83AEC">
      <w:pPr>
        <w:adjustRightInd w:val="0"/>
        <w:snapToGrid w:val="0"/>
        <w:spacing w:beforeLines="0" w:afterLines="0" w:line="480" w:lineRule="auto"/>
        <w:ind w:firstLine="240" w:firstLineChars="100"/>
        <w:rPr>
          <w:rFonts w:ascii="Times New Roman" w:hAnsi="Times New Roman" w:cs="Times New Roman"/>
          <w:color w:val="000000" w:themeColor="text1"/>
          <w:sz w:val="24"/>
          <w14:textFill>
            <w14:solidFill>
              <w14:schemeClr w14:val="tx1"/>
            </w14:solidFill>
          </w14:textFill>
        </w:rPr>
      </w:pPr>
    </w:p>
    <w:p w14:paraId="2DC02CA0">
      <w:pPr>
        <w:adjustRightInd w:val="0"/>
        <w:snapToGrid w:val="0"/>
        <w:spacing w:beforeLines="0" w:afterLines="0" w:line="480" w:lineRule="auto"/>
        <w:jc w:val="cente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drawing>
          <wp:inline distT="0" distB="0" distL="0" distR="0">
            <wp:extent cx="5731510" cy="1419225"/>
            <wp:effectExtent l="0" t="0" r="2540" b="9525"/>
            <wp:docPr id="20742092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209283" name="图片 1"/>
                    <pic:cNvPicPr>
                      <a:picLocks noChangeAspect="1"/>
                    </pic:cNvPicPr>
                  </pic:nvPicPr>
                  <pic:blipFill>
                    <a:blip r:embed="rId30"/>
                    <a:stretch>
                      <a:fillRect/>
                    </a:stretch>
                  </pic:blipFill>
                  <pic:spPr>
                    <a:xfrm>
                      <a:off x="0" y="0"/>
                      <a:ext cx="5731510" cy="1419225"/>
                    </a:xfrm>
                    <a:prstGeom prst="rect">
                      <a:avLst/>
                    </a:prstGeom>
                  </pic:spPr>
                </pic:pic>
              </a:graphicData>
            </a:graphic>
          </wp:inline>
        </w:drawing>
      </w:r>
    </w:p>
    <w:p w14:paraId="04A0C560">
      <w:pPr>
        <w:pStyle w:val="39"/>
        <w:adjustRightInd w:val="0"/>
        <w:snapToGrid w:val="0"/>
        <w:spacing w:before="0" w:beforeLines="0" w:after="0" w:afterLines="0" w:line="480" w:lineRule="auto"/>
        <w:rPr>
          <w:rFonts w:eastAsiaTheme="minorEastAsia"/>
          <w:b/>
          <w:bCs/>
        </w:rPr>
      </w:pPr>
      <w:bookmarkStart w:id="59" w:name="_Toc229846969"/>
      <w:r>
        <w:rPr>
          <w:b/>
          <w:bCs/>
        </w:rPr>
        <w:t xml:space="preserve">Supplementary Fig. </w:t>
      </w:r>
      <w:r>
        <w:rPr>
          <w:rFonts w:eastAsiaTheme="minorEastAsia"/>
          <w:b/>
          <w:bCs/>
        </w:rPr>
        <w:t>25</w:t>
      </w:r>
      <w:r>
        <w:rPr>
          <w:b/>
          <w:bCs/>
        </w:rPr>
        <w:t xml:space="preserve">. </w:t>
      </w:r>
      <w:r>
        <w:rPr>
          <w:rFonts w:eastAsiaTheme="minorEastAsia"/>
          <w:b/>
          <w:bCs/>
        </w:rPr>
        <w:t xml:space="preserve">Fs </w:t>
      </w:r>
      <w:r>
        <w:rPr>
          <w:b/>
          <w:bCs/>
        </w:rPr>
        <w:t>TAS of MoO</w:t>
      </w:r>
      <w:r>
        <w:rPr>
          <w:b/>
          <w:bCs/>
          <w:vertAlign w:val="subscript"/>
        </w:rPr>
        <w:t>x</w:t>
      </w:r>
      <w:r>
        <w:rPr>
          <w:b/>
          <w:bCs/>
        </w:rPr>
        <w:t xml:space="preserve">-5 and in situ </w:t>
      </w:r>
      <w:r>
        <w:rPr>
          <w:rFonts w:eastAsiaTheme="minorEastAsia"/>
          <w:b/>
          <w:bCs/>
        </w:rPr>
        <w:t xml:space="preserve">fs </w:t>
      </w:r>
      <w:r>
        <w:rPr>
          <w:b/>
          <w:bCs/>
        </w:rPr>
        <w:t xml:space="preserve">TAS of </w:t>
      </w:r>
      <w:r>
        <w:rPr>
          <w:rFonts w:eastAsiaTheme="minorEastAsia"/>
          <w:b/>
          <w:bCs/>
        </w:rPr>
        <w:t xml:space="preserve">the </w:t>
      </w:r>
      <w:r>
        <w:rPr>
          <w:rFonts w:hint="eastAsia" w:eastAsiaTheme="minorEastAsia"/>
          <w:b/>
          <w:bCs/>
        </w:rPr>
        <w:t>tryptophan</w:t>
      </w:r>
      <w:r>
        <w:rPr>
          <w:rFonts w:eastAsiaTheme="minorEastAsia"/>
          <w:b/>
          <w:bCs/>
        </w:rPr>
        <w:t xml:space="preserve">-adsorbed </w:t>
      </w:r>
      <w:r>
        <w:rPr>
          <w:b/>
          <w:bCs/>
        </w:rPr>
        <w:t>MoO</w:t>
      </w:r>
      <w:r>
        <w:rPr>
          <w:b/>
          <w:bCs/>
          <w:vertAlign w:val="subscript"/>
        </w:rPr>
        <w:t>x</w:t>
      </w:r>
      <w:r>
        <w:rPr>
          <w:b/>
          <w:bCs/>
        </w:rPr>
        <w:t>-5</w:t>
      </w:r>
      <w:r>
        <w:rPr>
          <w:rFonts w:eastAsiaTheme="minorEastAsia"/>
          <w:b/>
          <w:bCs/>
        </w:rPr>
        <w:t xml:space="preserve"> sample</w:t>
      </w:r>
      <w:r>
        <w:rPr>
          <w:b/>
          <w:bCs/>
        </w:rPr>
        <w:t>.</w:t>
      </w:r>
      <w:bookmarkEnd w:id="59"/>
    </w:p>
    <w:p w14:paraId="789ECAD5">
      <w:pPr>
        <w:adjustRightInd w:val="0"/>
        <w:snapToGrid w:val="0"/>
        <w:spacing w:beforeLines="0" w:afterLines="0" w:line="480" w:lineRule="auto"/>
        <w:ind w:firstLine="0" w:firstLineChars="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The 900-1500 nm transient absorption maps show that tryptophan adsorption induces a clear redistribution of the defect-associated NIR response of </w:t>
      </w:r>
      <w:r>
        <w:rPr>
          <w:rFonts w:ascii="Times New Roman" w:hAnsi="Times New Roman" w:cs="Times New Roman"/>
          <w:color w:val="000000" w:themeColor="text1"/>
          <w:sz w:val="24"/>
          <w14:textFill>
            <w14:solidFill>
              <w14:schemeClr w14:val="tx1"/>
            </w14:solidFill>
          </w14:textFill>
        </w:rPr>
        <w:t>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szCs w:val="24"/>
          <w14:textFill>
            <w14:solidFill>
              <w14:schemeClr w14:val="tx1"/>
            </w14:solidFill>
          </w14:textFill>
        </w:rPr>
        <w:t xml:space="preserve">-5. Compared with pristine </w:t>
      </w:r>
      <w:r>
        <w:rPr>
          <w:rFonts w:ascii="Times New Roman" w:hAnsi="Times New Roman" w:cs="Times New Roman"/>
          <w:color w:val="000000" w:themeColor="text1"/>
          <w:sz w:val="24"/>
          <w14:textFill>
            <w14:solidFill>
              <w14:schemeClr w14:val="tx1"/>
            </w14:solidFill>
          </w14:textFill>
        </w:rPr>
        <w:t>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szCs w:val="24"/>
          <w14:textFill>
            <w14:solidFill>
              <w14:schemeClr w14:val="tx1"/>
            </w14:solidFill>
          </w14:textFill>
        </w:rPr>
        <w:t xml:space="preserve"> 5, which exhibits a relatively localized transient feature near ~1180-1220 nm, the</w:t>
      </w:r>
      <w:r>
        <w:rPr>
          <w:rFonts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szCs w:val="24"/>
          <w14:textFill>
            <w14:solidFill>
              <w14:schemeClr w14:val="tx1"/>
            </w14:solidFill>
          </w14:textFill>
        </w:rPr>
        <w:t>tryptophan</w:t>
      </w:r>
      <w:r>
        <w:rPr>
          <w:rFonts w:ascii="Times New Roman" w:hAnsi="Times New Roman" w:cs="Times New Roman"/>
          <w:color w:val="000000" w:themeColor="text1"/>
          <w:sz w:val="24"/>
          <w14:textFill>
            <w14:solidFill>
              <w14:schemeClr w14:val="tx1"/>
            </w14:solidFill>
          </w14:textFill>
        </w:rPr>
        <w:t>-adsorbed</w:t>
      </w:r>
      <w:r>
        <w:rPr>
          <w:rFonts w:ascii="Times New Roman" w:hAnsi="Times New Roman" w:cs="Times New Roman"/>
          <w:color w:val="000000" w:themeColor="text1"/>
          <w:sz w:val="24"/>
          <w:szCs w:val="24"/>
          <w14:textFill>
            <w14:solidFill>
              <w14:schemeClr w14:val="tx1"/>
            </w14:solidFill>
          </w14:textFill>
        </w:rPr>
        <w:t xml:space="preserve"> MoO</w:t>
      </w:r>
      <w:r>
        <w:rPr>
          <w:rFonts w:ascii="Times New Roman" w:hAnsi="Times New Roman" w:cs="Times New Roman"/>
          <w:color w:val="000000" w:themeColor="text1"/>
          <w:sz w:val="24"/>
          <w:szCs w:val="24"/>
          <w:vertAlign w:val="subscript"/>
          <w14:textFill>
            <w14:solidFill>
              <w14:schemeClr w14:val="tx1"/>
            </w14:solidFill>
          </w14:textFill>
        </w:rPr>
        <w:t>x</w:t>
      </w:r>
      <w:r>
        <w:rPr>
          <w:rFonts w:ascii="Times New Roman" w:hAnsi="Times New Roman" w:cs="Times New Roman"/>
          <w:color w:val="000000" w:themeColor="text1"/>
          <w:sz w:val="24"/>
          <w:szCs w:val="24"/>
          <w14:textFill>
            <w14:solidFill>
              <w14:schemeClr w14:val="tx1"/>
            </w14:solidFill>
          </w14:textFill>
        </w:rPr>
        <w:t xml:space="preserve">-5 sample displays a broader and more reorganized NIR spectral profile. </w:t>
      </w:r>
      <w:r>
        <w:rPr>
          <w:rFonts w:hint="eastAsia" w:ascii="Times New Roman" w:hAnsi="Times New Roman" w:cs="Times New Roman"/>
          <w:color w:val="000000" w:themeColor="text1"/>
          <w:sz w:val="24"/>
          <w:szCs w:val="24"/>
          <w14:textFill>
            <w14:solidFill>
              <w14:schemeClr w14:val="tx1"/>
            </w14:solidFill>
          </w14:textFill>
        </w:rPr>
        <w:t>T</w:t>
      </w:r>
      <w:r>
        <w:rPr>
          <w:rFonts w:ascii="Times New Roman" w:hAnsi="Times New Roman" w:cs="Times New Roman"/>
          <w:color w:val="000000" w:themeColor="text1"/>
          <w:sz w:val="24"/>
          <w:szCs w:val="24"/>
          <w14:textFill>
            <w14:solidFill>
              <w14:schemeClr w14:val="tx1"/>
            </w14:solidFill>
          </w14:textFill>
        </w:rPr>
        <w:t>ryptophan does not merely reside on the MoO</w:t>
      </w:r>
      <w:r>
        <w:rPr>
          <w:rFonts w:ascii="Times New Roman" w:hAnsi="Times New Roman" w:cs="Times New Roman"/>
          <w:color w:val="000000" w:themeColor="text1"/>
          <w:sz w:val="24"/>
          <w:szCs w:val="24"/>
          <w:vertAlign w:val="subscript"/>
          <w14:textFill>
            <w14:solidFill>
              <w14:schemeClr w14:val="tx1"/>
            </w14:solidFill>
          </w14:textFill>
        </w:rPr>
        <w:t>x</w:t>
      </w:r>
      <w:r>
        <w:rPr>
          <w:rFonts w:ascii="Times New Roman" w:hAnsi="Times New Roman" w:cs="Times New Roman"/>
          <w:color w:val="000000" w:themeColor="text1"/>
          <w:sz w:val="24"/>
          <w:szCs w:val="24"/>
          <w14:textFill>
            <w14:solidFill>
              <w14:schemeClr w14:val="tx1"/>
            </w14:solidFill>
          </w14:textFill>
        </w:rPr>
        <w:t>-5 surface, but perturbs both the relaxation kinetics and the defect-associated NIR transient response, indicating active molecule-surface coupling under irradiation.</w:t>
      </w:r>
    </w:p>
    <w:p w14:paraId="464BCF15">
      <w:pPr>
        <w:ind w:firstLine="0" w:firstLineChars="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br w:type="page"/>
      </w:r>
    </w:p>
    <w:p w14:paraId="612828ED">
      <w:pPr>
        <w:adjustRightInd w:val="0"/>
        <w:snapToGrid w:val="0"/>
        <w:spacing w:beforeLines="0" w:afterLines="0" w:line="480" w:lineRule="auto"/>
        <w:ind w:firstLine="240" w:firstLineChars="100"/>
        <w:rPr>
          <w:rFonts w:ascii="Times New Roman" w:hAnsi="Times New Roman" w:cs="Times New Roman"/>
          <w:color w:val="000000" w:themeColor="text1"/>
          <w:sz w:val="24"/>
          <w:szCs w:val="24"/>
          <w14:textFill>
            <w14:solidFill>
              <w14:schemeClr w14:val="tx1"/>
            </w14:solidFill>
          </w14:textFill>
        </w:rPr>
      </w:pPr>
    </w:p>
    <w:bookmarkEnd w:id="43"/>
    <w:p w14:paraId="075A1D26">
      <w:pPr>
        <w:widowControl/>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3362960" cy="1840865"/>
            <wp:effectExtent l="0" t="0" r="8890" b="6985"/>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31"/>
                    <a:stretch>
                      <a:fillRect/>
                    </a:stretch>
                  </pic:blipFill>
                  <pic:spPr>
                    <a:xfrm>
                      <a:off x="0" y="0"/>
                      <a:ext cx="3418583" cy="1871017"/>
                    </a:xfrm>
                    <a:prstGeom prst="rect">
                      <a:avLst/>
                    </a:prstGeom>
                  </pic:spPr>
                </pic:pic>
              </a:graphicData>
            </a:graphic>
          </wp:inline>
        </w:drawing>
      </w:r>
    </w:p>
    <w:p w14:paraId="1F80D04D">
      <w:pPr>
        <w:pStyle w:val="39"/>
        <w:adjustRightInd w:val="0"/>
        <w:snapToGrid w:val="0"/>
        <w:spacing w:before="0" w:beforeLines="0" w:after="0" w:afterLines="0" w:line="480" w:lineRule="auto"/>
        <w:rPr>
          <w:rFonts w:eastAsiaTheme="minorEastAsia"/>
          <w:b/>
          <w:bCs/>
        </w:rPr>
      </w:pPr>
      <w:bookmarkStart w:id="60" w:name="_Toc229846970"/>
      <w:r>
        <w:rPr>
          <w:b/>
          <w:bCs/>
        </w:rPr>
        <w:t xml:space="preserve">Supplementary Fig. </w:t>
      </w:r>
      <w:r>
        <w:rPr>
          <w:rFonts w:eastAsiaTheme="minorEastAsia"/>
          <w:b/>
          <w:bCs/>
        </w:rPr>
        <w:t>26</w:t>
      </w:r>
      <w:r>
        <w:rPr>
          <w:b/>
          <w:bCs/>
        </w:rPr>
        <w:t>. Free-energy profiles for proton-coupled desorption of [Arg+H]</w:t>
      </w:r>
      <w:r>
        <w:rPr>
          <w:b/>
          <w:bCs/>
          <w:vertAlign w:val="superscript"/>
        </w:rPr>
        <w:t>+</w:t>
      </w:r>
      <w:r>
        <w:rPr>
          <w:b/>
          <w:bCs/>
        </w:rPr>
        <w:t xml:space="preserve"> on MoO</w:t>
      </w:r>
      <w:r>
        <w:rPr>
          <w:b/>
          <w:bCs/>
          <w:vertAlign w:val="subscript"/>
        </w:rPr>
        <w:t>3</w:t>
      </w:r>
      <w:r>
        <w:rPr>
          <w:b/>
          <w:bCs/>
        </w:rPr>
        <w:t>, MoO</w:t>
      </w:r>
      <w:r>
        <w:rPr>
          <w:b/>
          <w:bCs/>
          <w:vertAlign w:val="subscript"/>
        </w:rPr>
        <w:t>x</w:t>
      </w:r>
      <w:r>
        <w:rPr>
          <w:b/>
          <w:bCs/>
        </w:rPr>
        <w:t>-0, MoO</w:t>
      </w:r>
      <w:r>
        <w:rPr>
          <w:b/>
          <w:bCs/>
          <w:vertAlign w:val="subscript"/>
        </w:rPr>
        <w:t>x</w:t>
      </w:r>
      <w:r>
        <w:rPr>
          <w:b/>
          <w:bCs/>
        </w:rPr>
        <w:t>-2, and MoO</w:t>
      </w:r>
      <w:r>
        <w:rPr>
          <w:b/>
          <w:bCs/>
          <w:vertAlign w:val="subscript"/>
        </w:rPr>
        <w:t>x</w:t>
      </w:r>
      <w:r>
        <w:rPr>
          <w:b/>
          <w:bCs/>
        </w:rPr>
        <w:t>-5, as calculated by density functional theory.</w:t>
      </w:r>
      <w:bookmarkEnd w:id="60"/>
    </w:p>
    <w:p w14:paraId="20291287">
      <w:pPr>
        <w:adjustRightInd w:val="0"/>
        <w:snapToGrid w:val="0"/>
        <w:spacing w:beforeLines="0" w:afterLines="0" w:line="480" w:lineRule="auto"/>
        <w:ind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The free-energy profiles provide the energetic counterpart to the operando spectroscopic evidence.</w:t>
      </w:r>
      <w:r>
        <w:rPr>
          <w:rFonts w:ascii="Times New Roman" w:hAnsi="Times New Roman" w:cs="Times New Roman"/>
        </w:rPr>
        <w:t xml:space="preserve"> </w:t>
      </w:r>
      <w:r>
        <w:rPr>
          <w:rFonts w:ascii="Times New Roman" w:hAnsi="Times New Roman" w:cs="Times New Roman"/>
          <w:color w:val="000000" w:themeColor="text1"/>
          <w:sz w:val="24"/>
          <w14:textFill>
            <w14:solidFill>
              <w14:schemeClr w14:val="tx1"/>
            </w14:solidFill>
          </w14:textFill>
        </w:rPr>
        <w:t>The calculated pathways show that the vacancy</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cluster</w:t>
      </w:r>
      <w:r>
        <w:rPr>
          <w:rFonts w:hint="eastAsia" w:ascii="Times New Roman" w:hAnsi="Times New Roman" w:cs="Times New Roman"/>
          <w:color w:val="000000" w:themeColor="text1"/>
          <w:sz w:val="24"/>
          <w14:textFill>
            <w14:solidFill>
              <w14:schemeClr w14:val="tx1"/>
            </w14:solidFill>
          </w14:textFill>
        </w:rPr>
        <w:t>s</w:t>
      </w:r>
      <w:r>
        <w:rPr>
          <w:rFonts w:ascii="Times New Roman" w:hAnsi="Times New Roman" w:cs="Times New Roman"/>
          <w:color w:val="000000" w:themeColor="text1"/>
          <w:sz w:val="24"/>
          <w14:textFill>
            <w14:solidFill>
              <w14:schemeClr w14:val="tx1"/>
            </w14:solidFill>
          </w14:textFill>
        </w:rPr>
        <w:t xml:space="preserve"> also most effectively lowers the barrier for final ion release. In particular, the desorption barrier of [Arg+H]</w:t>
      </w:r>
      <w:r>
        <w:rPr>
          <w:rFonts w:ascii="Times New Roman" w:hAnsi="Times New Roman" w:cs="Times New Roman"/>
          <w:color w:val="000000" w:themeColor="text1"/>
          <w:sz w:val="24"/>
          <w:vertAlign w:val="superscript"/>
          <w14:textFill>
            <w14:solidFill>
              <w14:schemeClr w14:val="tx1"/>
            </w14:solidFill>
          </w14:textFill>
        </w:rPr>
        <w:t>+</w:t>
      </w:r>
      <w:r>
        <w:rPr>
          <w:rFonts w:ascii="Times New Roman" w:hAnsi="Times New Roman" w:cs="Times New Roman"/>
          <w:color w:val="000000" w:themeColor="text1"/>
          <w:sz w:val="24"/>
          <w14:textFill>
            <w14:solidFill>
              <w14:schemeClr w14:val="tx1"/>
            </w14:solidFill>
          </w14:textFill>
        </w:rPr>
        <w:t xml:space="preserve"> decreases to 2.43 eV on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compared with 2.66 eV on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3.14 eV on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-2, and 3.72 eV on MoO</w:t>
      </w:r>
      <w:r>
        <w:rPr>
          <w:rFonts w:ascii="Times New Roman" w:hAnsi="Times New Roman" w:cs="Times New Roman"/>
          <w:color w:val="000000" w:themeColor="text1"/>
          <w:sz w:val="24"/>
          <w:vertAlign w:val="subscript"/>
          <w14:textFill>
            <w14:solidFill>
              <w14:schemeClr w14:val="tx1"/>
            </w14:solidFill>
          </w14:textFill>
        </w:rPr>
        <w:t>3</w:t>
      </w:r>
      <w:r>
        <w:rPr>
          <w:rFonts w:ascii="Times New Roman" w:hAnsi="Times New Roman" w:cs="Times New Roman"/>
          <w:color w:val="000000" w:themeColor="text1"/>
          <w:sz w:val="24"/>
          <w14:textFill>
            <w14:solidFill>
              <w14:schemeClr w14:val="tx1"/>
            </w14:solidFill>
          </w14:textFill>
        </w:rPr>
        <w:t>. This trend indicates that vacancy</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cluster</w:t>
      </w:r>
      <w:r>
        <w:rPr>
          <w:rFonts w:hint="eastAsia" w:ascii="Times New Roman" w:hAnsi="Times New Roman" w:cs="Times New Roman"/>
          <w:color w:val="000000" w:themeColor="text1"/>
          <w:sz w:val="24"/>
          <w14:textFill>
            <w14:solidFill>
              <w14:schemeClr w14:val="tx1"/>
            </w14:solidFill>
          </w14:textFill>
        </w:rPr>
        <w:t>s</w:t>
      </w:r>
      <w:r>
        <w:rPr>
          <w:rFonts w:ascii="Times New Roman" w:hAnsi="Times New Roman" w:cs="Times New Roman"/>
          <w:color w:val="000000" w:themeColor="text1"/>
          <w:sz w:val="24"/>
          <w14:textFill>
            <w14:solidFill>
              <w14:schemeClr w14:val="tx1"/>
            </w14:solidFill>
          </w14:textFill>
        </w:rPr>
        <w:t xml:space="preserve"> does not simply modify adsorption strength, but reorganizes the proton-coupled release pathway itself, thereby making the final desorption step more energetically accessible.</w:t>
      </w:r>
    </w:p>
    <w:p w14:paraId="719DB2AD">
      <w:pPr>
        <w:adjustRightInd/>
        <w:snapToGrid/>
        <w:ind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br w:type="page"/>
      </w:r>
    </w:p>
    <w:p w14:paraId="503B9D23">
      <w:pPr>
        <w:adjustRightInd w:val="0"/>
        <w:snapToGrid w:val="0"/>
        <w:spacing w:beforeLines="0" w:afterLines="0" w:line="480" w:lineRule="auto"/>
        <w:ind w:firstLine="240" w:firstLineChars="100"/>
        <w:rPr>
          <w:rFonts w:ascii="Times New Roman" w:hAnsi="Times New Roman" w:cs="Times New Roman"/>
          <w:color w:val="000000" w:themeColor="text1"/>
          <w:sz w:val="24"/>
          <w14:textFill>
            <w14:solidFill>
              <w14:schemeClr w14:val="tx1"/>
            </w14:solidFill>
          </w14:textFill>
        </w:rPr>
      </w:pPr>
    </w:p>
    <w:p w14:paraId="5546CB30">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3867785" cy="2680970"/>
            <wp:effectExtent l="0" t="0" r="0" b="508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32"/>
                    <a:stretch>
                      <a:fillRect/>
                    </a:stretch>
                  </pic:blipFill>
                  <pic:spPr>
                    <a:xfrm>
                      <a:off x="0" y="0"/>
                      <a:ext cx="3876485" cy="2687255"/>
                    </a:xfrm>
                    <a:prstGeom prst="rect">
                      <a:avLst/>
                    </a:prstGeom>
                  </pic:spPr>
                </pic:pic>
              </a:graphicData>
            </a:graphic>
          </wp:inline>
        </w:drawing>
      </w:r>
    </w:p>
    <w:p w14:paraId="06799941">
      <w:pPr>
        <w:pStyle w:val="39"/>
        <w:adjustRightInd w:val="0"/>
        <w:snapToGrid w:val="0"/>
        <w:spacing w:before="0" w:beforeLines="0" w:after="0" w:afterLines="0" w:line="480" w:lineRule="auto"/>
        <w:rPr>
          <w:rFonts w:eastAsiaTheme="minorEastAsia"/>
          <w:b/>
          <w:bCs/>
        </w:rPr>
      </w:pPr>
      <w:bookmarkStart w:id="61" w:name="_Toc229846971"/>
      <w:r>
        <w:rPr>
          <w:b/>
          <w:bCs/>
        </w:rPr>
        <w:t xml:space="preserve">Supplementary Fig. </w:t>
      </w:r>
      <w:r>
        <w:rPr>
          <w:rFonts w:eastAsiaTheme="minorEastAsia"/>
          <w:b/>
          <w:bCs/>
        </w:rPr>
        <w:t>27</w:t>
      </w:r>
      <w:r>
        <w:rPr>
          <w:b/>
          <w:bCs/>
        </w:rPr>
        <w:t xml:space="preserve">. </w:t>
      </w:r>
      <w:r>
        <w:rPr>
          <w:rFonts w:eastAsiaTheme="minorEastAsia"/>
          <w:b/>
          <w:bCs/>
        </w:rPr>
        <w:t>D</w:t>
      </w:r>
      <w:r>
        <w:rPr>
          <w:b/>
          <w:bCs/>
        </w:rPr>
        <w:t xml:space="preserve">ifferential charge density </w:t>
      </w:r>
      <w:r>
        <w:rPr>
          <w:rFonts w:eastAsiaTheme="minorEastAsia"/>
          <w:b/>
          <w:bCs/>
        </w:rPr>
        <w:t>and density of states (DOS)</w:t>
      </w:r>
      <w:r>
        <w:rPr>
          <w:b/>
          <w:bCs/>
        </w:rPr>
        <w:t xml:space="preserve"> for</w:t>
      </w:r>
      <w:r>
        <w:rPr>
          <w:rFonts w:eastAsiaTheme="minorEastAsia"/>
          <w:b/>
          <w:bCs/>
        </w:rPr>
        <w:t xml:space="preserve"> </w:t>
      </w:r>
      <w:r>
        <w:rPr>
          <w:b/>
          <w:bCs/>
        </w:rPr>
        <w:t>MoO</w:t>
      </w:r>
      <w:r>
        <w:rPr>
          <w:rFonts w:eastAsiaTheme="minorEastAsia"/>
          <w:b/>
          <w:bCs/>
          <w:vertAlign w:val="subscript"/>
        </w:rPr>
        <w:t>x</w:t>
      </w:r>
      <w:r>
        <w:rPr>
          <w:b/>
          <w:bCs/>
        </w:rPr>
        <w:t>-5 substrate upon interaction with arginine (Arg).</w:t>
      </w:r>
      <w:bookmarkEnd w:id="61"/>
    </w:p>
    <w:p w14:paraId="6E200A3E">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(a) Differential </w:t>
      </w:r>
      <w:bookmarkStart w:id="62" w:name="_Hlk223859306"/>
      <w:r>
        <w:rPr>
          <w:rFonts w:ascii="Times New Roman" w:hAnsi="Times New Roman" w:cs="Times New Roman"/>
          <w:color w:val="000000" w:themeColor="text1"/>
          <w:sz w:val="24"/>
          <w14:textFill>
            <w14:solidFill>
              <w14:schemeClr w14:val="tx1"/>
            </w14:solidFill>
          </w14:textFill>
        </w:rPr>
        <w:t>charge</w:t>
      </w:r>
      <w:bookmarkEnd w:id="62"/>
      <w:r>
        <w:rPr>
          <w:rFonts w:ascii="Times New Roman" w:hAnsi="Times New Roman" w:cs="Times New Roman"/>
          <w:color w:val="000000" w:themeColor="text1"/>
          <w:sz w:val="24"/>
          <w14:textFill>
            <w14:solidFill>
              <w14:schemeClr w14:val="tx1"/>
            </w14:solidFill>
          </w14:textFill>
        </w:rPr>
        <w:t xml:space="preserve"> density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(blue represents regions of charge accumulation, red represents regions of charge depletion). (b) TDOS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(c) Differential charge density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with Arg. (d) DOS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with Arg.</w:t>
      </w:r>
    </w:p>
    <w:p w14:paraId="2BAB87A9">
      <w:pPr>
        <w:adjustRightInd/>
        <w:snapToGrid/>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br w:type="page"/>
      </w:r>
    </w:p>
    <w:p w14:paraId="3E777629">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p>
    <w:p w14:paraId="3E7E61A3">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5528945" cy="2383155"/>
            <wp:effectExtent l="0" t="0" r="0" b="0"/>
            <wp:docPr id="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pic:cNvPicPr>
                      <a:picLocks noChangeAspect="1"/>
                    </pic:cNvPicPr>
                  </pic:nvPicPr>
                  <pic:blipFill>
                    <a:blip r:embed="rId33"/>
                    <a:stretch>
                      <a:fillRect/>
                    </a:stretch>
                  </pic:blipFill>
                  <pic:spPr>
                    <a:xfrm>
                      <a:off x="0" y="0"/>
                      <a:ext cx="5529551" cy="2383743"/>
                    </a:xfrm>
                    <a:prstGeom prst="rect">
                      <a:avLst/>
                    </a:prstGeom>
                  </pic:spPr>
                </pic:pic>
              </a:graphicData>
            </a:graphic>
          </wp:inline>
        </w:drawing>
      </w:r>
    </w:p>
    <w:p w14:paraId="3FF7A7DE">
      <w:pPr>
        <w:pStyle w:val="39"/>
        <w:adjustRightInd w:val="0"/>
        <w:snapToGrid w:val="0"/>
        <w:spacing w:before="0" w:beforeLines="0" w:after="0" w:afterLines="0" w:line="480" w:lineRule="auto"/>
        <w:rPr>
          <w:rFonts w:eastAsiaTheme="minorEastAsia"/>
          <w:b/>
          <w:bCs/>
        </w:rPr>
      </w:pPr>
      <w:bookmarkStart w:id="63" w:name="_Toc229846972"/>
      <w:r>
        <w:rPr>
          <w:b/>
          <w:bCs/>
        </w:rPr>
        <w:t xml:space="preserve">Supplementary Fig. </w:t>
      </w:r>
      <w:r>
        <w:rPr>
          <w:rFonts w:eastAsiaTheme="minorEastAsia"/>
          <w:b/>
          <w:bCs/>
        </w:rPr>
        <w:t>28</w:t>
      </w:r>
      <w:r>
        <w:rPr>
          <w:b/>
          <w:bCs/>
        </w:rPr>
        <w:t xml:space="preserve">. </w:t>
      </w:r>
      <w:r>
        <w:rPr>
          <w:rFonts w:eastAsiaTheme="minorEastAsia"/>
          <w:b/>
          <w:bCs/>
        </w:rPr>
        <w:t>R</w:t>
      </w:r>
      <w:r>
        <w:rPr>
          <w:b/>
          <w:bCs/>
        </w:rPr>
        <w:t xml:space="preserve">eproducibility </w:t>
      </w:r>
      <w:r>
        <w:rPr>
          <w:rFonts w:eastAsiaTheme="minorEastAsia"/>
          <w:b/>
          <w:bCs/>
        </w:rPr>
        <w:t>and deposition uniformity of DHB, CHCA, SA, TiO</w:t>
      </w:r>
      <w:r>
        <w:rPr>
          <w:rFonts w:eastAsiaTheme="minorEastAsia"/>
          <w:b/>
          <w:bCs/>
          <w:vertAlign w:val="subscript"/>
        </w:rPr>
        <w:t>2</w:t>
      </w:r>
      <w:r>
        <w:rPr>
          <w:rFonts w:eastAsiaTheme="minorEastAsia"/>
          <w:b/>
          <w:bCs/>
        </w:rPr>
        <w:t xml:space="preserve"> and MoO</w:t>
      </w:r>
      <w:r>
        <w:rPr>
          <w:rFonts w:eastAsiaTheme="minorEastAsia"/>
          <w:b/>
          <w:bCs/>
          <w:vertAlign w:val="subscript"/>
        </w:rPr>
        <w:t>x</w:t>
      </w:r>
      <w:r>
        <w:rPr>
          <w:rFonts w:eastAsiaTheme="minorEastAsia"/>
          <w:b/>
          <w:bCs/>
        </w:rPr>
        <w:t>-5</w:t>
      </w:r>
      <w:r>
        <w:rPr>
          <w:b/>
          <w:bCs/>
        </w:rPr>
        <w:t>.</w:t>
      </w:r>
      <w:bookmarkEnd w:id="63"/>
    </w:p>
    <w:p w14:paraId="54DD1694">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(a) Shot-to-shot reproducibility evaluated on one spot (n = 10). (b) Spot-to-spot reproducibility assessed across ten spots (n = 10). Data are presented as the means </w:t>
      </w:r>
      <w:r>
        <w:rPr>
          <w:rFonts w:hint="eastAsia" w:ascii="Times New Roman" w:hAnsi="Times New Roman" w:cs="Times New Roman"/>
          <w:color w:val="000000" w:themeColor="text1"/>
          <w:sz w:val="24"/>
          <w14:textFill>
            <w14:solidFill>
              <w14:schemeClr w14:val="tx1"/>
            </w14:solidFill>
          </w14:textFill>
        </w:rPr>
        <w:t>±</w:t>
      </w:r>
      <w:r>
        <w:rPr>
          <w:rFonts w:ascii="Times New Roman" w:hAnsi="Times New Roman" w:cs="Times New Roman"/>
          <w:color w:val="000000" w:themeColor="text1"/>
          <w:sz w:val="24"/>
          <w14:textFill>
            <w14:solidFill>
              <w14:schemeClr w14:val="tx1"/>
            </w14:solidFill>
          </w14:textFill>
        </w:rPr>
        <w:t xml:space="preserve"> SD. (c) Brightfield micrographs of </w:t>
      </w:r>
      <w:bookmarkStart w:id="64" w:name="_Hlk227912743"/>
      <w:r>
        <w:rPr>
          <w:rFonts w:ascii="Times New Roman" w:hAnsi="Times New Roman" w:cs="Times New Roman"/>
          <w:color w:val="000000" w:themeColor="text1"/>
          <w:sz w:val="24"/>
          <w14:textFill>
            <w14:solidFill>
              <w14:schemeClr w14:val="tx1"/>
            </w14:solidFill>
          </w14:textFill>
        </w:rPr>
        <w:t>DHB, CHCA, SA, TiO</w:t>
      </w:r>
      <w:r>
        <w:rPr>
          <w:rFonts w:ascii="Times New Roman" w:hAnsi="Times New Roman" w:cs="Times New Roman"/>
          <w:color w:val="000000" w:themeColor="text1"/>
          <w:sz w:val="24"/>
          <w:vertAlign w:val="subscript"/>
          <w14:textFill>
            <w14:solidFill>
              <w14:schemeClr w14:val="tx1"/>
            </w14:solidFill>
          </w14:textFill>
        </w:rPr>
        <w:t>2</w:t>
      </w:r>
      <w:r>
        <w:rPr>
          <w:rFonts w:ascii="Times New Roman" w:hAnsi="Times New Roman" w:cs="Times New Roman"/>
          <w:color w:val="000000" w:themeColor="text1"/>
          <w:sz w:val="24"/>
          <w14:textFill>
            <w14:solidFill>
              <w14:schemeClr w14:val="tx1"/>
            </w14:solidFill>
          </w14:textFill>
        </w:rPr>
        <w:t xml:space="preserve"> and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w:t>
      </w:r>
      <w:bookmarkEnd w:id="64"/>
      <w:r>
        <w:rPr>
          <w:rFonts w:ascii="Times New Roman" w:hAnsi="Times New Roman" w:cs="Times New Roman"/>
          <w:color w:val="000000" w:themeColor="text1"/>
          <w:sz w:val="24"/>
          <w14:textFill>
            <w14:solidFill>
              <w14:schemeClr w14:val="tx1"/>
            </w14:solidFill>
          </w14:textFill>
        </w:rPr>
        <w:t xml:space="preserve"> deposited on target plates.</w:t>
      </w:r>
    </w:p>
    <w:p w14:paraId="0E69E4BA">
      <w:pPr>
        <w:adjustRightInd/>
        <w:snapToGrid/>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br w:type="page"/>
      </w:r>
    </w:p>
    <w:p w14:paraId="785D7C89">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p>
    <w:p w14:paraId="47F711BC">
      <w:pPr>
        <w:adjustRightInd w:val="0"/>
        <w:snapToGrid w:val="0"/>
        <w:spacing w:beforeLines="0" w:afterLines="0" w:line="480" w:lineRule="auto"/>
        <w:jc w:val="cente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drawing>
          <wp:inline distT="0" distB="0" distL="0" distR="0">
            <wp:extent cx="5508625" cy="2975610"/>
            <wp:effectExtent l="0" t="0" r="0" b="0"/>
            <wp:docPr id="7558335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833555" name="图片 11"/>
                    <pic:cNvPicPr>
                      <a:picLocks noChangeAspect="1"/>
                    </pic:cNvPicPr>
                  </pic:nvPicPr>
                  <pic:blipFill>
                    <a:blip r:embed="rId34"/>
                    <a:stretch>
                      <a:fillRect/>
                    </a:stretch>
                  </pic:blipFill>
                  <pic:spPr>
                    <a:xfrm>
                      <a:off x="0" y="0"/>
                      <a:ext cx="5524652" cy="2984511"/>
                    </a:xfrm>
                    <a:prstGeom prst="rect">
                      <a:avLst/>
                    </a:prstGeom>
                  </pic:spPr>
                </pic:pic>
              </a:graphicData>
            </a:graphic>
          </wp:inline>
        </w:drawing>
      </w:r>
    </w:p>
    <w:p w14:paraId="126ADD50">
      <w:pPr>
        <w:pStyle w:val="39"/>
        <w:adjustRightInd w:val="0"/>
        <w:snapToGrid w:val="0"/>
        <w:spacing w:before="0" w:beforeLines="0" w:after="0" w:afterLines="0" w:line="480" w:lineRule="auto"/>
        <w:rPr>
          <w:rFonts w:eastAsiaTheme="minorEastAsia"/>
          <w:b/>
          <w:bCs/>
        </w:rPr>
      </w:pPr>
      <w:bookmarkStart w:id="65" w:name="_Hlk227912963"/>
      <w:bookmarkStart w:id="66" w:name="_Toc229846973"/>
      <w:r>
        <w:rPr>
          <w:b/>
          <w:bCs/>
        </w:rPr>
        <w:t xml:space="preserve">Supplementary Fig. </w:t>
      </w:r>
      <w:r>
        <w:rPr>
          <w:rFonts w:eastAsiaTheme="minorEastAsia"/>
          <w:b/>
          <w:bCs/>
        </w:rPr>
        <w:t>29</w:t>
      </w:r>
      <w:bookmarkEnd w:id="65"/>
      <w:r>
        <w:rPr>
          <w:b/>
          <w:bCs/>
        </w:rPr>
        <w:t xml:space="preserve">. </w:t>
      </w:r>
      <w:r>
        <w:rPr>
          <w:rFonts w:eastAsiaTheme="minorEastAsia"/>
          <w:b/>
          <w:bCs/>
        </w:rPr>
        <w:t>S</w:t>
      </w:r>
      <w:r>
        <w:rPr>
          <w:b/>
          <w:bCs/>
        </w:rPr>
        <w:t>tructural stability of MoO</w:t>
      </w:r>
      <w:r>
        <w:rPr>
          <w:b/>
          <w:bCs/>
          <w:vertAlign w:val="subscript"/>
        </w:rPr>
        <w:t>x</w:t>
      </w:r>
      <w:r>
        <w:rPr>
          <w:b/>
          <w:bCs/>
        </w:rPr>
        <w:t>-5 under laser irradiation.</w:t>
      </w:r>
      <w:bookmarkEnd w:id="66"/>
    </w:p>
    <w:p w14:paraId="5D68FDCB">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(a,b) Low- and intermediate-magnification TEM images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after laser irradiation. (c,d) HRTEM images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after laser irradiation. (e) Raman spectra and (f) XRD patterns of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before and after laser irradiation at 355 nm.</w:t>
      </w:r>
    </w:p>
    <w:p w14:paraId="04418A46">
      <w:pPr>
        <w:adjustRightInd w:val="0"/>
        <w:snapToGrid w:val="0"/>
        <w:spacing w:beforeLines="0" w:afterLines="0" w:line="480" w:lineRule="auto"/>
        <w:ind w:firstLine="0" w:firstLineChars="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The structural response of MoO</w:t>
      </w:r>
      <w:r>
        <w:rPr>
          <w:rFonts w:ascii="Times New Roman" w:hAnsi="Times New Roman" w:cs="Times New Roman"/>
          <w:color w:val="000000" w:themeColor="text1"/>
          <w:sz w:val="24"/>
          <w:szCs w:val="24"/>
          <w:vertAlign w:val="subscript"/>
          <w14:textFill>
            <w14:solidFill>
              <w14:schemeClr w14:val="tx1"/>
            </w14:solidFill>
          </w14:textFill>
        </w:rPr>
        <w:t>x</w:t>
      </w:r>
      <w:r>
        <w:rPr>
          <w:rFonts w:ascii="Times New Roman" w:hAnsi="Times New Roman" w:cs="Times New Roman"/>
          <w:color w:val="000000" w:themeColor="text1"/>
          <w:sz w:val="24"/>
          <w:szCs w:val="24"/>
          <w14:textFill>
            <w14:solidFill>
              <w14:schemeClr w14:val="tx1"/>
            </w14:solidFill>
          </w14:textFill>
        </w:rPr>
        <w:t>-5 under laser irradiation remains confined to a locally modulated but globally retained oxide framework. Electron microscopy shows that the nanosheet-based architecture is preserved after irradiation, and HRTEM still resolves both the MoO</w:t>
      </w:r>
      <w:r>
        <w:rPr>
          <w:rFonts w:ascii="Times New Roman" w:hAnsi="Times New Roman" w:cs="Times New Roman"/>
          <w:color w:val="000000" w:themeColor="text1"/>
          <w:sz w:val="24"/>
          <w:szCs w:val="24"/>
          <w:vertAlign w:val="subscript"/>
          <w14:textFill>
            <w14:solidFill>
              <w14:schemeClr w14:val="tx1"/>
            </w14:solidFill>
          </w14:textFill>
        </w:rPr>
        <w:t>3</w:t>
      </w:r>
      <w:r>
        <w:rPr>
          <w:rFonts w:ascii="Times New Roman" w:hAnsi="Times New Roman" w:cs="Times New Roman"/>
          <w:color w:val="000000" w:themeColor="text1"/>
          <w:sz w:val="24"/>
          <w:szCs w:val="24"/>
          <w14:textFill>
            <w14:solidFill>
              <w14:schemeClr w14:val="tx1"/>
            </w14:solidFill>
          </w14:textFill>
        </w:rPr>
        <w:t>-derived lattice fringes and the defect-rich regions associated with the vacancy-clustered state. This observation indicates that the laser stimulus used in LDI does not destroy the underlying structural scaffold of the matrix. The spectroscopic data support the same conclusion. Raman spectra recorded before and after irradiation retain the same principal vibrational features, and the XRD patterns show no additional diffraction peaks or obvious loss of the parent framework. In the context of the proposed mechanism, these results indicate that the superior LDI performance of MoO</w:t>
      </w:r>
      <w:r>
        <w:rPr>
          <w:rFonts w:ascii="Times New Roman" w:hAnsi="Times New Roman" w:cs="Times New Roman"/>
          <w:color w:val="000000" w:themeColor="text1"/>
          <w:sz w:val="24"/>
          <w:szCs w:val="24"/>
          <w:vertAlign w:val="subscript"/>
          <w14:textFill>
            <w14:solidFill>
              <w14:schemeClr w14:val="tx1"/>
            </w14:solidFill>
          </w14:textFill>
        </w:rPr>
        <w:t>x</w:t>
      </w:r>
      <w:r>
        <w:rPr>
          <w:rFonts w:ascii="Times New Roman" w:hAnsi="Times New Roman" w:cs="Times New Roman"/>
          <w:color w:val="000000" w:themeColor="text1"/>
          <w:sz w:val="24"/>
          <w:szCs w:val="24"/>
          <w14:textFill>
            <w14:solidFill>
              <w14:schemeClr w14:val="tx1"/>
            </w14:solidFill>
          </w14:textFill>
        </w:rPr>
        <w:t>-5 cannot be attributed to laser-induced bulk reconstruction or substrate decomposition, but instead arises from reversible local electronic and coordination responses that remain embedded within a structurally stable oxide lattice.</w:t>
      </w:r>
    </w:p>
    <w:p w14:paraId="15B25DAE">
      <w:pPr>
        <w:adjustRightInd w:val="0"/>
        <w:snapToGrid w:val="0"/>
        <w:spacing w:beforeLines="0" w:afterLines="0" w:line="480" w:lineRule="auto"/>
        <w:jc w:val="center"/>
        <w:rPr>
          <w:rFonts w:ascii="Times New Roman" w:hAnsi="Times New Roman" w:cs="Times New Roman"/>
          <w:b/>
          <w:bCs/>
        </w:rPr>
      </w:pPr>
      <w:bookmarkStart w:id="67" w:name="_Hlk227912548"/>
      <w:r>
        <w:rPr>
          <w:rFonts w:ascii="Times New Roman" w:hAnsi="Times New Roman" w:cs="Times New Roman"/>
          <w:b/>
          <w:bCs/>
        </w:rPr>
        <w:drawing>
          <wp:inline distT="0" distB="0" distL="0" distR="0">
            <wp:extent cx="3804920" cy="2235200"/>
            <wp:effectExtent l="0" t="0" r="5080" b="0"/>
            <wp:docPr id="14607440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74406" name="图片 59"/>
                    <pic:cNvPicPr>
                      <a:picLocks noChangeAspect="1"/>
                    </pic:cNvPicPr>
                  </pic:nvPicPr>
                  <pic:blipFill>
                    <a:blip r:embed="rId35"/>
                    <a:stretch>
                      <a:fillRect/>
                    </a:stretch>
                  </pic:blipFill>
                  <pic:spPr>
                    <a:xfrm>
                      <a:off x="0" y="0"/>
                      <a:ext cx="3819460" cy="2243873"/>
                    </a:xfrm>
                    <a:prstGeom prst="rect">
                      <a:avLst/>
                    </a:prstGeom>
                  </pic:spPr>
                </pic:pic>
              </a:graphicData>
            </a:graphic>
          </wp:inline>
        </w:drawing>
      </w:r>
    </w:p>
    <w:p w14:paraId="76C0A590">
      <w:pPr>
        <w:pStyle w:val="39"/>
        <w:adjustRightInd w:val="0"/>
        <w:snapToGrid w:val="0"/>
        <w:spacing w:before="0" w:beforeLines="0" w:after="0" w:afterLines="0" w:line="480" w:lineRule="auto"/>
        <w:rPr>
          <w:rFonts w:eastAsiaTheme="minorEastAsia"/>
          <w:b/>
          <w:bCs/>
        </w:rPr>
      </w:pPr>
      <w:bookmarkStart w:id="68" w:name="_Toc229846974"/>
      <w:r>
        <w:rPr>
          <w:b/>
          <w:bCs/>
        </w:rPr>
        <w:t xml:space="preserve">Supplementary Fig. </w:t>
      </w:r>
      <w:r>
        <w:rPr>
          <w:rFonts w:eastAsiaTheme="minorEastAsia"/>
          <w:b/>
          <w:bCs/>
        </w:rPr>
        <w:t>30</w:t>
      </w:r>
      <w:r>
        <w:rPr>
          <w:b/>
          <w:bCs/>
        </w:rPr>
        <w:t>. Dispersion stability of MoO</w:t>
      </w:r>
      <w:r>
        <w:rPr>
          <w:b/>
          <w:bCs/>
          <w:vertAlign w:val="subscript"/>
        </w:rPr>
        <w:t>x</w:t>
      </w:r>
      <w:r>
        <w:rPr>
          <w:b/>
          <w:bCs/>
        </w:rPr>
        <w:t xml:space="preserve"> in aqueous solution over 24 hours</w:t>
      </w:r>
      <w:r>
        <w:rPr>
          <w:rFonts w:eastAsiaTheme="minorEastAsia"/>
          <w:b/>
          <w:bCs/>
        </w:rPr>
        <w:t>.</w:t>
      </w:r>
      <w:bookmarkEnd w:id="68"/>
    </w:p>
    <w:p w14:paraId="78B19833">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From left to right: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-0,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-2,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-10, and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-15.</w:t>
      </w:r>
    </w:p>
    <w:p w14:paraId="579C7ED8">
      <w:pPr>
        <w:adjustRightInd/>
        <w:snapToGrid/>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br w:type="page"/>
      </w:r>
    </w:p>
    <w:p w14:paraId="3B660D38">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p>
    <w:p w14:paraId="5AA8AD48">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5731510" cy="2230120"/>
            <wp:effectExtent l="0" t="0" r="254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36"/>
                    <a:stretch>
                      <a:fillRect/>
                    </a:stretch>
                  </pic:blipFill>
                  <pic:spPr>
                    <a:xfrm>
                      <a:off x="0" y="0"/>
                      <a:ext cx="5731510" cy="2230120"/>
                    </a:xfrm>
                    <a:prstGeom prst="rect">
                      <a:avLst/>
                    </a:prstGeom>
                  </pic:spPr>
                </pic:pic>
              </a:graphicData>
            </a:graphic>
          </wp:inline>
        </w:drawing>
      </w:r>
    </w:p>
    <w:p w14:paraId="140C8564">
      <w:pPr>
        <w:pStyle w:val="39"/>
        <w:adjustRightInd w:val="0"/>
        <w:snapToGrid w:val="0"/>
        <w:spacing w:before="0" w:beforeLines="0" w:after="0" w:afterLines="0" w:line="480" w:lineRule="auto"/>
        <w:rPr>
          <w:rFonts w:eastAsiaTheme="minorEastAsia"/>
          <w:b/>
          <w:bCs/>
        </w:rPr>
      </w:pPr>
      <w:bookmarkStart w:id="69" w:name="_Toc229846975"/>
      <w:r>
        <w:rPr>
          <w:b/>
          <w:bCs/>
        </w:rPr>
        <w:t xml:space="preserve">Supplementary Fig. </w:t>
      </w:r>
      <w:r>
        <w:rPr>
          <w:rFonts w:eastAsiaTheme="minorEastAsia"/>
          <w:b/>
          <w:bCs/>
        </w:rPr>
        <w:t>31</w:t>
      </w:r>
      <w:r>
        <w:rPr>
          <w:b/>
          <w:bCs/>
        </w:rPr>
        <w:t xml:space="preserve">. </w:t>
      </w:r>
      <w:r>
        <w:rPr>
          <w:rFonts w:eastAsiaTheme="minorEastAsia"/>
          <w:b/>
          <w:bCs/>
        </w:rPr>
        <w:t xml:space="preserve">Comparison background interference among DHB, CHCA and </w:t>
      </w:r>
      <w:r>
        <w:rPr>
          <w:b/>
          <w:bCs/>
        </w:rPr>
        <w:t>MoO</w:t>
      </w:r>
      <w:r>
        <w:rPr>
          <w:b/>
          <w:bCs/>
          <w:vertAlign w:val="subscript"/>
        </w:rPr>
        <w:t>x</w:t>
      </w:r>
      <w:r>
        <w:rPr>
          <w:rFonts w:eastAsiaTheme="minorEastAsia"/>
          <w:b/>
          <w:bCs/>
        </w:rPr>
        <w:t xml:space="preserve"> in mouse brain analysis.</w:t>
      </w:r>
      <w:bookmarkEnd w:id="69"/>
    </w:p>
    <w:p w14:paraId="54A4956D">
      <w:pPr>
        <w:adjustRightInd w:val="0"/>
        <w:snapToGrid w:val="0"/>
        <w:spacing w:beforeLines="0" w:afterLines="0" w:line="480" w:lineRule="auto"/>
        <w:ind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Representative spectra and corresponding total ion images obtained from matrix coated mouse brain tissue and from the corresponding matrix alone for DHB, CHCA and MoO</w:t>
      </w:r>
      <w:r>
        <w:rPr>
          <w:rFonts w:ascii="Times New Roman" w:hAnsi="Times New Roman" w:cs="Times New Roman"/>
          <w:color w:val="000000" w:themeColor="text1"/>
          <w:sz w:val="24"/>
          <w:vertAlign w:val="subscript"/>
          <w14:textFill>
            <w14:solidFill>
              <w14:schemeClr w14:val="tx1"/>
            </w14:solidFill>
          </w14:textFill>
        </w:rPr>
        <w:t>x</w:t>
      </w:r>
      <w:r>
        <w:rPr>
          <w:rFonts w:ascii="Times New Roman" w:hAnsi="Times New Roman" w:cs="Times New Roman"/>
          <w:color w:val="000000" w:themeColor="text1"/>
          <w:sz w:val="24"/>
          <w14:textFill>
            <w14:solidFill>
              <w14:schemeClr w14:val="tx1"/>
            </w14:solidFill>
          </w14:textFill>
        </w:rPr>
        <w:t>-5 in the m/z 100-400 and 400-1000 ranges.</w:t>
      </w:r>
    </w:p>
    <w:p w14:paraId="3FC1C43B">
      <w:pPr>
        <w:adjustRightInd/>
        <w:snapToGrid/>
        <w:ind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br w:type="page"/>
      </w:r>
    </w:p>
    <w:p w14:paraId="7C777A85">
      <w:pPr>
        <w:adjustRightInd w:val="0"/>
        <w:snapToGrid w:val="0"/>
        <w:spacing w:beforeLines="0" w:afterLines="0" w:line="480" w:lineRule="auto"/>
        <w:ind w:firstLine="240" w:firstLineChars="100"/>
        <w:rPr>
          <w:rFonts w:ascii="Times New Roman" w:hAnsi="Times New Roman" w:cs="Times New Roman"/>
          <w:color w:val="000000" w:themeColor="text1"/>
          <w:sz w:val="24"/>
          <w14:textFill>
            <w14:solidFill>
              <w14:schemeClr w14:val="tx1"/>
            </w14:solidFill>
          </w14:textFill>
        </w:rPr>
      </w:pPr>
    </w:p>
    <w:bookmarkEnd w:id="67"/>
    <w:p w14:paraId="5FFCAB46">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4537710" cy="1405890"/>
            <wp:effectExtent l="0" t="0" r="0" b="3810"/>
            <wp:docPr id="163875365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53657" name="图片 12"/>
                    <pic:cNvPicPr>
                      <a:picLocks noChangeAspect="1"/>
                    </pic:cNvPicPr>
                  </pic:nvPicPr>
                  <pic:blipFill>
                    <a:blip r:embed="rId37"/>
                    <a:stretch>
                      <a:fillRect/>
                    </a:stretch>
                  </pic:blipFill>
                  <pic:spPr>
                    <a:xfrm>
                      <a:off x="0" y="0"/>
                      <a:ext cx="4658639" cy="1443632"/>
                    </a:xfrm>
                    <a:prstGeom prst="rect">
                      <a:avLst/>
                    </a:prstGeom>
                  </pic:spPr>
                </pic:pic>
              </a:graphicData>
            </a:graphic>
          </wp:inline>
        </w:drawing>
      </w:r>
    </w:p>
    <w:p w14:paraId="7B438075">
      <w:pPr>
        <w:pStyle w:val="39"/>
        <w:adjustRightInd w:val="0"/>
        <w:snapToGrid w:val="0"/>
        <w:spacing w:before="0" w:beforeLines="0" w:after="0" w:afterLines="0" w:line="480" w:lineRule="auto"/>
        <w:rPr>
          <w:b/>
          <w:bCs/>
        </w:rPr>
      </w:pPr>
      <w:bookmarkStart w:id="70" w:name="_Toc229846976"/>
      <w:bookmarkStart w:id="71" w:name="_Hlk210913052"/>
      <w:r>
        <w:rPr>
          <w:b/>
          <w:bCs/>
        </w:rPr>
        <w:t xml:space="preserve">Supplementary Fig. </w:t>
      </w:r>
      <w:r>
        <w:rPr>
          <w:rFonts w:eastAsiaTheme="minorEastAsia"/>
          <w:b/>
          <w:bCs/>
        </w:rPr>
        <w:t>32</w:t>
      </w:r>
      <w:r>
        <w:rPr>
          <w:b/>
          <w:bCs/>
        </w:rPr>
        <w:t>.</w:t>
      </w:r>
      <w:r>
        <w:t xml:space="preserve"> </w:t>
      </w:r>
      <w:r>
        <w:rPr>
          <w:rFonts w:eastAsiaTheme="minorEastAsia"/>
          <w:b/>
          <w:bCs/>
        </w:rPr>
        <w:t xml:space="preserve">(a) </w:t>
      </w:r>
      <w:r>
        <w:rPr>
          <w:b/>
          <w:bCs/>
        </w:rPr>
        <w:t xml:space="preserve">Ion images and </w:t>
      </w:r>
      <w:r>
        <w:rPr>
          <w:rFonts w:eastAsiaTheme="minorEastAsia"/>
          <w:b/>
          <w:bCs/>
        </w:rPr>
        <w:t xml:space="preserve">(b) </w:t>
      </w:r>
      <w:r>
        <w:rPr>
          <w:b/>
          <w:bCs/>
        </w:rPr>
        <w:t xml:space="preserve">corresponding intensity </w:t>
      </w:r>
      <w:r>
        <w:rPr>
          <w:rFonts w:eastAsiaTheme="minorEastAsia"/>
          <w:b/>
          <w:bCs/>
        </w:rPr>
        <w:t>signal</w:t>
      </w:r>
      <w:r>
        <w:rPr>
          <w:b/>
          <w:bCs/>
        </w:rPr>
        <w:t xml:space="preserve">s of representative metabolites </w:t>
      </w:r>
      <w:r>
        <w:rPr>
          <w:rFonts w:eastAsiaTheme="minorEastAsia"/>
          <w:b/>
          <w:bCs/>
        </w:rPr>
        <w:t>with</w:t>
      </w:r>
      <w:r>
        <w:rPr>
          <w:b/>
          <w:bCs/>
        </w:rPr>
        <w:t xml:space="preserve"> different solvent</w:t>
      </w:r>
      <w:r>
        <w:rPr>
          <w:rFonts w:eastAsiaTheme="minorEastAsia"/>
          <w:b/>
          <w:bCs/>
        </w:rPr>
        <w:t xml:space="preserve">s </w:t>
      </w:r>
      <w:r>
        <w:rPr>
          <w:b/>
          <w:bCs/>
        </w:rPr>
        <w:t>for matrix spraying.</w:t>
      </w:r>
      <w:bookmarkEnd w:id="70"/>
    </w:p>
    <w:p w14:paraId="593D098E">
      <w:pPr>
        <w:pStyle w:val="2"/>
        <w:rPr>
          <w:b/>
          <w:bCs/>
        </w:rPr>
      </w:pPr>
    </w:p>
    <w:p w14:paraId="34F402AE"/>
    <w:p w14:paraId="60AC89FE">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4516755" cy="1353185"/>
            <wp:effectExtent l="0" t="0" r="0" b="0"/>
            <wp:docPr id="120393177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931771" name="图片 13"/>
                    <pic:cNvPicPr>
                      <a:picLocks noChangeAspect="1"/>
                    </pic:cNvPicPr>
                  </pic:nvPicPr>
                  <pic:blipFill>
                    <a:blip r:embed="rId38"/>
                    <a:stretch>
                      <a:fillRect/>
                    </a:stretch>
                  </pic:blipFill>
                  <pic:spPr>
                    <a:xfrm>
                      <a:off x="0" y="0"/>
                      <a:ext cx="4571825" cy="1369622"/>
                    </a:xfrm>
                    <a:prstGeom prst="rect">
                      <a:avLst/>
                    </a:prstGeom>
                  </pic:spPr>
                </pic:pic>
              </a:graphicData>
            </a:graphic>
          </wp:inline>
        </w:drawing>
      </w:r>
    </w:p>
    <w:p w14:paraId="5E1D1EEC">
      <w:pPr>
        <w:pStyle w:val="39"/>
        <w:adjustRightInd w:val="0"/>
        <w:snapToGrid w:val="0"/>
        <w:spacing w:before="0" w:beforeLines="0" w:after="0" w:afterLines="0" w:line="480" w:lineRule="auto"/>
        <w:rPr>
          <w:b/>
          <w:bCs/>
        </w:rPr>
      </w:pPr>
      <w:bookmarkStart w:id="72" w:name="_Toc229846977"/>
      <w:r>
        <w:rPr>
          <w:b/>
          <w:bCs/>
        </w:rPr>
        <w:t xml:space="preserve">Supplementary Fig. </w:t>
      </w:r>
      <w:r>
        <w:rPr>
          <w:rFonts w:eastAsiaTheme="minorEastAsia"/>
          <w:b/>
          <w:bCs/>
        </w:rPr>
        <w:t>33</w:t>
      </w:r>
      <w:r>
        <w:rPr>
          <w:b/>
          <w:bCs/>
        </w:rPr>
        <w:t>. (a)</w:t>
      </w:r>
      <w:r>
        <w:rPr>
          <w:rFonts w:eastAsiaTheme="minorEastAsia"/>
          <w:b/>
          <w:bCs/>
        </w:rPr>
        <w:t xml:space="preserve"> </w:t>
      </w:r>
      <w:r>
        <w:rPr>
          <w:b/>
          <w:bCs/>
        </w:rPr>
        <w:t>Ion images and (b)</w:t>
      </w:r>
      <w:r>
        <w:rPr>
          <w:rFonts w:eastAsiaTheme="minorEastAsia"/>
          <w:b/>
          <w:bCs/>
        </w:rPr>
        <w:t xml:space="preserve"> </w:t>
      </w:r>
      <w:r>
        <w:rPr>
          <w:b/>
          <w:bCs/>
        </w:rPr>
        <w:t xml:space="preserve">corresponding intensity </w:t>
      </w:r>
      <w:r>
        <w:rPr>
          <w:rFonts w:eastAsiaTheme="minorEastAsia"/>
          <w:b/>
          <w:bCs/>
        </w:rPr>
        <w:t>signal</w:t>
      </w:r>
      <w:r>
        <w:rPr>
          <w:b/>
          <w:bCs/>
        </w:rPr>
        <w:t>s of representative metabolites with different ratio solvents for matrix spraying.</w:t>
      </w:r>
      <w:bookmarkEnd w:id="72"/>
    </w:p>
    <w:p w14:paraId="75DAF4F2">
      <w:pPr>
        <w:rPr>
          <w:b/>
          <w:bCs/>
        </w:rPr>
      </w:pPr>
      <w:r>
        <w:rPr>
          <w:b/>
          <w:bCs/>
        </w:rPr>
        <w:br w:type="page"/>
      </w:r>
    </w:p>
    <w:p w14:paraId="389255A3">
      <w:pPr>
        <w:pStyle w:val="39"/>
        <w:adjustRightInd w:val="0"/>
        <w:snapToGrid w:val="0"/>
        <w:spacing w:before="0" w:beforeLines="0" w:after="0" w:afterLines="0" w:line="480" w:lineRule="auto"/>
        <w:rPr>
          <w:b/>
          <w:bCs/>
        </w:rPr>
      </w:pPr>
    </w:p>
    <w:p w14:paraId="625135E7">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4516755" cy="1216025"/>
            <wp:effectExtent l="0" t="0" r="0" b="3175"/>
            <wp:docPr id="5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1"/>
                    <pic:cNvPicPr>
                      <a:picLocks noChangeAspect="1"/>
                    </pic:cNvPicPr>
                  </pic:nvPicPr>
                  <pic:blipFill>
                    <a:blip r:embed="rId39"/>
                    <a:stretch>
                      <a:fillRect/>
                    </a:stretch>
                  </pic:blipFill>
                  <pic:spPr>
                    <a:xfrm>
                      <a:off x="0" y="0"/>
                      <a:ext cx="4559877" cy="1228125"/>
                    </a:xfrm>
                    <a:prstGeom prst="rect">
                      <a:avLst/>
                    </a:prstGeom>
                  </pic:spPr>
                </pic:pic>
              </a:graphicData>
            </a:graphic>
          </wp:inline>
        </w:drawing>
      </w:r>
    </w:p>
    <w:p w14:paraId="7DBAD99C">
      <w:pPr>
        <w:pStyle w:val="39"/>
        <w:adjustRightInd w:val="0"/>
        <w:snapToGrid w:val="0"/>
        <w:spacing w:before="0" w:beforeLines="0" w:after="0" w:afterLines="0" w:line="480" w:lineRule="auto"/>
        <w:rPr>
          <w:b/>
          <w:bCs/>
        </w:rPr>
      </w:pPr>
      <w:bookmarkStart w:id="73" w:name="_Toc229846978"/>
      <w:r>
        <w:rPr>
          <w:b/>
          <w:bCs/>
        </w:rPr>
        <w:t xml:space="preserve">Supplementary Fig. </w:t>
      </w:r>
      <w:r>
        <w:rPr>
          <w:rFonts w:eastAsiaTheme="minorEastAsia"/>
          <w:b/>
          <w:bCs/>
        </w:rPr>
        <w:t>34</w:t>
      </w:r>
      <w:r>
        <w:rPr>
          <w:b/>
          <w:bCs/>
        </w:rPr>
        <w:t>. (a)</w:t>
      </w:r>
      <w:r>
        <w:rPr>
          <w:rFonts w:eastAsiaTheme="minorEastAsia"/>
          <w:b/>
          <w:bCs/>
        </w:rPr>
        <w:t xml:space="preserve"> </w:t>
      </w:r>
      <w:r>
        <w:rPr>
          <w:b/>
          <w:bCs/>
        </w:rPr>
        <w:t>Ion images and (b)</w:t>
      </w:r>
      <w:r>
        <w:rPr>
          <w:rFonts w:eastAsiaTheme="minorEastAsia"/>
          <w:b/>
          <w:bCs/>
        </w:rPr>
        <w:t xml:space="preserve"> </w:t>
      </w:r>
      <w:r>
        <w:rPr>
          <w:b/>
          <w:bCs/>
        </w:rPr>
        <w:t xml:space="preserve">corresponding intensity </w:t>
      </w:r>
      <w:r>
        <w:rPr>
          <w:rFonts w:eastAsiaTheme="minorEastAsia"/>
          <w:b/>
          <w:bCs/>
        </w:rPr>
        <w:t>signal</w:t>
      </w:r>
      <w:r>
        <w:rPr>
          <w:b/>
          <w:bCs/>
        </w:rPr>
        <w:t>s of representative metabolites of the sample stability after 0-36 h.</w:t>
      </w:r>
      <w:bookmarkEnd w:id="73"/>
    </w:p>
    <w:p w14:paraId="608DC412">
      <w:pPr>
        <w:rPr>
          <w:b/>
          <w:bCs/>
        </w:rPr>
      </w:pPr>
      <w:r>
        <w:rPr>
          <w:b/>
          <w:bCs/>
        </w:rPr>
        <w:br w:type="page"/>
      </w:r>
    </w:p>
    <w:p w14:paraId="2B63CF9F">
      <w:pPr>
        <w:pStyle w:val="39"/>
        <w:adjustRightInd w:val="0"/>
        <w:snapToGrid w:val="0"/>
        <w:spacing w:before="0" w:beforeLines="0" w:after="0" w:afterLines="0" w:line="480" w:lineRule="auto"/>
        <w:rPr>
          <w:b/>
          <w:bCs/>
        </w:rPr>
      </w:pPr>
    </w:p>
    <w:bookmarkEnd w:id="71"/>
    <w:p w14:paraId="29587EFD">
      <w:pPr>
        <w:adjustRightInd w:val="0"/>
        <w:snapToGrid w:val="0"/>
        <w:spacing w:beforeLines="0" w:afterLines="0" w:line="480" w:lineRule="auto"/>
        <w:jc w:val="center"/>
        <w:rPr>
          <w:rFonts w:ascii="Times New Roman" w:hAnsi="Times New Roman" w:cs="Times New Roman"/>
        </w:rPr>
      </w:pPr>
      <w:bookmarkStart w:id="74" w:name="_Hlk224840866"/>
      <w:r>
        <w:rPr>
          <w:rFonts w:hint="eastAsia" w:ascii="Times New Roman" w:hAnsi="Times New Roman" w:cs="Times New Roman"/>
        </w:rPr>
        <w:t xml:space="preserve"> </w:t>
      </w:r>
      <w:r>
        <w:rPr>
          <w:rFonts w:ascii="Times New Roman" w:hAnsi="Times New Roman"/>
        </w:rPr>
        <w:t xml:space="preserve"> </w:t>
      </w:r>
      <w:r>
        <w:rPr>
          <w:rFonts w:ascii="Times New Roman" w:hAnsi="Times New Roman" w:cs="Times New Roman"/>
        </w:rPr>
        <w:drawing>
          <wp:inline distT="0" distB="0" distL="0" distR="0">
            <wp:extent cx="4273550" cy="4385945"/>
            <wp:effectExtent l="0" t="0" r="0" b="0"/>
            <wp:docPr id="213"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2"/>
                    <pic:cNvPicPr>
                      <a:picLocks noChangeAspect="1"/>
                    </pic:cNvPicPr>
                  </pic:nvPicPr>
                  <pic:blipFill>
                    <a:blip r:embed="rId40"/>
                    <a:stretch>
                      <a:fillRect/>
                    </a:stretch>
                  </pic:blipFill>
                  <pic:spPr>
                    <a:xfrm>
                      <a:off x="0" y="0"/>
                      <a:ext cx="4273827" cy="4386522"/>
                    </a:xfrm>
                    <a:prstGeom prst="rect">
                      <a:avLst/>
                    </a:prstGeom>
                  </pic:spPr>
                </pic:pic>
              </a:graphicData>
            </a:graphic>
          </wp:inline>
        </w:drawing>
      </w:r>
    </w:p>
    <w:p w14:paraId="7C4C3EC8">
      <w:pPr>
        <w:pStyle w:val="39"/>
        <w:adjustRightInd w:val="0"/>
        <w:snapToGrid w:val="0"/>
        <w:spacing w:before="0" w:beforeLines="0" w:after="0" w:afterLines="0" w:line="480" w:lineRule="auto"/>
        <w:rPr>
          <w:b/>
          <w:bCs/>
        </w:rPr>
      </w:pPr>
      <w:bookmarkStart w:id="75" w:name="_Toc229846979"/>
      <w:r>
        <w:rPr>
          <w:b/>
          <w:bCs/>
        </w:rPr>
        <w:t xml:space="preserve">Supplementary Fig. </w:t>
      </w:r>
      <w:r>
        <w:rPr>
          <w:rFonts w:eastAsiaTheme="minorEastAsia"/>
          <w:b/>
          <w:bCs/>
        </w:rPr>
        <w:t>35</w:t>
      </w:r>
      <w:r>
        <w:rPr>
          <w:b/>
          <w:bCs/>
        </w:rPr>
        <w:t xml:space="preserve">. </w:t>
      </w:r>
      <w:bookmarkStart w:id="76" w:name="OLE_LINK5"/>
      <w:r>
        <w:rPr>
          <w:rFonts w:hint="eastAsia" w:eastAsiaTheme="minorEastAsia"/>
          <w:b/>
          <w:bCs/>
        </w:rPr>
        <w:t>S</w:t>
      </w:r>
      <w:r>
        <w:rPr>
          <w:b/>
          <w:bCs/>
        </w:rPr>
        <w:t>tudy workflow</w:t>
      </w:r>
      <w:r>
        <w:rPr>
          <w:rFonts w:eastAsiaTheme="minorEastAsia"/>
          <w:b/>
          <w:bCs/>
        </w:rPr>
        <w:t xml:space="preserve"> of integrated serum and spatial metabolomics for HCC</w:t>
      </w:r>
      <w:r>
        <w:rPr>
          <w:b/>
          <w:bCs/>
        </w:rPr>
        <w:t>.</w:t>
      </w:r>
      <w:bookmarkEnd w:id="75"/>
    </w:p>
    <w:p w14:paraId="79EC6732">
      <w:pPr>
        <w:rPr>
          <w:b/>
          <w:bCs/>
        </w:rPr>
      </w:pPr>
      <w:r>
        <w:rPr>
          <w:b/>
          <w:bCs/>
        </w:rPr>
        <w:br w:type="page"/>
      </w:r>
    </w:p>
    <w:p w14:paraId="6CFD8921">
      <w:pPr>
        <w:pStyle w:val="39"/>
        <w:adjustRightInd w:val="0"/>
        <w:snapToGrid w:val="0"/>
        <w:spacing w:before="0" w:beforeLines="0" w:after="0" w:afterLines="0" w:line="480" w:lineRule="auto"/>
        <w:rPr>
          <w:b/>
          <w:bCs/>
        </w:rPr>
      </w:pPr>
    </w:p>
    <w:p w14:paraId="2611AC49">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5151755" cy="2494280"/>
            <wp:effectExtent l="0" t="0" r="0" b="1270"/>
            <wp:docPr id="2223485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48578" name="图片 11"/>
                    <pic:cNvPicPr>
                      <a:picLocks noChangeAspect="1"/>
                    </pic:cNvPicPr>
                  </pic:nvPicPr>
                  <pic:blipFill>
                    <a:blip r:embed="rId41"/>
                    <a:stretch>
                      <a:fillRect/>
                    </a:stretch>
                  </pic:blipFill>
                  <pic:spPr>
                    <a:xfrm>
                      <a:off x="0" y="0"/>
                      <a:ext cx="5151966" cy="2494359"/>
                    </a:xfrm>
                    <a:prstGeom prst="rect">
                      <a:avLst/>
                    </a:prstGeom>
                  </pic:spPr>
                </pic:pic>
              </a:graphicData>
            </a:graphic>
          </wp:inline>
        </w:drawing>
      </w:r>
    </w:p>
    <w:p w14:paraId="1FF87B59">
      <w:pPr>
        <w:pStyle w:val="39"/>
        <w:adjustRightInd w:val="0"/>
        <w:snapToGrid w:val="0"/>
        <w:spacing w:before="0" w:beforeLines="0" w:after="0" w:afterLines="0" w:line="480" w:lineRule="auto"/>
        <w:rPr>
          <w:b/>
          <w:bCs/>
        </w:rPr>
      </w:pPr>
      <w:bookmarkStart w:id="77" w:name="_Toc229846980"/>
      <w:r>
        <w:rPr>
          <w:b/>
          <w:bCs/>
        </w:rPr>
        <w:t xml:space="preserve">Supplementary Fig. 36. </w:t>
      </w:r>
      <w:r>
        <w:rPr>
          <w:rFonts w:hint="eastAsia" w:eastAsiaTheme="minorEastAsia"/>
          <w:b/>
          <w:bCs/>
        </w:rPr>
        <w:t>D</w:t>
      </w:r>
      <w:r>
        <w:rPr>
          <w:b/>
          <w:bCs/>
        </w:rPr>
        <w:t>iscovery (a)</w:t>
      </w:r>
      <w:r>
        <w:rPr>
          <w:rFonts w:hint="eastAsia" w:eastAsiaTheme="minorEastAsia"/>
          <w:b/>
          <w:bCs/>
        </w:rPr>
        <w:t xml:space="preserve"> </w:t>
      </w:r>
      <w:r>
        <w:rPr>
          <w:b/>
          <w:bCs/>
        </w:rPr>
        <w:t>and validation (b)</w:t>
      </w:r>
      <w:r>
        <w:rPr>
          <w:rFonts w:hint="eastAsia" w:eastAsiaTheme="minorEastAsia"/>
          <w:b/>
          <w:bCs/>
        </w:rPr>
        <w:t xml:space="preserve"> </w:t>
      </w:r>
      <w:r>
        <w:rPr>
          <w:b/>
          <w:bCs/>
        </w:rPr>
        <w:t>cohort information of serum clinical samples.</w:t>
      </w:r>
      <w:bookmarkEnd w:id="77"/>
    </w:p>
    <w:p w14:paraId="20ABD1E9">
      <w:pPr>
        <w:rPr>
          <w:b/>
          <w:bCs/>
        </w:rPr>
      </w:pPr>
    </w:p>
    <w:bookmarkEnd w:id="76"/>
    <w:p w14:paraId="4A51080F">
      <w:pPr>
        <w:adjustRightInd w:val="0"/>
        <w:snapToGrid w:val="0"/>
        <w:spacing w:beforeLines="0" w:afterLines="0" w:line="480" w:lineRule="auto"/>
        <w:jc w:val="center"/>
        <w:rPr>
          <w:rFonts w:ascii="Times New Roman" w:hAnsi="Times New Roman" w:cs="Times New Roman"/>
          <w:b/>
          <w:bCs/>
        </w:rPr>
      </w:pPr>
      <w:r>
        <w:rPr>
          <w:rFonts w:ascii="Times New Roman" w:hAnsi="Times New Roman" w:eastAsia="Times New Roman" w:cs="Times New Roman"/>
          <w:kern w:val="44"/>
        </w:rPr>
        <w:drawing>
          <wp:inline distT="0" distB="0" distL="0" distR="0">
            <wp:extent cx="2484755" cy="1092200"/>
            <wp:effectExtent l="0" t="0" r="0" b="0"/>
            <wp:docPr id="15237694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769494" name="图片 3"/>
                    <pic:cNvPicPr>
                      <a:picLocks noChangeAspect="1"/>
                    </pic:cNvPicPr>
                  </pic:nvPicPr>
                  <pic:blipFill>
                    <a:blip r:embed="rId42"/>
                    <a:stretch>
                      <a:fillRect/>
                    </a:stretch>
                  </pic:blipFill>
                  <pic:spPr>
                    <a:xfrm>
                      <a:off x="0" y="0"/>
                      <a:ext cx="2484967" cy="1092621"/>
                    </a:xfrm>
                    <a:prstGeom prst="rect">
                      <a:avLst/>
                    </a:prstGeom>
                  </pic:spPr>
                </pic:pic>
              </a:graphicData>
            </a:graphic>
          </wp:inline>
        </w:drawing>
      </w:r>
    </w:p>
    <w:p w14:paraId="2F6EB83A">
      <w:pPr>
        <w:pStyle w:val="39"/>
        <w:adjustRightInd w:val="0"/>
        <w:snapToGrid w:val="0"/>
        <w:spacing w:before="0" w:beforeLines="0" w:after="0" w:afterLines="0" w:line="480" w:lineRule="auto"/>
        <w:rPr>
          <w:b/>
          <w:bCs/>
        </w:rPr>
      </w:pPr>
      <w:bookmarkStart w:id="78" w:name="_Toc229846981"/>
      <w:r>
        <w:rPr>
          <w:b/>
          <w:bCs/>
        </w:rPr>
        <w:t xml:space="preserve">Supplementary Fig. </w:t>
      </w:r>
      <w:r>
        <w:rPr>
          <w:rFonts w:eastAsiaTheme="minorEastAsia"/>
          <w:b/>
          <w:bCs/>
        </w:rPr>
        <w:t>37</w:t>
      </w:r>
      <w:r>
        <w:rPr>
          <w:b/>
          <w:bCs/>
        </w:rPr>
        <w:t xml:space="preserve">. </w:t>
      </w:r>
      <w:bookmarkStart w:id="79" w:name="_Hlk222131143"/>
      <w:r>
        <w:rPr>
          <w:rFonts w:hint="eastAsia" w:eastAsiaTheme="minorEastAsia"/>
          <w:b/>
          <w:bCs/>
        </w:rPr>
        <w:t>H</w:t>
      </w:r>
      <w:r>
        <w:rPr>
          <w:b/>
          <w:bCs/>
        </w:rPr>
        <w:t>igh-throughput fluid chip</w:t>
      </w:r>
      <w:bookmarkEnd w:id="79"/>
      <w:r>
        <w:rPr>
          <w:b/>
          <w:bCs/>
        </w:rPr>
        <w:t xml:space="preserve"> of serum cohort for metabolic analysis.</w:t>
      </w:r>
      <w:bookmarkEnd w:id="78"/>
    </w:p>
    <w:p w14:paraId="77F98E56">
      <w:pPr>
        <w:rPr>
          <w:b/>
          <w:bCs/>
        </w:rPr>
      </w:pPr>
      <w:r>
        <w:rPr>
          <w:b/>
          <w:bCs/>
        </w:rPr>
        <w:br w:type="page"/>
      </w:r>
    </w:p>
    <w:p w14:paraId="40B3247D">
      <w:pPr>
        <w:pStyle w:val="39"/>
        <w:adjustRightInd w:val="0"/>
        <w:snapToGrid w:val="0"/>
        <w:spacing w:before="0" w:beforeLines="0" w:after="0" w:afterLines="0" w:line="480" w:lineRule="auto"/>
        <w:rPr>
          <w:b/>
          <w:bCs/>
        </w:rPr>
      </w:pPr>
    </w:p>
    <w:p w14:paraId="2726E1D8">
      <w:pPr>
        <w:adjustRightInd w:val="0"/>
        <w:snapToGrid w:val="0"/>
        <w:spacing w:beforeLines="0" w:afterLines="0" w:line="480" w:lineRule="auto"/>
        <w:jc w:val="center"/>
        <w:rPr>
          <w:rFonts w:ascii="Times New Roman" w:hAnsi="Times New Roman" w:cs="Times New Roman"/>
        </w:rPr>
      </w:pPr>
      <w:r>
        <w:rPr>
          <w:rFonts w:ascii="Times New Roman" w:hAnsi="Times New Roman" w:cs="Times New Roman"/>
        </w:rPr>
        <w:drawing>
          <wp:inline distT="0" distB="0" distL="0" distR="0">
            <wp:extent cx="3746500" cy="2355850"/>
            <wp:effectExtent l="0" t="0" r="6350" b="6350"/>
            <wp:docPr id="3434247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424778" name="图片 1"/>
                    <pic:cNvPicPr>
                      <a:picLocks noChangeAspect="1"/>
                    </pic:cNvPicPr>
                  </pic:nvPicPr>
                  <pic:blipFill>
                    <a:blip r:embed="rId43"/>
                    <a:stretch>
                      <a:fillRect/>
                    </a:stretch>
                  </pic:blipFill>
                  <pic:spPr>
                    <a:xfrm>
                      <a:off x="0" y="0"/>
                      <a:ext cx="3756452" cy="2362247"/>
                    </a:xfrm>
                    <a:prstGeom prst="rect">
                      <a:avLst/>
                    </a:prstGeom>
                  </pic:spPr>
                </pic:pic>
              </a:graphicData>
            </a:graphic>
          </wp:inline>
        </w:drawing>
      </w:r>
    </w:p>
    <w:p w14:paraId="1FAF53A9">
      <w:pPr>
        <w:pStyle w:val="39"/>
        <w:adjustRightInd w:val="0"/>
        <w:snapToGrid w:val="0"/>
        <w:spacing w:before="0" w:beforeLines="0" w:after="0" w:afterLines="0" w:line="480" w:lineRule="auto"/>
        <w:rPr>
          <w:b/>
          <w:bCs/>
        </w:rPr>
      </w:pPr>
      <w:bookmarkStart w:id="80" w:name="_Toc229846982"/>
      <w:r>
        <w:rPr>
          <w:b/>
          <w:bCs/>
        </w:rPr>
        <w:t xml:space="preserve">Supplementary Fig. </w:t>
      </w:r>
      <w:r>
        <w:rPr>
          <w:rFonts w:eastAsiaTheme="minorEastAsia"/>
          <w:b/>
          <w:bCs/>
        </w:rPr>
        <w:t>38</w:t>
      </w:r>
      <w:r>
        <w:rPr>
          <w:b/>
          <w:bCs/>
        </w:rPr>
        <w:t>. Metabolomics data assessment displayed by score plot of PCA model and QCs distribution in (a-b) discovery cohort and (c-d) validation cohort.</w:t>
      </w:r>
      <w:bookmarkEnd w:id="80"/>
    </w:p>
    <w:p w14:paraId="76B52082">
      <w:pPr>
        <w:rPr>
          <w:b/>
          <w:bCs/>
        </w:rPr>
      </w:pPr>
      <w:r>
        <w:rPr>
          <w:b/>
          <w:bCs/>
        </w:rPr>
        <w:br w:type="page"/>
      </w:r>
    </w:p>
    <w:p w14:paraId="0AE1051C">
      <w:pPr>
        <w:adjustRightInd w:val="0"/>
        <w:snapToGrid w:val="0"/>
        <w:spacing w:beforeLines="0" w:afterLines="0" w:line="480" w:lineRule="auto"/>
        <w:jc w:val="center"/>
        <w:rPr>
          <w:rFonts w:ascii="Times New Roman" w:hAnsi="Times New Roman" w:cs="Times New Roman"/>
        </w:rPr>
      </w:pPr>
      <w:r>
        <w:rPr>
          <w:rFonts w:ascii="Times New Roman" w:hAnsi="Times New Roman" w:cs="Times New Roman"/>
        </w:rPr>
        <w:drawing>
          <wp:inline distT="0" distB="0" distL="0" distR="0">
            <wp:extent cx="4237355" cy="3928110"/>
            <wp:effectExtent l="0" t="0" r="0" b="0"/>
            <wp:docPr id="5991928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192823" name="图片 5"/>
                    <pic:cNvPicPr>
                      <a:picLocks noChangeAspect="1"/>
                    </pic:cNvPicPr>
                  </pic:nvPicPr>
                  <pic:blipFill>
                    <a:blip r:embed="rId44"/>
                    <a:stretch>
                      <a:fillRect/>
                    </a:stretch>
                  </pic:blipFill>
                  <pic:spPr>
                    <a:xfrm>
                      <a:off x="0" y="0"/>
                      <a:ext cx="4302129" cy="3988026"/>
                    </a:xfrm>
                    <a:prstGeom prst="rect">
                      <a:avLst/>
                    </a:prstGeom>
                  </pic:spPr>
                </pic:pic>
              </a:graphicData>
            </a:graphic>
          </wp:inline>
        </w:drawing>
      </w:r>
    </w:p>
    <w:p w14:paraId="0AE1051C">
      <w:pPr>
        <w:numPr>
          <w:ilvl w:val="-1"/>
          <w:numId w:val="0"/>
        </w:numPr>
        <w:spacing w:line="480" w:lineRule="auto"/>
        <w:ind w:left="0" w:firstLine="0"/>
        <w:jc w:val="both"/>
      </w:pPr>
      <w:bookmarkStart w:id="81" w:name="_Toc229846983"/>
      <w:r>
        <w:rPr>
          <w:b/>
          <w:bCs/>
        </w:rPr>
        <w:t xml:space="preserve">Supplementary Fig. 39. (a) Score plot and (b) permutation test PLS-DA model for LR vs NC in discovery cohort. (c) Volcano </w:t>
      </w:r>
      <w:r>
        <w:rPr>
          <w:rFonts w:hint="eastAsia" w:eastAsiaTheme="minorEastAsia"/>
          <w:b/>
          <w:bCs/>
        </w:rPr>
        <w:t>plot</w:t>
      </w:r>
      <w:r>
        <w:rPr>
          <w:b/>
          <w:bCs/>
        </w:rPr>
        <w:t xml:space="preserve"> for LR vs NC in discovery cohort. (d) Heatmap of significantly changed metabolites with </w:t>
      </w:r>
      <w:r>
        <w:rPr>
          <w:rFonts w:hint="eastAsia"/>
          <w:b/>
          <w:bCs/>
        </w:rPr>
        <w:t xml:space="preserve">FDR-adjusted </w:t>
      </w:r>
      <w:r>
        <w:rPr>
          <w:b/>
          <w:bCs/>
          <w:i/>
          <w:iCs/>
        </w:rPr>
        <w:t>p</w:t>
      </w:r>
      <w:r>
        <w:rPr>
          <w:b/>
          <w:bCs/>
        </w:rPr>
        <w:t xml:space="preserve"> &lt; 0.05 for LR and NC group in discovery cohort. (e) KEGG metabolic pathways differentially regulated in LR compared to NC. Each circle was colored by the -log10(</w:t>
      </w:r>
      <w:r>
        <w:rPr>
          <w:b/>
          <w:bCs/>
          <w:i/>
          <w:iCs/>
        </w:rPr>
        <w:t>p</w:t>
      </w:r>
      <w:r>
        <w:rPr>
          <w:b/>
          <w:bCs/>
        </w:rPr>
        <w:t>-value).</w:t>
      </w:r>
      <w:bookmarkEnd w:id="81"/>
    </w:p>
    <w:p w14:paraId="34226370">
      <w:pPr>
        <w:adjustRightInd w:val="0"/>
        <w:snapToGrid w:val="0"/>
        <w:spacing w:beforeLines="0" w:afterLines="0" w:line="480" w:lineRule="auto"/>
        <w:jc w:val="center"/>
        <w:rPr>
          <w:rFonts w:ascii="Times New Roman" w:hAnsi="Times New Roman" w:cs="Times New Roman"/>
          <w:b/>
          <w:bCs/>
          <w:sz w:val="28"/>
          <w:szCs w:val="32"/>
        </w:rPr>
      </w:pPr>
      <w:r>
        <w:rPr>
          <w:rFonts w:ascii="Times New Roman" w:hAnsi="Times New Roman" w:cs="Times New Roman"/>
          <w:b/>
          <w:bCs/>
          <w:sz w:val="28"/>
          <w:szCs w:val="32"/>
        </w:rPr>
        <w:drawing>
          <wp:inline distT="0" distB="0" distL="0" distR="0">
            <wp:extent cx="4588510" cy="4291330"/>
            <wp:effectExtent l="0" t="0" r="2540" b="0"/>
            <wp:docPr id="32096739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967396" name="图片 16"/>
                    <pic:cNvPicPr>
                      <a:picLocks noChangeAspect="1"/>
                    </pic:cNvPicPr>
                  </pic:nvPicPr>
                  <pic:blipFill>
                    <a:blip r:embed="rId45"/>
                    <a:stretch>
                      <a:fillRect/>
                    </a:stretch>
                  </pic:blipFill>
                  <pic:spPr>
                    <a:xfrm>
                      <a:off x="0" y="0"/>
                      <a:ext cx="4605987" cy="4307459"/>
                    </a:xfrm>
                    <a:prstGeom prst="rect">
                      <a:avLst/>
                    </a:prstGeom>
                  </pic:spPr>
                </pic:pic>
              </a:graphicData>
            </a:graphic>
          </wp:inline>
        </w:drawing>
      </w:r>
    </w:p>
    <w:p w14:paraId="34226370">
      <w:pPr>
        <w:spacing w:line="480" w:lineRule="auto"/>
        <w:jc w:val="left"/>
        <w:rPr>
          <w:color w:val="000000" w:themeColor="text1"/>
          <w14:textFill>
            <w14:solidFill>
              <w14:schemeClr w14:val="tx1"/>
            </w14:solidFill>
          </w14:textFill>
        </w:rPr>
      </w:pPr>
      <w:bookmarkStart w:id="82" w:name="_Toc229846984"/>
      <w:r>
        <w:rPr>
          <w:b/>
          <w:bCs/>
        </w:rPr>
        <w:t xml:space="preserve">Supplementary Fig. 40. (a) Score plot and (b) permutation test PLS-DA model for HCC vs NC in discovery cohort. (c) Volcano </w:t>
      </w:r>
      <w:r>
        <w:rPr>
          <w:rFonts w:hint="eastAsia" w:eastAsiaTheme="minorEastAsia"/>
          <w:b/>
          <w:bCs/>
        </w:rPr>
        <w:t>plot</w:t>
      </w:r>
      <w:r>
        <w:rPr>
          <w:b/>
          <w:bCs/>
        </w:rPr>
        <w:t xml:space="preserve"> for HCC vs NC in discovery cohort. (d) Heatmap of significantly changed metabolites with </w:t>
      </w:r>
      <w:r>
        <w:rPr>
          <w:rFonts w:hint="eastAsia"/>
          <w:b/>
          <w:bCs/>
        </w:rPr>
        <w:t xml:space="preserve">FDR-adjusted </w:t>
      </w:r>
      <w:r>
        <w:rPr>
          <w:b/>
          <w:bCs/>
          <w:i/>
          <w:iCs/>
        </w:rPr>
        <w:t>p</w:t>
      </w:r>
      <w:r>
        <w:rPr>
          <w:b/>
          <w:bCs/>
        </w:rPr>
        <w:t xml:space="preserve"> &lt; 0.05 for HCC and NC group in discovery </w:t>
      </w:r>
      <w:r>
        <w:rPr>
          <w:rFonts w:eastAsiaTheme="minorEastAsia"/>
          <w:b/>
          <w:bCs/>
        </w:rPr>
        <w:t>cohort</w:t>
      </w:r>
      <w:r>
        <w:rPr>
          <w:b/>
          <w:bCs/>
        </w:rPr>
        <w:t>. (e) KEGG metabolic pathways differentially regulated in HCC compared to NC. Each circle was colored by the -log10(</w:t>
      </w:r>
      <w:r>
        <w:rPr>
          <w:b/>
          <w:bCs/>
          <w:i/>
          <w:iCs/>
        </w:rPr>
        <w:t>p</w:t>
      </w:r>
      <w:r>
        <w:rPr>
          <w:b/>
          <w:bCs/>
        </w:rPr>
        <w:t>-value).</w:t>
      </w:r>
      <w:bookmarkEnd w:id="82"/>
    </w:p>
    <w:p w14:paraId="79014FE6">
      <w:pPr>
        <w:adjustRightInd w:val="0"/>
        <w:snapToGrid w:val="0"/>
        <w:spacing w:beforeLines="0" w:afterLines="0" w:line="480" w:lineRule="auto"/>
        <w:jc w:val="cente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drawing>
          <wp:inline distT="0" distB="0" distL="0" distR="0">
            <wp:extent cx="4415155" cy="4053840"/>
            <wp:effectExtent l="0" t="0" r="4445" b="3810"/>
            <wp:docPr id="204325726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257262" name="图片 9"/>
                    <pic:cNvPicPr>
                      <a:picLocks noChangeAspect="1"/>
                    </pic:cNvPicPr>
                  </pic:nvPicPr>
                  <pic:blipFill>
                    <a:blip r:embed="rId46"/>
                    <a:stretch>
                      <a:fillRect/>
                    </a:stretch>
                  </pic:blipFill>
                  <pic:spPr>
                    <a:xfrm>
                      <a:off x="0" y="0"/>
                      <a:ext cx="4439475" cy="4075995"/>
                    </a:xfrm>
                    <a:prstGeom prst="rect">
                      <a:avLst/>
                    </a:prstGeom>
                  </pic:spPr>
                </pic:pic>
              </a:graphicData>
            </a:graphic>
          </wp:inline>
        </w:drawing>
      </w:r>
    </w:p>
    <w:p w14:paraId="79014FE6">
      <w:pPr>
        <w:spacing w:line="480" w:lineRule="auto"/>
        <w:jc w:val="left"/>
        <w:rPr>
          <w:rFonts w:eastAsiaTheme="minorEastAsia"/>
          <w:b/>
          <w:bCs/>
        </w:rPr>
      </w:pPr>
      <w:bookmarkStart w:id="83" w:name="_Toc229846985"/>
      <w:r>
        <w:rPr>
          <w:b/>
          <w:bCs/>
        </w:rPr>
        <w:t xml:space="preserve">Supplementary Fig. </w:t>
      </w:r>
      <w:r>
        <w:rPr>
          <w:rFonts w:hint="eastAsia" w:eastAsiaTheme="minorEastAsia"/>
          <w:b/>
          <w:bCs/>
        </w:rPr>
        <w:t>41</w:t>
      </w:r>
      <w:r>
        <w:rPr>
          <w:b/>
          <w:bCs/>
        </w:rPr>
        <w:t xml:space="preserve">. (a) Score plot and </w:t>
      </w:r>
      <w:r>
        <w:rPr>
          <w:rFonts w:hint="eastAsia" w:eastAsiaTheme="minorEastAsia"/>
          <w:b/>
          <w:bCs/>
        </w:rPr>
        <w:t xml:space="preserve">(b) </w:t>
      </w:r>
      <w:r>
        <w:rPr>
          <w:b/>
          <w:bCs/>
        </w:rPr>
        <w:t xml:space="preserve">permutation test PLS-DA model for </w:t>
      </w:r>
      <w:r>
        <w:rPr>
          <w:rFonts w:hint="eastAsia" w:eastAsiaTheme="minorEastAsia"/>
          <w:b/>
          <w:bCs/>
        </w:rPr>
        <w:t>HCC</w:t>
      </w:r>
      <w:r>
        <w:rPr>
          <w:b/>
          <w:bCs/>
        </w:rPr>
        <w:t xml:space="preserve"> vs </w:t>
      </w:r>
      <w:r>
        <w:rPr>
          <w:rFonts w:hint="eastAsia" w:eastAsiaTheme="minorEastAsia"/>
          <w:b/>
          <w:bCs/>
        </w:rPr>
        <w:t>LR</w:t>
      </w:r>
      <w:r>
        <w:rPr>
          <w:b/>
          <w:bCs/>
        </w:rPr>
        <w:t xml:space="preserve"> in discovery cohort.</w:t>
      </w:r>
      <w:r>
        <w:rPr>
          <w:rFonts w:hint="eastAsia" w:eastAsiaTheme="minorEastAsia"/>
          <w:b/>
          <w:bCs/>
        </w:rPr>
        <w:t xml:space="preserve"> (c) V</w:t>
      </w:r>
      <w:r>
        <w:rPr>
          <w:b/>
          <w:bCs/>
        </w:rPr>
        <w:t xml:space="preserve">olcano </w:t>
      </w:r>
      <w:r>
        <w:rPr>
          <w:rFonts w:hint="eastAsia" w:eastAsiaTheme="minorEastAsia"/>
          <w:b/>
          <w:bCs/>
        </w:rPr>
        <w:t xml:space="preserve">plot </w:t>
      </w:r>
      <w:r>
        <w:rPr>
          <w:b/>
          <w:bCs/>
        </w:rPr>
        <w:t xml:space="preserve">for </w:t>
      </w:r>
      <w:r>
        <w:rPr>
          <w:rFonts w:hint="eastAsia" w:eastAsiaTheme="minorEastAsia"/>
          <w:b/>
          <w:bCs/>
        </w:rPr>
        <w:t>HCC</w:t>
      </w:r>
      <w:r>
        <w:rPr>
          <w:b/>
          <w:bCs/>
        </w:rPr>
        <w:t xml:space="preserve"> vs </w:t>
      </w:r>
      <w:r>
        <w:rPr>
          <w:rFonts w:hint="eastAsia" w:eastAsiaTheme="minorEastAsia"/>
          <w:b/>
          <w:bCs/>
        </w:rPr>
        <w:t>LR</w:t>
      </w:r>
      <w:r>
        <w:rPr>
          <w:b/>
          <w:bCs/>
        </w:rPr>
        <w:t xml:space="preserve"> in discovery cohort.</w:t>
      </w:r>
      <w:r>
        <w:rPr>
          <w:rFonts w:hint="eastAsia" w:eastAsiaTheme="minorEastAsia"/>
          <w:b/>
          <w:bCs/>
        </w:rPr>
        <w:t xml:space="preserve"> (d) H</w:t>
      </w:r>
      <w:r>
        <w:rPr>
          <w:b/>
          <w:bCs/>
        </w:rPr>
        <w:t xml:space="preserve">eatmap of </w:t>
      </w:r>
      <w:r>
        <w:rPr>
          <w:rFonts w:hint="eastAsia" w:eastAsiaTheme="minorEastAsia"/>
          <w:b/>
          <w:bCs/>
        </w:rPr>
        <w:t>significantly changed</w:t>
      </w:r>
      <w:r>
        <w:rPr>
          <w:b/>
          <w:bCs/>
        </w:rPr>
        <w:t xml:space="preserve"> metabolites with </w:t>
      </w:r>
      <w:r>
        <w:rPr>
          <w:rFonts w:hint="eastAsia"/>
          <w:b/>
          <w:bCs/>
        </w:rPr>
        <w:t xml:space="preserve">FDR-adjusted </w:t>
      </w:r>
      <w:r>
        <w:rPr>
          <w:rFonts w:hint="eastAsia"/>
          <w:b/>
          <w:bCs/>
          <w:i/>
          <w:iCs/>
        </w:rPr>
        <w:t>p</w:t>
      </w:r>
      <w:r>
        <w:rPr>
          <w:b/>
          <w:bCs/>
        </w:rPr>
        <w:t xml:space="preserve"> &lt; 0.05</w:t>
      </w:r>
      <w:r>
        <w:rPr>
          <w:rFonts w:hint="eastAsia" w:eastAsiaTheme="minorEastAsia"/>
          <w:b/>
          <w:bCs/>
        </w:rPr>
        <w:t xml:space="preserve"> for</w:t>
      </w:r>
      <w:r>
        <w:rPr>
          <w:b/>
          <w:bCs/>
        </w:rPr>
        <w:t xml:space="preserve"> </w:t>
      </w:r>
      <w:r>
        <w:rPr>
          <w:rFonts w:hint="eastAsia" w:eastAsiaTheme="minorEastAsia"/>
          <w:b/>
          <w:bCs/>
        </w:rPr>
        <w:t>HCC and LR</w:t>
      </w:r>
      <w:r>
        <w:rPr>
          <w:b/>
          <w:bCs/>
        </w:rPr>
        <w:t xml:space="preserve"> group in discovery </w:t>
      </w:r>
      <w:r>
        <w:rPr>
          <w:rFonts w:hint="eastAsia" w:eastAsiaTheme="minorEastAsia"/>
          <w:b/>
          <w:bCs/>
        </w:rPr>
        <w:t>cohort</w:t>
      </w:r>
      <w:r>
        <w:rPr>
          <w:b/>
          <w:bCs/>
        </w:rPr>
        <w:t>.</w:t>
      </w:r>
      <w:r>
        <w:rPr>
          <w:rFonts w:hint="eastAsia" w:eastAsiaTheme="minorEastAsia"/>
          <w:b/>
          <w:bCs/>
        </w:rPr>
        <w:t xml:space="preserve"> (e) KEGG metabolic pathways differentially regulated in HCC compared to LR. Each circle was colored by the -log10(</w:t>
      </w:r>
      <w:r>
        <w:rPr>
          <w:rFonts w:hint="eastAsia" w:eastAsiaTheme="minorEastAsia"/>
          <w:b/>
          <w:bCs/>
          <w:i/>
          <w:iCs/>
        </w:rPr>
        <w:t>p</w:t>
      </w:r>
      <w:r>
        <w:rPr>
          <w:rFonts w:hint="eastAsia" w:eastAsiaTheme="minorEastAsia"/>
          <w:b/>
          <w:bCs/>
        </w:rPr>
        <w:t>-value).</w:t>
      </w:r>
      <w:bookmarkEnd w:id="83"/>
    </w:p>
    <w:p w14:paraId="7A76ADEF">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4965700" cy="3093720"/>
            <wp:effectExtent l="0" t="0" r="6350" b="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47"/>
                    <a:stretch>
                      <a:fillRect/>
                    </a:stretch>
                  </pic:blipFill>
                  <pic:spPr>
                    <a:xfrm>
                      <a:off x="0" y="0"/>
                      <a:ext cx="4984415" cy="3105732"/>
                    </a:xfrm>
                    <a:prstGeom prst="rect">
                      <a:avLst/>
                    </a:prstGeom>
                  </pic:spPr>
                </pic:pic>
              </a:graphicData>
            </a:graphic>
          </wp:inline>
        </w:drawing>
      </w:r>
    </w:p>
    <w:p w14:paraId="35FBAB87">
      <w:pPr>
        <w:pStyle w:val="39"/>
        <w:adjustRightInd w:val="0"/>
        <w:snapToGrid w:val="0"/>
        <w:spacing w:before="0" w:beforeLines="0" w:after="0" w:afterLines="0" w:line="480" w:lineRule="auto"/>
        <w:jc w:val="both"/>
        <w:rPr>
          <w:rFonts w:eastAsiaTheme="minorEastAsia"/>
          <w:b/>
          <w:bCs/>
        </w:rPr>
      </w:pPr>
      <w:bookmarkStart w:id="84" w:name="_Toc229846986"/>
      <w:r>
        <w:rPr>
          <w:b/>
          <w:bCs/>
        </w:rPr>
        <w:t xml:space="preserve">Supplementary Fig. </w:t>
      </w:r>
      <w:r>
        <w:rPr>
          <w:rFonts w:hint="eastAsia" w:eastAsiaTheme="minorEastAsia"/>
          <w:b/>
          <w:bCs/>
        </w:rPr>
        <w:t>42</w:t>
      </w:r>
      <w:r>
        <w:rPr>
          <w:b/>
          <w:bCs/>
        </w:rPr>
        <w:t xml:space="preserve">. </w:t>
      </w:r>
      <w:r>
        <w:rPr>
          <w:rFonts w:hint="eastAsia" w:eastAsiaTheme="minorEastAsia"/>
          <w:b/>
          <w:bCs/>
        </w:rPr>
        <w:t>Serum lipid-class remodeling across the discovery cohort.</w:t>
      </w:r>
      <w:bookmarkEnd w:id="84"/>
    </w:p>
    <w:p w14:paraId="5BAE6873">
      <w:pPr>
        <w:adjustRightInd w:val="0"/>
        <w:snapToGrid w:val="0"/>
        <w:spacing w:beforeLines="0" w:afterLines="0" w:line="480" w:lineRule="auto"/>
        <w:ind w:firstLine="0" w:firstLineChars="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Heatmap showing row-scaled abundance patterns of annotated serum lipid metabolites across NC, LR and HCC samples in the discovery cohort. Metabolites are grouped by lipid class, including fatty acyls, sphingolipids, glycerolipids, lysophospholipids (LPL), phosphatidic acids (PA), phosphatidylcholines (PC), phosphatidylethanolamines (PE), phosphatidylglycerols (PG), phosphatidylinositols (PI) and phosphatidylserines (PS). Columns represent individual serum samples ordered by clinical group. Red and blue indicate relatively increased and decreased abundance, respectively, after row-wise Z-score scaling.</w:t>
      </w:r>
    </w:p>
    <w:p w14:paraId="361E244D">
      <w:pPr>
        <w:adjustRightInd/>
        <w:snapToGrid/>
        <w:ind w:firstLine="0" w:firstLineChars="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br w:type="page"/>
      </w:r>
    </w:p>
    <w:p w14:paraId="21DD7E69">
      <w:pPr>
        <w:adjustRightInd w:val="0"/>
        <w:snapToGrid w:val="0"/>
        <w:spacing w:beforeLines="0" w:afterLines="0" w:line="480" w:lineRule="auto"/>
        <w:ind w:firstLine="240" w:firstLineChars="100"/>
        <w:rPr>
          <w:rFonts w:ascii="Times New Roman" w:hAnsi="Times New Roman" w:cs="Times New Roman"/>
          <w:color w:val="000000" w:themeColor="text1"/>
          <w:sz w:val="24"/>
          <w:szCs w:val="24"/>
          <w14:textFill>
            <w14:solidFill>
              <w14:schemeClr w14:val="tx1"/>
            </w14:solidFill>
          </w14:textFill>
        </w:rPr>
      </w:pPr>
    </w:p>
    <w:p w14:paraId="513C294D">
      <w:pPr>
        <w:adjustRightInd w:val="0"/>
        <w:snapToGrid w:val="0"/>
        <w:spacing w:beforeLines="0" w:afterLines="0" w:line="480" w:lineRule="auto"/>
        <w:jc w:val="cente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drawing>
          <wp:inline distT="0" distB="0" distL="0" distR="0">
            <wp:extent cx="3759200" cy="2110105"/>
            <wp:effectExtent l="0" t="0" r="0" b="4445"/>
            <wp:docPr id="14936866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86675" name="图片 4"/>
                    <pic:cNvPicPr>
                      <a:picLocks noChangeAspect="1"/>
                    </pic:cNvPicPr>
                  </pic:nvPicPr>
                  <pic:blipFill>
                    <a:blip r:embed="rId48"/>
                    <a:stretch>
                      <a:fillRect/>
                    </a:stretch>
                  </pic:blipFill>
                  <pic:spPr>
                    <a:xfrm>
                      <a:off x="0" y="0"/>
                      <a:ext cx="3805457" cy="2136707"/>
                    </a:xfrm>
                    <a:prstGeom prst="rect">
                      <a:avLst/>
                    </a:prstGeom>
                  </pic:spPr>
                </pic:pic>
              </a:graphicData>
            </a:graphic>
          </wp:inline>
        </w:drawing>
      </w:r>
    </w:p>
    <w:p w14:paraId="0C095554">
      <w:pPr>
        <w:pStyle w:val="39"/>
        <w:adjustRightInd w:val="0"/>
        <w:snapToGrid w:val="0"/>
        <w:spacing w:before="0" w:beforeLines="0" w:after="0" w:afterLines="0" w:line="480" w:lineRule="auto"/>
        <w:rPr>
          <w:rFonts w:eastAsiaTheme="minorEastAsia"/>
          <w:b/>
          <w:bCs/>
        </w:rPr>
      </w:pPr>
      <w:bookmarkStart w:id="85" w:name="_Toc229846987"/>
      <w:r>
        <w:rPr>
          <w:b/>
          <w:bCs/>
        </w:rPr>
        <w:t xml:space="preserve">Supplementary Fig. </w:t>
      </w:r>
      <w:r>
        <w:rPr>
          <w:rFonts w:eastAsiaTheme="minorEastAsia"/>
          <w:b/>
          <w:bCs/>
        </w:rPr>
        <w:t>4</w:t>
      </w:r>
      <w:r>
        <w:rPr>
          <w:rFonts w:hint="eastAsia" w:eastAsiaTheme="minorEastAsia"/>
          <w:b/>
          <w:bCs/>
        </w:rPr>
        <w:t>3</w:t>
      </w:r>
      <w:r>
        <w:rPr>
          <w:b/>
          <w:bCs/>
        </w:rPr>
        <w:t>. Analysis of specific dysregulated pathways driving the pathogenesis of HCC.</w:t>
      </w:r>
      <w:bookmarkEnd w:id="85"/>
      <w:r>
        <w:rPr>
          <w:b/>
          <w:bCs/>
        </w:rPr>
        <w:t xml:space="preserve"> </w:t>
      </w:r>
    </w:p>
    <w:p w14:paraId="2C22B243">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(a) Heatmap of differential metabolites (p &lt; 0.05) between HCC tumour tissues and normal tissues. (b) Pathway topology analysis showing interconnections between key dysregulated metabolic pathways.</w:t>
      </w:r>
    </w:p>
    <w:p w14:paraId="20BD36F2">
      <w:pPr>
        <w:adjustRightInd w:val="0"/>
        <w:snapToGrid w:val="0"/>
        <w:spacing w:beforeLines="0" w:afterLines="0" w:line="480" w:lineRule="auto"/>
        <w:jc w:val="center"/>
        <w:rPr>
          <w:rFonts w:ascii="Times New Roman" w:hAnsi="Times New Roman" w:cs="Times New Roman"/>
          <w:color w:val="000000" w:themeColor="text1"/>
          <w:sz w:val="24"/>
          <w14:textFill>
            <w14:solidFill>
              <w14:schemeClr w14:val="tx1"/>
            </w14:solidFill>
          </w14:textFill>
        </w:rPr>
      </w:pPr>
      <w:r>
        <w:rPr>
          <w:rFonts w:ascii="Times New Roman" w:hAnsi="Times New Roman"/>
        </w:rPr>
        <w:t xml:space="preserve"> </w:t>
      </w:r>
      <w:r>
        <w:rPr>
          <w:rFonts w:ascii="Times New Roman" w:hAnsi="Times New Roman" w:cs="Times New Roman"/>
          <w:color w:val="000000" w:themeColor="text1"/>
          <w:sz w:val="24"/>
          <w14:textFill>
            <w14:solidFill>
              <w14:schemeClr w14:val="tx1"/>
            </w14:solidFill>
          </w14:textFill>
        </w:rPr>
        <w:drawing>
          <wp:inline distT="0" distB="0" distL="0" distR="0">
            <wp:extent cx="4914900" cy="4172585"/>
            <wp:effectExtent l="0" t="0" r="0" b="0"/>
            <wp:docPr id="6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2"/>
                    <pic:cNvPicPr>
                      <a:picLocks noChangeAspect="1"/>
                    </pic:cNvPicPr>
                  </pic:nvPicPr>
                  <pic:blipFill>
                    <a:blip r:embed="rId49"/>
                    <a:stretch>
                      <a:fillRect/>
                    </a:stretch>
                  </pic:blipFill>
                  <pic:spPr>
                    <a:xfrm>
                      <a:off x="0" y="0"/>
                      <a:ext cx="4969940" cy="4219803"/>
                    </a:xfrm>
                    <a:prstGeom prst="rect">
                      <a:avLst/>
                    </a:prstGeom>
                  </pic:spPr>
                </pic:pic>
              </a:graphicData>
            </a:graphic>
          </wp:inline>
        </w:drawing>
      </w:r>
    </w:p>
    <w:p w14:paraId="3471EE8F">
      <w:pPr>
        <w:pStyle w:val="39"/>
        <w:adjustRightInd w:val="0"/>
        <w:snapToGrid w:val="0"/>
        <w:spacing w:before="0" w:beforeLines="0" w:after="0" w:afterLines="0" w:line="480" w:lineRule="auto"/>
        <w:rPr>
          <w:b/>
          <w:bCs/>
        </w:rPr>
      </w:pPr>
      <w:bookmarkStart w:id="86" w:name="_Toc229846988"/>
      <w:r>
        <w:rPr>
          <w:b/>
          <w:bCs/>
        </w:rPr>
        <w:t xml:space="preserve">Supplementary Fig. </w:t>
      </w:r>
      <w:r>
        <w:rPr>
          <w:rFonts w:eastAsiaTheme="minorEastAsia"/>
          <w:b/>
          <w:bCs/>
        </w:rPr>
        <w:t>4</w:t>
      </w:r>
      <w:r>
        <w:rPr>
          <w:rFonts w:hint="eastAsia" w:eastAsiaTheme="minorEastAsia"/>
          <w:b/>
          <w:bCs/>
        </w:rPr>
        <w:t>4</w:t>
      </w:r>
      <w:r>
        <w:rPr>
          <w:b/>
          <w:bCs/>
        </w:rPr>
        <w:t xml:space="preserve">. Representative </w:t>
      </w:r>
      <w:r>
        <w:rPr>
          <w:rFonts w:eastAsiaTheme="minorEastAsia"/>
          <w:b/>
          <w:bCs/>
        </w:rPr>
        <w:t>metabolite</w:t>
      </w:r>
      <w:r>
        <w:rPr>
          <w:b/>
          <w:bCs/>
        </w:rPr>
        <w:t xml:space="preserve">s imaged by </w:t>
      </w:r>
      <w:r>
        <w:rPr>
          <w:rFonts w:hint="eastAsia"/>
          <w:b/>
          <w:bCs/>
        </w:rPr>
        <w:t>the MoO</w:t>
      </w:r>
      <w:r>
        <w:rPr>
          <w:b/>
          <w:bCs/>
          <w:vertAlign w:val="subscript"/>
        </w:rPr>
        <w:t>x</w:t>
      </w:r>
      <w:r>
        <w:rPr>
          <w:rFonts w:hint="eastAsia"/>
          <w:b/>
          <w:bCs/>
        </w:rPr>
        <w:t>-5-assisted</w:t>
      </w:r>
      <w:r>
        <w:rPr>
          <w:b/>
          <w:bCs/>
        </w:rPr>
        <w:t xml:space="preserve"> MALDI-MSI platform.</w:t>
      </w:r>
      <w:bookmarkEnd w:id="86"/>
    </w:p>
    <w:p w14:paraId="3C65F931">
      <w:pPr>
        <w:rPr>
          <w:b/>
          <w:bCs/>
        </w:rPr>
      </w:pPr>
      <w:r>
        <w:rPr>
          <w:b/>
          <w:bCs/>
        </w:rPr>
        <w:br w:type="page"/>
      </w:r>
    </w:p>
    <w:p w14:paraId="5043B568">
      <w:pPr>
        <w:pStyle w:val="39"/>
        <w:adjustRightInd w:val="0"/>
        <w:snapToGrid w:val="0"/>
        <w:spacing w:before="0" w:beforeLines="0" w:after="0" w:afterLines="0" w:line="480" w:lineRule="auto"/>
        <w:rPr>
          <w:b/>
          <w:bCs/>
        </w:rPr>
      </w:pPr>
    </w:p>
    <w:p w14:paraId="30F9DEA7">
      <w:pPr>
        <w:adjustRightInd w:val="0"/>
        <w:snapToGrid w:val="0"/>
        <w:spacing w:beforeLines="0" w:afterLines="0" w:line="480" w:lineRule="auto"/>
        <w:jc w:val="center"/>
        <w:rPr>
          <w:rFonts w:ascii="Times New Roman" w:hAnsi="Times New Roman" w:cs="Times New Roman"/>
          <w:b/>
          <w:bCs/>
        </w:rPr>
      </w:pPr>
      <w:r>
        <w:rPr>
          <w:rFonts w:ascii="Times New Roman" w:hAnsi="Times New Roman" w:cs="Times New Roman"/>
          <w:b/>
          <w:bCs/>
        </w:rPr>
        <w:drawing>
          <wp:inline distT="0" distB="0" distL="0" distR="0">
            <wp:extent cx="4999355" cy="2372360"/>
            <wp:effectExtent l="0" t="0" r="0" b="8890"/>
            <wp:docPr id="95"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4"/>
                    <pic:cNvPicPr>
                      <a:picLocks noChangeAspect="1"/>
                    </pic:cNvPicPr>
                  </pic:nvPicPr>
                  <pic:blipFill>
                    <a:blip r:embed="rId50"/>
                    <a:stretch>
                      <a:fillRect/>
                    </a:stretch>
                  </pic:blipFill>
                  <pic:spPr>
                    <a:xfrm>
                      <a:off x="0" y="0"/>
                      <a:ext cx="5043942" cy="2393999"/>
                    </a:xfrm>
                    <a:prstGeom prst="rect">
                      <a:avLst/>
                    </a:prstGeom>
                  </pic:spPr>
                </pic:pic>
              </a:graphicData>
            </a:graphic>
          </wp:inline>
        </w:drawing>
      </w:r>
    </w:p>
    <w:p w14:paraId="2C092F9C">
      <w:pPr>
        <w:pStyle w:val="39"/>
        <w:adjustRightInd w:val="0"/>
        <w:snapToGrid w:val="0"/>
        <w:spacing w:before="0" w:beforeLines="0" w:after="0" w:afterLines="0" w:line="480" w:lineRule="auto"/>
        <w:rPr>
          <w:b/>
          <w:bCs/>
        </w:rPr>
      </w:pPr>
      <w:bookmarkStart w:id="87" w:name="_Toc229846989"/>
      <w:r>
        <w:rPr>
          <w:b/>
          <w:bCs/>
        </w:rPr>
        <w:t>Supplementary Fig. 4</w:t>
      </w:r>
      <w:r>
        <w:rPr>
          <w:rFonts w:hint="eastAsia" w:eastAsiaTheme="minorEastAsia"/>
          <w:b/>
          <w:bCs/>
        </w:rPr>
        <w:t>5</w:t>
      </w:r>
      <w:r>
        <w:rPr>
          <w:b/>
          <w:bCs/>
        </w:rPr>
        <w:t xml:space="preserve">. </w:t>
      </w:r>
      <w:bookmarkStart w:id="88" w:name="OLE_LINK1"/>
      <w:r>
        <w:rPr>
          <w:b/>
          <w:bCs/>
        </w:rPr>
        <w:t>Boxplot of seven serum biomarkers across normal controls, high</w:t>
      </w:r>
      <w:r>
        <w:rPr>
          <w:rFonts w:hint="eastAsia" w:eastAsiaTheme="minorEastAsia"/>
          <w:b/>
          <w:bCs/>
        </w:rPr>
        <w:t>-</w:t>
      </w:r>
      <w:r>
        <w:rPr>
          <w:b/>
          <w:bCs/>
        </w:rPr>
        <w:t>risk liver disease and hepatocellular carcinoma (HCC vs NC or LR vs NC) in discovery cohort and validation cohort.</w:t>
      </w:r>
      <w:bookmarkEnd w:id="87"/>
      <w:bookmarkEnd w:id="88"/>
    </w:p>
    <w:p w14:paraId="00300D79">
      <w:pPr>
        <w:rPr>
          <w:b/>
          <w:bCs/>
        </w:rPr>
      </w:pPr>
      <w:r>
        <w:rPr>
          <w:b/>
          <w:bCs/>
        </w:rPr>
        <w:br w:type="page"/>
      </w:r>
    </w:p>
    <w:p w14:paraId="7FAB4432">
      <w:pPr>
        <w:pStyle w:val="39"/>
        <w:adjustRightInd w:val="0"/>
        <w:snapToGrid w:val="0"/>
        <w:spacing w:before="0" w:beforeLines="0" w:after="0" w:afterLines="0" w:line="480" w:lineRule="auto"/>
        <w:rPr>
          <w:b/>
          <w:bCs/>
        </w:rPr>
      </w:pPr>
    </w:p>
    <w:p w14:paraId="12423A89">
      <w:pPr>
        <w:adjustRightInd w:val="0"/>
        <w:snapToGrid w:val="0"/>
        <w:spacing w:beforeLines="0" w:afterLines="0" w:line="480" w:lineRule="auto"/>
        <w:jc w:val="cente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drawing>
          <wp:inline distT="0" distB="0" distL="0" distR="0">
            <wp:extent cx="3613785" cy="1961515"/>
            <wp:effectExtent l="0" t="0" r="5715" b="635"/>
            <wp:docPr id="3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pic:cNvPicPr>
                      <a:picLocks noChangeAspect="1"/>
                    </pic:cNvPicPr>
                  </pic:nvPicPr>
                  <pic:blipFill>
                    <a:blip r:embed="rId51"/>
                    <a:stretch>
                      <a:fillRect/>
                    </a:stretch>
                  </pic:blipFill>
                  <pic:spPr>
                    <a:xfrm>
                      <a:off x="0" y="0"/>
                      <a:ext cx="3674026" cy="1994351"/>
                    </a:xfrm>
                    <a:prstGeom prst="rect">
                      <a:avLst/>
                    </a:prstGeom>
                  </pic:spPr>
                </pic:pic>
              </a:graphicData>
            </a:graphic>
          </wp:inline>
        </w:drawing>
      </w:r>
      <w:r>
        <w:rPr>
          <w:rFonts w:ascii="Times New Roman" w:hAnsi="Times New Roman" w:cs="Times New Roman"/>
          <w:color w:val="000000" w:themeColor="text1"/>
          <w:sz w:val="24"/>
          <w14:textFill>
            <w14:solidFill>
              <w14:schemeClr w14:val="tx1"/>
            </w14:solidFill>
          </w14:textFill>
        </w:rPr>
        <w:t xml:space="preserve"> </w:t>
      </w:r>
    </w:p>
    <w:p w14:paraId="1F3C629D">
      <w:pPr>
        <w:pStyle w:val="39"/>
        <w:adjustRightInd w:val="0"/>
        <w:snapToGrid w:val="0"/>
        <w:spacing w:before="0" w:beforeLines="0" w:after="0" w:afterLines="0" w:line="480" w:lineRule="auto"/>
        <w:rPr>
          <w:rFonts w:hint="eastAsia"/>
          <w:b/>
          <w:bCs/>
        </w:rPr>
      </w:pPr>
      <w:bookmarkStart w:id="89" w:name="_Toc229846990"/>
      <w:r>
        <w:rPr>
          <w:b/>
          <w:bCs/>
        </w:rPr>
        <w:t xml:space="preserve">Supplementary Fig. </w:t>
      </w:r>
      <w:r>
        <w:rPr>
          <w:rFonts w:eastAsiaTheme="minorEastAsia"/>
          <w:b/>
          <w:bCs/>
        </w:rPr>
        <w:t>4</w:t>
      </w:r>
      <w:r>
        <w:rPr>
          <w:rFonts w:hint="eastAsia" w:eastAsiaTheme="minorEastAsia"/>
          <w:b/>
          <w:bCs/>
        </w:rPr>
        <w:t>6</w:t>
      </w:r>
      <w:r>
        <w:rPr>
          <w:b/>
          <w:bCs/>
        </w:rPr>
        <w:t xml:space="preserve">. </w:t>
      </w:r>
      <w:r>
        <w:rPr>
          <w:rFonts w:hint="eastAsia"/>
          <w:b/>
          <w:bCs/>
        </w:rPr>
        <w:t xml:space="preserve">Comparison of AFP and AFP </w:t>
      </w:r>
      <w:r>
        <w:rPr>
          <w:rFonts w:hint="eastAsia" w:eastAsiaTheme="minorEastAsia"/>
          <w:b/>
          <w:bCs/>
        </w:rPr>
        <w:t xml:space="preserve">combined with </w:t>
      </w:r>
      <w:r>
        <w:rPr>
          <w:rFonts w:hint="eastAsia"/>
          <w:b/>
          <w:bCs/>
        </w:rPr>
        <w:t>7</w:t>
      </w:r>
      <w:r>
        <w:rPr>
          <w:rFonts w:hint="eastAsia" w:eastAsiaTheme="minorEastAsia"/>
          <w:b/>
          <w:bCs/>
        </w:rPr>
        <w:t>-Panel bio</w:t>
      </w:r>
      <w:r>
        <w:rPr>
          <w:rFonts w:hint="eastAsia"/>
          <w:b/>
          <w:bCs/>
        </w:rPr>
        <w:t>marker for HCC vs high</w:t>
      </w:r>
      <w:r>
        <w:rPr>
          <w:rFonts w:hint="eastAsia" w:eastAsiaTheme="minorEastAsia"/>
          <w:b/>
          <w:bCs/>
        </w:rPr>
        <w:t>-</w:t>
      </w:r>
      <w:r>
        <w:rPr>
          <w:rFonts w:hint="eastAsia"/>
          <w:b/>
          <w:bCs/>
        </w:rPr>
        <w:t>risk liver disease discrimination</w:t>
      </w:r>
      <w:r>
        <w:rPr>
          <w:rFonts w:hint="eastAsia" w:eastAsiaTheme="minorEastAsia"/>
          <w:b/>
          <w:bCs/>
        </w:rPr>
        <w:t xml:space="preserve"> </w:t>
      </w:r>
      <w:r>
        <w:rPr>
          <w:rFonts w:hint="eastAsia"/>
          <w:b/>
          <w:bCs/>
        </w:rPr>
        <w:t>in the discovery and validation cohorts. AFP</w:t>
      </w:r>
      <w:r>
        <w:rPr>
          <w:rFonts w:hint="eastAsia" w:eastAsiaTheme="minorEastAsia"/>
          <w:b/>
          <w:bCs/>
        </w:rPr>
        <w:t>-</w:t>
      </w:r>
      <w:r>
        <w:rPr>
          <w:rFonts w:hint="eastAsia"/>
          <w:b/>
          <w:bCs/>
        </w:rPr>
        <w:t>based analysis was restricted to the HCC vs LR comparison because AFP measurements were not available for normal controls.</w:t>
      </w:r>
      <w:bookmarkEnd w:id="89"/>
    </w:p>
    <w:p w14:paraId="73A2335C">
      <w:pPr>
        <w:rPr>
          <w:rFonts w:hint="eastAsia"/>
          <w:b/>
          <w:bCs/>
        </w:rPr>
      </w:pPr>
      <w:r>
        <w:rPr>
          <w:rFonts w:hint="eastAsia"/>
          <w:b/>
          <w:bCs/>
        </w:rPr>
        <w:br w:type="page"/>
      </w:r>
    </w:p>
    <w:p w14:paraId="4FF0E3B1">
      <w:pPr>
        <w:pStyle w:val="39"/>
        <w:adjustRightInd w:val="0"/>
        <w:snapToGrid w:val="0"/>
        <w:spacing w:before="0" w:beforeLines="0" w:after="0" w:afterLines="0" w:line="480" w:lineRule="auto"/>
        <w:rPr>
          <w:rFonts w:hint="eastAsia"/>
          <w:b/>
          <w:bCs/>
        </w:rPr>
      </w:pPr>
    </w:p>
    <w:p w14:paraId="10569404">
      <w:pPr>
        <w:adjustRightInd w:val="0"/>
        <w:snapToGrid w:val="0"/>
        <w:spacing w:beforeLines="0" w:afterLines="0" w:line="480" w:lineRule="auto"/>
        <w:jc w:val="cente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drawing>
          <wp:inline distT="0" distB="0" distL="0" distR="0">
            <wp:extent cx="3629660" cy="2014220"/>
            <wp:effectExtent l="0" t="0" r="8890" b="5080"/>
            <wp:docPr id="4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52"/>
                    <a:stretch>
                      <a:fillRect/>
                    </a:stretch>
                  </pic:blipFill>
                  <pic:spPr>
                    <a:xfrm>
                      <a:off x="0" y="0"/>
                      <a:ext cx="3660312" cy="2031582"/>
                    </a:xfrm>
                    <a:prstGeom prst="rect">
                      <a:avLst/>
                    </a:prstGeom>
                  </pic:spPr>
                </pic:pic>
              </a:graphicData>
            </a:graphic>
          </wp:inline>
        </w:drawing>
      </w:r>
    </w:p>
    <w:p w14:paraId="040AF97A">
      <w:pPr>
        <w:pStyle w:val="39"/>
        <w:adjustRightInd w:val="0"/>
        <w:snapToGrid w:val="0"/>
        <w:spacing w:before="0" w:beforeLines="0" w:after="0" w:afterLines="0" w:line="480" w:lineRule="auto"/>
        <w:rPr>
          <w:rFonts w:eastAsiaTheme="minorEastAsia"/>
          <w:b/>
          <w:bCs/>
        </w:rPr>
      </w:pPr>
      <w:bookmarkStart w:id="90" w:name="_Toc229846991"/>
      <w:r>
        <w:rPr>
          <w:b/>
          <w:bCs/>
        </w:rPr>
        <w:t xml:space="preserve">Supplementary Fig. </w:t>
      </w:r>
      <w:r>
        <w:rPr>
          <w:rFonts w:eastAsiaTheme="minorEastAsia"/>
          <w:b/>
          <w:bCs/>
        </w:rPr>
        <w:t>4</w:t>
      </w:r>
      <w:r>
        <w:rPr>
          <w:rFonts w:hint="eastAsia" w:eastAsiaTheme="minorEastAsia"/>
          <w:b/>
          <w:bCs/>
        </w:rPr>
        <w:t>7</w:t>
      </w:r>
      <w:r>
        <w:rPr>
          <w:b/>
          <w:bCs/>
        </w:rPr>
        <w:t xml:space="preserve">. </w:t>
      </w:r>
      <w:r>
        <w:rPr>
          <w:rFonts w:hint="eastAsia"/>
          <w:b/>
          <w:bCs/>
        </w:rPr>
        <w:t>Diagnostic performance of the 7</w:t>
      </w:r>
      <w:r>
        <w:rPr>
          <w:rFonts w:hint="eastAsia" w:eastAsiaTheme="minorEastAsia"/>
          <w:b/>
          <w:bCs/>
        </w:rPr>
        <w:t>-Panel</w:t>
      </w:r>
      <w:r>
        <w:rPr>
          <w:rFonts w:hint="eastAsia"/>
          <w:b/>
          <w:bCs/>
        </w:rPr>
        <w:t xml:space="preserve"> </w:t>
      </w:r>
      <w:r>
        <w:rPr>
          <w:rFonts w:hint="eastAsia" w:eastAsiaTheme="minorEastAsia"/>
          <w:b/>
          <w:bCs/>
        </w:rPr>
        <w:t>bio</w:t>
      </w:r>
      <w:r>
        <w:rPr>
          <w:rFonts w:hint="eastAsia"/>
          <w:b/>
          <w:bCs/>
        </w:rPr>
        <w:t>marker in AFP-negative HCC.</w:t>
      </w:r>
      <w:bookmarkEnd w:id="90"/>
      <w:r>
        <w:rPr>
          <w:rFonts w:hint="eastAsia" w:eastAsiaTheme="minorEastAsia"/>
          <w:b/>
          <w:bCs/>
        </w:rPr>
        <w:t xml:space="preserve"> </w:t>
      </w:r>
    </w:p>
    <w:p w14:paraId="11333D98">
      <w:pPr>
        <w:adjustRightInd w:val="0"/>
        <w:snapToGrid w:val="0"/>
        <w:spacing w:beforeLines="0" w:afterLines="0" w:line="480" w:lineRule="auto"/>
        <w:ind w:firstLine="0" w:firstLineChars="0"/>
        <w:rPr>
          <w:rFonts w:hint="eastAsia" w:ascii="Times New Roman" w:hAnsi="Times New Roman"/>
          <w:color w:val="000000" w:themeColor="text1"/>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AFP-negative samples were defined as AFP &lt; 20 ng/mL. In this strict AFP-negative analysis, both HCC and LR samples were restricted to AFP &lt; 20 ng/mL. ROC curves show the performance of the 7-metabolite panel for discriminating AFP-negative HCC from AFP-negative LR in the discovery and validation cohorts. AUC values and 95% confidence intervals are shown in each panel</w:t>
      </w:r>
      <w:r>
        <w:rPr>
          <w:rFonts w:ascii="Times New Roman" w:hAnsi="Times New Roman" w:cs="Times New Roman"/>
          <w:color w:val="000000" w:themeColor="text1"/>
          <w:sz w:val="24"/>
          <w:szCs w:val="24"/>
          <w14:textFill>
            <w14:solidFill>
              <w14:schemeClr w14:val="tx1"/>
            </w14:solidFill>
          </w14:textFill>
        </w:rPr>
        <w:t>.</w:t>
      </w:r>
    </w:p>
    <w:p w14:paraId="332FA45B">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pPr>
    </w:p>
    <w:p w14:paraId="67D5C5D5">
      <w:pPr>
        <w:adjustRightInd w:val="0"/>
        <w:snapToGrid w:val="0"/>
        <w:spacing w:beforeLines="0" w:afterLines="0" w:line="480" w:lineRule="auto"/>
        <w:rPr>
          <w:rFonts w:ascii="Times New Roman" w:hAnsi="Times New Roman" w:cs="Times New Roman"/>
          <w:color w:val="000000" w:themeColor="text1"/>
          <w:sz w:val="24"/>
          <w14:textFill>
            <w14:solidFill>
              <w14:schemeClr w14:val="tx1"/>
            </w14:solidFill>
          </w14:textFill>
        </w:rPr>
        <w:sectPr>
          <w:footerReference r:id="rId3" w:type="default"/>
          <w:pgSz w:w="11906" w:h="16838"/>
          <w:pgMar w:top="1800" w:right="1440" w:bottom="1800" w:left="1440" w:header="851" w:footer="992" w:gutter="0"/>
          <w:cols w:space="425" w:num="1"/>
          <w:docGrid w:type="lines" w:linePitch="312" w:charSpace="0"/>
        </w:sectPr>
      </w:pPr>
    </w:p>
    <w:bookmarkEnd w:id="74"/>
    <w:p w14:paraId="44CD88D4">
      <w:pPr>
        <w:pStyle w:val="39"/>
        <w:adjustRightInd w:val="0"/>
        <w:snapToGrid w:val="0"/>
        <w:spacing w:before="0" w:beforeLines="0" w:after="0" w:afterLines="0" w:line="480" w:lineRule="auto"/>
        <w:rPr>
          <w:rFonts w:eastAsiaTheme="minorEastAsia"/>
          <w:b/>
          <w:bCs/>
        </w:rPr>
      </w:pPr>
      <w:bookmarkStart w:id="91" w:name="_Toc229846992"/>
      <w:r>
        <w:rPr>
          <w:b/>
          <w:bCs/>
        </w:rPr>
        <w:t>Supplementary Table</w:t>
      </w:r>
      <w:r>
        <w:rPr>
          <w:rFonts w:eastAsiaTheme="minorEastAsia"/>
          <w:b/>
          <w:bCs/>
        </w:rPr>
        <w:t xml:space="preserve"> 1.</w:t>
      </w:r>
      <w:r>
        <w:t xml:space="preserve"> </w:t>
      </w:r>
      <w:r>
        <w:rPr>
          <w:b/>
          <w:bCs/>
        </w:rPr>
        <w:t>Results of structural analysis obtained from XRD Rietveld refinement of MoO</w:t>
      </w:r>
      <w:r>
        <w:rPr>
          <w:b/>
          <w:bCs/>
          <w:vertAlign w:val="subscript"/>
        </w:rPr>
        <w:t>x</w:t>
      </w:r>
      <w:r>
        <w:rPr>
          <w:b/>
          <w:bCs/>
        </w:rPr>
        <w:t>-0, MoO</w:t>
      </w:r>
      <w:r>
        <w:rPr>
          <w:b/>
          <w:bCs/>
          <w:vertAlign w:val="subscript"/>
        </w:rPr>
        <w:t>x</w:t>
      </w:r>
      <w:r>
        <w:rPr>
          <w:b/>
          <w:bCs/>
        </w:rPr>
        <w:t>-2 and MoO</w:t>
      </w:r>
      <w:r>
        <w:rPr>
          <w:b/>
          <w:bCs/>
          <w:vertAlign w:val="subscript"/>
        </w:rPr>
        <w:t>x</w:t>
      </w:r>
      <w:r>
        <w:rPr>
          <w:b/>
          <w:bCs/>
        </w:rPr>
        <w:t>-5.</w:t>
      </w:r>
      <w:bookmarkEnd w:id="91"/>
    </w:p>
    <w:tbl>
      <w:tblPr>
        <w:tblStyle w:val="12"/>
        <w:tblW w:w="0" w:type="auto"/>
        <w:jc w:val="center"/>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05"/>
        <w:gridCol w:w="1039"/>
        <w:gridCol w:w="1249"/>
        <w:gridCol w:w="1039"/>
        <w:gridCol w:w="1025"/>
        <w:gridCol w:w="759"/>
        <w:gridCol w:w="759"/>
        <w:gridCol w:w="2118"/>
      </w:tblGrid>
      <w:tr w14:paraId="00324C2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jc w:val="center"/>
        </w:trPr>
        <w:tc>
          <w:tcPr>
            <w:tcW w:w="905" w:type="dxa"/>
            <w:tcBorders>
              <w:top w:val="single" w:color="auto" w:sz="12" w:space="0"/>
              <w:bottom w:val="single" w:color="auto" w:sz="12" w:space="0"/>
            </w:tcBorders>
            <w:vAlign w:val="center"/>
          </w:tcPr>
          <w:p w14:paraId="180F57C6">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Sample</w:t>
            </w:r>
          </w:p>
        </w:tc>
        <w:tc>
          <w:tcPr>
            <w:tcW w:w="1039" w:type="dxa"/>
            <w:tcBorders>
              <w:top w:val="single" w:color="auto" w:sz="12" w:space="0"/>
              <w:bottom w:val="single" w:color="auto" w:sz="12" w:space="0"/>
            </w:tcBorders>
            <w:vAlign w:val="center"/>
          </w:tcPr>
          <w:p w14:paraId="1FA701C0">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a(Å)</w:t>
            </w:r>
          </w:p>
        </w:tc>
        <w:tc>
          <w:tcPr>
            <w:tcW w:w="1249" w:type="dxa"/>
            <w:tcBorders>
              <w:top w:val="single" w:color="auto" w:sz="12" w:space="0"/>
              <w:bottom w:val="single" w:color="auto" w:sz="12" w:space="0"/>
            </w:tcBorders>
            <w:vAlign w:val="center"/>
          </w:tcPr>
          <w:p w14:paraId="64FAECC7">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b(Å)</w:t>
            </w:r>
          </w:p>
        </w:tc>
        <w:tc>
          <w:tcPr>
            <w:tcW w:w="1039" w:type="dxa"/>
            <w:tcBorders>
              <w:top w:val="single" w:color="auto" w:sz="12" w:space="0"/>
              <w:bottom w:val="single" w:color="auto" w:sz="12" w:space="0"/>
            </w:tcBorders>
            <w:vAlign w:val="center"/>
          </w:tcPr>
          <w:p w14:paraId="095A79D2">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c(Å)</w:t>
            </w:r>
          </w:p>
        </w:tc>
        <w:tc>
          <w:tcPr>
            <w:tcW w:w="1025" w:type="dxa"/>
            <w:tcBorders>
              <w:top w:val="single" w:color="auto" w:sz="12" w:space="0"/>
              <w:bottom w:val="single" w:color="auto" w:sz="12" w:space="0"/>
            </w:tcBorders>
            <w:vAlign w:val="center"/>
          </w:tcPr>
          <w:p w14:paraId="6F001380">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szCs w:val="21"/>
              </w:rPr>
              <w:t>α=β=γ (</w:t>
            </w:r>
            <w:r>
              <w:rPr>
                <w:rFonts w:ascii="Times New Roman" w:hAnsi="Times New Roman" w:cs="Times New Roman"/>
                <w:szCs w:val="21"/>
                <w:vertAlign w:val="superscript"/>
              </w:rPr>
              <w:t>o</w:t>
            </w:r>
            <w:r>
              <w:rPr>
                <w:rFonts w:ascii="Times New Roman" w:hAnsi="Times New Roman" w:cs="Times New Roman"/>
                <w:szCs w:val="21"/>
              </w:rPr>
              <w:t>)</w:t>
            </w:r>
          </w:p>
        </w:tc>
        <w:tc>
          <w:tcPr>
            <w:tcW w:w="759" w:type="dxa"/>
            <w:tcBorders>
              <w:top w:val="single" w:color="auto" w:sz="12" w:space="0"/>
              <w:bottom w:val="single" w:color="auto" w:sz="12" w:space="0"/>
            </w:tcBorders>
            <w:vAlign w:val="center"/>
          </w:tcPr>
          <w:p w14:paraId="70F907C3">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R</w:t>
            </w:r>
            <w:r>
              <w:rPr>
                <w:rFonts w:ascii="Times New Roman" w:hAnsi="Times New Roman" w:cs="Times New Roman"/>
                <w:bCs/>
                <w:szCs w:val="21"/>
                <w:vertAlign w:val="subscript"/>
              </w:rPr>
              <w:t>wp</w:t>
            </w:r>
          </w:p>
        </w:tc>
        <w:tc>
          <w:tcPr>
            <w:tcW w:w="759" w:type="dxa"/>
            <w:tcBorders>
              <w:top w:val="single" w:color="auto" w:sz="12" w:space="0"/>
              <w:bottom w:val="single" w:color="auto" w:sz="12" w:space="0"/>
            </w:tcBorders>
            <w:vAlign w:val="center"/>
          </w:tcPr>
          <w:p w14:paraId="1CABC432">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R</w:t>
            </w:r>
            <w:r>
              <w:rPr>
                <w:rFonts w:ascii="Times New Roman" w:hAnsi="Times New Roman" w:cs="Times New Roman"/>
                <w:bCs/>
                <w:szCs w:val="21"/>
                <w:vertAlign w:val="subscript"/>
              </w:rPr>
              <w:t>p</w:t>
            </w:r>
          </w:p>
        </w:tc>
        <w:tc>
          <w:tcPr>
            <w:tcW w:w="2118" w:type="dxa"/>
            <w:tcBorders>
              <w:top w:val="single" w:color="auto" w:sz="12" w:space="0"/>
              <w:bottom w:val="single" w:color="auto" w:sz="12" w:space="0"/>
            </w:tcBorders>
            <w:vAlign w:val="center"/>
          </w:tcPr>
          <w:p w14:paraId="04926B7D">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Simulated Phase name</w:t>
            </w:r>
          </w:p>
        </w:tc>
      </w:tr>
      <w:tr w14:paraId="09BEE33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jc w:val="center"/>
        </w:trPr>
        <w:tc>
          <w:tcPr>
            <w:tcW w:w="905" w:type="dxa"/>
            <w:vAlign w:val="center"/>
          </w:tcPr>
          <w:p w14:paraId="24A0B21D">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MoO</w:t>
            </w:r>
            <w:r>
              <w:rPr>
                <w:rFonts w:ascii="Times New Roman" w:hAnsi="Times New Roman" w:cs="Times New Roman"/>
                <w:bCs/>
                <w:szCs w:val="21"/>
                <w:vertAlign w:val="subscript"/>
              </w:rPr>
              <w:t>x</w:t>
            </w:r>
            <w:r>
              <w:rPr>
                <w:rFonts w:ascii="Times New Roman" w:hAnsi="Times New Roman" w:cs="Times New Roman"/>
                <w:bCs/>
                <w:szCs w:val="21"/>
              </w:rPr>
              <w:t>-0</w:t>
            </w:r>
          </w:p>
        </w:tc>
        <w:tc>
          <w:tcPr>
            <w:tcW w:w="1039" w:type="dxa"/>
            <w:vAlign w:val="center"/>
          </w:tcPr>
          <w:p w14:paraId="43DDC79F">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3.9535</w:t>
            </w:r>
            <w:r>
              <w:rPr>
                <w:rFonts w:hint="eastAsia" w:ascii="Times New Roman" w:hAnsi="Times New Roman" w:cs="Times New Roman"/>
                <w:bCs/>
                <w:szCs w:val="21"/>
              </w:rPr>
              <w:t>(</w:t>
            </w:r>
            <w:r>
              <w:rPr>
                <w:rFonts w:ascii="Times New Roman" w:hAnsi="Times New Roman" w:cs="Times New Roman"/>
                <w:bCs/>
                <w:szCs w:val="21"/>
              </w:rPr>
              <w:t>6</w:t>
            </w:r>
            <w:r>
              <w:rPr>
                <w:rFonts w:hint="eastAsia" w:ascii="Times New Roman" w:hAnsi="Times New Roman" w:cs="Times New Roman"/>
                <w:bCs/>
                <w:szCs w:val="21"/>
              </w:rPr>
              <w:t>)</w:t>
            </w:r>
          </w:p>
        </w:tc>
        <w:tc>
          <w:tcPr>
            <w:tcW w:w="1249" w:type="dxa"/>
            <w:vAlign w:val="center"/>
          </w:tcPr>
          <w:p w14:paraId="2E3FF2C2">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13.8297</w:t>
            </w:r>
            <w:r>
              <w:rPr>
                <w:rFonts w:hint="eastAsia" w:ascii="Times New Roman" w:hAnsi="Times New Roman" w:cs="Times New Roman"/>
                <w:bCs/>
                <w:szCs w:val="21"/>
              </w:rPr>
              <w:t>(</w:t>
            </w:r>
            <w:r>
              <w:rPr>
                <w:rFonts w:ascii="Times New Roman" w:hAnsi="Times New Roman" w:cs="Times New Roman"/>
                <w:bCs/>
                <w:szCs w:val="21"/>
              </w:rPr>
              <w:t>7</w:t>
            </w:r>
            <w:r>
              <w:rPr>
                <w:rFonts w:hint="eastAsia" w:ascii="Times New Roman" w:hAnsi="Times New Roman" w:cs="Times New Roman"/>
                <w:bCs/>
                <w:szCs w:val="21"/>
              </w:rPr>
              <w:t>)</w:t>
            </w:r>
          </w:p>
        </w:tc>
        <w:tc>
          <w:tcPr>
            <w:tcW w:w="1039" w:type="dxa"/>
            <w:vAlign w:val="center"/>
          </w:tcPr>
          <w:p w14:paraId="6650C7B4">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3.6929</w:t>
            </w:r>
            <w:r>
              <w:rPr>
                <w:rFonts w:hint="eastAsia" w:ascii="Times New Roman" w:hAnsi="Times New Roman" w:cs="Times New Roman"/>
                <w:bCs/>
                <w:szCs w:val="21"/>
              </w:rPr>
              <w:t>(</w:t>
            </w:r>
            <w:r>
              <w:rPr>
                <w:rFonts w:ascii="Times New Roman" w:hAnsi="Times New Roman" w:cs="Times New Roman"/>
                <w:bCs/>
                <w:szCs w:val="21"/>
              </w:rPr>
              <w:t>5</w:t>
            </w:r>
            <w:r>
              <w:rPr>
                <w:rFonts w:hint="eastAsia" w:ascii="Times New Roman" w:hAnsi="Times New Roman" w:cs="Times New Roman"/>
                <w:bCs/>
                <w:szCs w:val="21"/>
              </w:rPr>
              <w:t>)</w:t>
            </w:r>
          </w:p>
        </w:tc>
        <w:tc>
          <w:tcPr>
            <w:tcW w:w="1025" w:type="dxa"/>
            <w:vAlign w:val="center"/>
          </w:tcPr>
          <w:p w14:paraId="440A2C51">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90</w:t>
            </w:r>
          </w:p>
        </w:tc>
        <w:tc>
          <w:tcPr>
            <w:tcW w:w="759" w:type="dxa"/>
            <w:vAlign w:val="center"/>
          </w:tcPr>
          <w:p w14:paraId="5552F6CB">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8.90%</w:t>
            </w:r>
          </w:p>
        </w:tc>
        <w:tc>
          <w:tcPr>
            <w:tcW w:w="759" w:type="dxa"/>
            <w:vAlign w:val="center"/>
          </w:tcPr>
          <w:p w14:paraId="6AD29BA4">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6.42%</w:t>
            </w:r>
          </w:p>
        </w:tc>
        <w:tc>
          <w:tcPr>
            <w:tcW w:w="2118" w:type="dxa"/>
            <w:vAlign w:val="center"/>
          </w:tcPr>
          <w:p w14:paraId="2CA9D0E0">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MoO</w:t>
            </w:r>
            <w:r>
              <w:rPr>
                <w:rFonts w:ascii="Times New Roman" w:hAnsi="Times New Roman" w:cs="Times New Roman"/>
                <w:bCs/>
                <w:szCs w:val="21"/>
                <w:vertAlign w:val="subscript"/>
              </w:rPr>
              <w:t>3</w:t>
            </w:r>
          </w:p>
        </w:tc>
      </w:tr>
      <w:tr w14:paraId="7179CE8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jc w:val="center"/>
        </w:trPr>
        <w:tc>
          <w:tcPr>
            <w:tcW w:w="905" w:type="dxa"/>
            <w:vAlign w:val="center"/>
          </w:tcPr>
          <w:p w14:paraId="7B206809">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MoO</w:t>
            </w:r>
            <w:r>
              <w:rPr>
                <w:rFonts w:ascii="Times New Roman" w:hAnsi="Times New Roman" w:cs="Times New Roman"/>
                <w:bCs/>
                <w:szCs w:val="21"/>
                <w:vertAlign w:val="subscript"/>
              </w:rPr>
              <w:t>x</w:t>
            </w:r>
            <w:r>
              <w:rPr>
                <w:rFonts w:ascii="Times New Roman" w:hAnsi="Times New Roman" w:cs="Times New Roman"/>
                <w:bCs/>
                <w:szCs w:val="21"/>
              </w:rPr>
              <w:t>-2</w:t>
            </w:r>
          </w:p>
        </w:tc>
        <w:tc>
          <w:tcPr>
            <w:tcW w:w="1039" w:type="dxa"/>
            <w:vAlign w:val="center"/>
          </w:tcPr>
          <w:p w14:paraId="2544090C">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3.9528</w:t>
            </w:r>
            <w:r>
              <w:rPr>
                <w:rFonts w:hint="eastAsia" w:ascii="Times New Roman" w:hAnsi="Times New Roman" w:cs="Times New Roman"/>
                <w:bCs/>
                <w:szCs w:val="21"/>
              </w:rPr>
              <w:t>(</w:t>
            </w:r>
            <w:r>
              <w:rPr>
                <w:rFonts w:ascii="Times New Roman" w:hAnsi="Times New Roman" w:cs="Times New Roman"/>
                <w:bCs/>
                <w:szCs w:val="21"/>
              </w:rPr>
              <w:t>4</w:t>
            </w:r>
            <w:r>
              <w:rPr>
                <w:rFonts w:hint="eastAsia" w:ascii="Times New Roman" w:hAnsi="Times New Roman" w:cs="Times New Roman"/>
                <w:bCs/>
                <w:szCs w:val="21"/>
              </w:rPr>
              <w:t>)</w:t>
            </w:r>
          </w:p>
        </w:tc>
        <w:tc>
          <w:tcPr>
            <w:tcW w:w="1249" w:type="dxa"/>
            <w:vAlign w:val="center"/>
          </w:tcPr>
          <w:p w14:paraId="3E1BDADD">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13.8826</w:t>
            </w:r>
            <w:r>
              <w:rPr>
                <w:rFonts w:hint="eastAsia" w:ascii="Times New Roman" w:hAnsi="Times New Roman" w:cs="Times New Roman"/>
                <w:bCs/>
                <w:szCs w:val="21"/>
              </w:rPr>
              <w:t>(2)</w:t>
            </w:r>
          </w:p>
        </w:tc>
        <w:tc>
          <w:tcPr>
            <w:tcW w:w="1039" w:type="dxa"/>
            <w:vAlign w:val="center"/>
          </w:tcPr>
          <w:p w14:paraId="4DA83164">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3.7034</w:t>
            </w:r>
            <w:r>
              <w:rPr>
                <w:rFonts w:hint="eastAsia" w:ascii="Times New Roman" w:hAnsi="Times New Roman" w:cs="Times New Roman"/>
                <w:bCs/>
                <w:szCs w:val="21"/>
              </w:rPr>
              <w:t>(</w:t>
            </w:r>
            <w:r>
              <w:rPr>
                <w:rFonts w:ascii="Times New Roman" w:hAnsi="Times New Roman" w:cs="Times New Roman"/>
                <w:bCs/>
                <w:szCs w:val="21"/>
              </w:rPr>
              <w:t>8</w:t>
            </w:r>
            <w:r>
              <w:rPr>
                <w:rFonts w:hint="eastAsia" w:ascii="Times New Roman" w:hAnsi="Times New Roman" w:cs="Times New Roman"/>
                <w:bCs/>
                <w:szCs w:val="21"/>
              </w:rPr>
              <w:t>)</w:t>
            </w:r>
          </w:p>
        </w:tc>
        <w:tc>
          <w:tcPr>
            <w:tcW w:w="1025" w:type="dxa"/>
            <w:vAlign w:val="center"/>
          </w:tcPr>
          <w:p w14:paraId="487BB2C1">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90</w:t>
            </w:r>
          </w:p>
        </w:tc>
        <w:tc>
          <w:tcPr>
            <w:tcW w:w="759" w:type="dxa"/>
            <w:vAlign w:val="center"/>
          </w:tcPr>
          <w:p w14:paraId="4C855F65">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9.17%</w:t>
            </w:r>
          </w:p>
        </w:tc>
        <w:tc>
          <w:tcPr>
            <w:tcW w:w="759" w:type="dxa"/>
            <w:vAlign w:val="center"/>
          </w:tcPr>
          <w:p w14:paraId="33A971E5">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7.07%</w:t>
            </w:r>
          </w:p>
        </w:tc>
        <w:tc>
          <w:tcPr>
            <w:tcW w:w="2118" w:type="dxa"/>
            <w:vAlign w:val="center"/>
          </w:tcPr>
          <w:p w14:paraId="06832D9F">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Mo</w:t>
            </w:r>
            <w:r>
              <w:rPr>
                <w:rFonts w:ascii="Times New Roman" w:hAnsi="Times New Roman" w:cs="Times New Roman"/>
                <w:bCs/>
                <w:szCs w:val="21"/>
                <w:vertAlign w:val="subscript"/>
              </w:rPr>
              <w:t>20</w:t>
            </w:r>
            <w:r>
              <w:rPr>
                <w:rFonts w:ascii="Times New Roman" w:hAnsi="Times New Roman" w:cs="Times New Roman"/>
                <w:bCs/>
                <w:szCs w:val="21"/>
              </w:rPr>
              <w:t>O</w:t>
            </w:r>
            <w:r>
              <w:rPr>
                <w:rFonts w:ascii="Times New Roman" w:hAnsi="Times New Roman" w:cs="Times New Roman"/>
                <w:bCs/>
                <w:szCs w:val="21"/>
                <w:vertAlign w:val="subscript"/>
              </w:rPr>
              <w:t>57</w:t>
            </w:r>
          </w:p>
        </w:tc>
      </w:tr>
      <w:tr w14:paraId="60A8A3D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8" w:hRule="atLeast"/>
          <w:jc w:val="center"/>
        </w:trPr>
        <w:tc>
          <w:tcPr>
            <w:tcW w:w="905" w:type="dxa"/>
            <w:vAlign w:val="center"/>
          </w:tcPr>
          <w:p w14:paraId="68F5F45A">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MoO</w:t>
            </w:r>
            <w:r>
              <w:rPr>
                <w:rFonts w:ascii="Times New Roman" w:hAnsi="Times New Roman" w:cs="Times New Roman"/>
                <w:bCs/>
                <w:szCs w:val="21"/>
                <w:vertAlign w:val="subscript"/>
              </w:rPr>
              <w:t>x</w:t>
            </w:r>
            <w:r>
              <w:rPr>
                <w:rFonts w:ascii="Times New Roman" w:hAnsi="Times New Roman" w:cs="Times New Roman"/>
                <w:bCs/>
                <w:szCs w:val="21"/>
              </w:rPr>
              <w:t>-5</w:t>
            </w:r>
          </w:p>
        </w:tc>
        <w:tc>
          <w:tcPr>
            <w:tcW w:w="1039" w:type="dxa"/>
            <w:vAlign w:val="center"/>
          </w:tcPr>
          <w:p w14:paraId="3EAC07B9">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3.9476</w:t>
            </w:r>
            <w:r>
              <w:rPr>
                <w:rFonts w:hint="eastAsia" w:ascii="Times New Roman" w:hAnsi="Times New Roman" w:cs="Times New Roman"/>
                <w:bCs/>
                <w:szCs w:val="21"/>
              </w:rPr>
              <w:t>(</w:t>
            </w:r>
            <w:r>
              <w:rPr>
                <w:rFonts w:ascii="Times New Roman" w:hAnsi="Times New Roman" w:cs="Times New Roman"/>
                <w:bCs/>
                <w:szCs w:val="21"/>
              </w:rPr>
              <w:t>6</w:t>
            </w:r>
            <w:r>
              <w:rPr>
                <w:rFonts w:hint="eastAsia" w:ascii="Times New Roman" w:hAnsi="Times New Roman" w:cs="Times New Roman"/>
                <w:bCs/>
                <w:szCs w:val="21"/>
              </w:rPr>
              <w:t>)</w:t>
            </w:r>
          </w:p>
        </w:tc>
        <w:tc>
          <w:tcPr>
            <w:tcW w:w="1249" w:type="dxa"/>
            <w:vAlign w:val="center"/>
          </w:tcPr>
          <w:p w14:paraId="68B114AE">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13.9036</w:t>
            </w:r>
            <w:r>
              <w:rPr>
                <w:rFonts w:hint="eastAsia" w:ascii="Times New Roman" w:hAnsi="Times New Roman" w:cs="Times New Roman"/>
                <w:bCs/>
                <w:szCs w:val="21"/>
              </w:rPr>
              <w:t>(</w:t>
            </w:r>
            <w:r>
              <w:rPr>
                <w:rFonts w:ascii="Times New Roman" w:hAnsi="Times New Roman" w:cs="Times New Roman"/>
                <w:bCs/>
                <w:szCs w:val="21"/>
              </w:rPr>
              <w:t>2</w:t>
            </w:r>
            <w:r>
              <w:rPr>
                <w:rFonts w:hint="eastAsia" w:ascii="Times New Roman" w:hAnsi="Times New Roman" w:cs="Times New Roman"/>
                <w:bCs/>
                <w:szCs w:val="21"/>
              </w:rPr>
              <w:t>)</w:t>
            </w:r>
          </w:p>
        </w:tc>
        <w:tc>
          <w:tcPr>
            <w:tcW w:w="1039" w:type="dxa"/>
            <w:vAlign w:val="center"/>
          </w:tcPr>
          <w:p w14:paraId="6C733432">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3.7052</w:t>
            </w:r>
            <w:r>
              <w:rPr>
                <w:rFonts w:hint="eastAsia" w:ascii="Times New Roman" w:hAnsi="Times New Roman" w:cs="Times New Roman"/>
                <w:bCs/>
                <w:szCs w:val="21"/>
              </w:rPr>
              <w:t>(</w:t>
            </w:r>
            <w:r>
              <w:rPr>
                <w:rFonts w:ascii="Times New Roman" w:hAnsi="Times New Roman" w:cs="Times New Roman"/>
                <w:bCs/>
                <w:szCs w:val="21"/>
              </w:rPr>
              <w:t>2</w:t>
            </w:r>
            <w:r>
              <w:rPr>
                <w:rFonts w:hint="eastAsia" w:ascii="Times New Roman" w:hAnsi="Times New Roman" w:cs="Times New Roman"/>
                <w:bCs/>
                <w:szCs w:val="21"/>
              </w:rPr>
              <w:t>)</w:t>
            </w:r>
          </w:p>
        </w:tc>
        <w:tc>
          <w:tcPr>
            <w:tcW w:w="1025" w:type="dxa"/>
            <w:vAlign w:val="center"/>
          </w:tcPr>
          <w:p w14:paraId="1AA64BF7">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90</w:t>
            </w:r>
          </w:p>
        </w:tc>
        <w:tc>
          <w:tcPr>
            <w:tcW w:w="759" w:type="dxa"/>
            <w:vAlign w:val="center"/>
          </w:tcPr>
          <w:p w14:paraId="78BD087C">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6.35%</w:t>
            </w:r>
          </w:p>
        </w:tc>
        <w:tc>
          <w:tcPr>
            <w:tcW w:w="759" w:type="dxa"/>
            <w:vAlign w:val="center"/>
          </w:tcPr>
          <w:p w14:paraId="06FB8160">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4.69%</w:t>
            </w:r>
          </w:p>
        </w:tc>
        <w:tc>
          <w:tcPr>
            <w:tcW w:w="2118" w:type="dxa"/>
            <w:vAlign w:val="center"/>
          </w:tcPr>
          <w:p w14:paraId="799EEAF5">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Mo</w:t>
            </w:r>
            <w:r>
              <w:rPr>
                <w:rFonts w:ascii="Times New Roman" w:hAnsi="Times New Roman" w:cs="Times New Roman"/>
                <w:bCs/>
                <w:szCs w:val="21"/>
                <w:vertAlign w:val="subscript"/>
              </w:rPr>
              <w:t>20</w:t>
            </w:r>
            <w:r>
              <w:rPr>
                <w:rFonts w:ascii="Times New Roman" w:hAnsi="Times New Roman" w:cs="Times New Roman"/>
                <w:bCs/>
                <w:szCs w:val="21"/>
              </w:rPr>
              <w:t>O</w:t>
            </w:r>
            <w:r>
              <w:rPr>
                <w:rFonts w:ascii="Times New Roman" w:hAnsi="Times New Roman" w:cs="Times New Roman"/>
                <w:bCs/>
                <w:szCs w:val="21"/>
                <w:vertAlign w:val="subscript"/>
              </w:rPr>
              <w:t>53</w:t>
            </w:r>
          </w:p>
        </w:tc>
      </w:tr>
    </w:tbl>
    <w:p w14:paraId="70EF2FE6">
      <w:pPr>
        <w:pStyle w:val="39"/>
        <w:adjustRightInd w:val="0"/>
        <w:snapToGrid w:val="0"/>
        <w:spacing w:before="0" w:beforeLines="0" w:after="0" w:afterLines="0" w:line="480" w:lineRule="auto"/>
        <w:rPr>
          <w:b/>
          <w:bCs/>
        </w:rPr>
      </w:pPr>
      <w:bookmarkStart w:id="92" w:name="_Toc229846993"/>
    </w:p>
    <w:p w14:paraId="6F281A66">
      <w:pPr>
        <w:rPr>
          <w:b/>
          <w:bCs/>
        </w:rPr>
      </w:pPr>
      <w:r>
        <w:rPr>
          <w:b/>
          <w:bCs/>
        </w:rPr>
        <w:br w:type="page"/>
      </w:r>
    </w:p>
    <w:p w14:paraId="282E89D9">
      <w:pPr>
        <w:pStyle w:val="39"/>
        <w:adjustRightInd w:val="0"/>
        <w:snapToGrid w:val="0"/>
        <w:spacing w:before="0" w:beforeLines="0" w:after="0" w:afterLines="0" w:line="480" w:lineRule="auto"/>
        <w:rPr>
          <w:b/>
          <w:bCs/>
        </w:rPr>
      </w:pPr>
      <w:r>
        <w:rPr>
          <w:b/>
          <w:bCs/>
        </w:rPr>
        <w:t>Supplementary Table</w:t>
      </w:r>
      <w:r>
        <w:rPr>
          <w:rFonts w:eastAsiaTheme="minorEastAsia"/>
          <w:b/>
          <w:bCs/>
        </w:rPr>
        <w:t xml:space="preserve"> 2</w:t>
      </w:r>
      <w:r>
        <w:rPr>
          <w:b/>
          <w:bCs/>
        </w:rPr>
        <w:t>. Positron annihilation spectroscopy parameters of MoO</w:t>
      </w:r>
      <w:r>
        <w:rPr>
          <w:b/>
          <w:bCs/>
          <w:vertAlign w:val="subscript"/>
        </w:rPr>
        <w:t>x</w:t>
      </w:r>
      <w:r>
        <w:rPr>
          <w:b/>
          <w:bCs/>
        </w:rPr>
        <w:t>-0, MoO</w:t>
      </w:r>
      <w:r>
        <w:rPr>
          <w:b/>
          <w:bCs/>
          <w:vertAlign w:val="subscript"/>
        </w:rPr>
        <w:t>x</w:t>
      </w:r>
      <w:r>
        <w:rPr>
          <w:b/>
          <w:bCs/>
        </w:rPr>
        <w:t>-2 and MoO</w:t>
      </w:r>
      <w:r>
        <w:rPr>
          <w:b/>
          <w:bCs/>
          <w:vertAlign w:val="subscript"/>
        </w:rPr>
        <w:t>x</w:t>
      </w:r>
      <w:r>
        <w:rPr>
          <w:b/>
          <w:bCs/>
        </w:rPr>
        <w:t>-5.</w:t>
      </w:r>
      <w:bookmarkEnd w:id="92"/>
    </w:p>
    <w:tbl>
      <w:tblPr>
        <w:tblStyle w:val="12"/>
        <w:tblW w:w="0" w:type="auto"/>
        <w:jc w:val="center"/>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139"/>
        <w:gridCol w:w="1140"/>
        <w:gridCol w:w="1139"/>
        <w:gridCol w:w="1140"/>
        <w:gridCol w:w="1139"/>
        <w:gridCol w:w="1140"/>
        <w:gridCol w:w="1140"/>
      </w:tblGrid>
      <w:tr w14:paraId="2D77E4A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139" w:type="dxa"/>
            <w:tcBorders>
              <w:top w:val="single" w:color="auto" w:sz="12" w:space="0"/>
              <w:bottom w:val="single" w:color="auto" w:sz="12" w:space="0"/>
            </w:tcBorders>
          </w:tcPr>
          <w:p w14:paraId="1C6B15E3">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Sample</w:t>
            </w:r>
          </w:p>
        </w:tc>
        <w:tc>
          <w:tcPr>
            <w:tcW w:w="1140" w:type="dxa"/>
            <w:tcBorders>
              <w:top w:val="single" w:color="auto" w:sz="12" w:space="0"/>
              <w:bottom w:val="single" w:color="auto" w:sz="12" w:space="0"/>
            </w:tcBorders>
          </w:tcPr>
          <w:p w14:paraId="533366F4">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τ1 (ps)</w:t>
            </w:r>
          </w:p>
        </w:tc>
        <w:tc>
          <w:tcPr>
            <w:tcW w:w="1139" w:type="dxa"/>
            <w:tcBorders>
              <w:top w:val="single" w:color="auto" w:sz="12" w:space="0"/>
              <w:bottom w:val="single" w:color="auto" w:sz="12" w:space="0"/>
            </w:tcBorders>
          </w:tcPr>
          <w:p w14:paraId="76016F09">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I</w:t>
            </w:r>
            <w:r>
              <w:rPr>
                <w:rFonts w:ascii="Times New Roman" w:hAnsi="Times New Roman" w:cs="Times New Roman"/>
                <w:vertAlign w:val="subscript"/>
              </w:rPr>
              <w:t>1</w:t>
            </w:r>
            <w:r>
              <w:rPr>
                <w:rFonts w:hint="eastAsia" w:ascii="Times New Roman" w:hAnsi="Times New Roman" w:cs="Times New Roman"/>
              </w:rPr>
              <w:t xml:space="preserve"> (%)</w:t>
            </w:r>
          </w:p>
        </w:tc>
        <w:tc>
          <w:tcPr>
            <w:tcW w:w="1140" w:type="dxa"/>
            <w:tcBorders>
              <w:top w:val="single" w:color="auto" w:sz="12" w:space="0"/>
              <w:bottom w:val="single" w:color="auto" w:sz="12" w:space="0"/>
            </w:tcBorders>
          </w:tcPr>
          <w:p w14:paraId="300DA8A7">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τ2 (ps)</w:t>
            </w:r>
          </w:p>
        </w:tc>
        <w:tc>
          <w:tcPr>
            <w:tcW w:w="1139" w:type="dxa"/>
            <w:tcBorders>
              <w:top w:val="single" w:color="auto" w:sz="12" w:space="0"/>
              <w:bottom w:val="single" w:color="auto" w:sz="12" w:space="0"/>
            </w:tcBorders>
          </w:tcPr>
          <w:p w14:paraId="170BD63A">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I</w:t>
            </w:r>
            <w:r>
              <w:rPr>
                <w:rFonts w:ascii="Times New Roman" w:hAnsi="Times New Roman" w:cs="Times New Roman"/>
                <w:vertAlign w:val="subscript"/>
              </w:rPr>
              <w:t>2</w:t>
            </w:r>
            <w:r>
              <w:rPr>
                <w:rFonts w:hint="eastAsia" w:ascii="Times New Roman" w:hAnsi="Times New Roman" w:cs="Times New Roman"/>
              </w:rPr>
              <w:t xml:space="preserve"> (%)</w:t>
            </w:r>
          </w:p>
        </w:tc>
        <w:tc>
          <w:tcPr>
            <w:tcW w:w="1140" w:type="dxa"/>
            <w:tcBorders>
              <w:top w:val="single" w:color="auto" w:sz="12" w:space="0"/>
              <w:bottom w:val="single" w:color="auto" w:sz="12" w:space="0"/>
            </w:tcBorders>
          </w:tcPr>
          <w:p w14:paraId="3C263474">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τ3 (ns)</w:t>
            </w:r>
          </w:p>
        </w:tc>
        <w:tc>
          <w:tcPr>
            <w:tcW w:w="1140" w:type="dxa"/>
            <w:tcBorders>
              <w:top w:val="single" w:color="auto" w:sz="12" w:space="0"/>
              <w:bottom w:val="single" w:color="auto" w:sz="12" w:space="0"/>
            </w:tcBorders>
          </w:tcPr>
          <w:p w14:paraId="20B727A0">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I</w:t>
            </w:r>
            <w:r>
              <w:rPr>
                <w:rFonts w:ascii="Times New Roman" w:hAnsi="Times New Roman" w:cs="Times New Roman"/>
                <w:vertAlign w:val="subscript"/>
              </w:rPr>
              <w:t>3</w:t>
            </w:r>
            <w:r>
              <w:rPr>
                <w:rFonts w:hint="eastAsia" w:ascii="Times New Roman" w:hAnsi="Times New Roman" w:cs="Times New Roman"/>
              </w:rPr>
              <w:t xml:space="preserve"> (%)</w:t>
            </w:r>
          </w:p>
        </w:tc>
      </w:tr>
      <w:tr w14:paraId="5F1CA3B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139" w:type="dxa"/>
            <w:tcBorders>
              <w:top w:val="single" w:color="auto" w:sz="12" w:space="0"/>
            </w:tcBorders>
          </w:tcPr>
          <w:p w14:paraId="6B8C28CB">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MoO</w:t>
            </w:r>
            <w:r>
              <w:rPr>
                <w:rFonts w:ascii="Times New Roman" w:hAnsi="Times New Roman" w:cs="Times New Roman"/>
                <w:vertAlign w:val="subscript"/>
              </w:rPr>
              <w:t>x</w:t>
            </w:r>
            <w:r>
              <w:rPr>
                <w:rFonts w:ascii="Times New Roman" w:hAnsi="Times New Roman" w:cs="Times New Roman"/>
              </w:rPr>
              <w:t>-0</w:t>
            </w:r>
          </w:p>
        </w:tc>
        <w:tc>
          <w:tcPr>
            <w:tcW w:w="1140" w:type="dxa"/>
            <w:tcBorders>
              <w:top w:val="single" w:color="auto" w:sz="12" w:space="0"/>
            </w:tcBorders>
          </w:tcPr>
          <w:p w14:paraId="7B05E82E">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223.7</w:t>
            </w:r>
          </w:p>
        </w:tc>
        <w:tc>
          <w:tcPr>
            <w:tcW w:w="1139" w:type="dxa"/>
            <w:tcBorders>
              <w:top w:val="single" w:color="auto" w:sz="12" w:space="0"/>
            </w:tcBorders>
          </w:tcPr>
          <w:p w14:paraId="2CA93768">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55.37</w:t>
            </w:r>
          </w:p>
        </w:tc>
        <w:tc>
          <w:tcPr>
            <w:tcW w:w="1140" w:type="dxa"/>
            <w:tcBorders>
              <w:top w:val="single" w:color="auto" w:sz="12" w:space="0"/>
            </w:tcBorders>
          </w:tcPr>
          <w:p w14:paraId="72BF4CA5">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338.7</w:t>
            </w:r>
          </w:p>
        </w:tc>
        <w:tc>
          <w:tcPr>
            <w:tcW w:w="1139" w:type="dxa"/>
            <w:tcBorders>
              <w:top w:val="single" w:color="auto" w:sz="12" w:space="0"/>
            </w:tcBorders>
          </w:tcPr>
          <w:p w14:paraId="2FEC5B2A">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43.22</w:t>
            </w:r>
          </w:p>
        </w:tc>
        <w:tc>
          <w:tcPr>
            <w:tcW w:w="1140" w:type="dxa"/>
            <w:tcBorders>
              <w:top w:val="single" w:color="auto" w:sz="12" w:space="0"/>
            </w:tcBorders>
          </w:tcPr>
          <w:p w14:paraId="1972329A">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3.321</w:t>
            </w:r>
          </w:p>
        </w:tc>
        <w:tc>
          <w:tcPr>
            <w:tcW w:w="1140" w:type="dxa"/>
            <w:tcBorders>
              <w:top w:val="single" w:color="auto" w:sz="12" w:space="0"/>
            </w:tcBorders>
          </w:tcPr>
          <w:p w14:paraId="4D0BF757">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1.41</w:t>
            </w:r>
          </w:p>
        </w:tc>
      </w:tr>
      <w:tr w14:paraId="71C36FF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139" w:type="dxa"/>
          </w:tcPr>
          <w:p w14:paraId="68C08408">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MoO</w:t>
            </w:r>
            <w:r>
              <w:rPr>
                <w:rFonts w:ascii="Times New Roman" w:hAnsi="Times New Roman" w:cs="Times New Roman"/>
                <w:vertAlign w:val="subscript"/>
              </w:rPr>
              <w:t>x</w:t>
            </w:r>
            <w:r>
              <w:rPr>
                <w:rFonts w:ascii="Times New Roman" w:hAnsi="Times New Roman" w:cs="Times New Roman"/>
              </w:rPr>
              <w:t>-2</w:t>
            </w:r>
          </w:p>
        </w:tc>
        <w:tc>
          <w:tcPr>
            <w:tcW w:w="1140" w:type="dxa"/>
          </w:tcPr>
          <w:p w14:paraId="3C9612BB">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230.5</w:t>
            </w:r>
          </w:p>
        </w:tc>
        <w:tc>
          <w:tcPr>
            <w:tcW w:w="1139" w:type="dxa"/>
          </w:tcPr>
          <w:p w14:paraId="64595205">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42.11</w:t>
            </w:r>
          </w:p>
        </w:tc>
        <w:tc>
          <w:tcPr>
            <w:tcW w:w="1140" w:type="dxa"/>
          </w:tcPr>
          <w:p w14:paraId="51AC6B99">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344.4</w:t>
            </w:r>
          </w:p>
        </w:tc>
        <w:tc>
          <w:tcPr>
            <w:tcW w:w="1139" w:type="dxa"/>
          </w:tcPr>
          <w:p w14:paraId="5EA8A7FE">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57.68</w:t>
            </w:r>
          </w:p>
        </w:tc>
        <w:tc>
          <w:tcPr>
            <w:tcW w:w="1140" w:type="dxa"/>
          </w:tcPr>
          <w:p w14:paraId="0741AC32">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4.257</w:t>
            </w:r>
          </w:p>
        </w:tc>
        <w:tc>
          <w:tcPr>
            <w:tcW w:w="1140" w:type="dxa"/>
          </w:tcPr>
          <w:p w14:paraId="7D77A35F">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0.21</w:t>
            </w:r>
          </w:p>
        </w:tc>
      </w:tr>
      <w:tr w14:paraId="139DC09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2" w:hRule="atLeast"/>
          <w:jc w:val="center"/>
        </w:trPr>
        <w:tc>
          <w:tcPr>
            <w:tcW w:w="1139" w:type="dxa"/>
          </w:tcPr>
          <w:p w14:paraId="71AB4BB1">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MoO</w:t>
            </w:r>
            <w:r>
              <w:rPr>
                <w:rFonts w:ascii="Times New Roman" w:hAnsi="Times New Roman" w:cs="Times New Roman"/>
                <w:vertAlign w:val="subscript"/>
              </w:rPr>
              <w:t>x</w:t>
            </w:r>
            <w:r>
              <w:rPr>
                <w:rFonts w:ascii="Times New Roman" w:hAnsi="Times New Roman" w:cs="Times New Roman"/>
              </w:rPr>
              <w:t>-5</w:t>
            </w:r>
          </w:p>
        </w:tc>
        <w:tc>
          <w:tcPr>
            <w:tcW w:w="1140" w:type="dxa"/>
          </w:tcPr>
          <w:p w14:paraId="5383B3F8">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246.8</w:t>
            </w:r>
          </w:p>
        </w:tc>
        <w:tc>
          <w:tcPr>
            <w:tcW w:w="1139" w:type="dxa"/>
          </w:tcPr>
          <w:p w14:paraId="7E9C15DE">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34.16</w:t>
            </w:r>
          </w:p>
        </w:tc>
        <w:tc>
          <w:tcPr>
            <w:tcW w:w="1140" w:type="dxa"/>
          </w:tcPr>
          <w:p w14:paraId="44FFF19D">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459.8</w:t>
            </w:r>
          </w:p>
        </w:tc>
        <w:tc>
          <w:tcPr>
            <w:tcW w:w="1139" w:type="dxa"/>
          </w:tcPr>
          <w:p w14:paraId="29E4F991">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65.58</w:t>
            </w:r>
          </w:p>
        </w:tc>
        <w:tc>
          <w:tcPr>
            <w:tcW w:w="1140" w:type="dxa"/>
          </w:tcPr>
          <w:p w14:paraId="5046E7DF">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4.555</w:t>
            </w:r>
          </w:p>
        </w:tc>
        <w:tc>
          <w:tcPr>
            <w:tcW w:w="1140" w:type="dxa"/>
          </w:tcPr>
          <w:p w14:paraId="4B3A38B1">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rPr>
              <w:t>0.26</w:t>
            </w:r>
          </w:p>
        </w:tc>
      </w:tr>
    </w:tbl>
    <w:p w14:paraId="73963C84">
      <w:pPr>
        <w:adjustRightInd w:val="0"/>
        <w:snapToGrid w:val="0"/>
        <w:spacing w:beforeLines="0" w:afterLines="0" w:line="480" w:lineRule="auto"/>
        <w:rPr>
          <w:rFonts w:ascii="Times New Roman" w:hAnsi="Times New Roman" w:cs="Times New Roman"/>
        </w:rPr>
      </w:pPr>
    </w:p>
    <w:p w14:paraId="19BAC95E">
      <w:pPr>
        <w:rPr>
          <w:b/>
          <w:bCs/>
        </w:rPr>
      </w:pPr>
      <w:bookmarkStart w:id="93" w:name="_Toc229846994"/>
      <w:r>
        <w:rPr>
          <w:b/>
          <w:bCs/>
        </w:rPr>
        <w:br w:type="page"/>
      </w:r>
    </w:p>
    <w:p w14:paraId="2E315798">
      <w:pPr>
        <w:pStyle w:val="39"/>
        <w:adjustRightInd w:val="0"/>
        <w:snapToGrid w:val="0"/>
        <w:spacing w:before="0" w:beforeLines="0" w:after="0" w:afterLines="0" w:line="480" w:lineRule="auto"/>
        <w:rPr>
          <w:rFonts w:eastAsiaTheme="minorEastAsia"/>
          <w:b/>
          <w:bCs/>
        </w:rPr>
      </w:pPr>
      <w:r>
        <w:rPr>
          <w:b/>
          <w:bCs/>
        </w:rPr>
        <w:t>Supplementary Table</w:t>
      </w:r>
      <w:r>
        <w:rPr>
          <w:rFonts w:eastAsiaTheme="minorEastAsia"/>
          <w:b/>
          <w:bCs/>
        </w:rPr>
        <w:t xml:space="preserve"> 3</w:t>
      </w:r>
      <w:r>
        <w:rPr>
          <w:b/>
          <w:bCs/>
        </w:rPr>
        <w:t>. EXAFS parameters of MoO</w:t>
      </w:r>
      <w:r>
        <w:rPr>
          <w:b/>
          <w:bCs/>
          <w:vertAlign w:val="subscript"/>
        </w:rPr>
        <w:t>x</w:t>
      </w:r>
      <w:r>
        <w:rPr>
          <w:b/>
          <w:bCs/>
        </w:rPr>
        <w:t>-0, MoO</w:t>
      </w:r>
      <w:r>
        <w:rPr>
          <w:b/>
          <w:bCs/>
          <w:vertAlign w:val="subscript"/>
        </w:rPr>
        <w:t>x</w:t>
      </w:r>
      <w:r>
        <w:rPr>
          <w:b/>
          <w:bCs/>
        </w:rPr>
        <w:t>-2 and MoO</w:t>
      </w:r>
      <w:r>
        <w:rPr>
          <w:b/>
          <w:bCs/>
          <w:vertAlign w:val="subscript"/>
        </w:rPr>
        <w:t>x</w:t>
      </w:r>
      <w:r>
        <w:rPr>
          <w:b/>
          <w:bCs/>
        </w:rPr>
        <w:t>-5.</w:t>
      </w:r>
      <w:bookmarkEnd w:id="93"/>
    </w:p>
    <w:tbl>
      <w:tblPr>
        <w:tblStyle w:val="12"/>
        <w:tblW w:w="9395" w:type="dxa"/>
        <w:jc w:val="center"/>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560"/>
        <w:gridCol w:w="1134"/>
        <w:gridCol w:w="708"/>
        <w:gridCol w:w="1560"/>
        <w:gridCol w:w="1701"/>
        <w:gridCol w:w="1592"/>
        <w:gridCol w:w="1140"/>
      </w:tblGrid>
      <w:tr w14:paraId="7A1130B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560" w:type="dxa"/>
            <w:tcBorders>
              <w:top w:val="single" w:color="auto" w:sz="12" w:space="0"/>
              <w:bottom w:val="single" w:color="auto" w:sz="12" w:space="0"/>
            </w:tcBorders>
          </w:tcPr>
          <w:p w14:paraId="4894CCC1">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Sample</w:t>
            </w:r>
          </w:p>
        </w:tc>
        <w:tc>
          <w:tcPr>
            <w:tcW w:w="1134" w:type="dxa"/>
            <w:tcBorders>
              <w:top w:val="single" w:color="auto" w:sz="12" w:space="0"/>
              <w:bottom w:val="single" w:color="auto" w:sz="12" w:space="0"/>
            </w:tcBorders>
          </w:tcPr>
          <w:p w14:paraId="0F7FED6B">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Shell</w:t>
            </w:r>
          </w:p>
        </w:tc>
        <w:tc>
          <w:tcPr>
            <w:tcW w:w="708" w:type="dxa"/>
            <w:tcBorders>
              <w:top w:val="single" w:color="auto" w:sz="12" w:space="0"/>
              <w:bottom w:val="single" w:color="auto" w:sz="12" w:space="0"/>
            </w:tcBorders>
          </w:tcPr>
          <w:p w14:paraId="39C3EB87">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CN</w:t>
            </w:r>
            <w:r>
              <w:rPr>
                <w:rFonts w:ascii="Times New Roman" w:hAnsi="Times New Roman" w:cs="Times New Roman"/>
                <w:bCs/>
                <w:szCs w:val="21"/>
                <w:vertAlign w:val="superscript"/>
              </w:rPr>
              <w:t>a</w:t>
            </w:r>
          </w:p>
        </w:tc>
        <w:tc>
          <w:tcPr>
            <w:tcW w:w="1560" w:type="dxa"/>
            <w:tcBorders>
              <w:top w:val="single" w:color="auto" w:sz="12" w:space="0"/>
              <w:bottom w:val="single" w:color="auto" w:sz="12" w:space="0"/>
            </w:tcBorders>
          </w:tcPr>
          <w:p w14:paraId="2C2F62BA">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 xml:space="preserve">R (Å) </w:t>
            </w:r>
            <w:r>
              <w:rPr>
                <w:rFonts w:ascii="Times New Roman" w:hAnsi="Times New Roman" w:cs="Times New Roman"/>
                <w:bCs/>
                <w:szCs w:val="21"/>
                <w:vertAlign w:val="superscript"/>
              </w:rPr>
              <w:t>b</w:t>
            </w:r>
          </w:p>
        </w:tc>
        <w:tc>
          <w:tcPr>
            <w:tcW w:w="1701" w:type="dxa"/>
            <w:tcBorders>
              <w:top w:val="single" w:color="auto" w:sz="12" w:space="0"/>
              <w:bottom w:val="single" w:color="auto" w:sz="12" w:space="0"/>
            </w:tcBorders>
          </w:tcPr>
          <w:p w14:paraId="30EB3464">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 xml:space="preserve">σ² (Å²) </w:t>
            </w:r>
            <w:r>
              <w:rPr>
                <w:rFonts w:ascii="Times New Roman" w:hAnsi="Times New Roman" w:cs="Times New Roman"/>
                <w:bCs/>
                <w:szCs w:val="21"/>
                <w:vertAlign w:val="superscript"/>
              </w:rPr>
              <w:t>c</w:t>
            </w:r>
          </w:p>
        </w:tc>
        <w:tc>
          <w:tcPr>
            <w:tcW w:w="1592" w:type="dxa"/>
            <w:tcBorders>
              <w:top w:val="single" w:color="auto" w:sz="12" w:space="0"/>
              <w:bottom w:val="single" w:color="auto" w:sz="12" w:space="0"/>
            </w:tcBorders>
          </w:tcPr>
          <w:p w14:paraId="4A45AA5B">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ΔE</w:t>
            </w:r>
            <w:r>
              <w:rPr>
                <w:rFonts w:ascii="Times New Roman" w:hAnsi="Times New Roman" w:cs="Times New Roman"/>
                <w:bCs/>
                <w:szCs w:val="21"/>
                <w:vertAlign w:val="subscript"/>
              </w:rPr>
              <w:t>0</w:t>
            </w:r>
            <w:r>
              <w:rPr>
                <w:rFonts w:ascii="Times New Roman" w:hAnsi="Times New Roman" w:cs="Times New Roman"/>
                <w:bCs/>
                <w:szCs w:val="21"/>
              </w:rPr>
              <w:t xml:space="preserve"> (eV) </w:t>
            </w:r>
            <w:r>
              <w:rPr>
                <w:rFonts w:ascii="Times New Roman" w:hAnsi="Times New Roman" w:cs="Times New Roman"/>
                <w:bCs/>
                <w:szCs w:val="21"/>
                <w:vertAlign w:val="superscript"/>
              </w:rPr>
              <w:t>d</w:t>
            </w:r>
          </w:p>
        </w:tc>
        <w:tc>
          <w:tcPr>
            <w:tcW w:w="1140" w:type="dxa"/>
            <w:tcBorders>
              <w:top w:val="single" w:color="auto" w:sz="12" w:space="0"/>
              <w:bottom w:val="single" w:color="auto" w:sz="12" w:space="0"/>
            </w:tcBorders>
          </w:tcPr>
          <w:p w14:paraId="6DA55094">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R factor</w:t>
            </w:r>
          </w:p>
        </w:tc>
      </w:tr>
      <w:tr w14:paraId="08168D0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560" w:type="dxa"/>
            <w:vMerge w:val="restart"/>
            <w:tcBorders>
              <w:top w:val="single" w:color="auto" w:sz="12" w:space="0"/>
            </w:tcBorders>
          </w:tcPr>
          <w:p w14:paraId="00865BCF">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Mo foil</w:t>
            </w:r>
          </w:p>
        </w:tc>
        <w:tc>
          <w:tcPr>
            <w:tcW w:w="1134" w:type="dxa"/>
            <w:tcBorders>
              <w:top w:val="single" w:color="auto" w:sz="12" w:space="0"/>
            </w:tcBorders>
          </w:tcPr>
          <w:p w14:paraId="3D7CD5C3">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Mo-Mo1</w:t>
            </w:r>
          </w:p>
        </w:tc>
        <w:tc>
          <w:tcPr>
            <w:tcW w:w="708" w:type="dxa"/>
            <w:tcBorders>
              <w:top w:val="single" w:color="auto" w:sz="12" w:space="0"/>
            </w:tcBorders>
          </w:tcPr>
          <w:p w14:paraId="79217134">
            <w:pPr>
              <w:adjustRightInd w:val="0"/>
              <w:snapToGrid w:val="0"/>
              <w:spacing w:beforeLines="0" w:afterLines="0" w:line="480" w:lineRule="auto"/>
              <w:jc w:val="center"/>
              <w:rPr>
                <w:rFonts w:ascii="Times New Roman" w:hAnsi="Times New Roman" w:cs="Times New Roman"/>
                <w:bCs/>
                <w:szCs w:val="21"/>
              </w:rPr>
            </w:pPr>
          </w:p>
        </w:tc>
        <w:tc>
          <w:tcPr>
            <w:tcW w:w="1560" w:type="dxa"/>
            <w:tcBorders>
              <w:top w:val="single" w:color="auto" w:sz="12" w:space="0"/>
            </w:tcBorders>
          </w:tcPr>
          <w:p w14:paraId="1300DB9E">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2.72 ± 0.01</w:t>
            </w:r>
          </w:p>
        </w:tc>
        <w:tc>
          <w:tcPr>
            <w:tcW w:w="1701" w:type="dxa"/>
            <w:tcBorders>
              <w:top w:val="single" w:color="auto" w:sz="12" w:space="0"/>
            </w:tcBorders>
          </w:tcPr>
          <w:p w14:paraId="22F5FC77">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0.003 ± 0.001</w:t>
            </w:r>
          </w:p>
        </w:tc>
        <w:tc>
          <w:tcPr>
            <w:tcW w:w="1592" w:type="dxa"/>
            <w:tcBorders>
              <w:top w:val="single" w:color="auto" w:sz="12" w:space="0"/>
            </w:tcBorders>
          </w:tcPr>
          <w:p w14:paraId="51E32052">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-7.32 ± 0.53</w:t>
            </w:r>
          </w:p>
        </w:tc>
        <w:tc>
          <w:tcPr>
            <w:tcW w:w="1140" w:type="dxa"/>
            <w:tcBorders>
              <w:top w:val="single" w:color="auto" w:sz="12" w:space="0"/>
            </w:tcBorders>
          </w:tcPr>
          <w:p w14:paraId="115BC162">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0.005</w:t>
            </w:r>
          </w:p>
        </w:tc>
      </w:tr>
      <w:tr w14:paraId="6A033BC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560" w:type="dxa"/>
            <w:vMerge w:val="continue"/>
          </w:tcPr>
          <w:p w14:paraId="642D9A90">
            <w:pPr>
              <w:adjustRightInd w:val="0"/>
              <w:snapToGrid w:val="0"/>
              <w:spacing w:beforeLines="0" w:afterLines="0" w:line="480" w:lineRule="auto"/>
              <w:jc w:val="center"/>
              <w:rPr>
                <w:rFonts w:ascii="Times New Roman" w:hAnsi="Times New Roman" w:cs="Times New Roman"/>
                <w:bCs/>
                <w:szCs w:val="21"/>
              </w:rPr>
            </w:pPr>
          </w:p>
        </w:tc>
        <w:tc>
          <w:tcPr>
            <w:tcW w:w="1134" w:type="dxa"/>
          </w:tcPr>
          <w:p w14:paraId="448F6FA9">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Mo-Mo2</w:t>
            </w:r>
          </w:p>
        </w:tc>
        <w:tc>
          <w:tcPr>
            <w:tcW w:w="708" w:type="dxa"/>
          </w:tcPr>
          <w:p w14:paraId="4DBB8F12">
            <w:pPr>
              <w:adjustRightInd w:val="0"/>
              <w:snapToGrid w:val="0"/>
              <w:spacing w:beforeLines="0" w:afterLines="0" w:line="480" w:lineRule="auto"/>
              <w:jc w:val="center"/>
              <w:rPr>
                <w:rFonts w:ascii="Times New Roman" w:hAnsi="Times New Roman" w:cs="Times New Roman"/>
                <w:bCs/>
                <w:szCs w:val="21"/>
              </w:rPr>
            </w:pPr>
          </w:p>
        </w:tc>
        <w:tc>
          <w:tcPr>
            <w:tcW w:w="1560" w:type="dxa"/>
          </w:tcPr>
          <w:p w14:paraId="2F6C75DD">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3.14 ± 0.01</w:t>
            </w:r>
          </w:p>
        </w:tc>
        <w:tc>
          <w:tcPr>
            <w:tcW w:w="1701" w:type="dxa"/>
          </w:tcPr>
          <w:p w14:paraId="6EF26E55">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0.003 ± 0.001</w:t>
            </w:r>
          </w:p>
        </w:tc>
        <w:tc>
          <w:tcPr>
            <w:tcW w:w="1592" w:type="dxa"/>
          </w:tcPr>
          <w:p w14:paraId="657FA4EB">
            <w:pPr>
              <w:adjustRightInd w:val="0"/>
              <w:snapToGrid w:val="0"/>
              <w:spacing w:beforeLines="0" w:afterLines="0" w:line="480" w:lineRule="auto"/>
              <w:jc w:val="center"/>
              <w:rPr>
                <w:rFonts w:ascii="Times New Roman" w:hAnsi="Times New Roman" w:cs="Times New Roman"/>
                <w:bCs/>
                <w:szCs w:val="21"/>
              </w:rPr>
            </w:pPr>
          </w:p>
        </w:tc>
        <w:tc>
          <w:tcPr>
            <w:tcW w:w="1140" w:type="dxa"/>
          </w:tcPr>
          <w:p w14:paraId="6CE6B6E4">
            <w:pPr>
              <w:adjustRightInd w:val="0"/>
              <w:snapToGrid w:val="0"/>
              <w:spacing w:beforeLines="0" w:afterLines="0" w:line="480" w:lineRule="auto"/>
              <w:jc w:val="center"/>
              <w:rPr>
                <w:rFonts w:ascii="Times New Roman" w:hAnsi="Times New Roman" w:cs="Times New Roman"/>
                <w:bCs/>
                <w:szCs w:val="21"/>
              </w:rPr>
            </w:pPr>
          </w:p>
        </w:tc>
      </w:tr>
      <w:tr w14:paraId="7966EA2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560" w:type="dxa"/>
          </w:tcPr>
          <w:p w14:paraId="1918C09F">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MoO</w:t>
            </w:r>
            <w:r>
              <w:rPr>
                <w:rFonts w:ascii="Times New Roman" w:hAnsi="Times New Roman" w:cs="Times New Roman"/>
                <w:bCs/>
                <w:szCs w:val="21"/>
                <w:vertAlign w:val="subscript"/>
              </w:rPr>
              <w:t>2</w:t>
            </w:r>
          </w:p>
        </w:tc>
        <w:tc>
          <w:tcPr>
            <w:tcW w:w="1134" w:type="dxa"/>
          </w:tcPr>
          <w:p w14:paraId="65A2553F">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Mo-O</w:t>
            </w:r>
          </w:p>
        </w:tc>
        <w:tc>
          <w:tcPr>
            <w:tcW w:w="708" w:type="dxa"/>
          </w:tcPr>
          <w:p w14:paraId="1FAD48A6">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5.97</w:t>
            </w:r>
          </w:p>
        </w:tc>
        <w:tc>
          <w:tcPr>
            <w:tcW w:w="1560" w:type="dxa"/>
          </w:tcPr>
          <w:p w14:paraId="55C8DE52">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2.01</w:t>
            </w:r>
          </w:p>
        </w:tc>
        <w:tc>
          <w:tcPr>
            <w:tcW w:w="1701" w:type="dxa"/>
          </w:tcPr>
          <w:p w14:paraId="1605DDB6">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0.0020</w:t>
            </w:r>
          </w:p>
        </w:tc>
        <w:tc>
          <w:tcPr>
            <w:tcW w:w="1592" w:type="dxa"/>
          </w:tcPr>
          <w:p w14:paraId="7A17547F">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-3.89 ± 0.50</w:t>
            </w:r>
          </w:p>
        </w:tc>
        <w:tc>
          <w:tcPr>
            <w:tcW w:w="1140" w:type="dxa"/>
          </w:tcPr>
          <w:p w14:paraId="6C1193FB">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0.014</w:t>
            </w:r>
          </w:p>
        </w:tc>
      </w:tr>
      <w:tr w14:paraId="767B918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560" w:type="dxa"/>
          </w:tcPr>
          <w:p w14:paraId="7C3208F9">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MoO</w:t>
            </w:r>
            <w:r>
              <w:rPr>
                <w:rFonts w:ascii="Times New Roman" w:hAnsi="Times New Roman" w:cs="Times New Roman"/>
                <w:bCs/>
                <w:szCs w:val="21"/>
                <w:vertAlign w:val="subscript"/>
              </w:rPr>
              <w:t>3</w:t>
            </w:r>
          </w:p>
        </w:tc>
        <w:tc>
          <w:tcPr>
            <w:tcW w:w="1134" w:type="dxa"/>
          </w:tcPr>
          <w:p w14:paraId="268F2FD2">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Mo-O</w:t>
            </w:r>
          </w:p>
        </w:tc>
        <w:tc>
          <w:tcPr>
            <w:tcW w:w="708" w:type="dxa"/>
          </w:tcPr>
          <w:p w14:paraId="5E2A4C66">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6.52</w:t>
            </w:r>
          </w:p>
        </w:tc>
        <w:tc>
          <w:tcPr>
            <w:tcW w:w="1560" w:type="dxa"/>
          </w:tcPr>
          <w:p w14:paraId="17C1DF57">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2.05</w:t>
            </w:r>
          </w:p>
        </w:tc>
        <w:tc>
          <w:tcPr>
            <w:tcW w:w="1701" w:type="dxa"/>
          </w:tcPr>
          <w:p w14:paraId="03A1D0DF">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0.0033</w:t>
            </w:r>
          </w:p>
        </w:tc>
        <w:tc>
          <w:tcPr>
            <w:tcW w:w="1592" w:type="dxa"/>
          </w:tcPr>
          <w:p w14:paraId="71D69A54">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8.47 ± 0.37</w:t>
            </w:r>
          </w:p>
        </w:tc>
        <w:tc>
          <w:tcPr>
            <w:tcW w:w="1140" w:type="dxa"/>
          </w:tcPr>
          <w:p w14:paraId="50EB85DF">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0.006</w:t>
            </w:r>
          </w:p>
        </w:tc>
      </w:tr>
      <w:tr w14:paraId="7A58252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560" w:type="dxa"/>
          </w:tcPr>
          <w:p w14:paraId="7D89E55D">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MoO</w:t>
            </w:r>
            <w:r>
              <w:rPr>
                <w:rFonts w:ascii="Times New Roman" w:hAnsi="Times New Roman" w:cs="Times New Roman"/>
                <w:bCs/>
                <w:szCs w:val="21"/>
                <w:vertAlign w:val="subscript"/>
              </w:rPr>
              <w:t>x</w:t>
            </w:r>
            <w:r>
              <w:rPr>
                <w:rFonts w:ascii="Times New Roman" w:hAnsi="Times New Roman" w:cs="Times New Roman"/>
                <w:bCs/>
                <w:szCs w:val="21"/>
              </w:rPr>
              <w:t>-2</w:t>
            </w:r>
          </w:p>
        </w:tc>
        <w:tc>
          <w:tcPr>
            <w:tcW w:w="1134" w:type="dxa"/>
          </w:tcPr>
          <w:p w14:paraId="2E312961">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Mo-O</w:t>
            </w:r>
          </w:p>
        </w:tc>
        <w:tc>
          <w:tcPr>
            <w:tcW w:w="708" w:type="dxa"/>
          </w:tcPr>
          <w:p w14:paraId="2F0D4D2C">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5.32</w:t>
            </w:r>
          </w:p>
        </w:tc>
        <w:tc>
          <w:tcPr>
            <w:tcW w:w="1560" w:type="dxa"/>
          </w:tcPr>
          <w:p w14:paraId="2C567025">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1.97</w:t>
            </w:r>
          </w:p>
        </w:tc>
        <w:tc>
          <w:tcPr>
            <w:tcW w:w="1701" w:type="dxa"/>
          </w:tcPr>
          <w:p w14:paraId="0B190925">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0.0077</w:t>
            </w:r>
          </w:p>
        </w:tc>
        <w:tc>
          <w:tcPr>
            <w:tcW w:w="1592" w:type="dxa"/>
          </w:tcPr>
          <w:p w14:paraId="5A8091C7">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-6.89 ± 0.84</w:t>
            </w:r>
          </w:p>
        </w:tc>
        <w:tc>
          <w:tcPr>
            <w:tcW w:w="1140" w:type="dxa"/>
          </w:tcPr>
          <w:p w14:paraId="1165681F">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0.006</w:t>
            </w:r>
          </w:p>
        </w:tc>
      </w:tr>
      <w:tr w14:paraId="1849898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 w:hRule="atLeast"/>
          <w:jc w:val="center"/>
        </w:trPr>
        <w:tc>
          <w:tcPr>
            <w:tcW w:w="1560" w:type="dxa"/>
            <w:tcBorders>
              <w:bottom w:val="nil"/>
            </w:tcBorders>
          </w:tcPr>
          <w:p w14:paraId="22965CB4">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MoO</w:t>
            </w:r>
            <w:r>
              <w:rPr>
                <w:rFonts w:ascii="Times New Roman" w:hAnsi="Times New Roman" w:cs="Times New Roman"/>
                <w:bCs/>
                <w:szCs w:val="21"/>
                <w:vertAlign w:val="subscript"/>
              </w:rPr>
              <w:t>x</w:t>
            </w:r>
            <w:r>
              <w:rPr>
                <w:rFonts w:ascii="Times New Roman" w:hAnsi="Times New Roman" w:cs="Times New Roman"/>
                <w:bCs/>
                <w:szCs w:val="21"/>
              </w:rPr>
              <w:t>-5</w:t>
            </w:r>
          </w:p>
        </w:tc>
        <w:tc>
          <w:tcPr>
            <w:tcW w:w="1134" w:type="dxa"/>
            <w:tcBorders>
              <w:bottom w:val="nil"/>
            </w:tcBorders>
          </w:tcPr>
          <w:p w14:paraId="7D6F31E4">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Mo-O</w:t>
            </w:r>
          </w:p>
        </w:tc>
        <w:tc>
          <w:tcPr>
            <w:tcW w:w="708" w:type="dxa"/>
            <w:tcBorders>
              <w:bottom w:val="nil"/>
            </w:tcBorders>
          </w:tcPr>
          <w:p w14:paraId="2DD9E320">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4.11</w:t>
            </w:r>
          </w:p>
        </w:tc>
        <w:tc>
          <w:tcPr>
            <w:tcW w:w="1560" w:type="dxa"/>
            <w:tcBorders>
              <w:bottom w:val="nil"/>
            </w:tcBorders>
          </w:tcPr>
          <w:p w14:paraId="1AEB20AA">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1.91</w:t>
            </w:r>
          </w:p>
        </w:tc>
        <w:tc>
          <w:tcPr>
            <w:tcW w:w="1701" w:type="dxa"/>
            <w:tcBorders>
              <w:bottom w:val="nil"/>
            </w:tcBorders>
          </w:tcPr>
          <w:p w14:paraId="4950CBA9">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0.0060</w:t>
            </w:r>
          </w:p>
        </w:tc>
        <w:tc>
          <w:tcPr>
            <w:tcW w:w="1592" w:type="dxa"/>
            <w:tcBorders>
              <w:bottom w:val="nil"/>
            </w:tcBorders>
          </w:tcPr>
          <w:p w14:paraId="3BA1EB2F">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-6.48 ± 0.53</w:t>
            </w:r>
          </w:p>
        </w:tc>
        <w:tc>
          <w:tcPr>
            <w:tcW w:w="1140" w:type="dxa"/>
            <w:tcBorders>
              <w:bottom w:val="nil"/>
            </w:tcBorders>
          </w:tcPr>
          <w:p w14:paraId="4DC84D47">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0.030</w:t>
            </w:r>
          </w:p>
        </w:tc>
      </w:tr>
      <w:tr w14:paraId="081B455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2" w:hRule="atLeast"/>
          <w:jc w:val="center"/>
        </w:trPr>
        <w:tc>
          <w:tcPr>
            <w:tcW w:w="1560" w:type="dxa"/>
            <w:tcBorders>
              <w:top w:val="nil"/>
              <w:bottom w:val="single" w:color="auto" w:sz="12" w:space="0"/>
            </w:tcBorders>
          </w:tcPr>
          <w:p w14:paraId="582D55EF">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MoO</w:t>
            </w:r>
            <w:r>
              <w:rPr>
                <w:rFonts w:ascii="Times New Roman" w:hAnsi="Times New Roman" w:cs="Times New Roman"/>
                <w:bCs/>
                <w:szCs w:val="21"/>
                <w:vertAlign w:val="subscript"/>
              </w:rPr>
              <w:t>x</w:t>
            </w:r>
            <w:r>
              <w:rPr>
                <w:rFonts w:ascii="Times New Roman" w:hAnsi="Times New Roman" w:cs="Times New Roman"/>
                <w:bCs/>
                <w:szCs w:val="21"/>
              </w:rPr>
              <w:t>-5-light</w:t>
            </w:r>
          </w:p>
        </w:tc>
        <w:tc>
          <w:tcPr>
            <w:tcW w:w="1134" w:type="dxa"/>
            <w:tcBorders>
              <w:top w:val="nil"/>
              <w:bottom w:val="single" w:color="auto" w:sz="12" w:space="0"/>
            </w:tcBorders>
          </w:tcPr>
          <w:p w14:paraId="5E468884">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Mo-O</w:t>
            </w:r>
          </w:p>
        </w:tc>
        <w:tc>
          <w:tcPr>
            <w:tcW w:w="708" w:type="dxa"/>
            <w:tcBorders>
              <w:top w:val="nil"/>
              <w:bottom w:val="single" w:color="auto" w:sz="12" w:space="0"/>
            </w:tcBorders>
          </w:tcPr>
          <w:p w14:paraId="52F00FDC">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3.79</w:t>
            </w:r>
          </w:p>
        </w:tc>
        <w:tc>
          <w:tcPr>
            <w:tcW w:w="1560" w:type="dxa"/>
            <w:tcBorders>
              <w:top w:val="nil"/>
              <w:bottom w:val="single" w:color="auto" w:sz="12" w:space="0"/>
            </w:tcBorders>
          </w:tcPr>
          <w:p w14:paraId="5E9D57F1">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1.86</w:t>
            </w:r>
          </w:p>
        </w:tc>
        <w:tc>
          <w:tcPr>
            <w:tcW w:w="1701" w:type="dxa"/>
            <w:tcBorders>
              <w:top w:val="nil"/>
              <w:bottom w:val="single" w:color="auto" w:sz="12" w:space="0"/>
            </w:tcBorders>
          </w:tcPr>
          <w:p w14:paraId="55439D67">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0.0023</w:t>
            </w:r>
          </w:p>
        </w:tc>
        <w:tc>
          <w:tcPr>
            <w:tcW w:w="1592" w:type="dxa"/>
            <w:tcBorders>
              <w:top w:val="nil"/>
              <w:bottom w:val="single" w:color="auto" w:sz="12" w:space="0"/>
            </w:tcBorders>
          </w:tcPr>
          <w:p w14:paraId="1DFA64FE">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-6.28 ± 0.29</w:t>
            </w:r>
          </w:p>
        </w:tc>
        <w:tc>
          <w:tcPr>
            <w:tcW w:w="1140" w:type="dxa"/>
            <w:tcBorders>
              <w:top w:val="nil"/>
              <w:bottom w:val="single" w:color="auto" w:sz="12" w:space="0"/>
            </w:tcBorders>
          </w:tcPr>
          <w:p w14:paraId="2A011F52">
            <w:pPr>
              <w:adjustRightInd w:val="0"/>
              <w:snapToGrid w:val="0"/>
              <w:spacing w:beforeLines="0" w:afterLines="0" w:line="480" w:lineRule="auto"/>
              <w:jc w:val="center"/>
              <w:rPr>
                <w:rFonts w:ascii="Times New Roman" w:hAnsi="Times New Roman" w:cs="Times New Roman"/>
                <w:bCs/>
                <w:szCs w:val="21"/>
              </w:rPr>
            </w:pPr>
            <w:r>
              <w:rPr>
                <w:rFonts w:ascii="Times New Roman" w:hAnsi="Times New Roman" w:cs="Times New Roman"/>
                <w:bCs/>
                <w:szCs w:val="21"/>
              </w:rPr>
              <w:t>0.005</w:t>
            </w:r>
          </w:p>
        </w:tc>
      </w:tr>
    </w:tbl>
    <w:p w14:paraId="72293461">
      <w:pPr>
        <w:adjustRightInd w:val="0"/>
        <w:snapToGrid w:val="0"/>
        <w:spacing w:beforeLines="0" w:afterLines="0" w:line="480" w:lineRule="auto"/>
        <w:rPr>
          <w:rFonts w:ascii="Times New Roman" w:hAnsi="Times New Roman" w:cs="Times New Roman"/>
          <w:bCs/>
          <w:sz w:val="24"/>
          <w:szCs w:val="24"/>
        </w:rPr>
      </w:pPr>
      <w:r>
        <w:rPr>
          <w:rFonts w:ascii="Times New Roman" w:hAnsi="Times New Roman" w:cs="Times New Roman"/>
          <w:bCs/>
          <w:sz w:val="24"/>
          <w:szCs w:val="24"/>
        </w:rPr>
        <w:t>a CN, coordination number; b R, distance between absorber and backscatter atoms; c σ</w:t>
      </w:r>
      <w:r>
        <w:rPr>
          <w:rFonts w:ascii="Times New Roman" w:hAnsi="Times New Roman" w:cs="Times New Roman"/>
          <w:bCs/>
          <w:sz w:val="24"/>
          <w:szCs w:val="24"/>
          <w:vertAlign w:val="superscript"/>
        </w:rPr>
        <w:t>2</w:t>
      </w:r>
      <w:r>
        <w:rPr>
          <w:rFonts w:ascii="Times New Roman" w:hAnsi="Times New Roman" w:cs="Times New Roman"/>
          <w:bCs/>
          <w:sz w:val="24"/>
          <w:szCs w:val="24"/>
        </w:rPr>
        <w:t>, Debye-Waller factor to account for both thermal and structural disorders; d ΔE</w:t>
      </w:r>
      <w:r>
        <w:rPr>
          <w:rFonts w:ascii="Times New Roman" w:hAnsi="Times New Roman" w:cs="Times New Roman"/>
          <w:bCs/>
          <w:sz w:val="24"/>
          <w:szCs w:val="24"/>
          <w:vertAlign w:val="subscript"/>
        </w:rPr>
        <w:t>0</w:t>
      </w:r>
      <w:r>
        <w:rPr>
          <w:rFonts w:ascii="Times New Roman" w:hAnsi="Times New Roman" w:cs="Times New Roman"/>
          <w:bCs/>
          <w:sz w:val="24"/>
          <w:szCs w:val="24"/>
        </w:rPr>
        <w:t>, inner potential correction; R factor indicates the goodness of the fit. Fitting range: 3 &lt; k (Å</w:t>
      </w:r>
      <w:r>
        <w:rPr>
          <w:rFonts w:ascii="Times New Roman" w:hAnsi="Times New Roman" w:cs="Times New Roman"/>
          <w:bCs/>
          <w:sz w:val="24"/>
          <w:szCs w:val="24"/>
          <w:vertAlign w:val="superscript"/>
        </w:rPr>
        <w:t>-1</w:t>
      </w:r>
      <w:r>
        <w:rPr>
          <w:rFonts w:ascii="Times New Roman" w:hAnsi="Times New Roman" w:cs="Times New Roman"/>
          <w:bCs/>
          <w:sz w:val="24"/>
          <w:szCs w:val="24"/>
        </w:rPr>
        <w:t>) &lt; 17.431 and 1</w:t>
      </w:r>
      <w:r>
        <w:rPr>
          <w:rFonts w:hint="eastAsia" w:ascii="Times New Roman" w:hAnsi="Times New Roman" w:cs="Times New Roman"/>
          <w:bCs/>
          <w:sz w:val="24"/>
          <w:szCs w:val="24"/>
        </w:rPr>
        <w:t xml:space="preserve"> </w:t>
      </w:r>
      <w:r>
        <w:rPr>
          <w:rFonts w:ascii="Times New Roman" w:hAnsi="Times New Roman" w:cs="Times New Roman"/>
          <w:bCs/>
          <w:sz w:val="24"/>
          <w:szCs w:val="24"/>
        </w:rPr>
        <w:t>&lt; R &lt; 3 Å</w:t>
      </w:r>
      <w:r>
        <w:rPr>
          <w:rFonts w:hint="eastAsia" w:ascii="Times New Roman" w:hAnsi="Times New Roman" w:cs="Times New Roman"/>
          <w:bCs/>
          <w:sz w:val="24"/>
          <w:szCs w:val="24"/>
        </w:rPr>
        <w:t xml:space="preserve"> </w:t>
      </w:r>
      <w:r>
        <w:rPr>
          <w:rFonts w:ascii="Times New Roman" w:hAnsi="Times New Roman" w:cs="Times New Roman"/>
          <w:bCs/>
          <w:sz w:val="24"/>
          <w:szCs w:val="24"/>
        </w:rPr>
        <w:t>for Mo</w:t>
      </w:r>
      <w:r>
        <w:rPr>
          <w:rFonts w:hint="eastAsia" w:ascii="Times New Roman" w:hAnsi="Times New Roman" w:cs="Times New Roman"/>
          <w:bCs/>
          <w:sz w:val="24"/>
          <w:szCs w:val="24"/>
        </w:rPr>
        <w:t xml:space="preserve"> </w:t>
      </w:r>
      <w:r>
        <w:rPr>
          <w:rFonts w:ascii="Times New Roman" w:hAnsi="Times New Roman" w:cs="Times New Roman"/>
          <w:bCs/>
          <w:sz w:val="24"/>
          <w:szCs w:val="24"/>
        </w:rPr>
        <w:t>foil; 3 &lt; k (Å</w:t>
      </w:r>
      <w:r>
        <w:rPr>
          <w:rFonts w:hint="eastAsia" w:ascii="Times New Roman" w:hAnsi="Times New Roman" w:cs="Times New Roman"/>
          <w:bCs/>
          <w:sz w:val="24"/>
          <w:szCs w:val="24"/>
          <w:vertAlign w:val="superscript"/>
        </w:rPr>
        <w:t>-1</w:t>
      </w:r>
      <w:r>
        <w:rPr>
          <w:rFonts w:ascii="Times New Roman" w:hAnsi="Times New Roman" w:cs="Times New Roman"/>
          <w:bCs/>
          <w:sz w:val="24"/>
          <w:szCs w:val="24"/>
        </w:rPr>
        <w:t>) &lt; 12 and 1.05&lt; R (Å)&lt; 4.</w:t>
      </w:r>
    </w:p>
    <w:p w14:paraId="075E154E">
      <w:pPr>
        <w:pStyle w:val="39"/>
        <w:adjustRightInd w:val="0"/>
        <w:snapToGrid w:val="0"/>
        <w:spacing w:before="0" w:beforeLines="0" w:after="0" w:afterLines="0" w:line="480" w:lineRule="auto"/>
        <w:rPr>
          <w:b/>
          <w:bCs/>
        </w:rPr>
      </w:pPr>
      <w:bookmarkStart w:id="94" w:name="_Toc229846995"/>
    </w:p>
    <w:p w14:paraId="599E764B">
      <w:pPr>
        <w:rPr>
          <w:b/>
          <w:bCs/>
        </w:rPr>
      </w:pPr>
      <w:r>
        <w:rPr>
          <w:b/>
          <w:bCs/>
        </w:rPr>
        <w:br w:type="page"/>
      </w:r>
    </w:p>
    <w:p w14:paraId="778244DB">
      <w:pPr>
        <w:pStyle w:val="39"/>
        <w:adjustRightInd w:val="0"/>
        <w:snapToGrid w:val="0"/>
        <w:spacing w:before="0" w:beforeLines="0" w:after="0" w:afterLines="0" w:line="480" w:lineRule="auto"/>
        <w:rPr>
          <w:b/>
          <w:bCs/>
        </w:rPr>
      </w:pPr>
      <w:r>
        <w:rPr>
          <w:b/>
          <w:bCs/>
        </w:rPr>
        <w:t>Supplementary Table</w:t>
      </w:r>
      <w:r>
        <w:rPr>
          <w:rFonts w:eastAsiaTheme="minorEastAsia"/>
          <w:b/>
          <w:bCs/>
        </w:rPr>
        <w:t xml:space="preserve"> </w:t>
      </w:r>
      <w:r>
        <w:rPr>
          <w:b/>
          <w:bCs/>
        </w:rPr>
        <w:t>4. Detailed information of identified metabolites from mouse brain tissue in positive ion mode.</w:t>
      </w:r>
      <w:bookmarkEnd w:id="94"/>
      <w:r>
        <w:rPr>
          <w:b/>
          <w:bCs/>
        </w:rPr>
        <w:t xml:space="preserve"> </w:t>
      </w:r>
    </w:p>
    <w:tbl>
      <w:tblPr>
        <w:tblStyle w:val="12"/>
        <w:tblW w:w="0" w:type="auto"/>
        <w:tblInd w:w="0"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67"/>
        <w:gridCol w:w="1560"/>
        <w:gridCol w:w="992"/>
        <w:gridCol w:w="1134"/>
        <w:gridCol w:w="1134"/>
        <w:gridCol w:w="1134"/>
        <w:gridCol w:w="2505"/>
      </w:tblGrid>
      <w:tr w14:paraId="3C3879C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567" w:type="dxa"/>
            <w:tcBorders>
              <w:top w:val="single" w:color="auto" w:sz="12" w:space="0"/>
              <w:bottom w:val="single" w:color="auto" w:sz="12" w:space="0"/>
            </w:tcBorders>
            <w:vAlign w:val="center"/>
          </w:tcPr>
          <w:p w14:paraId="1649108B">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No.</w:t>
            </w:r>
          </w:p>
        </w:tc>
        <w:tc>
          <w:tcPr>
            <w:tcW w:w="1560" w:type="dxa"/>
            <w:tcBorders>
              <w:top w:val="single" w:color="auto" w:sz="12" w:space="0"/>
              <w:bottom w:val="single" w:color="auto" w:sz="12" w:space="0"/>
            </w:tcBorders>
            <w:vAlign w:val="center"/>
          </w:tcPr>
          <w:p w14:paraId="0C0C5CEC">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ID</w:t>
            </w:r>
          </w:p>
        </w:tc>
        <w:tc>
          <w:tcPr>
            <w:tcW w:w="992" w:type="dxa"/>
            <w:tcBorders>
              <w:top w:val="single" w:color="auto" w:sz="12" w:space="0"/>
              <w:bottom w:val="single" w:color="auto" w:sz="12" w:space="0"/>
            </w:tcBorders>
            <w:vAlign w:val="center"/>
          </w:tcPr>
          <w:p w14:paraId="51557498">
            <w:pPr>
              <w:adjustRightInd w:val="0"/>
              <w:snapToGrid w:val="0"/>
              <w:spacing w:beforeLines="0" w:afterLines="0" w:line="480" w:lineRule="auto"/>
              <w:jc w:val="center"/>
              <w:rPr>
                <w:rFonts w:ascii="Times New Roman" w:hAnsi="Times New Roman" w:cs="Times New Roman"/>
                <w:sz w:val="18"/>
                <w:szCs w:val="18"/>
              </w:rPr>
            </w:pPr>
            <w:r>
              <w:rPr>
                <w:rFonts w:hint="eastAsia" w:ascii="Times New Roman" w:hAnsi="Times New Roman" w:cs="Times New Roman"/>
                <w:sz w:val="18"/>
                <w:szCs w:val="18"/>
              </w:rPr>
              <w:t>Observed</w:t>
            </w:r>
            <w:r>
              <w:rPr>
                <w:rFonts w:ascii="Times New Roman" w:hAnsi="Times New Roman" w:cs="Times New Roman"/>
                <w:sz w:val="18"/>
                <w:szCs w:val="18"/>
              </w:rPr>
              <w:t xml:space="preserve"> m</w:t>
            </w:r>
            <w:r>
              <w:rPr>
                <w:rFonts w:hint="eastAsia" w:ascii="Times New Roman" w:hAnsi="Times New Roman" w:cs="Times New Roman"/>
                <w:sz w:val="18"/>
                <w:szCs w:val="18"/>
              </w:rPr>
              <w:t>/</w:t>
            </w:r>
            <w:r>
              <w:rPr>
                <w:rFonts w:ascii="Times New Roman" w:hAnsi="Times New Roman" w:cs="Times New Roman"/>
                <w:sz w:val="18"/>
                <w:szCs w:val="18"/>
              </w:rPr>
              <w:t>z</w:t>
            </w:r>
          </w:p>
        </w:tc>
        <w:tc>
          <w:tcPr>
            <w:tcW w:w="1134" w:type="dxa"/>
            <w:tcBorders>
              <w:top w:val="single" w:color="auto" w:sz="12" w:space="0"/>
              <w:bottom w:val="single" w:color="auto" w:sz="12" w:space="0"/>
            </w:tcBorders>
            <w:vAlign w:val="center"/>
          </w:tcPr>
          <w:p w14:paraId="5666C129">
            <w:pPr>
              <w:adjustRightInd w:val="0"/>
              <w:snapToGrid w:val="0"/>
              <w:spacing w:beforeLines="0" w:afterLines="0" w:line="480" w:lineRule="auto"/>
              <w:jc w:val="center"/>
              <w:rPr>
                <w:rFonts w:ascii="Times New Roman" w:hAnsi="Times New Roman" w:cs="Times New Roman"/>
                <w:sz w:val="18"/>
                <w:szCs w:val="18"/>
              </w:rPr>
            </w:pPr>
            <w:r>
              <w:rPr>
                <w:rFonts w:hint="eastAsia" w:ascii="Times New Roman" w:hAnsi="Times New Roman" w:cs="Times New Roman"/>
                <w:sz w:val="18"/>
                <w:szCs w:val="18"/>
              </w:rPr>
              <w:t xml:space="preserve">Theoretical </w:t>
            </w:r>
            <w:r>
              <w:rPr>
                <w:rFonts w:ascii="Times New Roman" w:hAnsi="Times New Roman" w:cs="Times New Roman"/>
                <w:sz w:val="18"/>
                <w:szCs w:val="18"/>
              </w:rPr>
              <w:t>m</w:t>
            </w:r>
            <w:r>
              <w:rPr>
                <w:rFonts w:hint="eastAsia" w:ascii="Times New Roman" w:hAnsi="Times New Roman" w:cs="Times New Roman"/>
                <w:sz w:val="18"/>
                <w:szCs w:val="18"/>
              </w:rPr>
              <w:t>/</w:t>
            </w:r>
            <w:r>
              <w:rPr>
                <w:rFonts w:ascii="Times New Roman" w:hAnsi="Times New Roman" w:cs="Times New Roman"/>
                <w:sz w:val="18"/>
                <w:szCs w:val="18"/>
              </w:rPr>
              <w:t>z</w:t>
            </w:r>
          </w:p>
        </w:tc>
        <w:tc>
          <w:tcPr>
            <w:tcW w:w="1134" w:type="dxa"/>
            <w:tcBorders>
              <w:top w:val="single" w:color="auto" w:sz="12" w:space="0"/>
              <w:bottom w:val="single" w:color="auto" w:sz="12" w:space="0"/>
            </w:tcBorders>
            <w:vAlign w:val="center"/>
          </w:tcPr>
          <w:p w14:paraId="3F0D28D9">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Adduct</w:t>
            </w:r>
          </w:p>
        </w:tc>
        <w:tc>
          <w:tcPr>
            <w:tcW w:w="1134" w:type="dxa"/>
            <w:tcBorders>
              <w:top w:val="single" w:color="auto" w:sz="12" w:space="0"/>
              <w:bottom w:val="single" w:color="auto" w:sz="12" w:space="0"/>
            </w:tcBorders>
            <w:vAlign w:val="center"/>
          </w:tcPr>
          <w:p w14:paraId="76E4D655">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Error (ppm)</w:t>
            </w:r>
          </w:p>
        </w:tc>
        <w:tc>
          <w:tcPr>
            <w:tcW w:w="2505" w:type="dxa"/>
            <w:tcBorders>
              <w:top w:val="single" w:color="auto" w:sz="12" w:space="0"/>
              <w:bottom w:val="single" w:color="auto" w:sz="12" w:space="0"/>
            </w:tcBorders>
            <w:vAlign w:val="center"/>
          </w:tcPr>
          <w:p w14:paraId="43FF8259">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MS/MS fragments</w:t>
            </w:r>
          </w:p>
        </w:tc>
      </w:tr>
      <w:tr w14:paraId="6FE1600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567" w:type="dxa"/>
            <w:tcBorders>
              <w:top w:val="single" w:color="auto" w:sz="12" w:space="0"/>
            </w:tcBorders>
            <w:vAlign w:val="center"/>
          </w:tcPr>
          <w:p w14:paraId="5DA3D0C1">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1</w:t>
            </w:r>
          </w:p>
        </w:tc>
        <w:tc>
          <w:tcPr>
            <w:tcW w:w="1560" w:type="dxa"/>
            <w:tcBorders>
              <w:top w:val="single" w:color="auto" w:sz="12" w:space="0"/>
            </w:tcBorders>
            <w:vAlign w:val="center"/>
          </w:tcPr>
          <w:p w14:paraId="708C6EAD">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color w:val="000000" w:themeColor="text1"/>
                <w:sz w:val="18"/>
                <w:szCs w:val="18"/>
                <w14:textFill>
                  <w14:solidFill>
                    <w14:schemeClr w14:val="tx1"/>
                  </w14:solidFill>
                </w14:textFill>
              </w:rPr>
              <w:t>Choline</w:t>
            </w:r>
          </w:p>
        </w:tc>
        <w:tc>
          <w:tcPr>
            <w:tcW w:w="992" w:type="dxa"/>
            <w:tcBorders>
              <w:top w:val="single" w:color="auto" w:sz="12" w:space="0"/>
            </w:tcBorders>
            <w:vAlign w:val="center"/>
          </w:tcPr>
          <w:p w14:paraId="567ED8A2">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color w:val="000000" w:themeColor="text1"/>
                <w:sz w:val="18"/>
                <w:szCs w:val="18"/>
                <w14:textFill>
                  <w14:solidFill>
                    <w14:schemeClr w14:val="tx1"/>
                  </w14:solidFill>
                </w14:textFill>
              </w:rPr>
              <w:t>104.1070</w:t>
            </w:r>
          </w:p>
        </w:tc>
        <w:tc>
          <w:tcPr>
            <w:tcW w:w="1134" w:type="dxa"/>
            <w:tcBorders>
              <w:top w:val="single" w:color="auto" w:sz="12" w:space="0"/>
            </w:tcBorders>
            <w:vAlign w:val="center"/>
          </w:tcPr>
          <w:p w14:paraId="5B49AD5F">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color w:val="000000" w:themeColor="text1"/>
                <w:sz w:val="18"/>
                <w:szCs w:val="18"/>
                <w14:textFill>
                  <w14:solidFill>
                    <w14:schemeClr w14:val="tx1"/>
                  </w14:solidFill>
                </w14:textFill>
              </w:rPr>
              <w:t>104.10699</w:t>
            </w:r>
          </w:p>
        </w:tc>
        <w:tc>
          <w:tcPr>
            <w:tcW w:w="1134" w:type="dxa"/>
            <w:tcBorders>
              <w:top w:val="single" w:color="auto" w:sz="12" w:space="0"/>
            </w:tcBorders>
            <w:vAlign w:val="center"/>
          </w:tcPr>
          <w:p w14:paraId="348CEC48">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color w:val="000000" w:themeColor="text1"/>
                <w:sz w:val="18"/>
                <w:szCs w:val="18"/>
                <w14:textFill>
                  <w14:solidFill>
                    <w14:schemeClr w14:val="tx1"/>
                  </w14:solidFill>
                </w14:textFill>
              </w:rPr>
              <w:t>[M+H]</w:t>
            </w:r>
            <w:r>
              <w:rPr>
                <w:rFonts w:ascii="Times New Roman" w:hAnsi="Times New Roman" w:cs="Times New Roman"/>
                <w:color w:val="000000" w:themeColor="text1"/>
                <w:sz w:val="18"/>
                <w:szCs w:val="18"/>
                <w:vertAlign w:val="superscript"/>
                <w14:textFill>
                  <w14:solidFill>
                    <w14:schemeClr w14:val="tx1"/>
                  </w14:solidFill>
                </w14:textFill>
              </w:rPr>
              <w:t>+</w:t>
            </w:r>
          </w:p>
        </w:tc>
        <w:tc>
          <w:tcPr>
            <w:tcW w:w="1134" w:type="dxa"/>
            <w:tcBorders>
              <w:top w:val="single" w:color="auto" w:sz="12" w:space="0"/>
            </w:tcBorders>
            <w:vAlign w:val="center"/>
          </w:tcPr>
          <w:p w14:paraId="1D5146AC">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0.10</w:t>
            </w:r>
          </w:p>
        </w:tc>
        <w:tc>
          <w:tcPr>
            <w:tcW w:w="2505" w:type="dxa"/>
            <w:tcBorders>
              <w:top w:val="single" w:color="auto" w:sz="12" w:space="0"/>
            </w:tcBorders>
            <w:vAlign w:val="center"/>
          </w:tcPr>
          <w:p w14:paraId="5210F705">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color w:val="000000" w:themeColor="text1"/>
                <w:sz w:val="18"/>
                <w:szCs w:val="18"/>
                <w14:textFill>
                  <w14:solidFill>
                    <w14:schemeClr w14:val="tx1"/>
                  </w14:solidFill>
                </w14:textFill>
              </w:rPr>
              <w:t>58.0660</w:t>
            </w:r>
          </w:p>
        </w:tc>
      </w:tr>
      <w:tr w14:paraId="2B2A626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567" w:type="dxa"/>
            <w:vAlign w:val="center"/>
          </w:tcPr>
          <w:p w14:paraId="342E6F0C">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2</w:t>
            </w:r>
          </w:p>
        </w:tc>
        <w:tc>
          <w:tcPr>
            <w:tcW w:w="1560" w:type="dxa"/>
            <w:vAlign w:val="center"/>
          </w:tcPr>
          <w:p w14:paraId="7466EC4F">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Adenine</w:t>
            </w:r>
          </w:p>
        </w:tc>
        <w:tc>
          <w:tcPr>
            <w:tcW w:w="992" w:type="dxa"/>
            <w:vAlign w:val="center"/>
          </w:tcPr>
          <w:p w14:paraId="2B848172">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136.0618</w:t>
            </w:r>
          </w:p>
        </w:tc>
        <w:tc>
          <w:tcPr>
            <w:tcW w:w="1134" w:type="dxa"/>
            <w:vAlign w:val="center"/>
          </w:tcPr>
          <w:p w14:paraId="1566B7E0">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136.06232</w:t>
            </w:r>
          </w:p>
        </w:tc>
        <w:tc>
          <w:tcPr>
            <w:tcW w:w="1134" w:type="dxa"/>
            <w:vAlign w:val="center"/>
          </w:tcPr>
          <w:p w14:paraId="20A8CE77">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color w:val="000000" w:themeColor="text1"/>
                <w:sz w:val="18"/>
                <w:szCs w:val="18"/>
                <w14:textFill>
                  <w14:solidFill>
                    <w14:schemeClr w14:val="tx1"/>
                  </w14:solidFill>
                </w14:textFill>
              </w:rPr>
              <w:t>[M+H]</w:t>
            </w:r>
            <w:r>
              <w:rPr>
                <w:rFonts w:ascii="Times New Roman" w:hAnsi="Times New Roman" w:cs="Times New Roman"/>
                <w:color w:val="000000" w:themeColor="text1"/>
                <w:sz w:val="18"/>
                <w:szCs w:val="18"/>
                <w:vertAlign w:val="superscript"/>
                <w14:textFill>
                  <w14:solidFill>
                    <w14:schemeClr w14:val="tx1"/>
                  </w14:solidFill>
                </w14:textFill>
              </w:rPr>
              <w:t>+</w:t>
            </w:r>
          </w:p>
        </w:tc>
        <w:tc>
          <w:tcPr>
            <w:tcW w:w="1134" w:type="dxa"/>
            <w:vAlign w:val="center"/>
          </w:tcPr>
          <w:p w14:paraId="070566A7">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3.82</w:t>
            </w:r>
          </w:p>
        </w:tc>
        <w:tc>
          <w:tcPr>
            <w:tcW w:w="2505" w:type="dxa"/>
            <w:vAlign w:val="center"/>
          </w:tcPr>
          <w:p w14:paraId="753FC9B7">
            <w:pPr>
              <w:adjustRightInd w:val="0"/>
              <w:snapToGrid w:val="0"/>
              <w:spacing w:beforeLines="0" w:afterLines="0" w:line="480" w:lineRule="auto"/>
              <w:jc w:val="center"/>
              <w:rPr>
                <w:rFonts w:ascii="Times New Roman" w:hAnsi="Times New Roman" w:cs="Times New Roman"/>
                <w:sz w:val="18"/>
                <w:szCs w:val="18"/>
              </w:rPr>
            </w:pPr>
          </w:p>
        </w:tc>
      </w:tr>
      <w:tr w14:paraId="0228510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567" w:type="dxa"/>
            <w:vAlign w:val="center"/>
          </w:tcPr>
          <w:p w14:paraId="140DB2B5">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3</w:t>
            </w:r>
          </w:p>
        </w:tc>
        <w:tc>
          <w:tcPr>
            <w:tcW w:w="1560" w:type="dxa"/>
            <w:vAlign w:val="center"/>
          </w:tcPr>
          <w:p w14:paraId="6C8D8073">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Creatinine</w:t>
            </w:r>
          </w:p>
        </w:tc>
        <w:tc>
          <w:tcPr>
            <w:tcW w:w="992" w:type="dxa"/>
            <w:vAlign w:val="center"/>
          </w:tcPr>
          <w:p w14:paraId="0B85AC8C">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152.0226</w:t>
            </w:r>
          </w:p>
        </w:tc>
        <w:tc>
          <w:tcPr>
            <w:tcW w:w="1134" w:type="dxa"/>
            <w:vAlign w:val="center"/>
          </w:tcPr>
          <w:p w14:paraId="22393893">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152.02206</w:t>
            </w:r>
          </w:p>
        </w:tc>
        <w:tc>
          <w:tcPr>
            <w:tcW w:w="1134" w:type="dxa"/>
            <w:vAlign w:val="center"/>
          </w:tcPr>
          <w:p w14:paraId="083C1E59">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[M+K]</w:t>
            </w:r>
            <w:r>
              <w:rPr>
                <w:rFonts w:ascii="Times New Roman" w:hAnsi="Times New Roman" w:cs="Times New Roman"/>
                <w:sz w:val="18"/>
                <w:szCs w:val="18"/>
                <w:vertAlign w:val="superscript"/>
              </w:rPr>
              <w:t>+</w:t>
            </w:r>
          </w:p>
        </w:tc>
        <w:tc>
          <w:tcPr>
            <w:tcW w:w="1134" w:type="dxa"/>
            <w:vAlign w:val="center"/>
          </w:tcPr>
          <w:p w14:paraId="0564DFA1">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3.55</w:t>
            </w:r>
          </w:p>
        </w:tc>
        <w:tc>
          <w:tcPr>
            <w:tcW w:w="2505" w:type="dxa"/>
            <w:vAlign w:val="center"/>
          </w:tcPr>
          <w:p w14:paraId="09E3C5CF">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70.0650</w:t>
            </w:r>
          </w:p>
        </w:tc>
      </w:tr>
      <w:tr w14:paraId="7DE246B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567" w:type="dxa"/>
            <w:vAlign w:val="center"/>
          </w:tcPr>
          <w:p w14:paraId="5FB8F6D8">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4</w:t>
            </w:r>
          </w:p>
        </w:tc>
        <w:tc>
          <w:tcPr>
            <w:tcW w:w="1560" w:type="dxa"/>
            <w:vAlign w:val="center"/>
          </w:tcPr>
          <w:p w14:paraId="55E2A7FE">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FA 22:0</w:t>
            </w:r>
          </w:p>
        </w:tc>
        <w:tc>
          <w:tcPr>
            <w:tcW w:w="992" w:type="dxa"/>
            <w:vAlign w:val="center"/>
          </w:tcPr>
          <w:p w14:paraId="73539EDA">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379.2978</w:t>
            </w:r>
          </w:p>
        </w:tc>
        <w:tc>
          <w:tcPr>
            <w:tcW w:w="1134" w:type="dxa"/>
            <w:vAlign w:val="center"/>
          </w:tcPr>
          <w:p w14:paraId="6A01FA64">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379.29783</w:t>
            </w:r>
          </w:p>
        </w:tc>
        <w:tc>
          <w:tcPr>
            <w:tcW w:w="1134" w:type="dxa"/>
            <w:vAlign w:val="center"/>
          </w:tcPr>
          <w:p w14:paraId="68EFCF6D">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[M+K]</w:t>
            </w:r>
            <w:r>
              <w:rPr>
                <w:rFonts w:ascii="Times New Roman" w:hAnsi="Times New Roman" w:cs="Times New Roman"/>
                <w:sz w:val="18"/>
                <w:szCs w:val="18"/>
                <w:vertAlign w:val="superscript"/>
              </w:rPr>
              <w:t>+</w:t>
            </w:r>
          </w:p>
        </w:tc>
        <w:tc>
          <w:tcPr>
            <w:tcW w:w="1134" w:type="dxa"/>
            <w:vAlign w:val="center"/>
          </w:tcPr>
          <w:p w14:paraId="52F58786">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0.08</w:t>
            </w:r>
          </w:p>
        </w:tc>
        <w:tc>
          <w:tcPr>
            <w:tcW w:w="2505" w:type="dxa"/>
            <w:vAlign w:val="center"/>
          </w:tcPr>
          <w:p w14:paraId="305D1458">
            <w:pPr>
              <w:adjustRightInd w:val="0"/>
              <w:snapToGrid w:val="0"/>
              <w:spacing w:beforeLines="0" w:afterLines="0" w:line="480" w:lineRule="auto"/>
              <w:jc w:val="center"/>
              <w:rPr>
                <w:rFonts w:ascii="Times New Roman" w:hAnsi="Times New Roman" w:cs="Times New Roman"/>
                <w:sz w:val="18"/>
                <w:szCs w:val="18"/>
              </w:rPr>
            </w:pPr>
          </w:p>
        </w:tc>
      </w:tr>
      <w:tr w14:paraId="3904A1D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567" w:type="dxa"/>
            <w:vAlign w:val="center"/>
          </w:tcPr>
          <w:p w14:paraId="62032E2B">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5</w:t>
            </w:r>
          </w:p>
        </w:tc>
        <w:tc>
          <w:tcPr>
            <w:tcW w:w="1560" w:type="dxa"/>
            <w:vAlign w:val="center"/>
          </w:tcPr>
          <w:p w14:paraId="2F0F1B03">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4-Cholesten-3-one</w:t>
            </w:r>
          </w:p>
        </w:tc>
        <w:tc>
          <w:tcPr>
            <w:tcW w:w="992" w:type="dxa"/>
            <w:vAlign w:val="center"/>
          </w:tcPr>
          <w:p w14:paraId="718C1170">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385.3465</w:t>
            </w:r>
          </w:p>
        </w:tc>
        <w:tc>
          <w:tcPr>
            <w:tcW w:w="1134" w:type="dxa"/>
            <w:vAlign w:val="center"/>
          </w:tcPr>
          <w:p w14:paraId="2585DD3E">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385.34649</w:t>
            </w:r>
          </w:p>
        </w:tc>
        <w:tc>
          <w:tcPr>
            <w:tcW w:w="1134" w:type="dxa"/>
            <w:vAlign w:val="center"/>
          </w:tcPr>
          <w:p w14:paraId="1B854833">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[M+H]</w:t>
            </w:r>
            <w:r>
              <w:rPr>
                <w:rFonts w:ascii="Times New Roman" w:hAnsi="Times New Roman" w:cs="Times New Roman"/>
                <w:sz w:val="18"/>
                <w:szCs w:val="18"/>
                <w:vertAlign w:val="superscript"/>
              </w:rPr>
              <w:t>+</w:t>
            </w:r>
          </w:p>
        </w:tc>
        <w:tc>
          <w:tcPr>
            <w:tcW w:w="1134" w:type="dxa"/>
            <w:vAlign w:val="center"/>
          </w:tcPr>
          <w:p w14:paraId="632F9A9A">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0.03</w:t>
            </w:r>
          </w:p>
        </w:tc>
        <w:tc>
          <w:tcPr>
            <w:tcW w:w="2505" w:type="dxa"/>
            <w:vAlign w:val="center"/>
          </w:tcPr>
          <w:p w14:paraId="344AEA20">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95.0870, 105.0710, 119.0870, 145.1020, 159.1170</w:t>
            </w:r>
          </w:p>
        </w:tc>
      </w:tr>
      <w:tr w14:paraId="5804DD3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567" w:type="dxa"/>
            <w:vAlign w:val="center"/>
          </w:tcPr>
          <w:p w14:paraId="25A4748C">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6</w:t>
            </w:r>
          </w:p>
        </w:tc>
        <w:tc>
          <w:tcPr>
            <w:tcW w:w="1560" w:type="dxa"/>
            <w:vAlign w:val="center"/>
          </w:tcPr>
          <w:p w14:paraId="3117E6F1">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7-Ketocholesterol</w:t>
            </w:r>
          </w:p>
        </w:tc>
        <w:tc>
          <w:tcPr>
            <w:tcW w:w="992" w:type="dxa"/>
            <w:vAlign w:val="center"/>
          </w:tcPr>
          <w:p w14:paraId="7D037B59">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439.2978</w:t>
            </w:r>
          </w:p>
        </w:tc>
        <w:tc>
          <w:tcPr>
            <w:tcW w:w="1134" w:type="dxa"/>
            <w:vAlign w:val="center"/>
          </w:tcPr>
          <w:p w14:paraId="099FF055">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439.29783</w:t>
            </w:r>
          </w:p>
        </w:tc>
        <w:tc>
          <w:tcPr>
            <w:tcW w:w="1134" w:type="dxa"/>
            <w:vAlign w:val="center"/>
          </w:tcPr>
          <w:p w14:paraId="57D3AF0A">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[M+K]</w:t>
            </w:r>
            <w:r>
              <w:rPr>
                <w:rFonts w:ascii="Times New Roman" w:hAnsi="Times New Roman" w:cs="Times New Roman"/>
                <w:sz w:val="18"/>
                <w:szCs w:val="18"/>
                <w:vertAlign w:val="superscript"/>
              </w:rPr>
              <w:t>+</w:t>
            </w:r>
          </w:p>
        </w:tc>
        <w:tc>
          <w:tcPr>
            <w:tcW w:w="1134" w:type="dxa"/>
            <w:vAlign w:val="center"/>
          </w:tcPr>
          <w:p w14:paraId="6EEEFB61">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0.07</w:t>
            </w:r>
          </w:p>
        </w:tc>
        <w:tc>
          <w:tcPr>
            <w:tcW w:w="2505" w:type="dxa"/>
            <w:vAlign w:val="center"/>
          </w:tcPr>
          <w:p w14:paraId="612EB5E4">
            <w:pPr>
              <w:adjustRightInd w:val="0"/>
              <w:snapToGrid w:val="0"/>
              <w:spacing w:beforeLines="0" w:afterLines="0" w:line="480" w:lineRule="auto"/>
              <w:jc w:val="center"/>
              <w:rPr>
                <w:rFonts w:ascii="Times New Roman" w:hAnsi="Times New Roman" w:cs="Times New Roman"/>
                <w:sz w:val="18"/>
                <w:szCs w:val="18"/>
              </w:rPr>
            </w:pPr>
          </w:p>
        </w:tc>
      </w:tr>
      <w:tr w14:paraId="251E8D9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567" w:type="dxa"/>
            <w:vAlign w:val="center"/>
          </w:tcPr>
          <w:p w14:paraId="3E343647">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7</w:t>
            </w:r>
          </w:p>
        </w:tc>
        <w:tc>
          <w:tcPr>
            <w:tcW w:w="1560" w:type="dxa"/>
            <w:vAlign w:val="center"/>
          </w:tcPr>
          <w:p w14:paraId="741328BE">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FAHFA 35:1</w:t>
            </w:r>
          </w:p>
        </w:tc>
        <w:tc>
          <w:tcPr>
            <w:tcW w:w="992" w:type="dxa"/>
            <w:vAlign w:val="center"/>
          </w:tcPr>
          <w:p w14:paraId="1E0EF0E5">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551.5034</w:t>
            </w:r>
          </w:p>
        </w:tc>
        <w:tc>
          <w:tcPr>
            <w:tcW w:w="1134" w:type="dxa"/>
            <w:vAlign w:val="center"/>
          </w:tcPr>
          <w:p w14:paraId="3E3C3C03">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551.50393</w:t>
            </w:r>
          </w:p>
        </w:tc>
        <w:tc>
          <w:tcPr>
            <w:tcW w:w="1134" w:type="dxa"/>
            <w:vAlign w:val="center"/>
          </w:tcPr>
          <w:p w14:paraId="27D7091F">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[M+H]</w:t>
            </w:r>
            <w:r>
              <w:rPr>
                <w:rFonts w:ascii="Times New Roman" w:hAnsi="Times New Roman" w:cs="Times New Roman"/>
                <w:sz w:val="18"/>
                <w:szCs w:val="18"/>
                <w:vertAlign w:val="superscript"/>
              </w:rPr>
              <w:t>+</w:t>
            </w:r>
          </w:p>
        </w:tc>
        <w:tc>
          <w:tcPr>
            <w:tcW w:w="1134" w:type="dxa"/>
            <w:vAlign w:val="center"/>
          </w:tcPr>
          <w:p w14:paraId="7F85AF6B">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0.96</w:t>
            </w:r>
          </w:p>
        </w:tc>
        <w:tc>
          <w:tcPr>
            <w:tcW w:w="2505" w:type="dxa"/>
            <w:vAlign w:val="center"/>
          </w:tcPr>
          <w:p w14:paraId="46A78ED0">
            <w:pPr>
              <w:adjustRightInd w:val="0"/>
              <w:snapToGrid w:val="0"/>
              <w:spacing w:beforeLines="0" w:afterLines="0" w:line="480" w:lineRule="auto"/>
              <w:jc w:val="center"/>
              <w:rPr>
                <w:rFonts w:ascii="Times New Roman" w:hAnsi="Times New Roman" w:cs="Times New Roman"/>
                <w:sz w:val="18"/>
                <w:szCs w:val="18"/>
              </w:rPr>
            </w:pPr>
          </w:p>
        </w:tc>
      </w:tr>
      <w:tr w14:paraId="27EAB4F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567" w:type="dxa"/>
            <w:vAlign w:val="center"/>
          </w:tcPr>
          <w:p w14:paraId="1F3B195C">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8</w:t>
            </w:r>
          </w:p>
        </w:tc>
        <w:tc>
          <w:tcPr>
            <w:tcW w:w="1560" w:type="dxa"/>
            <w:vAlign w:val="center"/>
          </w:tcPr>
          <w:p w14:paraId="39489858">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LPC 26:1</w:t>
            </w:r>
          </w:p>
        </w:tc>
        <w:tc>
          <w:tcPr>
            <w:tcW w:w="992" w:type="dxa"/>
            <w:vAlign w:val="center"/>
          </w:tcPr>
          <w:p w14:paraId="31092B1B">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634.4806</w:t>
            </w:r>
          </w:p>
        </w:tc>
        <w:tc>
          <w:tcPr>
            <w:tcW w:w="1134" w:type="dxa"/>
            <w:vAlign w:val="center"/>
          </w:tcPr>
          <w:p w14:paraId="47C77B0F">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634.48062</w:t>
            </w:r>
          </w:p>
        </w:tc>
        <w:tc>
          <w:tcPr>
            <w:tcW w:w="1134" w:type="dxa"/>
            <w:vAlign w:val="center"/>
          </w:tcPr>
          <w:p w14:paraId="4AC8B688">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[M+H]</w:t>
            </w:r>
            <w:r>
              <w:rPr>
                <w:rFonts w:ascii="Times New Roman" w:hAnsi="Times New Roman" w:cs="Times New Roman"/>
                <w:sz w:val="18"/>
                <w:szCs w:val="18"/>
                <w:vertAlign w:val="superscript"/>
              </w:rPr>
              <w:t>+</w:t>
            </w:r>
          </w:p>
        </w:tc>
        <w:tc>
          <w:tcPr>
            <w:tcW w:w="1134" w:type="dxa"/>
            <w:vAlign w:val="center"/>
          </w:tcPr>
          <w:p w14:paraId="110F4F35">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0.03</w:t>
            </w:r>
          </w:p>
        </w:tc>
        <w:tc>
          <w:tcPr>
            <w:tcW w:w="2505" w:type="dxa"/>
            <w:vAlign w:val="center"/>
          </w:tcPr>
          <w:p w14:paraId="135E68E4">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184.0739</w:t>
            </w:r>
          </w:p>
        </w:tc>
      </w:tr>
      <w:tr w14:paraId="49FFA31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567" w:type="dxa"/>
            <w:vAlign w:val="center"/>
          </w:tcPr>
          <w:p w14:paraId="1488C0F9">
            <w:pPr>
              <w:adjustRightInd w:val="0"/>
              <w:snapToGrid w:val="0"/>
              <w:spacing w:beforeLines="0" w:afterLines="0" w:line="480" w:lineRule="auto"/>
              <w:jc w:val="center"/>
              <w:rPr>
                <w:rFonts w:ascii="Times New Roman" w:hAnsi="Times New Roman" w:cs="Times New Roman"/>
                <w:sz w:val="18"/>
                <w:szCs w:val="18"/>
              </w:rPr>
            </w:pPr>
            <w:r>
              <w:rPr>
                <w:rFonts w:hint="eastAsia" w:ascii="Times New Roman" w:hAnsi="Times New Roman" w:cs="Times New Roman"/>
                <w:sz w:val="18"/>
                <w:szCs w:val="18"/>
              </w:rPr>
              <w:t>9</w:t>
            </w:r>
          </w:p>
        </w:tc>
        <w:tc>
          <w:tcPr>
            <w:tcW w:w="1560" w:type="dxa"/>
            <w:vAlign w:val="center"/>
          </w:tcPr>
          <w:p w14:paraId="5D5FC80D">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CE 16:1</w:t>
            </w:r>
          </w:p>
        </w:tc>
        <w:tc>
          <w:tcPr>
            <w:tcW w:w="992" w:type="dxa"/>
            <w:vAlign w:val="center"/>
          </w:tcPr>
          <w:p w14:paraId="3E8A9262">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661.5326</w:t>
            </w:r>
          </w:p>
        </w:tc>
        <w:tc>
          <w:tcPr>
            <w:tcW w:w="1134" w:type="dxa"/>
            <w:vAlign w:val="center"/>
          </w:tcPr>
          <w:p w14:paraId="651E9683">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661.53258</w:t>
            </w:r>
          </w:p>
        </w:tc>
        <w:tc>
          <w:tcPr>
            <w:tcW w:w="1134" w:type="dxa"/>
            <w:vAlign w:val="center"/>
          </w:tcPr>
          <w:p w14:paraId="6181026B">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[M+K]</w:t>
            </w:r>
            <w:r>
              <w:rPr>
                <w:rFonts w:ascii="Times New Roman" w:hAnsi="Times New Roman" w:cs="Times New Roman"/>
                <w:sz w:val="18"/>
                <w:szCs w:val="18"/>
                <w:vertAlign w:val="superscript"/>
              </w:rPr>
              <w:t>+</w:t>
            </w:r>
          </w:p>
        </w:tc>
        <w:tc>
          <w:tcPr>
            <w:tcW w:w="1134" w:type="dxa"/>
            <w:vAlign w:val="center"/>
          </w:tcPr>
          <w:p w14:paraId="2D46B31D">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0.03</w:t>
            </w:r>
          </w:p>
        </w:tc>
        <w:tc>
          <w:tcPr>
            <w:tcW w:w="2505" w:type="dxa"/>
            <w:vAlign w:val="center"/>
          </w:tcPr>
          <w:p w14:paraId="0C523D20">
            <w:pPr>
              <w:adjustRightInd w:val="0"/>
              <w:snapToGrid w:val="0"/>
              <w:spacing w:beforeLines="0" w:afterLines="0" w:line="480" w:lineRule="auto"/>
              <w:jc w:val="center"/>
              <w:rPr>
                <w:rFonts w:ascii="Times New Roman" w:hAnsi="Times New Roman" w:cs="Times New Roman"/>
                <w:sz w:val="18"/>
                <w:szCs w:val="18"/>
              </w:rPr>
            </w:pPr>
          </w:p>
        </w:tc>
      </w:tr>
      <w:tr w14:paraId="7BC86E9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567" w:type="dxa"/>
            <w:vAlign w:val="center"/>
          </w:tcPr>
          <w:p w14:paraId="6F2027C8">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1</w:t>
            </w:r>
            <w:r>
              <w:rPr>
                <w:rFonts w:hint="eastAsia" w:ascii="Times New Roman" w:hAnsi="Times New Roman" w:cs="Times New Roman"/>
                <w:sz w:val="18"/>
                <w:szCs w:val="18"/>
              </w:rPr>
              <w:t>0</w:t>
            </w:r>
          </w:p>
        </w:tc>
        <w:tc>
          <w:tcPr>
            <w:tcW w:w="1560" w:type="dxa"/>
            <w:vAlign w:val="center"/>
          </w:tcPr>
          <w:p w14:paraId="3FA3049D">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Cer 42:2</w:t>
            </w:r>
          </w:p>
        </w:tc>
        <w:tc>
          <w:tcPr>
            <w:tcW w:w="992" w:type="dxa"/>
            <w:vAlign w:val="center"/>
          </w:tcPr>
          <w:p w14:paraId="6BF4D6AC">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686.5853</w:t>
            </w:r>
          </w:p>
        </w:tc>
        <w:tc>
          <w:tcPr>
            <w:tcW w:w="1134" w:type="dxa"/>
            <w:vAlign w:val="center"/>
          </w:tcPr>
          <w:p w14:paraId="2ADC63F2">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686.58534</w:t>
            </w:r>
          </w:p>
        </w:tc>
        <w:tc>
          <w:tcPr>
            <w:tcW w:w="1134" w:type="dxa"/>
            <w:vAlign w:val="center"/>
          </w:tcPr>
          <w:p w14:paraId="63F2FE46">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[M+K]</w:t>
            </w:r>
            <w:r>
              <w:rPr>
                <w:rFonts w:ascii="Times New Roman" w:hAnsi="Times New Roman" w:cs="Times New Roman"/>
                <w:sz w:val="18"/>
                <w:szCs w:val="18"/>
                <w:vertAlign w:val="superscript"/>
              </w:rPr>
              <w:t>+</w:t>
            </w:r>
          </w:p>
        </w:tc>
        <w:tc>
          <w:tcPr>
            <w:tcW w:w="1134" w:type="dxa"/>
            <w:vAlign w:val="center"/>
          </w:tcPr>
          <w:p w14:paraId="7C11A894">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0.06</w:t>
            </w:r>
          </w:p>
        </w:tc>
        <w:tc>
          <w:tcPr>
            <w:tcW w:w="2505" w:type="dxa"/>
            <w:vAlign w:val="center"/>
          </w:tcPr>
          <w:p w14:paraId="4C7D3E36">
            <w:pPr>
              <w:adjustRightInd w:val="0"/>
              <w:snapToGrid w:val="0"/>
              <w:spacing w:beforeLines="0" w:afterLines="0" w:line="480" w:lineRule="auto"/>
              <w:jc w:val="center"/>
              <w:rPr>
                <w:rFonts w:ascii="Times New Roman" w:hAnsi="Times New Roman" w:cs="Times New Roman"/>
                <w:sz w:val="18"/>
                <w:szCs w:val="18"/>
              </w:rPr>
            </w:pPr>
          </w:p>
        </w:tc>
      </w:tr>
      <w:tr w14:paraId="4CD3F47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567" w:type="dxa"/>
            <w:vAlign w:val="center"/>
          </w:tcPr>
          <w:p w14:paraId="362F75AB">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1</w:t>
            </w:r>
            <w:r>
              <w:rPr>
                <w:rFonts w:hint="eastAsia" w:ascii="Times New Roman" w:hAnsi="Times New Roman" w:cs="Times New Roman"/>
                <w:sz w:val="18"/>
                <w:szCs w:val="18"/>
              </w:rPr>
              <w:t>1</w:t>
            </w:r>
          </w:p>
        </w:tc>
        <w:tc>
          <w:tcPr>
            <w:tcW w:w="1560" w:type="dxa"/>
            <w:vAlign w:val="center"/>
          </w:tcPr>
          <w:p w14:paraId="55C1FFE8">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SM d31:2</w:t>
            </w:r>
          </w:p>
        </w:tc>
        <w:tc>
          <w:tcPr>
            <w:tcW w:w="992" w:type="dxa"/>
            <w:vAlign w:val="center"/>
          </w:tcPr>
          <w:p w14:paraId="0E833882">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697.4687</w:t>
            </w:r>
          </w:p>
        </w:tc>
        <w:tc>
          <w:tcPr>
            <w:tcW w:w="1134" w:type="dxa"/>
            <w:vAlign w:val="center"/>
          </w:tcPr>
          <w:p w14:paraId="5B1B82CE">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697.46871</w:t>
            </w:r>
          </w:p>
        </w:tc>
        <w:tc>
          <w:tcPr>
            <w:tcW w:w="1134" w:type="dxa"/>
            <w:vAlign w:val="center"/>
          </w:tcPr>
          <w:p w14:paraId="4975FFCA">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[M+K]</w:t>
            </w:r>
            <w:r>
              <w:rPr>
                <w:rFonts w:ascii="Times New Roman" w:hAnsi="Times New Roman" w:cs="Times New Roman"/>
                <w:sz w:val="18"/>
                <w:szCs w:val="18"/>
                <w:vertAlign w:val="superscript"/>
              </w:rPr>
              <w:t>+</w:t>
            </w:r>
          </w:p>
        </w:tc>
        <w:tc>
          <w:tcPr>
            <w:tcW w:w="1134" w:type="dxa"/>
            <w:vAlign w:val="center"/>
          </w:tcPr>
          <w:p w14:paraId="4EE2B1E3">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0.01</w:t>
            </w:r>
          </w:p>
        </w:tc>
        <w:tc>
          <w:tcPr>
            <w:tcW w:w="2505" w:type="dxa"/>
            <w:vAlign w:val="center"/>
          </w:tcPr>
          <w:p w14:paraId="69CF3292">
            <w:pPr>
              <w:adjustRightInd w:val="0"/>
              <w:snapToGrid w:val="0"/>
              <w:spacing w:beforeLines="0" w:afterLines="0" w:line="480" w:lineRule="auto"/>
              <w:jc w:val="center"/>
              <w:rPr>
                <w:rFonts w:ascii="Times New Roman" w:hAnsi="Times New Roman" w:cs="Times New Roman"/>
                <w:sz w:val="18"/>
                <w:szCs w:val="18"/>
              </w:rPr>
            </w:pPr>
          </w:p>
        </w:tc>
      </w:tr>
      <w:tr w14:paraId="46E977F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567" w:type="dxa"/>
            <w:vAlign w:val="center"/>
          </w:tcPr>
          <w:p w14:paraId="704C8864">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1</w:t>
            </w:r>
            <w:r>
              <w:rPr>
                <w:rFonts w:hint="eastAsia" w:ascii="Times New Roman" w:hAnsi="Times New Roman" w:cs="Times New Roman"/>
                <w:sz w:val="18"/>
                <w:szCs w:val="18"/>
              </w:rPr>
              <w:t>2</w:t>
            </w:r>
          </w:p>
        </w:tc>
        <w:tc>
          <w:tcPr>
            <w:tcW w:w="1560" w:type="dxa"/>
            <w:vAlign w:val="center"/>
          </w:tcPr>
          <w:p w14:paraId="431952D9">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SM 35:6;2O</w:t>
            </w:r>
          </w:p>
        </w:tc>
        <w:tc>
          <w:tcPr>
            <w:tcW w:w="992" w:type="dxa"/>
            <w:vAlign w:val="center"/>
          </w:tcPr>
          <w:p w14:paraId="3D8C25AD">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707.5098</w:t>
            </w:r>
          </w:p>
        </w:tc>
        <w:tc>
          <w:tcPr>
            <w:tcW w:w="1134" w:type="dxa"/>
            <w:vAlign w:val="center"/>
          </w:tcPr>
          <w:p w14:paraId="448E2554">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707.51225</w:t>
            </w:r>
          </w:p>
        </w:tc>
        <w:tc>
          <w:tcPr>
            <w:tcW w:w="1134" w:type="dxa"/>
            <w:vAlign w:val="center"/>
          </w:tcPr>
          <w:p w14:paraId="1C3AEC4C">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[M+H]</w:t>
            </w:r>
            <w:r>
              <w:rPr>
                <w:rFonts w:ascii="Times New Roman" w:hAnsi="Times New Roman" w:cs="Times New Roman"/>
                <w:sz w:val="18"/>
                <w:szCs w:val="18"/>
                <w:vertAlign w:val="superscript"/>
              </w:rPr>
              <w:t>+</w:t>
            </w:r>
          </w:p>
        </w:tc>
        <w:tc>
          <w:tcPr>
            <w:tcW w:w="1134" w:type="dxa"/>
            <w:vAlign w:val="center"/>
          </w:tcPr>
          <w:p w14:paraId="1B87DEDA">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3.46</w:t>
            </w:r>
          </w:p>
        </w:tc>
        <w:tc>
          <w:tcPr>
            <w:tcW w:w="2505" w:type="dxa"/>
            <w:vAlign w:val="center"/>
          </w:tcPr>
          <w:p w14:paraId="467D105C">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184.0739, 707.5123</w:t>
            </w:r>
          </w:p>
        </w:tc>
      </w:tr>
      <w:tr w14:paraId="77C938A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567" w:type="dxa"/>
            <w:vAlign w:val="center"/>
          </w:tcPr>
          <w:p w14:paraId="6564E0B4">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1</w:t>
            </w:r>
            <w:r>
              <w:rPr>
                <w:rFonts w:hint="eastAsia" w:ascii="Times New Roman" w:hAnsi="Times New Roman" w:cs="Times New Roman"/>
                <w:sz w:val="18"/>
                <w:szCs w:val="18"/>
              </w:rPr>
              <w:t>3</w:t>
            </w:r>
          </w:p>
        </w:tc>
        <w:tc>
          <w:tcPr>
            <w:tcW w:w="1560" w:type="dxa"/>
            <w:vAlign w:val="center"/>
          </w:tcPr>
          <w:p w14:paraId="6A0D5219">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MG</w:t>
            </w:r>
            <w:r>
              <w:rPr>
                <w:rFonts w:hint="eastAsia" w:ascii="Times New Roman" w:hAnsi="Times New Roman" w:cs="Times New Roman"/>
                <w:sz w:val="18"/>
                <w:szCs w:val="18"/>
              </w:rPr>
              <w:t>DG</w:t>
            </w:r>
            <w:r>
              <w:rPr>
                <w:rFonts w:ascii="Times New Roman" w:hAnsi="Times New Roman" w:cs="Times New Roman"/>
                <w:sz w:val="18"/>
                <w:szCs w:val="18"/>
              </w:rPr>
              <w:t xml:space="preserve"> 31:6</w:t>
            </w:r>
          </w:p>
        </w:tc>
        <w:tc>
          <w:tcPr>
            <w:tcW w:w="992" w:type="dxa"/>
            <w:vAlign w:val="center"/>
          </w:tcPr>
          <w:p w14:paraId="1C137AD3">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713.4599</w:t>
            </w:r>
          </w:p>
        </w:tc>
        <w:tc>
          <w:tcPr>
            <w:tcW w:w="1134" w:type="dxa"/>
            <w:vAlign w:val="center"/>
          </w:tcPr>
          <w:p w14:paraId="325BC027">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713.45990</w:t>
            </w:r>
          </w:p>
        </w:tc>
        <w:tc>
          <w:tcPr>
            <w:tcW w:w="1134" w:type="dxa"/>
            <w:vAlign w:val="center"/>
          </w:tcPr>
          <w:p w14:paraId="04E7674C">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[M+Na]</w:t>
            </w:r>
            <w:r>
              <w:rPr>
                <w:rFonts w:ascii="Times New Roman" w:hAnsi="Times New Roman" w:cs="Times New Roman"/>
                <w:sz w:val="18"/>
                <w:szCs w:val="18"/>
                <w:vertAlign w:val="superscript"/>
              </w:rPr>
              <w:t>+</w:t>
            </w:r>
          </w:p>
        </w:tc>
        <w:tc>
          <w:tcPr>
            <w:tcW w:w="1134" w:type="dxa"/>
            <w:vAlign w:val="center"/>
          </w:tcPr>
          <w:p w14:paraId="3C727AE4">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0.01</w:t>
            </w:r>
          </w:p>
        </w:tc>
        <w:tc>
          <w:tcPr>
            <w:tcW w:w="2505" w:type="dxa"/>
            <w:vAlign w:val="center"/>
          </w:tcPr>
          <w:p w14:paraId="0EE16415">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639.4232</w:t>
            </w:r>
          </w:p>
        </w:tc>
      </w:tr>
      <w:tr w14:paraId="46F40C9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567" w:type="dxa"/>
            <w:vAlign w:val="center"/>
          </w:tcPr>
          <w:p w14:paraId="2984D107">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1</w:t>
            </w:r>
            <w:r>
              <w:rPr>
                <w:rFonts w:hint="eastAsia" w:ascii="Times New Roman" w:hAnsi="Times New Roman" w:cs="Times New Roman"/>
                <w:sz w:val="18"/>
                <w:szCs w:val="18"/>
              </w:rPr>
              <w:t>4</w:t>
            </w:r>
          </w:p>
        </w:tc>
        <w:tc>
          <w:tcPr>
            <w:tcW w:w="1560" w:type="dxa"/>
            <w:vAlign w:val="center"/>
          </w:tcPr>
          <w:p w14:paraId="6753B436">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SHexCer 30:1;3O</w:t>
            </w:r>
          </w:p>
        </w:tc>
        <w:tc>
          <w:tcPr>
            <w:tcW w:w="992" w:type="dxa"/>
            <w:vAlign w:val="center"/>
          </w:tcPr>
          <w:p w14:paraId="11355E13">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740.4626</w:t>
            </w:r>
          </w:p>
        </w:tc>
        <w:tc>
          <w:tcPr>
            <w:tcW w:w="1134" w:type="dxa"/>
            <w:vAlign w:val="center"/>
          </w:tcPr>
          <w:p w14:paraId="4766CC4E">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740.46132</w:t>
            </w:r>
          </w:p>
        </w:tc>
        <w:tc>
          <w:tcPr>
            <w:tcW w:w="1134" w:type="dxa"/>
            <w:vAlign w:val="center"/>
          </w:tcPr>
          <w:p w14:paraId="4DB8982A">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[M+H]</w:t>
            </w:r>
            <w:r>
              <w:rPr>
                <w:rFonts w:ascii="Times New Roman" w:hAnsi="Times New Roman" w:cs="Times New Roman"/>
                <w:sz w:val="18"/>
                <w:szCs w:val="18"/>
                <w:vertAlign w:val="superscript"/>
              </w:rPr>
              <w:t>+</w:t>
            </w:r>
          </w:p>
        </w:tc>
        <w:tc>
          <w:tcPr>
            <w:tcW w:w="1134" w:type="dxa"/>
            <w:vAlign w:val="center"/>
          </w:tcPr>
          <w:p w14:paraId="3DB25634">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1.73</w:t>
            </w:r>
          </w:p>
        </w:tc>
        <w:tc>
          <w:tcPr>
            <w:tcW w:w="2505" w:type="dxa"/>
            <w:vAlign w:val="center"/>
          </w:tcPr>
          <w:p w14:paraId="7DA1E5A6">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264.2686</w:t>
            </w:r>
          </w:p>
        </w:tc>
      </w:tr>
      <w:tr w14:paraId="1D01E90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567" w:type="dxa"/>
            <w:vAlign w:val="center"/>
          </w:tcPr>
          <w:p w14:paraId="25BA56B3">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1</w:t>
            </w:r>
            <w:r>
              <w:rPr>
                <w:rFonts w:hint="eastAsia" w:ascii="Times New Roman" w:hAnsi="Times New Roman" w:cs="Times New Roman"/>
                <w:sz w:val="18"/>
                <w:szCs w:val="18"/>
              </w:rPr>
              <w:t>5</w:t>
            </w:r>
          </w:p>
        </w:tc>
        <w:tc>
          <w:tcPr>
            <w:tcW w:w="1560" w:type="dxa"/>
            <w:vAlign w:val="center"/>
          </w:tcPr>
          <w:p w14:paraId="789CDC7A">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PC 33:0</w:t>
            </w:r>
          </w:p>
        </w:tc>
        <w:tc>
          <w:tcPr>
            <w:tcW w:w="992" w:type="dxa"/>
            <w:vAlign w:val="center"/>
          </w:tcPr>
          <w:p w14:paraId="34C33127">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748.5851</w:t>
            </w:r>
          </w:p>
        </w:tc>
        <w:tc>
          <w:tcPr>
            <w:tcW w:w="1134" w:type="dxa"/>
            <w:vAlign w:val="center"/>
          </w:tcPr>
          <w:p w14:paraId="3F417052">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748.58508</w:t>
            </w:r>
          </w:p>
        </w:tc>
        <w:tc>
          <w:tcPr>
            <w:tcW w:w="1134" w:type="dxa"/>
            <w:vAlign w:val="center"/>
          </w:tcPr>
          <w:p w14:paraId="4C7EDABF">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[M+H]</w:t>
            </w:r>
            <w:r>
              <w:rPr>
                <w:rFonts w:ascii="Times New Roman" w:hAnsi="Times New Roman" w:cs="Times New Roman"/>
                <w:sz w:val="18"/>
                <w:szCs w:val="18"/>
                <w:vertAlign w:val="superscript"/>
              </w:rPr>
              <w:t>+</w:t>
            </w:r>
          </w:p>
        </w:tc>
        <w:tc>
          <w:tcPr>
            <w:tcW w:w="1134" w:type="dxa"/>
            <w:vAlign w:val="center"/>
          </w:tcPr>
          <w:p w14:paraId="399AACE0">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0.03</w:t>
            </w:r>
          </w:p>
        </w:tc>
        <w:tc>
          <w:tcPr>
            <w:tcW w:w="2505" w:type="dxa"/>
            <w:vAlign w:val="center"/>
          </w:tcPr>
          <w:p w14:paraId="7DE6DEE5">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184.0733</w:t>
            </w:r>
          </w:p>
        </w:tc>
      </w:tr>
      <w:tr w14:paraId="28516C8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567" w:type="dxa"/>
            <w:vAlign w:val="center"/>
          </w:tcPr>
          <w:p w14:paraId="6D54C844">
            <w:pPr>
              <w:adjustRightInd w:val="0"/>
              <w:snapToGrid w:val="0"/>
              <w:spacing w:beforeLines="0" w:afterLines="0" w:line="480" w:lineRule="auto"/>
              <w:jc w:val="center"/>
              <w:rPr>
                <w:rFonts w:ascii="Times New Roman" w:hAnsi="Times New Roman" w:cs="Times New Roman"/>
                <w:sz w:val="18"/>
                <w:szCs w:val="18"/>
              </w:rPr>
            </w:pPr>
            <w:r>
              <w:rPr>
                <w:rFonts w:hint="eastAsia" w:ascii="Times New Roman" w:hAnsi="Times New Roman" w:cs="Times New Roman"/>
                <w:sz w:val="18"/>
                <w:szCs w:val="18"/>
              </w:rPr>
              <w:t>16</w:t>
            </w:r>
          </w:p>
        </w:tc>
        <w:tc>
          <w:tcPr>
            <w:tcW w:w="1560" w:type="dxa"/>
            <w:vAlign w:val="center"/>
          </w:tcPr>
          <w:p w14:paraId="6893D109">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PA 38:2</w:t>
            </w:r>
          </w:p>
        </w:tc>
        <w:tc>
          <w:tcPr>
            <w:tcW w:w="992" w:type="dxa"/>
            <w:vAlign w:val="center"/>
          </w:tcPr>
          <w:p w14:paraId="09C73BB0">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767.4993</w:t>
            </w:r>
          </w:p>
        </w:tc>
        <w:tc>
          <w:tcPr>
            <w:tcW w:w="1134" w:type="dxa"/>
            <w:vAlign w:val="center"/>
          </w:tcPr>
          <w:p w14:paraId="3B497441">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767.49931</w:t>
            </w:r>
          </w:p>
        </w:tc>
        <w:tc>
          <w:tcPr>
            <w:tcW w:w="1134" w:type="dxa"/>
            <w:vAlign w:val="center"/>
          </w:tcPr>
          <w:p w14:paraId="0BFDA6A0">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[M+K]</w:t>
            </w:r>
            <w:r>
              <w:rPr>
                <w:rFonts w:ascii="Times New Roman" w:hAnsi="Times New Roman" w:cs="Times New Roman"/>
                <w:sz w:val="18"/>
                <w:szCs w:val="18"/>
                <w:vertAlign w:val="superscript"/>
              </w:rPr>
              <w:t>+</w:t>
            </w:r>
          </w:p>
        </w:tc>
        <w:tc>
          <w:tcPr>
            <w:tcW w:w="1134" w:type="dxa"/>
            <w:vAlign w:val="center"/>
          </w:tcPr>
          <w:p w14:paraId="1CEE06C4">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0.01</w:t>
            </w:r>
          </w:p>
        </w:tc>
        <w:tc>
          <w:tcPr>
            <w:tcW w:w="2505" w:type="dxa"/>
            <w:vAlign w:val="center"/>
          </w:tcPr>
          <w:p w14:paraId="72866158">
            <w:pPr>
              <w:adjustRightInd w:val="0"/>
              <w:snapToGrid w:val="0"/>
              <w:spacing w:beforeLines="0" w:afterLines="0" w:line="480" w:lineRule="auto"/>
              <w:jc w:val="center"/>
              <w:rPr>
                <w:rFonts w:ascii="Times New Roman" w:hAnsi="Times New Roman" w:cs="Times New Roman"/>
                <w:sz w:val="18"/>
                <w:szCs w:val="18"/>
              </w:rPr>
            </w:pPr>
          </w:p>
        </w:tc>
      </w:tr>
      <w:tr w14:paraId="6ECB3CA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567" w:type="dxa"/>
            <w:vAlign w:val="center"/>
          </w:tcPr>
          <w:p w14:paraId="56BC23F8">
            <w:pPr>
              <w:adjustRightInd w:val="0"/>
              <w:snapToGrid w:val="0"/>
              <w:spacing w:beforeLines="0" w:afterLines="0" w:line="480" w:lineRule="auto"/>
              <w:jc w:val="center"/>
              <w:rPr>
                <w:rFonts w:ascii="Times New Roman" w:hAnsi="Times New Roman" w:cs="Times New Roman"/>
                <w:sz w:val="18"/>
                <w:szCs w:val="18"/>
              </w:rPr>
            </w:pPr>
            <w:r>
              <w:rPr>
                <w:rFonts w:hint="eastAsia" w:ascii="Times New Roman" w:hAnsi="Times New Roman" w:cs="Times New Roman"/>
                <w:sz w:val="18"/>
                <w:szCs w:val="18"/>
              </w:rPr>
              <w:t>17</w:t>
            </w:r>
          </w:p>
        </w:tc>
        <w:tc>
          <w:tcPr>
            <w:tcW w:w="1560" w:type="dxa"/>
            <w:vAlign w:val="center"/>
          </w:tcPr>
          <w:p w14:paraId="0ABCC726">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PS 38:5</w:t>
            </w:r>
          </w:p>
        </w:tc>
        <w:tc>
          <w:tcPr>
            <w:tcW w:w="992" w:type="dxa"/>
            <w:vAlign w:val="center"/>
          </w:tcPr>
          <w:p w14:paraId="0730BF6B">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848.4844</w:t>
            </w:r>
          </w:p>
        </w:tc>
        <w:tc>
          <w:tcPr>
            <w:tcW w:w="1134" w:type="dxa"/>
            <w:vAlign w:val="center"/>
          </w:tcPr>
          <w:p w14:paraId="742C31B4">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848.48439</w:t>
            </w:r>
          </w:p>
        </w:tc>
        <w:tc>
          <w:tcPr>
            <w:tcW w:w="1134" w:type="dxa"/>
            <w:vAlign w:val="center"/>
          </w:tcPr>
          <w:p w14:paraId="5E7BAB51">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[M+K]</w:t>
            </w:r>
            <w:r>
              <w:rPr>
                <w:rFonts w:ascii="Times New Roman" w:hAnsi="Times New Roman" w:cs="Times New Roman"/>
                <w:sz w:val="18"/>
                <w:szCs w:val="18"/>
                <w:vertAlign w:val="superscript"/>
              </w:rPr>
              <w:t>+</w:t>
            </w:r>
          </w:p>
        </w:tc>
        <w:tc>
          <w:tcPr>
            <w:tcW w:w="1134" w:type="dxa"/>
            <w:vAlign w:val="center"/>
          </w:tcPr>
          <w:p w14:paraId="4968360A">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0.01</w:t>
            </w:r>
          </w:p>
        </w:tc>
        <w:tc>
          <w:tcPr>
            <w:tcW w:w="2505" w:type="dxa"/>
            <w:vAlign w:val="center"/>
          </w:tcPr>
          <w:p w14:paraId="3DEE01E3">
            <w:pPr>
              <w:adjustRightInd w:val="0"/>
              <w:snapToGrid w:val="0"/>
              <w:spacing w:beforeLines="0" w:afterLines="0" w:line="480" w:lineRule="auto"/>
              <w:jc w:val="center"/>
              <w:rPr>
                <w:rFonts w:ascii="Times New Roman" w:hAnsi="Times New Roman" w:cs="Times New Roman"/>
                <w:sz w:val="18"/>
                <w:szCs w:val="18"/>
              </w:rPr>
            </w:pPr>
          </w:p>
        </w:tc>
      </w:tr>
      <w:tr w14:paraId="5AD9E89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567" w:type="dxa"/>
            <w:vAlign w:val="center"/>
          </w:tcPr>
          <w:p w14:paraId="6BD44785">
            <w:pPr>
              <w:adjustRightInd w:val="0"/>
              <w:snapToGrid w:val="0"/>
              <w:spacing w:beforeLines="0" w:afterLines="0" w:line="480" w:lineRule="auto"/>
              <w:jc w:val="center"/>
              <w:rPr>
                <w:rFonts w:ascii="Times New Roman" w:hAnsi="Times New Roman" w:cs="Times New Roman"/>
                <w:sz w:val="18"/>
                <w:szCs w:val="18"/>
              </w:rPr>
            </w:pPr>
            <w:r>
              <w:rPr>
                <w:rFonts w:hint="eastAsia" w:ascii="Times New Roman" w:hAnsi="Times New Roman" w:cs="Times New Roman"/>
                <w:sz w:val="18"/>
                <w:szCs w:val="18"/>
              </w:rPr>
              <w:t>18</w:t>
            </w:r>
          </w:p>
        </w:tc>
        <w:tc>
          <w:tcPr>
            <w:tcW w:w="1560" w:type="dxa"/>
            <w:vAlign w:val="center"/>
          </w:tcPr>
          <w:p w14:paraId="49C8BC37">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PE 44:12</w:t>
            </w:r>
          </w:p>
        </w:tc>
        <w:tc>
          <w:tcPr>
            <w:tcW w:w="992" w:type="dxa"/>
            <w:vAlign w:val="center"/>
          </w:tcPr>
          <w:p w14:paraId="34E97069">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874.4789</w:t>
            </w:r>
          </w:p>
        </w:tc>
        <w:tc>
          <w:tcPr>
            <w:tcW w:w="1134" w:type="dxa"/>
            <w:vAlign w:val="center"/>
          </w:tcPr>
          <w:p w14:paraId="7A8A2B3B">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874.47891</w:t>
            </w:r>
          </w:p>
        </w:tc>
        <w:tc>
          <w:tcPr>
            <w:tcW w:w="1134" w:type="dxa"/>
            <w:vAlign w:val="center"/>
          </w:tcPr>
          <w:p w14:paraId="21A97464">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[M+K]</w:t>
            </w:r>
            <w:r>
              <w:rPr>
                <w:rFonts w:ascii="Times New Roman" w:hAnsi="Times New Roman" w:cs="Times New Roman"/>
                <w:sz w:val="18"/>
                <w:szCs w:val="18"/>
                <w:vertAlign w:val="superscript"/>
              </w:rPr>
              <w:t>+</w:t>
            </w:r>
          </w:p>
        </w:tc>
        <w:tc>
          <w:tcPr>
            <w:tcW w:w="1134" w:type="dxa"/>
            <w:vAlign w:val="center"/>
          </w:tcPr>
          <w:p w14:paraId="7CE2E0D7">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0.01</w:t>
            </w:r>
          </w:p>
        </w:tc>
        <w:tc>
          <w:tcPr>
            <w:tcW w:w="2505" w:type="dxa"/>
            <w:vAlign w:val="center"/>
          </w:tcPr>
          <w:p w14:paraId="26D88102">
            <w:pPr>
              <w:adjustRightInd w:val="0"/>
              <w:snapToGrid w:val="0"/>
              <w:spacing w:beforeLines="0" w:afterLines="0" w:line="480" w:lineRule="auto"/>
              <w:jc w:val="center"/>
              <w:rPr>
                <w:rFonts w:ascii="Times New Roman" w:hAnsi="Times New Roman" w:cs="Times New Roman"/>
                <w:sz w:val="18"/>
                <w:szCs w:val="18"/>
              </w:rPr>
            </w:pPr>
          </w:p>
        </w:tc>
      </w:tr>
    </w:tbl>
    <w:p w14:paraId="54026043">
      <w:pPr>
        <w:rPr>
          <w:b/>
          <w:bCs/>
        </w:rPr>
      </w:pPr>
      <w:bookmarkStart w:id="95" w:name="_Toc229846996"/>
      <w:r>
        <w:rPr>
          <w:b/>
          <w:bCs/>
        </w:rPr>
        <w:br w:type="page"/>
      </w:r>
    </w:p>
    <w:p w14:paraId="4DB9BB4E">
      <w:pPr>
        <w:pStyle w:val="39"/>
        <w:adjustRightInd w:val="0"/>
        <w:snapToGrid w:val="0"/>
        <w:spacing w:before="0" w:beforeLines="0" w:after="0" w:afterLines="0" w:line="480" w:lineRule="auto"/>
        <w:rPr>
          <w:rFonts w:eastAsiaTheme="minorEastAsia"/>
          <w:b/>
          <w:bCs/>
        </w:rPr>
      </w:pPr>
      <w:r>
        <w:rPr>
          <w:b/>
          <w:bCs/>
        </w:rPr>
        <w:t>Supplementary Table</w:t>
      </w:r>
      <w:r>
        <w:rPr>
          <w:rFonts w:eastAsiaTheme="minorEastAsia"/>
          <w:b/>
          <w:bCs/>
        </w:rPr>
        <w:t xml:space="preserve"> 5</w:t>
      </w:r>
      <w:r>
        <w:rPr>
          <w:b/>
          <w:bCs/>
        </w:rPr>
        <w:t>. Detailed information of seven serum biomarkers across normal controls, high</w:t>
      </w:r>
      <w:r>
        <w:rPr>
          <w:rFonts w:hint="eastAsia" w:eastAsiaTheme="minorEastAsia"/>
          <w:b/>
          <w:bCs/>
        </w:rPr>
        <w:t>-</w:t>
      </w:r>
      <w:r>
        <w:rPr>
          <w:b/>
          <w:bCs/>
        </w:rPr>
        <w:t>risk liver disease and hepatocellular carcinoma (HCC vs NC or LR vs NC) in discovery cohort and validation cohort.</w:t>
      </w:r>
      <w:bookmarkEnd w:id="95"/>
    </w:p>
    <w:tbl>
      <w:tblPr>
        <w:tblStyle w:val="12"/>
        <w:tblW w:w="9801" w:type="dxa"/>
        <w:tblInd w:w="0"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34"/>
        <w:gridCol w:w="1256"/>
        <w:gridCol w:w="891"/>
        <w:gridCol w:w="891"/>
        <w:gridCol w:w="1117"/>
        <w:gridCol w:w="1251"/>
        <w:gridCol w:w="1172"/>
        <w:gridCol w:w="701"/>
        <w:gridCol w:w="222"/>
        <w:gridCol w:w="1766"/>
      </w:tblGrid>
      <w:tr w14:paraId="1A9456A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PrEx>
        <w:trPr>
          <w:trHeight w:val="297" w:hRule="atLeast"/>
        </w:trPr>
        <w:tc>
          <w:tcPr>
            <w:tcW w:w="534" w:type="dxa"/>
            <w:tcBorders>
              <w:top w:val="single" w:color="auto" w:sz="12" w:space="0"/>
              <w:bottom w:val="single" w:color="auto" w:sz="12" w:space="0"/>
            </w:tcBorders>
            <w:vAlign w:val="center"/>
          </w:tcPr>
          <w:p w14:paraId="69538A2E">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No.</w:t>
            </w:r>
          </w:p>
        </w:tc>
        <w:tc>
          <w:tcPr>
            <w:tcW w:w="1256" w:type="dxa"/>
            <w:tcBorders>
              <w:top w:val="single" w:color="auto" w:sz="12" w:space="0"/>
              <w:bottom w:val="single" w:color="auto" w:sz="12" w:space="0"/>
            </w:tcBorders>
            <w:vAlign w:val="center"/>
          </w:tcPr>
          <w:p w14:paraId="44E907AA">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ID</w:t>
            </w:r>
          </w:p>
        </w:tc>
        <w:tc>
          <w:tcPr>
            <w:tcW w:w="891" w:type="dxa"/>
            <w:tcBorders>
              <w:top w:val="single" w:color="auto" w:sz="12" w:space="0"/>
              <w:bottom w:val="single" w:color="auto" w:sz="12" w:space="0"/>
            </w:tcBorders>
            <w:vAlign w:val="center"/>
          </w:tcPr>
          <w:p w14:paraId="3AD7CF63">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Obsmz</w:t>
            </w:r>
          </w:p>
        </w:tc>
        <w:tc>
          <w:tcPr>
            <w:tcW w:w="0" w:type="auto"/>
            <w:tcBorders>
              <w:top w:val="single" w:color="auto" w:sz="12" w:space="0"/>
              <w:bottom w:val="single" w:color="auto" w:sz="12" w:space="0"/>
            </w:tcBorders>
            <w:vAlign w:val="center"/>
          </w:tcPr>
          <w:p w14:paraId="043BDF83">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Theomz</w:t>
            </w:r>
          </w:p>
        </w:tc>
        <w:tc>
          <w:tcPr>
            <w:tcW w:w="0" w:type="auto"/>
            <w:tcBorders>
              <w:top w:val="single" w:color="auto" w:sz="12" w:space="0"/>
              <w:bottom w:val="single" w:color="auto" w:sz="12" w:space="0"/>
            </w:tcBorders>
            <w:vAlign w:val="center"/>
          </w:tcPr>
          <w:p w14:paraId="2628D1BA">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Formula</w:t>
            </w:r>
          </w:p>
        </w:tc>
        <w:tc>
          <w:tcPr>
            <w:tcW w:w="0" w:type="auto"/>
            <w:tcBorders>
              <w:top w:val="single" w:color="auto" w:sz="12" w:space="0"/>
              <w:bottom w:val="single" w:color="auto" w:sz="12" w:space="0"/>
            </w:tcBorders>
            <w:vAlign w:val="center"/>
          </w:tcPr>
          <w:p w14:paraId="725BDD3C">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Monoisotopic</w:t>
            </w:r>
          </w:p>
          <w:p w14:paraId="047FA6A1">
            <w:pPr>
              <w:adjustRightInd w:val="0"/>
              <w:snapToGrid w:val="0"/>
              <w:spacing w:beforeLines="0" w:afterLines="0" w:line="480" w:lineRule="auto"/>
              <w:jc w:val="center"/>
              <w:rPr>
                <w:rFonts w:ascii="Times New Roman" w:hAnsi="Times New Roman" w:cs="Times New Roman"/>
                <w:sz w:val="18"/>
                <w:szCs w:val="18"/>
              </w:rPr>
            </w:pPr>
            <w:r>
              <w:rPr>
                <w:rFonts w:hint="eastAsia" w:ascii="Times New Roman" w:hAnsi="Times New Roman" w:cs="Times New Roman"/>
                <w:sz w:val="18"/>
                <w:szCs w:val="18"/>
              </w:rPr>
              <w:t>m</w:t>
            </w:r>
            <w:r>
              <w:rPr>
                <w:rFonts w:ascii="Times New Roman" w:hAnsi="Times New Roman" w:cs="Times New Roman"/>
                <w:sz w:val="18"/>
                <w:szCs w:val="18"/>
              </w:rPr>
              <w:t>ass</w:t>
            </w:r>
          </w:p>
        </w:tc>
        <w:tc>
          <w:tcPr>
            <w:tcW w:w="1172" w:type="dxa"/>
            <w:tcBorders>
              <w:top w:val="single" w:color="auto" w:sz="12" w:space="0"/>
              <w:bottom w:val="single" w:color="auto" w:sz="12" w:space="0"/>
            </w:tcBorders>
            <w:vAlign w:val="center"/>
          </w:tcPr>
          <w:p w14:paraId="07FA5034">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Adduct</w:t>
            </w:r>
          </w:p>
        </w:tc>
        <w:tc>
          <w:tcPr>
            <w:tcW w:w="701" w:type="dxa"/>
            <w:tcBorders>
              <w:top w:val="single" w:color="auto" w:sz="12" w:space="0"/>
              <w:bottom w:val="single" w:color="auto" w:sz="12" w:space="0"/>
            </w:tcBorders>
            <w:vAlign w:val="center"/>
          </w:tcPr>
          <w:p w14:paraId="28E3836E">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Error (ppm)</w:t>
            </w:r>
          </w:p>
        </w:tc>
        <w:tc>
          <w:tcPr>
            <w:tcW w:w="0" w:type="auto"/>
            <w:tcBorders>
              <w:top w:val="single" w:color="auto" w:sz="12" w:space="0"/>
              <w:bottom w:val="single" w:color="auto" w:sz="12" w:space="0"/>
            </w:tcBorders>
            <w:vAlign w:val="center"/>
          </w:tcPr>
          <w:p w14:paraId="6BF9427D">
            <w:pPr>
              <w:adjustRightInd w:val="0"/>
              <w:snapToGrid w:val="0"/>
              <w:spacing w:beforeLines="0" w:afterLines="0" w:line="480" w:lineRule="auto"/>
              <w:jc w:val="center"/>
              <w:rPr>
                <w:rFonts w:ascii="Times New Roman" w:hAnsi="Times New Roman" w:cs="Times New Roman"/>
                <w:sz w:val="18"/>
                <w:szCs w:val="18"/>
              </w:rPr>
            </w:pPr>
          </w:p>
        </w:tc>
        <w:tc>
          <w:tcPr>
            <w:tcW w:w="0" w:type="auto"/>
            <w:tcBorders>
              <w:top w:val="single" w:color="auto" w:sz="12" w:space="0"/>
              <w:bottom w:val="single" w:color="auto" w:sz="12" w:space="0"/>
            </w:tcBorders>
            <w:vAlign w:val="center"/>
          </w:tcPr>
          <w:p w14:paraId="3B35D0B4">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Validated by LC-MS/MS</w:t>
            </w:r>
          </w:p>
        </w:tc>
      </w:tr>
      <w:tr w14:paraId="1AD0B24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7" w:hRule="atLeast"/>
        </w:trPr>
        <w:tc>
          <w:tcPr>
            <w:tcW w:w="534" w:type="dxa"/>
            <w:tcBorders>
              <w:top w:val="single" w:color="auto" w:sz="12" w:space="0"/>
            </w:tcBorders>
            <w:vAlign w:val="center"/>
          </w:tcPr>
          <w:p w14:paraId="47CCB5D5">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1</w:t>
            </w:r>
          </w:p>
        </w:tc>
        <w:tc>
          <w:tcPr>
            <w:tcW w:w="1256" w:type="dxa"/>
            <w:tcBorders>
              <w:top w:val="single" w:color="auto" w:sz="12" w:space="0"/>
            </w:tcBorders>
            <w:vAlign w:val="center"/>
          </w:tcPr>
          <w:p w14:paraId="13688792">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FA 22:0</w:t>
            </w:r>
          </w:p>
        </w:tc>
        <w:tc>
          <w:tcPr>
            <w:tcW w:w="891" w:type="dxa"/>
            <w:tcBorders>
              <w:top w:val="single" w:color="auto" w:sz="12" w:space="0"/>
            </w:tcBorders>
            <w:vAlign w:val="center"/>
          </w:tcPr>
          <w:p w14:paraId="2C25A1B0">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417.2548</w:t>
            </w:r>
          </w:p>
        </w:tc>
        <w:tc>
          <w:tcPr>
            <w:tcW w:w="0" w:type="auto"/>
            <w:tcBorders>
              <w:top w:val="single" w:color="auto" w:sz="12" w:space="0"/>
            </w:tcBorders>
            <w:vAlign w:val="center"/>
          </w:tcPr>
          <w:p w14:paraId="3AB8B8E0">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417.2532</w:t>
            </w:r>
          </w:p>
        </w:tc>
        <w:tc>
          <w:tcPr>
            <w:tcW w:w="0" w:type="auto"/>
            <w:tcBorders>
              <w:top w:val="single" w:color="auto" w:sz="12" w:space="0"/>
            </w:tcBorders>
            <w:vAlign w:val="center"/>
          </w:tcPr>
          <w:p w14:paraId="06DD13B0">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cs="Times New Roman"/>
                <w:sz w:val="18"/>
                <w:szCs w:val="18"/>
              </w:rPr>
              <w:t>C</w:t>
            </w:r>
            <w:r>
              <w:rPr>
                <w:rFonts w:ascii="Times New Roman" w:hAnsi="Times New Roman" w:cs="Times New Roman"/>
                <w:sz w:val="18"/>
                <w:szCs w:val="18"/>
                <w:vertAlign w:val="subscript"/>
              </w:rPr>
              <w:t>22</w:t>
            </w:r>
            <w:r>
              <w:rPr>
                <w:rFonts w:ascii="Times New Roman" w:hAnsi="Times New Roman" w:cs="Times New Roman"/>
                <w:sz w:val="18"/>
                <w:szCs w:val="18"/>
              </w:rPr>
              <w:t>H</w:t>
            </w:r>
            <w:r>
              <w:rPr>
                <w:rFonts w:ascii="Times New Roman" w:hAnsi="Times New Roman" w:cs="Times New Roman"/>
                <w:sz w:val="18"/>
                <w:szCs w:val="18"/>
                <w:vertAlign w:val="subscript"/>
              </w:rPr>
              <w:t>44</w:t>
            </w:r>
            <w:r>
              <w:rPr>
                <w:rFonts w:ascii="Times New Roman" w:hAnsi="Times New Roman" w:cs="Times New Roman"/>
                <w:sz w:val="18"/>
                <w:szCs w:val="18"/>
              </w:rPr>
              <w:t>O</w:t>
            </w:r>
            <w:r>
              <w:rPr>
                <w:rFonts w:ascii="Times New Roman" w:hAnsi="Times New Roman" w:cs="Times New Roman"/>
                <w:sz w:val="18"/>
                <w:szCs w:val="18"/>
                <w:vertAlign w:val="subscript"/>
              </w:rPr>
              <w:t>2</w:t>
            </w:r>
          </w:p>
        </w:tc>
        <w:tc>
          <w:tcPr>
            <w:tcW w:w="0" w:type="auto"/>
            <w:tcBorders>
              <w:top w:val="single" w:color="auto" w:sz="12" w:space="0"/>
            </w:tcBorders>
            <w:vAlign w:val="center"/>
          </w:tcPr>
          <w:p w14:paraId="115DB35E">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cs="Times New Roman"/>
                <w:sz w:val="18"/>
                <w:szCs w:val="18"/>
              </w:rPr>
              <w:t>340.3341307</w:t>
            </w:r>
          </w:p>
        </w:tc>
        <w:tc>
          <w:tcPr>
            <w:tcW w:w="1172" w:type="dxa"/>
            <w:tcBorders>
              <w:top w:val="single" w:color="auto" w:sz="12" w:space="0"/>
            </w:tcBorders>
            <w:vAlign w:val="center"/>
          </w:tcPr>
          <w:p w14:paraId="5B993E58">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[M+2K-H]</w:t>
            </w:r>
            <w:r>
              <w:rPr>
                <w:rFonts w:ascii="Times New Roman" w:hAnsi="Times New Roman" w:eastAsia="等线" w:cs="Times New Roman"/>
                <w:sz w:val="18"/>
                <w:szCs w:val="18"/>
                <w:vertAlign w:val="superscript"/>
              </w:rPr>
              <w:t>+</w:t>
            </w:r>
          </w:p>
        </w:tc>
        <w:tc>
          <w:tcPr>
            <w:tcW w:w="701" w:type="dxa"/>
            <w:tcBorders>
              <w:top w:val="single" w:color="auto" w:sz="12" w:space="0"/>
            </w:tcBorders>
            <w:vAlign w:val="center"/>
          </w:tcPr>
          <w:p w14:paraId="20F98F10">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3.79</w:t>
            </w:r>
          </w:p>
        </w:tc>
        <w:tc>
          <w:tcPr>
            <w:tcW w:w="0" w:type="auto"/>
            <w:tcBorders>
              <w:top w:val="single" w:color="auto" w:sz="12" w:space="0"/>
            </w:tcBorders>
            <w:vAlign w:val="center"/>
          </w:tcPr>
          <w:p w14:paraId="363815A5">
            <w:pPr>
              <w:adjustRightInd w:val="0"/>
              <w:snapToGrid w:val="0"/>
              <w:spacing w:beforeLines="0" w:afterLines="0" w:line="480" w:lineRule="auto"/>
              <w:jc w:val="center"/>
              <w:rPr>
                <w:rFonts w:ascii="Times New Roman" w:hAnsi="Times New Roman" w:cs="Times New Roman"/>
                <w:sz w:val="18"/>
                <w:szCs w:val="18"/>
              </w:rPr>
            </w:pPr>
          </w:p>
        </w:tc>
        <w:tc>
          <w:tcPr>
            <w:tcW w:w="0" w:type="auto"/>
            <w:tcBorders>
              <w:top w:val="single" w:color="auto" w:sz="12" w:space="0"/>
            </w:tcBorders>
            <w:vAlign w:val="center"/>
          </w:tcPr>
          <w:p w14:paraId="20F20B2B">
            <w:pPr>
              <w:adjustRightInd w:val="0"/>
              <w:snapToGrid w:val="0"/>
              <w:spacing w:beforeLines="0" w:afterLines="0" w:line="480" w:lineRule="auto"/>
              <w:jc w:val="center"/>
              <w:rPr>
                <w:rFonts w:ascii="Times New Roman" w:hAnsi="Times New Roman" w:cs="Times New Roman"/>
                <w:sz w:val="18"/>
                <w:szCs w:val="18"/>
              </w:rPr>
            </w:pPr>
            <w:r>
              <w:rPr>
                <w:rFonts w:hint="eastAsia" w:ascii="Times New Roman" w:hAnsi="Times New Roman" w:cs="Times New Roman"/>
                <w:sz w:val="18"/>
                <w:szCs w:val="18"/>
              </w:rPr>
              <w:t>√</w:t>
            </w:r>
          </w:p>
        </w:tc>
      </w:tr>
      <w:tr w14:paraId="6D57B3A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7" w:hRule="atLeast"/>
        </w:trPr>
        <w:tc>
          <w:tcPr>
            <w:tcW w:w="534" w:type="dxa"/>
            <w:vAlign w:val="center"/>
          </w:tcPr>
          <w:p w14:paraId="0E08A09E">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2</w:t>
            </w:r>
          </w:p>
        </w:tc>
        <w:tc>
          <w:tcPr>
            <w:tcW w:w="1256" w:type="dxa"/>
            <w:vAlign w:val="center"/>
          </w:tcPr>
          <w:p w14:paraId="7C069600">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HexCer 26:3;4O</w:t>
            </w:r>
          </w:p>
        </w:tc>
        <w:tc>
          <w:tcPr>
            <w:tcW w:w="891" w:type="dxa"/>
            <w:vAlign w:val="center"/>
          </w:tcPr>
          <w:p w14:paraId="23B58A15">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638.3879</w:t>
            </w:r>
          </w:p>
        </w:tc>
        <w:tc>
          <w:tcPr>
            <w:tcW w:w="0" w:type="auto"/>
            <w:vAlign w:val="center"/>
          </w:tcPr>
          <w:p w14:paraId="067EFE1B">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638.3875</w:t>
            </w:r>
          </w:p>
        </w:tc>
        <w:tc>
          <w:tcPr>
            <w:tcW w:w="0" w:type="auto"/>
            <w:vAlign w:val="center"/>
          </w:tcPr>
          <w:p w14:paraId="0F002C0F">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C</w:t>
            </w:r>
            <w:r>
              <w:rPr>
                <w:rFonts w:ascii="Times New Roman" w:hAnsi="Times New Roman" w:eastAsia="等线" w:cs="Times New Roman"/>
                <w:sz w:val="18"/>
                <w:szCs w:val="18"/>
                <w:vertAlign w:val="subscript"/>
              </w:rPr>
              <w:t>32</w:t>
            </w:r>
            <w:r>
              <w:rPr>
                <w:rFonts w:ascii="Times New Roman" w:hAnsi="Times New Roman" w:eastAsia="等线" w:cs="Times New Roman"/>
                <w:sz w:val="18"/>
                <w:szCs w:val="18"/>
              </w:rPr>
              <w:t>H</w:t>
            </w:r>
            <w:r>
              <w:rPr>
                <w:rFonts w:ascii="Times New Roman" w:hAnsi="Times New Roman" w:eastAsia="等线" w:cs="Times New Roman"/>
                <w:sz w:val="18"/>
                <w:szCs w:val="18"/>
                <w:vertAlign w:val="subscript"/>
              </w:rPr>
              <w:t>57</w:t>
            </w:r>
            <w:r>
              <w:rPr>
                <w:rFonts w:ascii="Times New Roman" w:hAnsi="Times New Roman" w:eastAsia="等线" w:cs="Times New Roman"/>
                <w:sz w:val="18"/>
                <w:szCs w:val="18"/>
              </w:rPr>
              <w:t>NO</w:t>
            </w:r>
            <w:r>
              <w:rPr>
                <w:rFonts w:ascii="Times New Roman" w:hAnsi="Times New Roman" w:eastAsia="等线" w:cs="Times New Roman"/>
                <w:sz w:val="18"/>
                <w:szCs w:val="18"/>
                <w:vertAlign w:val="subscript"/>
              </w:rPr>
              <w:t>10</w:t>
            </w:r>
          </w:p>
        </w:tc>
        <w:tc>
          <w:tcPr>
            <w:tcW w:w="0" w:type="auto"/>
            <w:vAlign w:val="center"/>
          </w:tcPr>
          <w:p w14:paraId="4B9F0E17">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615.39824702</w:t>
            </w:r>
          </w:p>
        </w:tc>
        <w:tc>
          <w:tcPr>
            <w:tcW w:w="1172" w:type="dxa"/>
            <w:vAlign w:val="center"/>
          </w:tcPr>
          <w:p w14:paraId="50E7074F">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[M+Na]</w:t>
            </w:r>
            <w:r>
              <w:rPr>
                <w:rFonts w:ascii="Times New Roman" w:hAnsi="Times New Roman" w:eastAsia="等线" w:cs="Times New Roman"/>
                <w:sz w:val="18"/>
                <w:szCs w:val="18"/>
                <w:vertAlign w:val="superscript"/>
              </w:rPr>
              <w:t>+</w:t>
            </w:r>
          </w:p>
        </w:tc>
        <w:tc>
          <w:tcPr>
            <w:tcW w:w="701" w:type="dxa"/>
            <w:vAlign w:val="center"/>
          </w:tcPr>
          <w:p w14:paraId="4A102FB3">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0.17</w:t>
            </w:r>
          </w:p>
        </w:tc>
        <w:tc>
          <w:tcPr>
            <w:tcW w:w="0" w:type="auto"/>
            <w:vAlign w:val="center"/>
          </w:tcPr>
          <w:p w14:paraId="2EA2E00C">
            <w:pPr>
              <w:adjustRightInd w:val="0"/>
              <w:snapToGrid w:val="0"/>
              <w:spacing w:beforeLines="0" w:afterLines="0" w:line="480" w:lineRule="auto"/>
              <w:jc w:val="center"/>
              <w:rPr>
                <w:rFonts w:ascii="Times New Roman" w:hAnsi="Times New Roman" w:cs="Times New Roman"/>
                <w:sz w:val="18"/>
                <w:szCs w:val="18"/>
              </w:rPr>
            </w:pPr>
          </w:p>
        </w:tc>
        <w:tc>
          <w:tcPr>
            <w:tcW w:w="0" w:type="auto"/>
            <w:vAlign w:val="center"/>
          </w:tcPr>
          <w:p w14:paraId="6A02C33C">
            <w:pPr>
              <w:adjustRightInd w:val="0"/>
              <w:snapToGrid w:val="0"/>
              <w:spacing w:beforeLines="0" w:afterLines="0" w:line="480" w:lineRule="auto"/>
              <w:jc w:val="center"/>
              <w:rPr>
                <w:rFonts w:ascii="Times New Roman" w:hAnsi="Times New Roman" w:cs="Times New Roman"/>
                <w:sz w:val="18"/>
                <w:szCs w:val="18"/>
              </w:rPr>
            </w:pPr>
            <w:r>
              <w:rPr>
                <w:rFonts w:hint="eastAsia" w:ascii="Times New Roman" w:hAnsi="Times New Roman" w:cs="Times New Roman"/>
                <w:sz w:val="18"/>
                <w:szCs w:val="18"/>
              </w:rPr>
              <w:t>√</w:t>
            </w:r>
          </w:p>
        </w:tc>
      </w:tr>
      <w:tr w14:paraId="5F36266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7" w:hRule="atLeast"/>
        </w:trPr>
        <w:tc>
          <w:tcPr>
            <w:tcW w:w="534" w:type="dxa"/>
            <w:vAlign w:val="center"/>
          </w:tcPr>
          <w:p w14:paraId="78A6B541">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3</w:t>
            </w:r>
          </w:p>
        </w:tc>
        <w:tc>
          <w:tcPr>
            <w:tcW w:w="1256" w:type="dxa"/>
            <w:vAlign w:val="center"/>
          </w:tcPr>
          <w:p w14:paraId="2E848410">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LPA 16:0</w:t>
            </w:r>
          </w:p>
        </w:tc>
        <w:tc>
          <w:tcPr>
            <w:tcW w:w="891" w:type="dxa"/>
            <w:vAlign w:val="center"/>
          </w:tcPr>
          <w:p w14:paraId="2CCB209F">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433.2300</w:t>
            </w:r>
          </w:p>
        </w:tc>
        <w:tc>
          <w:tcPr>
            <w:tcW w:w="0" w:type="auto"/>
            <w:vAlign w:val="center"/>
          </w:tcPr>
          <w:p w14:paraId="07AF4031">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433.2326</w:t>
            </w:r>
          </w:p>
        </w:tc>
        <w:tc>
          <w:tcPr>
            <w:tcW w:w="0" w:type="auto"/>
            <w:vAlign w:val="center"/>
          </w:tcPr>
          <w:p w14:paraId="64D238A1">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C</w:t>
            </w:r>
            <w:r>
              <w:rPr>
                <w:rFonts w:ascii="Times New Roman" w:hAnsi="Times New Roman" w:eastAsia="等线" w:cs="Times New Roman"/>
                <w:sz w:val="18"/>
                <w:szCs w:val="18"/>
                <w:vertAlign w:val="subscript"/>
              </w:rPr>
              <w:t>19</w:t>
            </w:r>
            <w:r>
              <w:rPr>
                <w:rFonts w:ascii="Times New Roman" w:hAnsi="Times New Roman" w:eastAsia="等线" w:cs="Times New Roman"/>
                <w:sz w:val="18"/>
                <w:szCs w:val="18"/>
              </w:rPr>
              <w:t>H</w:t>
            </w:r>
            <w:r>
              <w:rPr>
                <w:rFonts w:ascii="Times New Roman" w:hAnsi="Times New Roman" w:eastAsia="等线" w:cs="Times New Roman"/>
                <w:sz w:val="18"/>
                <w:szCs w:val="18"/>
                <w:vertAlign w:val="subscript"/>
              </w:rPr>
              <w:t>39</w:t>
            </w:r>
            <w:r>
              <w:rPr>
                <w:rFonts w:ascii="Times New Roman" w:hAnsi="Times New Roman" w:eastAsia="等线" w:cs="Times New Roman"/>
                <w:sz w:val="18"/>
                <w:szCs w:val="18"/>
              </w:rPr>
              <w:t>O</w:t>
            </w:r>
            <w:r>
              <w:rPr>
                <w:rFonts w:ascii="Times New Roman" w:hAnsi="Times New Roman" w:eastAsia="等线" w:cs="Times New Roman"/>
                <w:sz w:val="18"/>
                <w:szCs w:val="18"/>
                <w:vertAlign w:val="subscript"/>
              </w:rPr>
              <w:t>7</w:t>
            </w:r>
            <w:r>
              <w:rPr>
                <w:rFonts w:ascii="Times New Roman" w:hAnsi="Times New Roman" w:eastAsia="等线" w:cs="Times New Roman"/>
                <w:sz w:val="18"/>
                <w:szCs w:val="18"/>
              </w:rPr>
              <w:t>P</w:t>
            </w:r>
          </w:p>
        </w:tc>
        <w:tc>
          <w:tcPr>
            <w:tcW w:w="0" w:type="auto"/>
            <w:vAlign w:val="center"/>
          </w:tcPr>
          <w:p w14:paraId="18358439">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410.2433406</w:t>
            </w:r>
          </w:p>
        </w:tc>
        <w:tc>
          <w:tcPr>
            <w:tcW w:w="1172" w:type="dxa"/>
            <w:vAlign w:val="center"/>
          </w:tcPr>
          <w:p w14:paraId="693E55C4">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[M+Na]</w:t>
            </w:r>
            <w:r>
              <w:rPr>
                <w:rFonts w:ascii="Times New Roman" w:hAnsi="Times New Roman" w:eastAsia="等线" w:cs="Times New Roman"/>
                <w:sz w:val="18"/>
                <w:szCs w:val="18"/>
                <w:vertAlign w:val="superscript"/>
              </w:rPr>
              <w:t>+</w:t>
            </w:r>
          </w:p>
        </w:tc>
        <w:tc>
          <w:tcPr>
            <w:tcW w:w="701" w:type="dxa"/>
            <w:vAlign w:val="center"/>
          </w:tcPr>
          <w:p w14:paraId="176D225D">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5.84</w:t>
            </w:r>
          </w:p>
        </w:tc>
        <w:tc>
          <w:tcPr>
            <w:tcW w:w="0" w:type="auto"/>
            <w:vAlign w:val="center"/>
          </w:tcPr>
          <w:p w14:paraId="179A97BB">
            <w:pPr>
              <w:adjustRightInd w:val="0"/>
              <w:snapToGrid w:val="0"/>
              <w:spacing w:beforeLines="0" w:afterLines="0" w:line="480" w:lineRule="auto"/>
              <w:jc w:val="center"/>
              <w:rPr>
                <w:rFonts w:ascii="Times New Roman" w:hAnsi="Times New Roman" w:cs="Times New Roman"/>
                <w:sz w:val="18"/>
                <w:szCs w:val="18"/>
              </w:rPr>
            </w:pPr>
          </w:p>
        </w:tc>
        <w:tc>
          <w:tcPr>
            <w:tcW w:w="0" w:type="auto"/>
            <w:vAlign w:val="center"/>
          </w:tcPr>
          <w:p w14:paraId="50CBFB50">
            <w:pPr>
              <w:adjustRightInd w:val="0"/>
              <w:snapToGrid w:val="0"/>
              <w:spacing w:beforeLines="0" w:afterLines="0" w:line="480" w:lineRule="auto"/>
              <w:jc w:val="center"/>
              <w:rPr>
                <w:rFonts w:ascii="Times New Roman" w:hAnsi="Times New Roman" w:cs="Times New Roman"/>
                <w:sz w:val="18"/>
                <w:szCs w:val="18"/>
              </w:rPr>
            </w:pPr>
            <w:r>
              <w:rPr>
                <w:rFonts w:hint="eastAsia" w:ascii="Times New Roman" w:hAnsi="Times New Roman" w:cs="Times New Roman"/>
                <w:sz w:val="18"/>
                <w:szCs w:val="18"/>
              </w:rPr>
              <w:t>√</w:t>
            </w:r>
          </w:p>
        </w:tc>
      </w:tr>
      <w:tr w14:paraId="56E3380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7" w:hRule="atLeast"/>
        </w:trPr>
        <w:tc>
          <w:tcPr>
            <w:tcW w:w="534" w:type="dxa"/>
            <w:vAlign w:val="center"/>
          </w:tcPr>
          <w:p w14:paraId="70CF1C52">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4</w:t>
            </w:r>
          </w:p>
        </w:tc>
        <w:tc>
          <w:tcPr>
            <w:tcW w:w="1256" w:type="dxa"/>
            <w:vAlign w:val="center"/>
          </w:tcPr>
          <w:p w14:paraId="547E60A3">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MG 18:2</w:t>
            </w:r>
          </w:p>
        </w:tc>
        <w:tc>
          <w:tcPr>
            <w:tcW w:w="891" w:type="dxa"/>
            <w:vAlign w:val="center"/>
          </w:tcPr>
          <w:p w14:paraId="0F4E27F5">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377.2642</w:t>
            </w:r>
          </w:p>
        </w:tc>
        <w:tc>
          <w:tcPr>
            <w:tcW w:w="0" w:type="auto"/>
            <w:vAlign w:val="center"/>
          </w:tcPr>
          <w:p w14:paraId="445F9435">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377.2662</w:t>
            </w:r>
          </w:p>
        </w:tc>
        <w:tc>
          <w:tcPr>
            <w:tcW w:w="0" w:type="auto"/>
            <w:vAlign w:val="center"/>
          </w:tcPr>
          <w:p w14:paraId="198E6C3E">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cs="Times New Roman"/>
                <w:sz w:val="18"/>
                <w:szCs w:val="18"/>
              </w:rPr>
              <w:t>C</w:t>
            </w:r>
            <w:r>
              <w:rPr>
                <w:rFonts w:ascii="Times New Roman" w:hAnsi="Times New Roman" w:cs="Times New Roman"/>
                <w:sz w:val="18"/>
                <w:szCs w:val="18"/>
                <w:vertAlign w:val="subscript"/>
              </w:rPr>
              <w:t>21</w:t>
            </w:r>
            <w:r>
              <w:rPr>
                <w:rFonts w:ascii="Times New Roman" w:hAnsi="Times New Roman" w:cs="Times New Roman"/>
                <w:sz w:val="18"/>
                <w:szCs w:val="18"/>
              </w:rPr>
              <w:t>H</w:t>
            </w:r>
            <w:r>
              <w:rPr>
                <w:rFonts w:ascii="Times New Roman" w:hAnsi="Times New Roman" w:cs="Times New Roman"/>
                <w:sz w:val="18"/>
                <w:szCs w:val="18"/>
                <w:vertAlign w:val="subscript"/>
              </w:rPr>
              <w:t>38</w:t>
            </w:r>
            <w:r>
              <w:rPr>
                <w:rFonts w:ascii="Times New Roman" w:hAnsi="Times New Roman" w:cs="Times New Roman"/>
                <w:sz w:val="18"/>
                <w:szCs w:val="18"/>
              </w:rPr>
              <w:t>O</w:t>
            </w:r>
            <w:r>
              <w:rPr>
                <w:rFonts w:ascii="Times New Roman" w:hAnsi="Times New Roman" w:cs="Times New Roman"/>
                <w:sz w:val="18"/>
                <w:szCs w:val="18"/>
                <w:vertAlign w:val="subscript"/>
              </w:rPr>
              <w:t>4</w:t>
            </w:r>
          </w:p>
        </w:tc>
        <w:tc>
          <w:tcPr>
            <w:tcW w:w="0" w:type="auto"/>
            <w:vAlign w:val="center"/>
          </w:tcPr>
          <w:p w14:paraId="18E84D37">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cs="Times New Roman"/>
                <w:sz w:val="18"/>
                <w:szCs w:val="18"/>
              </w:rPr>
              <w:t>354.2770097</w:t>
            </w:r>
          </w:p>
        </w:tc>
        <w:tc>
          <w:tcPr>
            <w:tcW w:w="1172" w:type="dxa"/>
            <w:vAlign w:val="center"/>
          </w:tcPr>
          <w:p w14:paraId="21C5838E">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[M+Na]</w:t>
            </w:r>
            <w:r>
              <w:rPr>
                <w:rFonts w:ascii="Times New Roman" w:hAnsi="Times New Roman" w:eastAsia="等线" w:cs="Times New Roman"/>
                <w:sz w:val="18"/>
                <w:szCs w:val="18"/>
                <w:vertAlign w:val="superscript"/>
              </w:rPr>
              <w:t>+</w:t>
            </w:r>
          </w:p>
        </w:tc>
        <w:tc>
          <w:tcPr>
            <w:tcW w:w="701" w:type="dxa"/>
            <w:vAlign w:val="center"/>
          </w:tcPr>
          <w:p w14:paraId="3154B14F">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5.27</w:t>
            </w:r>
          </w:p>
        </w:tc>
        <w:tc>
          <w:tcPr>
            <w:tcW w:w="0" w:type="auto"/>
            <w:vAlign w:val="center"/>
          </w:tcPr>
          <w:p w14:paraId="586CE3FA">
            <w:pPr>
              <w:adjustRightInd w:val="0"/>
              <w:snapToGrid w:val="0"/>
              <w:spacing w:beforeLines="0" w:afterLines="0" w:line="480" w:lineRule="auto"/>
              <w:jc w:val="center"/>
              <w:rPr>
                <w:rFonts w:ascii="Times New Roman" w:hAnsi="Times New Roman" w:cs="Times New Roman"/>
                <w:sz w:val="18"/>
                <w:szCs w:val="18"/>
              </w:rPr>
            </w:pPr>
          </w:p>
        </w:tc>
        <w:tc>
          <w:tcPr>
            <w:tcW w:w="0" w:type="auto"/>
            <w:vAlign w:val="center"/>
          </w:tcPr>
          <w:p w14:paraId="1922EB8F">
            <w:pPr>
              <w:adjustRightInd w:val="0"/>
              <w:snapToGrid w:val="0"/>
              <w:spacing w:beforeLines="0" w:afterLines="0" w:line="480" w:lineRule="auto"/>
              <w:jc w:val="center"/>
              <w:rPr>
                <w:rFonts w:ascii="Times New Roman" w:hAnsi="Times New Roman" w:cs="Times New Roman"/>
                <w:sz w:val="18"/>
                <w:szCs w:val="18"/>
              </w:rPr>
            </w:pPr>
            <w:r>
              <w:rPr>
                <w:rFonts w:hint="eastAsia" w:ascii="Times New Roman" w:hAnsi="Times New Roman" w:cs="Times New Roman"/>
                <w:sz w:val="18"/>
                <w:szCs w:val="18"/>
              </w:rPr>
              <w:t>√</w:t>
            </w:r>
          </w:p>
        </w:tc>
      </w:tr>
      <w:tr w14:paraId="3755992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7" w:hRule="atLeast"/>
        </w:trPr>
        <w:tc>
          <w:tcPr>
            <w:tcW w:w="534" w:type="dxa"/>
            <w:vAlign w:val="center"/>
          </w:tcPr>
          <w:p w14:paraId="616F3A77">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5</w:t>
            </w:r>
          </w:p>
        </w:tc>
        <w:tc>
          <w:tcPr>
            <w:tcW w:w="1256" w:type="dxa"/>
            <w:vAlign w:val="center"/>
          </w:tcPr>
          <w:p w14:paraId="0322CEB6">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Oleamide</w:t>
            </w:r>
          </w:p>
        </w:tc>
        <w:tc>
          <w:tcPr>
            <w:tcW w:w="891" w:type="dxa"/>
            <w:vAlign w:val="center"/>
          </w:tcPr>
          <w:p w14:paraId="6960C9AC">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304.2611</w:t>
            </w:r>
          </w:p>
        </w:tc>
        <w:tc>
          <w:tcPr>
            <w:tcW w:w="0" w:type="auto"/>
            <w:vAlign w:val="center"/>
          </w:tcPr>
          <w:p w14:paraId="4125B61C">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304.2611</w:t>
            </w:r>
          </w:p>
        </w:tc>
        <w:tc>
          <w:tcPr>
            <w:tcW w:w="0" w:type="auto"/>
            <w:vAlign w:val="center"/>
          </w:tcPr>
          <w:p w14:paraId="0091E092">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C</w:t>
            </w:r>
            <w:r>
              <w:rPr>
                <w:rFonts w:ascii="Times New Roman" w:hAnsi="Times New Roman" w:eastAsia="等线" w:cs="Times New Roman"/>
                <w:sz w:val="18"/>
                <w:szCs w:val="18"/>
                <w:vertAlign w:val="subscript"/>
              </w:rPr>
              <w:t>18</w:t>
            </w:r>
            <w:r>
              <w:rPr>
                <w:rFonts w:ascii="Times New Roman" w:hAnsi="Times New Roman" w:eastAsia="等线" w:cs="Times New Roman"/>
                <w:sz w:val="18"/>
                <w:szCs w:val="18"/>
              </w:rPr>
              <w:t>H</w:t>
            </w:r>
            <w:r>
              <w:rPr>
                <w:rFonts w:ascii="Times New Roman" w:hAnsi="Times New Roman" w:eastAsia="等线" w:cs="Times New Roman"/>
                <w:sz w:val="18"/>
                <w:szCs w:val="18"/>
                <w:vertAlign w:val="subscript"/>
              </w:rPr>
              <w:t>35</w:t>
            </w:r>
            <w:r>
              <w:rPr>
                <w:rFonts w:ascii="Times New Roman" w:hAnsi="Times New Roman" w:eastAsia="等线" w:cs="Times New Roman"/>
                <w:sz w:val="18"/>
                <w:szCs w:val="18"/>
              </w:rPr>
              <w:t>NO</w:t>
            </w:r>
          </w:p>
        </w:tc>
        <w:tc>
          <w:tcPr>
            <w:tcW w:w="0" w:type="auto"/>
            <w:vAlign w:val="center"/>
          </w:tcPr>
          <w:p w14:paraId="11CE4462">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281.27186474</w:t>
            </w:r>
          </w:p>
        </w:tc>
        <w:tc>
          <w:tcPr>
            <w:tcW w:w="1172" w:type="dxa"/>
            <w:vAlign w:val="center"/>
          </w:tcPr>
          <w:p w14:paraId="5EC82CDB">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[M+Na]</w:t>
            </w:r>
            <w:r>
              <w:rPr>
                <w:rFonts w:ascii="Times New Roman" w:hAnsi="Times New Roman" w:eastAsia="等线" w:cs="Times New Roman"/>
                <w:sz w:val="18"/>
                <w:szCs w:val="18"/>
                <w:vertAlign w:val="superscript"/>
              </w:rPr>
              <w:t>+</w:t>
            </w:r>
          </w:p>
        </w:tc>
        <w:tc>
          <w:tcPr>
            <w:tcW w:w="701" w:type="dxa"/>
            <w:vAlign w:val="center"/>
          </w:tcPr>
          <w:p w14:paraId="406DC1D9">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0.09</w:t>
            </w:r>
          </w:p>
        </w:tc>
        <w:tc>
          <w:tcPr>
            <w:tcW w:w="0" w:type="auto"/>
            <w:vAlign w:val="center"/>
          </w:tcPr>
          <w:p w14:paraId="2539AF59">
            <w:pPr>
              <w:adjustRightInd w:val="0"/>
              <w:snapToGrid w:val="0"/>
              <w:spacing w:beforeLines="0" w:afterLines="0" w:line="480" w:lineRule="auto"/>
              <w:jc w:val="center"/>
              <w:rPr>
                <w:rFonts w:ascii="Times New Roman" w:hAnsi="Times New Roman" w:cs="Times New Roman"/>
                <w:sz w:val="18"/>
                <w:szCs w:val="18"/>
              </w:rPr>
            </w:pPr>
          </w:p>
        </w:tc>
        <w:tc>
          <w:tcPr>
            <w:tcW w:w="0" w:type="auto"/>
            <w:vAlign w:val="center"/>
          </w:tcPr>
          <w:p w14:paraId="4DB27813">
            <w:pPr>
              <w:adjustRightInd w:val="0"/>
              <w:snapToGrid w:val="0"/>
              <w:spacing w:beforeLines="0" w:afterLines="0" w:line="480" w:lineRule="auto"/>
              <w:jc w:val="center"/>
              <w:rPr>
                <w:rFonts w:ascii="Times New Roman" w:hAnsi="Times New Roman" w:cs="Times New Roman"/>
                <w:sz w:val="18"/>
                <w:szCs w:val="18"/>
              </w:rPr>
            </w:pPr>
            <w:r>
              <w:rPr>
                <w:rFonts w:hint="eastAsia" w:ascii="Times New Roman" w:hAnsi="Times New Roman" w:cs="Times New Roman"/>
                <w:sz w:val="18"/>
                <w:szCs w:val="18"/>
              </w:rPr>
              <w:t>√</w:t>
            </w:r>
          </w:p>
        </w:tc>
      </w:tr>
      <w:tr w14:paraId="48FF419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7" w:hRule="atLeast"/>
        </w:trPr>
        <w:tc>
          <w:tcPr>
            <w:tcW w:w="534" w:type="dxa"/>
            <w:vAlign w:val="center"/>
          </w:tcPr>
          <w:p w14:paraId="1065C82C">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6</w:t>
            </w:r>
          </w:p>
        </w:tc>
        <w:tc>
          <w:tcPr>
            <w:tcW w:w="1256" w:type="dxa"/>
            <w:vAlign w:val="center"/>
          </w:tcPr>
          <w:p w14:paraId="2BBCFC3A">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PC 37:6</w:t>
            </w:r>
          </w:p>
        </w:tc>
        <w:tc>
          <w:tcPr>
            <w:tcW w:w="891" w:type="dxa"/>
            <w:vAlign w:val="center"/>
          </w:tcPr>
          <w:p w14:paraId="0C251869">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830.5118</w:t>
            </w:r>
          </w:p>
        </w:tc>
        <w:tc>
          <w:tcPr>
            <w:tcW w:w="0" w:type="auto"/>
            <w:vAlign w:val="center"/>
          </w:tcPr>
          <w:p w14:paraId="062637BC">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830.5097</w:t>
            </w:r>
          </w:p>
        </w:tc>
        <w:tc>
          <w:tcPr>
            <w:tcW w:w="0" w:type="auto"/>
            <w:vAlign w:val="center"/>
          </w:tcPr>
          <w:p w14:paraId="5FECE277">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C</w:t>
            </w:r>
            <w:r>
              <w:rPr>
                <w:rFonts w:ascii="Times New Roman" w:hAnsi="Times New Roman" w:eastAsia="等线" w:cs="Times New Roman"/>
                <w:sz w:val="18"/>
                <w:szCs w:val="18"/>
                <w:vertAlign w:val="subscript"/>
              </w:rPr>
              <w:t>45</w:t>
            </w:r>
            <w:r>
              <w:rPr>
                <w:rFonts w:ascii="Times New Roman" w:hAnsi="Times New Roman" w:eastAsia="等线" w:cs="Times New Roman"/>
                <w:sz w:val="18"/>
                <w:szCs w:val="18"/>
              </w:rPr>
              <w:t>H</w:t>
            </w:r>
            <w:r>
              <w:rPr>
                <w:rFonts w:ascii="Times New Roman" w:hAnsi="Times New Roman" w:eastAsia="等线" w:cs="Times New Roman"/>
                <w:sz w:val="18"/>
                <w:szCs w:val="18"/>
                <w:vertAlign w:val="subscript"/>
              </w:rPr>
              <w:t>78</w:t>
            </w:r>
            <w:r>
              <w:rPr>
                <w:rFonts w:ascii="Times New Roman" w:hAnsi="Times New Roman" w:eastAsia="等线" w:cs="Times New Roman"/>
                <w:sz w:val="18"/>
                <w:szCs w:val="18"/>
              </w:rPr>
              <w:t>NO</w:t>
            </w:r>
            <w:r>
              <w:rPr>
                <w:rFonts w:ascii="Times New Roman" w:hAnsi="Times New Roman" w:eastAsia="等线" w:cs="Times New Roman"/>
                <w:sz w:val="18"/>
                <w:szCs w:val="18"/>
                <w:vertAlign w:val="subscript"/>
              </w:rPr>
              <w:t>8</w:t>
            </w:r>
            <w:r>
              <w:rPr>
                <w:rFonts w:ascii="Times New Roman" w:hAnsi="Times New Roman" w:eastAsia="等线" w:cs="Times New Roman"/>
                <w:sz w:val="18"/>
                <w:szCs w:val="18"/>
              </w:rPr>
              <w:t>P</w:t>
            </w:r>
          </w:p>
        </w:tc>
        <w:tc>
          <w:tcPr>
            <w:tcW w:w="0" w:type="auto"/>
            <w:vAlign w:val="center"/>
          </w:tcPr>
          <w:p w14:paraId="0523DD33">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791.5465054</w:t>
            </w:r>
          </w:p>
        </w:tc>
        <w:tc>
          <w:tcPr>
            <w:tcW w:w="1172" w:type="dxa"/>
            <w:vAlign w:val="center"/>
          </w:tcPr>
          <w:p w14:paraId="0334D4A2">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[M+K]</w:t>
            </w:r>
            <w:r>
              <w:rPr>
                <w:rFonts w:ascii="Times New Roman" w:hAnsi="Times New Roman" w:eastAsia="等线" w:cs="Times New Roman"/>
                <w:sz w:val="18"/>
                <w:szCs w:val="18"/>
                <w:vertAlign w:val="superscript"/>
              </w:rPr>
              <w:t>+</w:t>
            </w:r>
          </w:p>
        </w:tc>
        <w:tc>
          <w:tcPr>
            <w:tcW w:w="701" w:type="dxa"/>
            <w:vAlign w:val="center"/>
          </w:tcPr>
          <w:p w14:paraId="1CCDFA35">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2.63</w:t>
            </w:r>
          </w:p>
        </w:tc>
        <w:tc>
          <w:tcPr>
            <w:tcW w:w="0" w:type="auto"/>
            <w:vAlign w:val="center"/>
          </w:tcPr>
          <w:p w14:paraId="371D6D34">
            <w:pPr>
              <w:adjustRightInd w:val="0"/>
              <w:snapToGrid w:val="0"/>
              <w:spacing w:beforeLines="0" w:afterLines="0" w:line="480" w:lineRule="auto"/>
              <w:jc w:val="center"/>
              <w:rPr>
                <w:rFonts w:ascii="Times New Roman" w:hAnsi="Times New Roman" w:cs="Times New Roman"/>
                <w:sz w:val="18"/>
                <w:szCs w:val="18"/>
              </w:rPr>
            </w:pPr>
          </w:p>
        </w:tc>
        <w:tc>
          <w:tcPr>
            <w:tcW w:w="0" w:type="auto"/>
            <w:vAlign w:val="center"/>
          </w:tcPr>
          <w:p w14:paraId="2504954E">
            <w:pPr>
              <w:adjustRightInd w:val="0"/>
              <w:snapToGrid w:val="0"/>
              <w:spacing w:beforeLines="0" w:afterLines="0" w:line="480" w:lineRule="auto"/>
              <w:jc w:val="center"/>
              <w:rPr>
                <w:rFonts w:ascii="Times New Roman" w:hAnsi="Times New Roman" w:cs="Times New Roman"/>
                <w:sz w:val="18"/>
                <w:szCs w:val="18"/>
              </w:rPr>
            </w:pPr>
            <w:r>
              <w:rPr>
                <w:rFonts w:hint="eastAsia" w:ascii="Times New Roman" w:hAnsi="Times New Roman" w:cs="Times New Roman"/>
                <w:sz w:val="18"/>
                <w:szCs w:val="18"/>
              </w:rPr>
              <w:t>√</w:t>
            </w:r>
          </w:p>
        </w:tc>
      </w:tr>
      <w:tr w14:paraId="3A04B19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7" w:hRule="atLeast"/>
        </w:trPr>
        <w:tc>
          <w:tcPr>
            <w:tcW w:w="534" w:type="dxa"/>
            <w:vAlign w:val="center"/>
          </w:tcPr>
          <w:p w14:paraId="5E4AE32F">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7</w:t>
            </w:r>
          </w:p>
        </w:tc>
        <w:tc>
          <w:tcPr>
            <w:tcW w:w="1256" w:type="dxa"/>
            <w:vAlign w:val="center"/>
          </w:tcPr>
          <w:p w14:paraId="79FA5817">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PE O-28:7</w:t>
            </w:r>
          </w:p>
        </w:tc>
        <w:tc>
          <w:tcPr>
            <w:tcW w:w="891" w:type="dxa"/>
            <w:vAlign w:val="center"/>
          </w:tcPr>
          <w:p w14:paraId="14125847">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608.3773</w:t>
            </w:r>
          </w:p>
        </w:tc>
        <w:tc>
          <w:tcPr>
            <w:tcW w:w="0" w:type="auto"/>
            <w:vAlign w:val="center"/>
          </w:tcPr>
          <w:p w14:paraId="1ED16141">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608.3711</w:t>
            </w:r>
          </w:p>
        </w:tc>
        <w:tc>
          <w:tcPr>
            <w:tcW w:w="0" w:type="auto"/>
            <w:vAlign w:val="center"/>
          </w:tcPr>
          <w:p w14:paraId="593998D8">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C</w:t>
            </w:r>
            <w:r>
              <w:rPr>
                <w:rFonts w:ascii="Times New Roman" w:hAnsi="Times New Roman" w:eastAsia="等线" w:cs="Times New Roman"/>
                <w:sz w:val="18"/>
                <w:szCs w:val="18"/>
                <w:vertAlign w:val="subscript"/>
              </w:rPr>
              <w:t>33</w:t>
            </w:r>
            <w:r>
              <w:rPr>
                <w:rFonts w:ascii="Times New Roman" w:hAnsi="Times New Roman" w:eastAsia="等线" w:cs="Times New Roman"/>
                <w:sz w:val="18"/>
                <w:szCs w:val="18"/>
              </w:rPr>
              <w:t>H</w:t>
            </w:r>
            <w:r>
              <w:rPr>
                <w:rFonts w:ascii="Times New Roman" w:hAnsi="Times New Roman" w:eastAsia="等线" w:cs="Times New Roman"/>
                <w:sz w:val="18"/>
                <w:szCs w:val="18"/>
                <w:vertAlign w:val="subscript"/>
              </w:rPr>
              <w:t>54</w:t>
            </w:r>
            <w:r>
              <w:rPr>
                <w:rFonts w:ascii="Times New Roman" w:hAnsi="Times New Roman" w:eastAsia="等线" w:cs="Times New Roman"/>
                <w:sz w:val="18"/>
                <w:szCs w:val="18"/>
              </w:rPr>
              <w:t>NO</w:t>
            </w:r>
            <w:r>
              <w:rPr>
                <w:rFonts w:ascii="Times New Roman" w:hAnsi="Times New Roman" w:eastAsia="等线" w:cs="Times New Roman"/>
                <w:sz w:val="18"/>
                <w:szCs w:val="18"/>
                <w:vertAlign w:val="subscript"/>
              </w:rPr>
              <w:t>7</w:t>
            </w:r>
            <w:r>
              <w:rPr>
                <w:rFonts w:ascii="Times New Roman" w:hAnsi="Times New Roman" w:eastAsia="等线" w:cs="Times New Roman"/>
                <w:sz w:val="18"/>
                <w:szCs w:val="18"/>
              </w:rPr>
              <w:t>P</w:t>
            </w:r>
          </w:p>
        </w:tc>
        <w:tc>
          <w:tcPr>
            <w:tcW w:w="0" w:type="auto"/>
            <w:vAlign w:val="center"/>
          </w:tcPr>
          <w:p w14:paraId="5B57061B">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607.3637901</w:t>
            </w:r>
          </w:p>
        </w:tc>
        <w:tc>
          <w:tcPr>
            <w:tcW w:w="1172" w:type="dxa"/>
            <w:vAlign w:val="center"/>
          </w:tcPr>
          <w:p w14:paraId="618CBCB3">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[M+H]</w:t>
            </w:r>
            <w:r>
              <w:rPr>
                <w:rFonts w:ascii="Times New Roman" w:hAnsi="Times New Roman" w:eastAsia="等线" w:cs="Times New Roman"/>
                <w:sz w:val="18"/>
                <w:szCs w:val="18"/>
                <w:vertAlign w:val="superscript"/>
              </w:rPr>
              <w:t>+</w:t>
            </w:r>
          </w:p>
        </w:tc>
        <w:tc>
          <w:tcPr>
            <w:tcW w:w="701" w:type="dxa"/>
            <w:vAlign w:val="center"/>
          </w:tcPr>
          <w:p w14:paraId="6F3000CE">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9.34</w:t>
            </w:r>
          </w:p>
        </w:tc>
        <w:tc>
          <w:tcPr>
            <w:tcW w:w="0" w:type="auto"/>
            <w:vAlign w:val="center"/>
          </w:tcPr>
          <w:p w14:paraId="512D07CA">
            <w:pPr>
              <w:adjustRightInd w:val="0"/>
              <w:snapToGrid w:val="0"/>
              <w:spacing w:beforeLines="0" w:afterLines="0" w:line="480" w:lineRule="auto"/>
              <w:jc w:val="center"/>
              <w:rPr>
                <w:rFonts w:ascii="Times New Roman" w:hAnsi="Times New Roman" w:cs="Times New Roman"/>
                <w:sz w:val="18"/>
                <w:szCs w:val="18"/>
              </w:rPr>
            </w:pPr>
          </w:p>
        </w:tc>
        <w:tc>
          <w:tcPr>
            <w:tcW w:w="0" w:type="auto"/>
            <w:vAlign w:val="center"/>
          </w:tcPr>
          <w:p w14:paraId="1F9BE09D">
            <w:pPr>
              <w:adjustRightInd w:val="0"/>
              <w:snapToGrid w:val="0"/>
              <w:spacing w:beforeLines="0" w:afterLines="0" w:line="480" w:lineRule="auto"/>
              <w:jc w:val="center"/>
              <w:rPr>
                <w:rFonts w:ascii="Times New Roman" w:hAnsi="Times New Roman" w:cs="Times New Roman"/>
                <w:sz w:val="18"/>
                <w:szCs w:val="18"/>
              </w:rPr>
            </w:pPr>
            <w:r>
              <w:rPr>
                <w:rFonts w:hint="eastAsia" w:ascii="Times New Roman" w:hAnsi="Times New Roman" w:cs="Times New Roman"/>
                <w:sz w:val="18"/>
                <w:szCs w:val="18"/>
              </w:rPr>
              <w:t>√</w:t>
            </w:r>
          </w:p>
        </w:tc>
      </w:tr>
    </w:tbl>
    <w:p w14:paraId="43CAC2BE">
      <w:pPr>
        <w:rPr>
          <w:b/>
          <w:bCs/>
        </w:rPr>
      </w:pPr>
      <w:bookmarkStart w:id="96" w:name="_Toc229846997"/>
      <w:r>
        <w:rPr>
          <w:b/>
          <w:bCs/>
        </w:rPr>
        <w:br w:type="page"/>
      </w:r>
    </w:p>
    <w:p w14:paraId="7E85DF14">
      <w:pPr>
        <w:pStyle w:val="39"/>
        <w:adjustRightInd w:val="0"/>
        <w:snapToGrid w:val="0"/>
        <w:spacing w:before="0" w:beforeLines="0" w:after="0" w:afterLines="0" w:line="480" w:lineRule="auto"/>
        <w:rPr>
          <w:b/>
          <w:bCs/>
        </w:rPr>
      </w:pPr>
      <w:r>
        <w:rPr>
          <w:b/>
          <w:bCs/>
        </w:rPr>
        <w:t>Supplementary Table</w:t>
      </w:r>
      <w:r>
        <w:rPr>
          <w:rFonts w:eastAsiaTheme="minorEastAsia"/>
          <w:b/>
          <w:bCs/>
        </w:rPr>
        <w:t xml:space="preserve"> 6</w:t>
      </w:r>
      <w:r>
        <w:rPr>
          <w:b/>
          <w:bCs/>
        </w:rPr>
        <w:t>. Detailed information of seven serum biomarkers across high</w:t>
      </w:r>
      <w:r>
        <w:rPr>
          <w:rFonts w:hint="eastAsia" w:eastAsiaTheme="minorEastAsia"/>
          <w:b/>
          <w:bCs/>
        </w:rPr>
        <w:t>-</w:t>
      </w:r>
      <w:r>
        <w:rPr>
          <w:b/>
          <w:bCs/>
        </w:rPr>
        <w:t>risk liver disease and hepatocellular carcinoma (HCC vs LR) in discovery cohort and validation cohort.</w:t>
      </w:r>
      <w:bookmarkEnd w:id="96"/>
      <w:r>
        <w:rPr>
          <w:b/>
          <w:bCs/>
        </w:rPr>
        <w:t xml:space="preserve"> </w:t>
      </w:r>
    </w:p>
    <w:tbl>
      <w:tblPr>
        <w:tblStyle w:val="12"/>
        <w:tblW w:w="9987" w:type="dxa"/>
        <w:tblInd w:w="0"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81"/>
        <w:gridCol w:w="1646"/>
        <w:gridCol w:w="940"/>
        <w:gridCol w:w="891"/>
        <w:gridCol w:w="1182"/>
        <w:gridCol w:w="1341"/>
        <w:gridCol w:w="1316"/>
        <w:gridCol w:w="698"/>
        <w:gridCol w:w="1492"/>
      </w:tblGrid>
      <w:tr w14:paraId="2539B0D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1" w:hRule="atLeast"/>
        </w:trPr>
        <w:tc>
          <w:tcPr>
            <w:tcW w:w="481" w:type="dxa"/>
            <w:tcBorders>
              <w:top w:val="single" w:color="auto" w:sz="12" w:space="0"/>
              <w:bottom w:val="single" w:color="auto" w:sz="12" w:space="0"/>
            </w:tcBorders>
            <w:vAlign w:val="center"/>
          </w:tcPr>
          <w:p w14:paraId="70CC1160">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No.</w:t>
            </w:r>
          </w:p>
        </w:tc>
        <w:tc>
          <w:tcPr>
            <w:tcW w:w="1646" w:type="dxa"/>
            <w:tcBorders>
              <w:top w:val="single" w:color="auto" w:sz="12" w:space="0"/>
              <w:bottom w:val="single" w:color="auto" w:sz="12" w:space="0"/>
            </w:tcBorders>
            <w:vAlign w:val="center"/>
          </w:tcPr>
          <w:p w14:paraId="5FC38DAE">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ID</w:t>
            </w:r>
          </w:p>
        </w:tc>
        <w:tc>
          <w:tcPr>
            <w:tcW w:w="940" w:type="dxa"/>
            <w:tcBorders>
              <w:top w:val="single" w:color="auto" w:sz="12" w:space="0"/>
              <w:bottom w:val="single" w:color="auto" w:sz="12" w:space="0"/>
            </w:tcBorders>
            <w:vAlign w:val="center"/>
          </w:tcPr>
          <w:p w14:paraId="6C1F2526">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Obsmz</w:t>
            </w:r>
          </w:p>
        </w:tc>
        <w:tc>
          <w:tcPr>
            <w:tcW w:w="891" w:type="dxa"/>
            <w:tcBorders>
              <w:top w:val="single" w:color="auto" w:sz="12" w:space="0"/>
              <w:bottom w:val="single" w:color="auto" w:sz="12" w:space="0"/>
            </w:tcBorders>
            <w:vAlign w:val="center"/>
          </w:tcPr>
          <w:p w14:paraId="01E113F3">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Theomz</w:t>
            </w:r>
          </w:p>
        </w:tc>
        <w:tc>
          <w:tcPr>
            <w:tcW w:w="1182" w:type="dxa"/>
            <w:tcBorders>
              <w:top w:val="single" w:color="auto" w:sz="12" w:space="0"/>
              <w:bottom w:val="single" w:color="auto" w:sz="12" w:space="0"/>
            </w:tcBorders>
            <w:vAlign w:val="center"/>
          </w:tcPr>
          <w:p w14:paraId="65AF8B2E">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Formula</w:t>
            </w:r>
          </w:p>
        </w:tc>
        <w:tc>
          <w:tcPr>
            <w:tcW w:w="1341" w:type="dxa"/>
            <w:tcBorders>
              <w:top w:val="single" w:color="auto" w:sz="12" w:space="0"/>
              <w:bottom w:val="single" w:color="auto" w:sz="12" w:space="0"/>
            </w:tcBorders>
            <w:vAlign w:val="center"/>
          </w:tcPr>
          <w:p w14:paraId="09975F5A">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Monoisotopic</w:t>
            </w:r>
          </w:p>
          <w:p w14:paraId="3B02EF7A">
            <w:pPr>
              <w:adjustRightInd w:val="0"/>
              <w:snapToGrid w:val="0"/>
              <w:spacing w:beforeLines="0" w:afterLines="0" w:line="480" w:lineRule="auto"/>
              <w:jc w:val="center"/>
              <w:rPr>
                <w:rFonts w:ascii="Times New Roman" w:hAnsi="Times New Roman" w:cs="Times New Roman"/>
                <w:sz w:val="18"/>
                <w:szCs w:val="18"/>
              </w:rPr>
            </w:pPr>
            <w:r>
              <w:rPr>
                <w:rFonts w:hint="eastAsia" w:ascii="Times New Roman" w:hAnsi="Times New Roman" w:cs="Times New Roman"/>
                <w:sz w:val="18"/>
                <w:szCs w:val="18"/>
              </w:rPr>
              <w:t>m</w:t>
            </w:r>
            <w:r>
              <w:rPr>
                <w:rFonts w:ascii="Times New Roman" w:hAnsi="Times New Roman" w:cs="Times New Roman"/>
                <w:sz w:val="18"/>
                <w:szCs w:val="18"/>
              </w:rPr>
              <w:t>ass</w:t>
            </w:r>
          </w:p>
        </w:tc>
        <w:tc>
          <w:tcPr>
            <w:tcW w:w="1316" w:type="dxa"/>
            <w:tcBorders>
              <w:top w:val="single" w:color="auto" w:sz="12" w:space="0"/>
              <w:bottom w:val="single" w:color="auto" w:sz="12" w:space="0"/>
            </w:tcBorders>
            <w:vAlign w:val="center"/>
          </w:tcPr>
          <w:p w14:paraId="32C70F8B">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Adduct</w:t>
            </w:r>
          </w:p>
        </w:tc>
        <w:tc>
          <w:tcPr>
            <w:tcW w:w="698" w:type="dxa"/>
            <w:tcBorders>
              <w:top w:val="single" w:color="auto" w:sz="12" w:space="0"/>
              <w:bottom w:val="single" w:color="auto" w:sz="12" w:space="0"/>
            </w:tcBorders>
            <w:vAlign w:val="center"/>
          </w:tcPr>
          <w:p w14:paraId="19AC1F2B">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Error (ppm)</w:t>
            </w:r>
          </w:p>
        </w:tc>
        <w:tc>
          <w:tcPr>
            <w:tcW w:w="1492" w:type="dxa"/>
            <w:tcBorders>
              <w:top w:val="single" w:color="auto" w:sz="12" w:space="0"/>
              <w:bottom w:val="single" w:color="auto" w:sz="12" w:space="0"/>
            </w:tcBorders>
            <w:vAlign w:val="center"/>
          </w:tcPr>
          <w:p w14:paraId="7B346CAA">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Validated by LC-MS/MS</w:t>
            </w:r>
          </w:p>
        </w:tc>
      </w:tr>
      <w:tr w14:paraId="2EEC1FF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7" w:hRule="atLeast"/>
        </w:trPr>
        <w:tc>
          <w:tcPr>
            <w:tcW w:w="481" w:type="dxa"/>
            <w:tcBorders>
              <w:top w:val="single" w:color="auto" w:sz="12" w:space="0"/>
            </w:tcBorders>
            <w:vAlign w:val="center"/>
          </w:tcPr>
          <w:p w14:paraId="3142F8E9">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1</w:t>
            </w:r>
          </w:p>
        </w:tc>
        <w:tc>
          <w:tcPr>
            <w:tcW w:w="1646" w:type="dxa"/>
            <w:tcBorders>
              <w:top w:val="single" w:color="auto" w:sz="12" w:space="0"/>
            </w:tcBorders>
            <w:vAlign w:val="center"/>
          </w:tcPr>
          <w:p w14:paraId="7153C853">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DG 30:5</w:t>
            </w:r>
          </w:p>
        </w:tc>
        <w:tc>
          <w:tcPr>
            <w:tcW w:w="940" w:type="dxa"/>
            <w:tcBorders>
              <w:top w:val="single" w:color="auto" w:sz="12" w:space="0"/>
            </w:tcBorders>
            <w:vAlign w:val="center"/>
          </w:tcPr>
          <w:p w14:paraId="36391582">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575.3674</w:t>
            </w:r>
          </w:p>
        </w:tc>
        <w:tc>
          <w:tcPr>
            <w:tcW w:w="891" w:type="dxa"/>
            <w:tcBorders>
              <w:top w:val="single" w:color="auto" w:sz="12" w:space="0"/>
            </w:tcBorders>
            <w:vAlign w:val="center"/>
          </w:tcPr>
          <w:p w14:paraId="46FAF1B8">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575.3648</w:t>
            </w:r>
          </w:p>
        </w:tc>
        <w:tc>
          <w:tcPr>
            <w:tcW w:w="1182" w:type="dxa"/>
            <w:tcBorders>
              <w:top w:val="single" w:color="auto" w:sz="12" w:space="0"/>
            </w:tcBorders>
            <w:vAlign w:val="center"/>
          </w:tcPr>
          <w:p w14:paraId="0A925B3C">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C</w:t>
            </w:r>
            <w:r>
              <w:rPr>
                <w:rFonts w:ascii="Times New Roman" w:hAnsi="Times New Roman" w:eastAsia="等线" w:cs="Times New Roman"/>
                <w:sz w:val="18"/>
                <w:szCs w:val="18"/>
                <w:vertAlign w:val="subscript"/>
              </w:rPr>
              <w:t>33</w:t>
            </w:r>
            <w:r>
              <w:rPr>
                <w:rFonts w:ascii="Times New Roman" w:hAnsi="Times New Roman" w:eastAsia="等线" w:cs="Times New Roman"/>
                <w:sz w:val="18"/>
                <w:szCs w:val="18"/>
              </w:rPr>
              <w:t>H</w:t>
            </w:r>
            <w:r>
              <w:rPr>
                <w:rFonts w:ascii="Times New Roman" w:hAnsi="Times New Roman" w:eastAsia="等线" w:cs="Times New Roman"/>
                <w:sz w:val="18"/>
                <w:szCs w:val="18"/>
                <w:vertAlign w:val="subscript"/>
              </w:rPr>
              <w:t>54</w:t>
            </w:r>
            <w:r>
              <w:rPr>
                <w:rFonts w:ascii="Times New Roman" w:hAnsi="Times New Roman" w:eastAsia="等线" w:cs="Times New Roman"/>
                <w:sz w:val="18"/>
                <w:szCs w:val="18"/>
              </w:rPr>
              <w:t>O</w:t>
            </w:r>
            <w:r>
              <w:rPr>
                <w:rFonts w:ascii="Times New Roman" w:hAnsi="Times New Roman" w:eastAsia="等线" w:cs="Times New Roman"/>
                <w:sz w:val="18"/>
                <w:szCs w:val="18"/>
                <w:vertAlign w:val="subscript"/>
              </w:rPr>
              <w:t>5</w:t>
            </w:r>
          </w:p>
        </w:tc>
        <w:tc>
          <w:tcPr>
            <w:tcW w:w="1341" w:type="dxa"/>
            <w:tcBorders>
              <w:top w:val="single" w:color="auto" w:sz="12" w:space="0"/>
            </w:tcBorders>
            <w:vAlign w:val="center"/>
          </w:tcPr>
          <w:p w14:paraId="635D4C84">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530.397125</w:t>
            </w:r>
          </w:p>
        </w:tc>
        <w:tc>
          <w:tcPr>
            <w:tcW w:w="1316" w:type="dxa"/>
            <w:tcBorders>
              <w:top w:val="single" w:color="auto" w:sz="12" w:space="0"/>
            </w:tcBorders>
            <w:vAlign w:val="center"/>
          </w:tcPr>
          <w:p w14:paraId="2418035A">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[M+2Na-H]</w:t>
            </w:r>
            <w:r>
              <w:rPr>
                <w:rFonts w:ascii="Times New Roman" w:hAnsi="Times New Roman" w:eastAsia="等线" w:cs="Times New Roman"/>
                <w:sz w:val="18"/>
                <w:szCs w:val="18"/>
                <w:vertAlign w:val="superscript"/>
              </w:rPr>
              <w:t>+</w:t>
            </w:r>
          </w:p>
        </w:tc>
        <w:tc>
          <w:tcPr>
            <w:tcW w:w="698" w:type="dxa"/>
            <w:tcBorders>
              <w:top w:val="single" w:color="auto" w:sz="12" w:space="0"/>
            </w:tcBorders>
            <w:vAlign w:val="center"/>
          </w:tcPr>
          <w:p w14:paraId="48454F90">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2.57</w:t>
            </w:r>
          </w:p>
        </w:tc>
        <w:tc>
          <w:tcPr>
            <w:tcW w:w="1492" w:type="dxa"/>
            <w:tcBorders>
              <w:top w:val="single" w:color="auto" w:sz="12" w:space="0"/>
            </w:tcBorders>
            <w:vAlign w:val="center"/>
          </w:tcPr>
          <w:p w14:paraId="260A262C">
            <w:pPr>
              <w:adjustRightInd w:val="0"/>
              <w:snapToGrid w:val="0"/>
              <w:spacing w:beforeLines="0" w:afterLines="0" w:line="480" w:lineRule="auto"/>
              <w:jc w:val="center"/>
              <w:rPr>
                <w:rFonts w:ascii="Times New Roman" w:hAnsi="Times New Roman" w:cs="Times New Roman"/>
                <w:sz w:val="18"/>
                <w:szCs w:val="18"/>
              </w:rPr>
            </w:pPr>
            <w:r>
              <w:rPr>
                <w:rFonts w:hint="eastAsia" w:ascii="Times New Roman" w:hAnsi="Times New Roman" w:cs="Times New Roman"/>
                <w:sz w:val="18"/>
                <w:szCs w:val="18"/>
              </w:rPr>
              <w:t>√</w:t>
            </w:r>
          </w:p>
        </w:tc>
      </w:tr>
      <w:tr w14:paraId="6EFDEA8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4" w:hRule="atLeast"/>
        </w:trPr>
        <w:tc>
          <w:tcPr>
            <w:tcW w:w="481" w:type="dxa"/>
            <w:vAlign w:val="center"/>
          </w:tcPr>
          <w:p w14:paraId="09C9162C">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2</w:t>
            </w:r>
          </w:p>
        </w:tc>
        <w:tc>
          <w:tcPr>
            <w:tcW w:w="1646" w:type="dxa"/>
            <w:vAlign w:val="center"/>
          </w:tcPr>
          <w:p w14:paraId="026456F4">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LPC 22:6</w:t>
            </w:r>
          </w:p>
        </w:tc>
        <w:tc>
          <w:tcPr>
            <w:tcW w:w="940" w:type="dxa"/>
            <w:vAlign w:val="center"/>
          </w:tcPr>
          <w:p w14:paraId="5E686E42">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585.3612</w:t>
            </w:r>
          </w:p>
        </w:tc>
        <w:tc>
          <w:tcPr>
            <w:tcW w:w="891" w:type="dxa"/>
            <w:vAlign w:val="center"/>
          </w:tcPr>
          <w:p w14:paraId="675ACCD8">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585.3663</w:t>
            </w:r>
          </w:p>
        </w:tc>
        <w:tc>
          <w:tcPr>
            <w:tcW w:w="1182" w:type="dxa"/>
            <w:vAlign w:val="center"/>
          </w:tcPr>
          <w:p w14:paraId="6AEF3CBC">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C</w:t>
            </w:r>
            <w:r>
              <w:rPr>
                <w:rFonts w:ascii="Times New Roman" w:hAnsi="Times New Roman" w:eastAsia="等线" w:cs="Times New Roman"/>
                <w:sz w:val="18"/>
                <w:szCs w:val="18"/>
                <w:vertAlign w:val="subscript"/>
              </w:rPr>
              <w:t>30</w:t>
            </w:r>
            <w:r>
              <w:rPr>
                <w:rFonts w:ascii="Times New Roman" w:hAnsi="Times New Roman" w:eastAsia="等线" w:cs="Times New Roman"/>
                <w:sz w:val="18"/>
                <w:szCs w:val="18"/>
              </w:rPr>
              <w:t>H</w:t>
            </w:r>
            <w:r>
              <w:rPr>
                <w:rFonts w:ascii="Times New Roman" w:hAnsi="Times New Roman" w:eastAsia="等线" w:cs="Times New Roman"/>
                <w:sz w:val="18"/>
                <w:szCs w:val="18"/>
                <w:vertAlign w:val="subscript"/>
              </w:rPr>
              <w:t>50</w:t>
            </w:r>
            <w:r>
              <w:rPr>
                <w:rFonts w:ascii="Times New Roman" w:hAnsi="Times New Roman" w:eastAsia="等线" w:cs="Times New Roman"/>
                <w:sz w:val="18"/>
                <w:szCs w:val="18"/>
              </w:rPr>
              <w:t>NO</w:t>
            </w:r>
            <w:r>
              <w:rPr>
                <w:rFonts w:ascii="Times New Roman" w:hAnsi="Times New Roman" w:eastAsia="等线" w:cs="Times New Roman"/>
                <w:sz w:val="18"/>
                <w:szCs w:val="18"/>
                <w:vertAlign w:val="subscript"/>
              </w:rPr>
              <w:t>7</w:t>
            </w:r>
            <w:r>
              <w:rPr>
                <w:rFonts w:ascii="Times New Roman" w:hAnsi="Times New Roman" w:eastAsia="等线" w:cs="Times New Roman"/>
                <w:sz w:val="18"/>
                <w:szCs w:val="18"/>
              </w:rPr>
              <w:t>P</w:t>
            </w:r>
          </w:p>
        </w:tc>
        <w:tc>
          <w:tcPr>
            <w:tcW w:w="1341" w:type="dxa"/>
            <w:vAlign w:val="center"/>
          </w:tcPr>
          <w:p w14:paraId="69874C8D">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567.3324899</w:t>
            </w:r>
          </w:p>
        </w:tc>
        <w:tc>
          <w:tcPr>
            <w:tcW w:w="1316" w:type="dxa"/>
            <w:vAlign w:val="center"/>
          </w:tcPr>
          <w:p w14:paraId="21715668">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[M+NH</w:t>
            </w:r>
            <w:r>
              <w:rPr>
                <w:rFonts w:ascii="Times New Roman" w:hAnsi="Times New Roman" w:eastAsia="等线" w:cs="Times New Roman"/>
                <w:sz w:val="18"/>
                <w:szCs w:val="18"/>
                <w:vertAlign w:val="subscript"/>
              </w:rPr>
              <w:t>4</w:t>
            </w:r>
            <w:r>
              <w:rPr>
                <w:rFonts w:ascii="Times New Roman" w:hAnsi="Times New Roman" w:eastAsia="等线" w:cs="Times New Roman"/>
                <w:sz w:val="18"/>
                <w:szCs w:val="18"/>
              </w:rPr>
              <w:t>]</w:t>
            </w:r>
            <w:r>
              <w:rPr>
                <w:rFonts w:ascii="Times New Roman" w:hAnsi="Times New Roman" w:eastAsia="等线" w:cs="Times New Roman"/>
                <w:sz w:val="18"/>
                <w:szCs w:val="18"/>
                <w:vertAlign w:val="superscript"/>
              </w:rPr>
              <w:t>+</w:t>
            </w:r>
          </w:p>
        </w:tc>
        <w:tc>
          <w:tcPr>
            <w:tcW w:w="698" w:type="dxa"/>
            <w:vAlign w:val="center"/>
          </w:tcPr>
          <w:p w14:paraId="140CA8C1">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8.68</w:t>
            </w:r>
          </w:p>
        </w:tc>
        <w:tc>
          <w:tcPr>
            <w:tcW w:w="1492" w:type="dxa"/>
            <w:vAlign w:val="center"/>
          </w:tcPr>
          <w:p w14:paraId="44B2A6D7">
            <w:pPr>
              <w:adjustRightInd w:val="0"/>
              <w:snapToGrid w:val="0"/>
              <w:spacing w:beforeLines="0" w:afterLines="0" w:line="480" w:lineRule="auto"/>
              <w:jc w:val="center"/>
              <w:rPr>
                <w:rFonts w:ascii="Times New Roman" w:hAnsi="Times New Roman" w:cs="Times New Roman"/>
                <w:sz w:val="18"/>
                <w:szCs w:val="18"/>
              </w:rPr>
            </w:pPr>
            <w:r>
              <w:rPr>
                <w:rFonts w:hint="eastAsia" w:ascii="Times New Roman" w:hAnsi="Times New Roman" w:cs="Times New Roman"/>
                <w:sz w:val="18"/>
                <w:szCs w:val="18"/>
              </w:rPr>
              <w:t>√</w:t>
            </w:r>
          </w:p>
        </w:tc>
      </w:tr>
      <w:tr w14:paraId="6A02D4A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7" w:hRule="atLeast"/>
        </w:trPr>
        <w:tc>
          <w:tcPr>
            <w:tcW w:w="481" w:type="dxa"/>
            <w:vAlign w:val="center"/>
          </w:tcPr>
          <w:p w14:paraId="59BD7A86">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3</w:t>
            </w:r>
          </w:p>
        </w:tc>
        <w:tc>
          <w:tcPr>
            <w:tcW w:w="1646" w:type="dxa"/>
            <w:vAlign w:val="center"/>
          </w:tcPr>
          <w:p w14:paraId="55125785">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LPE 22:6</w:t>
            </w:r>
          </w:p>
        </w:tc>
        <w:tc>
          <w:tcPr>
            <w:tcW w:w="940" w:type="dxa"/>
            <w:vAlign w:val="center"/>
          </w:tcPr>
          <w:p w14:paraId="3BB47849">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490.2686</w:t>
            </w:r>
          </w:p>
        </w:tc>
        <w:tc>
          <w:tcPr>
            <w:tcW w:w="891" w:type="dxa"/>
            <w:vAlign w:val="center"/>
          </w:tcPr>
          <w:p w14:paraId="157762BC">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490.2717</w:t>
            </w:r>
          </w:p>
        </w:tc>
        <w:tc>
          <w:tcPr>
            <w:tcW w:w="1182" w:type="dxa"/>
            <w:vAlign w:val="center"/>
          </w:tcPr>
          <w:p w14:paraId="6D3829D5">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cs="Times New Roman"/>
                <w:sz w:val="18"/>
                <w:szCs w:val="18"/>
              </w:rPr>
              <w:t>C</w:t>
            </w:r>
            <w:r>
              <w:rPr>
                <w:rFonts w:ascii="Times New Roman" w:hAnsi="Times New Roman" w:cs="Times New Roman"/>
                <w:sz w:val="18"/>
                <w:szCs w:val="18"/>
                <w:vertAlign w:val="subscript"/>
              </w:rPr>
              <w:t>27</w:t>
            </w:r>
            <w:r>
              <w:rPr>
                <w:rFonts w:ascii="Times New Roman" w:hAnsi="Times New Roman" w:cs="Times New Roman"/>
                <w:sz w:val="18"/>
                <w:szCs w:val="18"/>
              </w:rPr>
              <w:t>H</w:t>
            </w:r>
            <w:r>
              <w:rPr>
                <w:rFonts w:ascii="Times New Roman" w:hAnsi="Times New Roman" w:cs="Times New Roman"/>
                <w:sz w:val="18"/>
                <w:szCs w:val="18"/>
                <w:vertAlign w:val="subscript"/>
              </w:rPr>
              <w:t>44</w:t>
            </w:r>
            <w:r>
              <w:rPr>
                <w:rFonts w:ascii="Times New Roman" w:hAnsi="Times New Roman" w:cs="Times New Roman"/>
                <w:sz w:val="18"/>
                <w:szCs w:val="18"/>
              </w:rPr>
              <w:t>NO</w:t>
            </w:r>
            <w:r>
              <w:rPr>
                <w:rFonts w:ascii="Times New Roman" w:hAnsi="Times New Roman" w:cs="Times New Roman"/>
                <w:sz w:val="18"/>
                <w:szCs w:val="18"/>
                <w:vertAlign w:val="subscript"/>
              </w:rPr>
              <w:t>7</w:t>
            </w:r>
            <w:r>
              <w:rPr>
                <w:rFonts w:ascii="Times New Roman" w:hAnsi="Times New Roman" w:cs="Times New Roman"/>
                <w:sz w:val="18"/>
                <w:szCs w:val="18"/>
              </w:rPr>
              <w:t>P</w:t>
            </w:r>
          </w:p>
        </w:tc>
        <w:tc>
          <w:tcPr>
            <w:tcW w:w="1341" w:type="dxa"/>
            <w:vAlign w:val="center"/>
          </w:tcPr>
          <w:p w14:paraId="76E5B11E">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cs="Times New Roman"/>
                <w:sz w:val="18"/>
                <w:szCs w:val="18"/>
              </w:rPr>
              <w:t>525.2855397</w:t>
            </w:r>
          </w:p>
        </w:tc>
        <w:tc>
          <w:tcPr>
            <w:tcW w:w="1316" w:type="dxa"/>
            <w:vAlign w:val="center"/>
          </w:tcPr>
          <w:p w14:paraId="20139473">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[M+H-2H</w:t>
            </w:r>
            <w:r>
              <w:rPr>
                <w:rFonts w:ascii="Times New Roman" w:hAnsi="Times New Roman" w:eastAsia="等线" w:cs="Times New Roman"/>
                <w:sz w:val="18"/>
                <w:szCs w:val="18"/>
                <w:vertAlign w:val="subscript"/>
              </w:rPr>
              <w:t>2</w:t>
            </w:r>
            <w:r>
              <w:rPr>
                <w:rFonts w:ascii="Times New Roman" w:hAnsi="Times New Roman" w:eastAsia="等线" w:cs="Times New Roman"/>
                <w:sz w:val="18"/>
                <w:szCs w:val="18"/>
              </w:rPr>
              <w:t>O]</w:t>
            </w:r>
            <w:r>
              <w:rPr>
                <w:rFonts w:ascii="Times New Roman" w:hAnsi="Times New Roman" w:eastAsia="等线" w:cs="Times New Roman"/>
                <w:sz w:val="18"/>
                <w:szCs w:val="18"/>
                <w:vertAlign w:val="superscript"/>
              </w:rPr>
              <w:t>+</w:t>
            </w:r>
          </w:p>
        </w:tc>
        <w:tc>
          <w:tcPr>
            <w:tcW w:w="698" w:type="dxa"/>
            <w:vAlign w:val="center"/>
          </w:tcPr>
          <w:p w14:paraId="2A32C490">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8.55</w:t>
            </w:r>
          </w:p>
        </w:tc>
        <w:tc>
          <w:tcPr>
            <w:tcW w:w="1492" w:type="dxa"/>
            <w:vAlign w:val="center"/>
          </w:tcPr>
          <w:p w14:paraId="78AB9868">
            <w:pPr>
              <w:adjustRightInd w:val="0"/>
              <w:snapToGrid w:val="0"/>
              <w:spacing w:beforeLines="0" w:afterLines="0" w:line="480" w:lineRule="auto"/>
              <w:jc w:val="center"/>
              <w:rPr>
                <w:rFonts w:ascii="Times New Roman" w:hAnsi="Times New Roman" w:cs="Times New Roman"/>
                <w:sz w:val="18"/>
                <w:szCs w:val="18"/>
              </w:rPr>
            </w:pPr>
            <w:r>
              <w:rPr>
                <w:rFonts w:hint="eastAsia" w:ascii="Times New Roman" w:hAnsi="Times New Roman" w:cs="Times New Roman"/>
                <w:sz w:val="18"/>
                <w:szCs w:val="18"/>
              </w:rPr>
              <w:t>√</w:t>
            </w:r>
          </w:p>
        </w:tc>
      </w:tr>
      <w:tr w14:paraId="227EFB2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7" w:hRule="atLeast"/>
        </w:trPr>
        <w:tc>
          <w:tcPr>
            <w:tcW w:w="481" w:type="dxa"/>
            <w:vAlign w:val="center"/>
          </w:tcPr>
          <w:p w14:paraId="09A4E2B6">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4</w:t>
            </w:r>
          </w:p>
        </w:tc>
        <w:tc>
          <w:tcPr>
            <w:tcW w:w="1646" w:type="dxa"/>
            <w:vAlign w:val="center"/>
          </w:tcPr>
          <w:p w14:paraId="159A2401">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LPI 18:0</w:t>
            </w:r>
          </w:p>
        </w:tc>
        <w:tc>
          <w:tcPr>
            <w:tcW w:w="940" w:type="dxa"/>
            <w:vAlign w:val="center"/>
          </w:tcPr>
          <w:p w14:paraId="55640391">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601.3371</w:t>
            </w:r>
          </w:p>
        </w:tc>
        <w:tc>
          <w:tcPr>
            <w:tcW w:w="891" w:type="dxa"/>
            <w:vAlign w:val="center"/>
          </w:tcPr>
          <w:p w14:paraId="78E9BD45">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601.3347</w:t>
            </w:r>
          </w:p>
        </w:tc>
        <w:tc>
          <w:tcPr>
            <w:tcW w:w="1182" w:type="dxa"/>
            <w:vAlign w:val="center"/>
          </w:tcPr>
          <w:p w14:paraId="7271C45B">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C</w:t>
            </w:r>
            <w:r>
              <w:rPr>
                <w:rFonts w:ascii="Times New Roman" w:hAnsi="Times New Roman" w:eastAsia="等线" w:cs="Times New Roman"/>
                <w:sz w:val="18"/>
                <w:szCs w:val="18"/>
                <w:vertAlign w:val="subscript"/>
              </w:rPr>
              <w:t>27</w:t>
            </w:r>
            <w:r>
              <w:rPr>
                <w:rFonts w:ascii="Times New Roman" w:hAnsi="Times New Roman" w:eastAsia="等线" w:cs="Times New Roman"/>
                <w:sz w:val="18"/>
                <w:szCs w:val="18"/>
              </w:rPr>
              <w:t>H</w:t>
            </w:r>
            <w:r>
              <w:rPr>
                <w:rFonts w:ascii="Times New Roman" w:hAnsi="Times New Roman" w:eastAsia="等线" w:cs="Times New Roman"/>
                <w:sz w:val="18"/>
                <w:szCs w:val="18"/>
                <w:vertAlign w:val="subscript"/>
              </w:rPr>
              <w:t>53</w:t>
            </w:r>
            <w:r>
              <w:rPr>
                <w:rFonts w:ascii="Times New Roman" w:hAnsi="Times New Roman" w:eastAsia="等线" w:cs="Times New Roman"/>
                <w:sz w:val="18"/>
                <w:szCs w:val="18"/>
              </w:rPr>
              <w:t>O</w:t>
            </w:r>
            <w:r>
              <w:rPr>
                <w:rFonts w:ascii="Times New Roman" w:hAnsi="Times New Roman" w:eastAsia="等线" w:cs="Times New Roman"/>
                <w:sz w:val="18"/>
                <w:szCs w:val="18"/>
                <w:vertAlign w:val="subscript"/>
              </w:rPr>
              <w:t>12</w:t>
            </w:r>
            <w:r>
              <w:rPr>
                <w:rFonts w:ascii="Times New Roman" w:hAnsi="Times New Roman" w:eastAsia="等线" w:cs="Times New Roman"/>
                <w:sz w:val="18"/>
                <w:szCs w:val="18"/>
              </w:rPr>
              <w:t>P</w:t>
            </w:r>
          </w:p>
        </w:tc>
        <w:tc>
          <w:tcPr>
            <w:tcW w:w="1341" w:type="dxa"/>
            <w:vAlign w:val="center"/>
          </w:tcPr>
          <w:p w14:paraId="021D834E">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600.3274641</w:t>
            </w:r>
          </w:p>
        </w:tc>
        <w:tc>
          <w:tcPr>
            <w:tcW w:w="1316" w:type="dxa"/>
            <w:vAlign w:val="center"/>
          </w:tcPr>
          <w:p w14:paraId="3A0EF9FA">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[M+H]</w:t>
            </w:r>
            <w:r>
              <w:rPr>
                <w:rFonts w:ascii="Times New Roman" w:hAnsi="Times New Roman" w:eastAsia="等线" w:cs="Times New Roman"/>
                <w:sz w:val="18"/>
                <w:szCs w:val="18"/>
                <w:vertAlign w:val="superscript"/>
              </w:rPr>
              <w:t>+</w:t>
            </w:r>
          </w:p>
        </w:tc>
        <w:tc>
          <w:tcPr>
            <w:tcW w:w="698" w:type="dxa"/>
            <w:vAlign w:val="center"/>
          </w:tcPr>
          <w:p w14:paraId="6B98B3AD">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4.03</w:t>
            </w:r>
          </w:p>
        </w:tc>
        <w:tc>
          <w:tcPr>
            <w:tcW w:w="1492" w:type="dxa"/>
            <w:vAlign w:val="center"/>
          </w:tcPr>
          <w:p w14:paraId="5C31D51A">
            <w:pPr>
              <w:adjustRightInd w:val="0"/>
              <w:snapToGrid w:val="0"/>
              <w:spacing w:beforeLines="0" w:afterLines="0" w:line="480" w:lineRule="auto"/>
              <w:jc w:val="center"/>
              <w:rPr>
                <w:rFonts w:ascii="Times New Roman" w:hAnsi="Times New Roman" w:cs="Times New Roman"/>
                <w:sz w:val="18"/>
                <w:szCs w:val="18"/>
              </w:rPr>
            </w:pPr>
            <w:r>
              <w:rPr>
                <w:rFonts w:hint="eastAsia" w:ascii="Times New Roman" w:hAnsi="Times New Roman" w:cs="Times New Roman"/>
                <w:sz w:val="18"/>
                <w:szCs w:val="18"/>
              </w:rPr>
              <w:t>√</w:t>
            </w:r>
          </w:p>
        </w:tc>
      </w:tr>
      <w:tr w14:paraId="7854FF4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1" w:hRule="atLeast"/>
        </w:trPr>
        <w:tc>
          <w:tcPr>
            <w:tcW w:w="481" w:type="dxa"/>
            <w:vAlign w:val="center"/>
          </w:tcPr>
          <w:p w14:paraId="095AAEFB">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5</w:t>
            </w:r>
          </w:p>
        </w:tc>
        <w:tc>
          <w:tcPr>
            <w:tcW w:w="1646" w:type="dxa"/>
            <w:vAlign w:val="center"/>
          </w:tcPr>
          <w:p w14:paraId="76F7980A">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Palmitoleoyl ethanolamide</w:t>
            </w:r>
            <w:r>
              <w:rPr>
                <w:rFonts w:hint="eastAsia" w:ascii="Times New Roman" w:hAnsi="Times New Roman" w:eastAsia="等线" w:cs="Times New Roman"/>
                <w:sz w:val="18"/>
                <w:szCs w:val="18"/>
              </w:rPr>
              <w:t xml:space="preserve"> (POEA)</w:t>
            </w:r>
          </w:p>
        </w:tc>
        <w:tc>
          <w:tcPr>
            <w:tcW w:w="940" w:type="dxa"/>
            <w:vAlign w:val="center"/>
          </w:tcPr>
          <w:p w14:paraId="1390B511">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320.2553</w:t>
            </w:r>
          </w:p>
        </w:tc>
        <w:tc>
          <w:tcPr>
            <w:tcW w:w="891" w:type="dxa"/>
            <w:vAlign w:val="center"/>
          </w:tcPr>
          <w:p w14:paraId="317F035A">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320.2560</w:t>
            </w:r>
          </w:p>
        </w:tc>
        <w:tc>
          <w:tcPr>
            <w:tcW w:w="1182" w:type="dxa"/>
            <w:vAlign w:val="center"/>
          </w:tcPr>
          <w:p w14:paraId="7E2509D6">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C</w:t>
            </w:r>
            <w:r>
              <w:rPr>
                <w:rFonts w:ascii="Times New Roman" w:hAnsi="Times New Roman" w:eastAsia="等线" w:cs="Times New Roman"/>
                <w:sz w:val="18"/>
                <w:szCs w:val="18"/>
                <w:vertAlign w:val="subscript"/>
              </w:rPr>
              <w:t>18</w:t>
            </w:r>
            <w:r>
              <w:rPr>
                <w:rFonts w:ascii="Times New Roman" w:hAnsi="Times New Roman" w:eastAsia="等线" w:cs="Times New Roman"/>
                <w:sz w:val="18"/>
                <w:szCs w:val="18"/>
              </w:rPr>
              <w:t>H</w:t>
            </w:r>
            <w:r>
              <w:rPr>
                <w:rFonts w:ascii="Times New Roman" w:hAnsi="Times New Roman" w:eastAsia="等线" w:cs="Times New Roman"/>
                <w:sz w:val="18"/>
                <w:szCs w:val="18"/>
                <w:vertAlign w:val="subscript"/>
              </w:rPr>
              <w:t>35</w:t>
            </w:r>
            <w:r>
              <w:rPr>
                <w:rFonts w:ascii="Times New Roman" w:hAnsi="Times New Roman" w:eastAsia="等线" w:cs="Times New Roman"/>
                <w:sz w:val="18"/>
                <w:szCs w:val="18"/>
              </w:rPr>
              <w:t>NO</w:t>
            </w:r>
            <w:r>
              <w:rPr>
                <w:rFonts w:ascii="Times New Roman" w:hAnsi="Times New Roman" w:eastAsia="等线" w:cs="Times New Roman"/>
                <w:sz w:val="18"/>
                <w:szCs w:val="18"/>
                <w:vertAlign w:val="subscript"/>
              </w:rPr>
              <w:t>2</w:t>
            </w:r>
          </w:p>
        </w:tc>
        <w:tc>
          <w:tcPr>
            <w:tcW w:w="1341" w:type="dxa"/>
            <w:vAlign w:val="center"/>
          </w:tcPr>
          <w:p w14:paraId="425D6692">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297.266779359</w:t>
            </w:r>
          </w:p>
        </w:tc>
        <w:tc>
          <w:tcPr>
            <w:tcW w:w="1316" w:type="dxa"/>
            <w:vAlign w:val="center"/>
          </w:tcPr>
          <w:p w14:paraId="70B053AE">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[M+Na]</w:t>
            </w:r>
            <w:r>
              <w:rPr>
                <w:rFonts w:ascii="Times New Roman" w:hAnsi="Times New Roman" w:eastAsia="等线" w:cs="Times New Roman"/>
                <w:sz w:val="18"/>
                <w:szCs w:val="18"/>
                <w:vertAlign w:val="superscript"/>
              </w:rPr>
              <w:t>+</w:t>
            </w:r>
          </w:p>
        </w:tc>
        <w:tc>
          <w:tcPr>
            <w:tcW w:w="698" w:type="dxa"/>
            <w:vAlign w:val="center"/>
          </w:tcPr>
          <w:p w14:paraId="37873F0F">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3.75</w:t>
            </w:r>
          </w:p>
        </w:tc>
        <w:tc>
          <w:tcPr>
            <w:tcW w:w="1492" w:type="dxa"/>
            <w:vAlign w:val="center"/>
          </w:tcPr>
          <w:p w14:paraId="5A8AFE3C">
            <w:pPr>
              <w:adjustRightInd w:val="0"/>
              <w:snapToGrid w:val="0"/>
              <w:spacing w:beforeLines="0" w:afterLines="0" w:line="480" w:lineRule="auto"/>
              <w:jc w:val="center"/>
              <w:rPr>
                <w:rFonts w:ascii="Times New Roman" w:hAnsi="Times New Roman" w:cs="Times New Roman"/>
                <w:sz w:val="18"/>
                <w:szCs w:val="18"/>
              </w:rPr>
            </w:pPr>
            <w:r>
              <w:rPr>
                <w:rFonts w:hint="eastAsia" w:ascii="Times New Roman" w:hAnsi="Times New Roman" w:cs="Times New Roman"/>
                <w:sz w:val="18"/>
                <w:szCs w:val="18"/>
              </w:rPr>
              <w:t>√</w:t>
            </w:r>
          </w:p>
        </w:tc>
      </w:tr>
      <w:tr w14:paraId="7F9F584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7" w:hRule="atLeast"/>
        </w:trPr>
        <w:tc>
          <w:tcPr>
            <w:tcW w:w="481" w:type="dxa"/>
            <w:vAlign w:val="center"/>
          </w:tcPr>
          <w:p w14:paraId="69940621">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6</w:t>
            </w:r>
          </w:p>
        </w:tc>
        <w:tc>
          <w:tcPr>
            <w:tcW w:w="1646" w:type="dxa"/>
            <w:vAlign w:val="center"/>
          </w:tcPr>
          <w:p w14:paraId="6EBC1E51">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SHexCer 28:1;2O</w:t>
            </w:r>
          </w:p>
        </w:tc>
        <w:tc>
          <w:tcPr>
            <w:tcW w:w="940" w:type="dxa"/>
            <w:vAlign w:val="center"/>
          </w:tcPr>
          <w:p w14:paraId="41E3ECB5">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696.4297</w:t>
            </w:r>
          </w:p>
        </w:tc>
        <w:tc>
          <w:tcPr>
            <w:tcW w:w="891" w:type="dxa"/>
            <w:vAlign w:val="center"/>
          </w:tcPr>
          <w:p w14:paraId="5FFCA927">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696.4351</w:t>
            </w:r>
          </w:p>
        </w:tc>
        <w:tc>
          <w:tcPr>
            <w:tcW w:w="1182" w:type="dxa"/>
            <w:vAlign w:val="center"/>
          </w:tcPr>
          <w:p w14:paraId="4675E0BA">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C</w:t>
            </w:r>
            <w:r>
              <w:rPr>
                <w:rFonts w:ascii="Times New Roman" w:hAnsi="Times New Roman" w:eastAsia="等线" w:cs="Times New Roman"/>
                <w:sz w:val="18"/>
                <w:szCs w:val="18"/>
                <w:vertAlign w:val="subscript"/>
              </w:rPr>
              <w:t>34</w:t>
            </w:r>
            <w:r>
              <w:rPr>
                <w:rFonts w:ascii="Times New Roman" w:hAnsi="Times New Roman" w:eastAsia="等线" w:cs="Times New Roman"/>
                <w:sz w:val="18"/>
                <w:szCs w:val="18"/>
              </w:rPr>
              <w:t>H</w:t>
            </w:r>
            <w:r>
              <w:rPr>
                <w:rFonts w:ascii="Times New Roman" w:hAnsi="Times New Roman" w:eastAsia="等线" w:cs="Times New Roman"/>
                <w:sz w:val="18"/>
                <w:szCs w:val="18"/>
                <w:vertAlign w:val="subscript"/>
              </w:rPr>
              <w:t>65</w:t>
            </w:r>
            <w:r>
              <w:rPr>
                <w:rFonts w:ascii="Times New Roman" w:hAnsi="Times New Roman" w:eastAsia="等线" w:cs="Times New Roman"/>
                <w:sz w:val="18"/>
                <w:szCs w:val="18"/>
              </w:rPr>
              <w:t>NO</w:t>
            </w:r>
            <w:r>
              <w:rPr>
                <w:rFonts w:ascii="Times New Roman" w:hAnsi="Times New Roman" w:eastAsia="等线" w:cs="Times New Roman"/>
                <w:sz w:val="18"/>
                <w:szCs w:val="18"/>
                <w:vertAlign w:val="subscript"/>
              </w:rPr>
              <w:t>11</w:t>
            </w:r>
            <w:r>
              <w:rPr>
                <w:rFonts w:ascii="Times New Roman" w:hAnsi="Times New Roman" w:eastAsia="等线" w:cs="Times New Roman"/>
                <w:sz w:val="18"/>
                <w:szCs w:val="18"/>
              </w:rPr>
              <w:t>S</w:t>
            </w:r>
          </w:p>
        </w:tc>
        <w:tc>
          <w:tcPr>
            <w:tcW w:w="1341" w:type="dxa"/>
            <w:vAlign w:val="center"/>
          </w:tcPr>
          <w:p w14:paraId="4A4A178B">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695.4278331</w:t>
            </w:r>
          </w:p>
        </w:tc>
        <w:tc>
          <w:tcPr>
            <w:tcW w:w="1316" w:type="dxa"/>
            <w:vAlign w:val="center"/>
          </w:tcPr>
          <w:p w14:paraId="7AF22F5B">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[M+H]</w:t>
            </w:r>
            <w:r>
              <w:rPr>
                <w:rFonts w:ascii="Times New Roman" w:hAnsi="Times New Roman" w:eastAsia="等线" w:cs="Times New Roman"/>
                <w:sz w:val="18"/>
                <w:szCs w:val="18"/>
                <w:vertAlign w:val="superscript"/>
              </w:rPr>
              <w:t>+</w:t>
            </w:r>
          </w:p>
        </w:tc>
        <w:tc>
          <w:tcPr>
            <w:tcW w:w="698" w:type="dxa"/>
            <w:vAlign w:val="center"/>
          </w:tcPr>
          <w:p w14:paraId="380FAF5E">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8.50</w:t>
            </w:r>
          </w:p>
        </w:tc>
        <w:tc>
          <w:tcPr>
            <w:tcW w:w="1492" w:type="dxa"/>
            <w:vAlign w:val="center"/>
          </w:tcPr>
          <w:p w14:paraId="4CC785FC">
            <w:pPr>
              <w:adjustRightInd w:val="0"/>
              <w:snapToGrid w:val="0"/>
              <w:spacing w:beforeLines="0" w:afterLines="0" w:line="480" w:lineRule="auto"/>
              <w:jc w:val="center"/>
              <w:rPr>
                <w:rFonts w:ascii="Times New Roman" w:hAnsi="Times New Roman" w:cs="Times New Roman"/>
                <w:sz w:val="18"/>
                <w:szCs w:val="18"/>
              </w:rPr>
            </w:pPr>
            <w:r>
              <w:rPr>
                <w:rFonts w:hint="eastAsia" w:ascii="Times New Roman" w:hAnsi="Times New Roman" w:cs="Times New Roman"/>
                <w:sz w:val="18"/>
                <w:szCs w:val="18"/>
              </w:rPr>
              <w:t>√</w:t>
            </w:r>
          </w:p>
        </w:tc>
      </w:tr>
      <w:tr w14:paraId="131E3F6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4" w:hRule="atLeast"/>
        </w:trPr>
        <w:tc>
          <w:tcPr>
            <w:tcW w:w="481" w:type="dxa"/>
            <w:vAlign w:val="center"/>
          </w:tcPr>
          <w:p w14:paraId="79309017">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7</w:t>
            </w:r>
          </w:p>
        </w:tc>
        <w:tc>
          <w:tcPr>
            <w:tcW w:w="1646" w:type="dxa"/>
            <w:vAlign w:val="center"/>
          </w:tcPr>
          <w:p w14:paraId="5714AD94">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Oleamide</w:t>
            </w:r>
          </w:p>
        </w:tc>
        <w:tc>
          <w:tcPr>
            <w:tcW w:w="940" w:type="dxa"/>
            <w:vAlign w:val="center"/>
          </w:tcPr>
          <w:p w14:paraId="4F53DDE8">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304.2611</w:t>
            </w:r>
          </w:p>
        </w:tc>
        <w:tc>
          <w:tcPr>
            <w:tcW w:w="891" w:type="dxa"/>
            <w:vAlign w:val="center"/>
          </w:tcPr>
          <w:p w14:paraId="5F74F0A2">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cs="Times New Roman"/>
                <w:sz w:val="18"/>
                <w:szCs w:val="18"/>
              </w:rPr>
              <w:t>304.2611</w:t>
            </w:r>
          </w:p>
        </w:tc>
        <w:tc>
          <w:tcPr>
            <w:tcW w:w="1182" w:type="dxa"/>
            <w:vAlign w:val="center"/>
          </w:tcPr>
          <w:p w14:paraId="7AC6BFC8">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C</w:t>
            </w:r>
            <w:r>
              <w:rPr>
                <w:rFonts w:ascii="Times New Roman" w:hAnsi="Times New Roman" w:eastAsia="等线" w:cs="Times New Roman"/>
                <w:sz w:val="18"/>
                <w:szCs w:val="18"/>
                <w:vertAlign w:val="subscript"/>
              </w:rPr>
              <w:t>18</w:t>
            </w:r>
            <w:r>
              <w:rPr>
                <w:rFonts w:ascii="Times New Roman" w:hAnsi="Times New Roman" w:eastAsia="等线" w:cs="Times New Roman"/>
                <w:sz w:val="18"/>
                <w:szCs w:val="18"/>
              </w:rPr>
              <w:t>H</w:t>
            </w:r>
            <w:r>
              <w:rPr>
                <w:rFonts w:ascii="Times New Roman" w:hAnsi="Times New Roman" w:eastAsia="等线" w:cs="Times New Roman"/>
                <w:sz w:val="18"/>
                <w:szCs w:val="18"/>
                <w:vertAlign w:val="subscript"/>
              </w:rPr>
              <w:t>35</w:t>
            </w:r>
            <w:r>
              <w:rPr>
                <w:rFonts w:ascii="Times New Roman" w:hAnsi="Times New Roman" w:eastAsia="等线" w:cs="Times New Roman"/>
                <w:sz w:val="18"/>
                <w:szCs w:val="18"/>
              </w:rPr>
              <w:t>NO</w:t>
            </w:r>
          </w:p>
        </w:tc>
        <w:tc>
          <w:tcPr>
            <w:tcW w:w="1341" w:type="dxa"/>
            <w:vAlign w:val="center"/>
          </w:tcPr>
          <w:p w14:paraId="2936988D">
            <w:pPr>
              <w:adjustRightInd w:val="0"/>
              <w:snapToGrid w:val="0"/>
              <w:spacing w:beforeLines="0" w:afterLines="0" w:line="480" w:lineRule="auto"/>
              <w:jc w:val="center"/>
              <w:rPr>
                <w:rFonts w:ascii="Times New Roman" w:hAnsi="Times New Roman" w:eastAsia="等线" w:cs="Times New Roman"/>
                <w:sz w:val="18"/>
                <w:szCs w:val="18"/>
              </w:rPr>
            </w:pPr>
            <w:r>
              <w:rPr>
                <w:rFonts w:ascii="Times New Roman" w:hAnsi="Times New Roman" w:eastAsia="等线" w:cs="Times New Roman"/>
                <w:sz w:val="18"/>
                <w:szCs w:val="18"/>
              </w:rPr>
              <w:t>281.27186474</w:t>
            </w:r>
          </w:p>
        </w:tc>
        <w:tc>
          <w:tcPr>
            <w:tcW w:w="1316" w:type="dxa"/>
            <w:vAlign w:val="center"/>
          </w:tcPr>
          <w:p w14:paraId="24407183">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[M+Na]</w:t>
            </w:r>
            <w:r>
              <w:rPr>
                <w:rFonts w:ascii="Times New Roman" w:hAnsi="Times New Roman" w:eastAsia="等线" w:cs="Times New Roman"/>
                <w:sz w:val="18"/>
                <w:szCs w:val="18"/>
                <w:vertAlign w:val="superscript"/>
              </w:rPr>
              <w:t>+</w:t>
            </w:r>
          </w:p>
        </w:tc>
        <w:tc>
          <w:tcPr>
            <w:tcW w:w="698" w:type="dxa"/>
            <w:vAlign w:val="center"/>
          </w:tcPr>
          <w:p w14:paraId="574F6F54">
            <w:pPr>
              <w:adjustRightInd w:val="0"/>
              <w:snapToGrid w:val="0"/>
              <w:spacing w:beforeLines="0" w:afterLines="0" w:line="480" w:lineRule="auto"/>
              <w:jc w:val="center"/>
              <w:rPr>
                <w:rFonts w:ascii="Times New Roman" w:hAnsi="Times New Roman" w:cs="Times New Roman"/>
                <w:sz w:val="18"/>
                <w:szCs w:val="18"/>
              </w:rPr>
            </w:pPr>
            <w:r>
              <w:rPr>
                <w:rFonts w:ascii="Times New Roman" w:hAnsi="Times New Roman" w:eastAsia="等线" w:cs="Times New Roman"/>
                <w:sz w:val="18"/>
                <w:szCs w:val="18"/>
              </w:rPr>
              <w:t>0.09</w:t>
            </w:r>
          </w:p>
        </w:tc>
        <w:tc>
          <w:tcPr>
            <w:tcW w:w="1492" w:type="dxa"/>
            <w:vAlign w:val="center"/>
          </w:tcPr>
          <w:p w14:paraId="1D6EC0F6">
            <w:pPr>
              <w:adjustRightInd w:val="0"/>
              <w:snapToGrid w:val="0"/>
              <w:spacing w:beforeLines="0" w:afterLines="0" w:line="480" w:lineRule="auto"/>
              <w:jc w:val="center"/>
              <w:rPr>
                <w:rFonts w:ascii="Times New Roman" w:hAnsi="Times New Roman" w:cs="Times New Roman"/>
                <w:sz w:val="18"/>
                <w:szCs w:val="18"/>
              </w:rPr>
            </w:pPr>
            <w:r>
              <w:rPr>
                <w:rFonts w:hint="eastAsia" w:ascii="Times New Roman" w:hAnsi="Times New Roman" w:cs="Times New Roman"/>
                <w:sz w:val="18"/>
                <w:szCs w:val="18"/>
              </w:rPr>
              <w:t>√</w:t>
            </w:r>
          </w:p>
        </w:tc>
      </w:tr>
    </w:tbl>
    <w:p w14:paraId="51CE6A5A">
      <w:pPr>
        <w:adjustRightInd w:val="0"/>
        <w:snapToGrid w:val="0"/>
        <w:spacing w:beforeLines="0" w:afterLines="0" w:line="480" w:lineRule="auto"/>
        <w:rPr>
          <w:rFonts w:ascii="Times New Roman" w:hAnsi="Times New Roman" w:cs="Times New Roman"/>
          <w:b/>
          <w:bCs/>
          <w:sz w:val="24"/>
          <w:szCs w:val="28"/>
        </w:rPr>
      </w:pPr>
    </w:p>
    <w:p w14:paraId="48D8439F">
      <w:r>
        <w:rPr>
          <w:rFonts w:ascii="Times New Roman" w:hAnsi="Times New Roman" w:cs="Times New Roman"/>
          <w:b/>
          <w:bCs/>
          <w:sz w:val="24"/>
          <w:szCs w:val="28"/>
        </w:rPr>
        <w:br w:type="page"/>
      </w:r>
      <w:bookmarkStart w:id="97" w:name="_Toc229846998"/>
      <w:r>
        <w:rPr>
          <w:b/>
          <w:bCs/>
        </w:rPr>
        <w:t>References</w:t>
      </w:r>
      <w:bookmarkEnd w:id="97"/>
    </w:p>
    <w:p w14:paraId="3235D4B8">
      <w:pPr>
        <w:pStyle w:val="32"/>
        <w:adjustRightInd w:val="0"/>
        <w:snapToGrid w:val="0"/>
        <w:spacing w:beforeLines="0" w:afterLines="0" w:line="480" w:lineRule="auto"/>
        <w:ind w:left="0" w:firstLine="0"/>
        <w:rPr>
          <w:rFonts w:ascii="Times New Roman" w:hAnsi="Times New Roman" w:cs="Times New Roman"/>
        </w:rPr>
      </w:pPr>
      <w:r>
        <w:rPr>
          <w:rFonts w:ascii="Times New Roman" w:hAnsi="Times New Roman" w:cs="Times New Roman"/>
          <w:sz w:val="24"/>
          <w:szCs w:val="28"/>
        </w:rPr>
        <w:fldChar w:fldCharType="begin"/>
      </w:r>
      <w:r>
        <w:rPr>
          <w:rFonts w:ascii="Times New Roman" w:hAnsi="Times New Roman" w:cs="Times New Roman"/>
          <w:sz w:val="24"/>
          <w:szCs w:val="28"/>
        </w:rPr>
        <w:instrText xml:space="preserve"> ADDIN EN.REFLIST </w:instrText>
      </w:r>
      <w:r>
        <w:rPr>
          <w:rFonts w:ascii="Times New Roman" w:hAnsi="Times New Roman" w:cs="Times New Roman"/>
          <w:sz w:val="24"/>
          <w:szCs w:val="28"/>
        </w:rPr>
        <w:fldChar w:fldCharType="separate"/>
      </w:r>
      <w:r>
        <w:rPr>
          <w:rFonts w:hint="eastAsia" w:ascii="Times New Roman" w:hAnsi="Times New Roman" w:cs="Times New Roman"/>
        </w:rPr>
        <w:t>1.</w:t>
      </w:r>
      <w:r>
        <w:rPr>
          <w:rFonts w:hint="eastAsia" w:ascii="Times New Roman" w:hAnsi="Times New Roman" w:cs="Times New Roman"/>
        </w:rPr>
        <w:tab/>
      </w:r>
      <w:r>
        <w:rPr>
          <w:rFonts w:hint="eastAsia" w:ascii="Times New Roman" w:hAnsi="Times New Roman" w:cs="Times New Roman"/>
        </w:rPr>
        <w:t>Fan, S.</w:t>
      </w:r>
      <w:r>
        <w:rPr>
          <w:rFonts w:ascii="Times New Roman" w:hAnsi="Times New Roman" w:cs="Times New Roman"/>
          <w:iCs/>
        </w:rPr>
        <w:t>, et al</w:t>
      </w:r>
      <w:r>
        <w:rPr>
          <w:rFonts w:hint="eastAsia" w:ascii="Times New Roman" w:hAnsi="Times New Roman" w:cs="Times New Roman"/>
          <w:i/>
        </w:rPr>
        <w:t>.</w:t>
      </w:r>
      <w:r>
        <w:rPr>
          <w:rFonts w:hint="eastAsia" w:ascii="Times New Roman" w:hAnsi="Times New Roman" w:cs="Times New Roman"/>
        </w:rPr>
        <w:t xml:space="preserve"> Systematic error removal using random forest for normalizing large-scale untargeted lipidomics data. </w:t>
      </w:r>
      <w:r>
        <w:rPr>
          <w:rFonts w:hint="eastAsia" w:ascii="Times New Roman" w:hAnsi="Times New Roman" w:cs="Times New Roman"/>
          <w:i/>
        </w:rPr>
        <w:t>Anal. Chem.</w:t>
      </w:r>
      <w:r>
        <w:rPr>
          <w:rFonts w:hint="eastAsia" w:ascii="Times New Roman" w:hAnsi="Times New Roman" w:cs="Times New Roman"/>
        </w:rPr>
        <w:t xml:space="preserve"> </w:t>
      </w:r>
      <w:r>
        <w:rPr>
          <w:rFonts w:hint="eastAsia" w:ascii="Times New Roman" w:hAnsi="Times New Roman" w:cs="Times New Roman"/>
          <w:b/>
        </w:rPr>
        <w:t>91</w:t>
      </w:r>
      <w:r>
        <w:rPr>
          <w:rFonts w:hint="eastAsia" w:ascii="Times New Roman" w:hAnsi="Times New Roman" w:cs="Times New Roman"/>
        </w:rPr>
        <w:t>, 3590-3596 (2019).</w:t>
      </w:r>
    </w:p>
    <w:p w14:paraId="1F2750A0">
      <w:pPr>
        <w:pStyle w:val="32"/>
        <w:adjustRightInd w:val="0"/>
        <w:snapToGrid w:val="0"/>
        <w:spacing w:beforeLines="0" w:afterLines="0" w:line="480" w:lineRule="auto"/>
        <w:ind w:left="0" w:firstLine="0"/>
        <w:rPr>
          <w:rFonts w:ascii="Times New Roman" w:hAnsi="Times New Roman" w:cs="Times New Roman"/>
        </w:rPr>
      </w:pPr>
      <w:r>
        <w:rPr>
          <w:rFonts w:hint="eastAsia" w:ascii="Times New Roman" w:hAnsi="Times New Roman" w:cs="Times New Roman"/>
        </w:rPr>
        <w:t>2.</w:t>
      </w:r>
      <w:r>
        <w:rPr>
          <w:rFonts w:hint="eastAsia" w:ascii="Times New Roman" w:hAnsi="Times New Roman" w:cs="Times New Roman"/>
        </w:rPr>
        <w:tab/>
      </w:r>
      <w:r>
        <w:rPr>
          <w:rFonts w:hint="eastAsia" w:ascii="Times New Roman" w:hAnsi="Times New Roman" w:cs="Times New Roman"/>
        </w:rPr>
        <w:t xml:space="preserve">Kresse, G. &amp; Joubert, D. From ultrasoft pseudopotentials to the projector augmented-wave method. </w:t>
      </w:r>
      <w:r>
        <w:rPr>
          <w:rFonts w:hint="eastAsia" w:ascii="Times New Roman" w:hAnsi="Times New Roman" w:cs="Times New Roman"/>
          <w:i/>
        </w:rPr>
        <w:t xml:space="preserve">Phys. Rev. B </w:t>
      </w:r>
      <w:r>
        <w:rPr>
          <w:rFonts w:hint="eastAsia" w:ascii="Times New Roman" w:hAnsi="Times New Roman" w:cs="Times New Roman"/>
          <w:b/>
        </w:rPr>
        <w:t>59</w:t>
      </w:r>
      <w:r>
        <w:rPr>
          <w:rFonts w:hint="eastAsia" w:ascii="Times New Roman" w:hAnsi="Times New Roman" w:cs="Times New Roman"/>
        </w:rPr>
        <w:t>, 1758-1775 (1999).</w:t>
      </w:r>
    </w:p>
    <w:p w14:paraId="6CC7B515">
      <w:pPr>
        <w:pStyle w:val="32"/>
        <w:adjustRightInd w:val="0"/>
        <w:snapToGrid w:val="0"/>
        <w:spacing w:beforeLines="0" w:afterLines="0" w:line="480" w:lineRule="auto"/>
        <w:ind w:left="0" w:firstLine="0"/>
        <w:rPr>
          <w:rFonts w:ascii="Times New Roman" w:hAnsi="Times New Roman" w:cs="Times New Roman"/>
        </w:rPr>
      </w:pPr>
      <w:r>
        <w:rPr>
          <w:rFonts w:hint="eastAsia" w:ascii="Times New Roman" w:hAnsi="Times New Roman" w:cs="Times New Roman"/>
        </w:rPr>
        <w:t>3.</w:t>
      </w:r>
      <w:r>
        <w:rPr>
          <w:rFonts w:hint="eastAsia" w:ascii="Times New Roman" w:hAnsi="Times New Roman" w:cs="Times New Roman"/>
        </w:rPr>
        <w:tab/>
      </w:r>
      <w:r>
        <w:rPr>
          <w:rFonts w:hint="eastAsia" w:ascii="Times New Roman" w:hAnsi="Times New Roman" w:cs="Times New Roman"/>
        </w:rPr>
        <w:t>Kresse, G. &amp; Furth</w:t>
      </w:r>
      <w:r>
        <w:rPr>
          <w:rFonts w:ascii="Times New Roman" w:hAnsi="Times New Roman" w:cs="Times New Roman"/>
        </w:rPr>
        <w:t>müll</w:t>
      </w:r>
      <w:r>
        <w:rPr>
          <w:rFonts w:hint="eastAsia" w:ascii="Times New Roman" w:hAnsi="Times New Roman" w:cs="Times New Roman"/>
        </w:rPr>
        <w:t xml:space="preserve">er, J. Efficiency of ab-initio total energy calculations for metals and semiconductors using a plane-wave basis set - ScienceDirect. </w:t>
      </w:r>
      <w:r>
        <w:rPr>
          <w:rFonts w:hint="eastAsia" w:ascii="Times New Roman" w:hAnsi="Times New Roman" w:cs="Times New Roman"/>
          <w:i/>
        </w:rPr>
        <w:t>Comput. Mater. Sci.</w:t>
      </w:r>
      <w:r>
        <w:rPr>
          <w:rFonts w:hint="eastAsia" w:ascii="Times New Roman" w:hAnsi="Times New Roman" w:cs="Times New Roman"/>
        </w:rPr>
        <w:t xml:space="preserve"> </w:t>
      </w:r>
      <w:r>
        <w:rPr>
          <w:rFonts w:hint="eastAsia" w:ascii="Times New Roman" w:hAnsi="Times New Roman" w:cs="Times New Roman"/>
          <w:b/>
        </w:rPr>
        <w:t>6</w:t>
      </w:r>
      <w:r>
        <w:rPr>
          <w:rFonts w:hint="eastAsia" w:ascii="Times New Roman" w:hAnsi="Times New Roman" w:cs="Times New Roman"/>
        </w:rPr>
        <w:t>, 15-50 (1996).</w:t>
      </w:r>
    </w:p>
    <w:p w14:paraId="0936CF3A">
      <w:pPr>
        <w:pStyle w:val="32"/>
        <w:adjustRightInd w:val="0"/>
        <w:snapToGrid w:val="0"/>
        <w:spacing w:beforeLines="0" w:afterLines="0" w:line="480" w:lineRule="auto"/>
        <w:ind w:left="0" w:firstLine="0"/>
        <w:rPr>
          <w:rFonts w:ascii="Times New Roman" w:hAnsi="Times New Roman" w:cs="Times New Roman"/>
        </w:rPr>
      </w:pPr>
      <w:r>
        <w:rPr>
          <w:rFonts w:hint="eastAsia" w:ascii="Times New Roman" w:hAnsi="Times New Roman" w:cs="Times New Roman"/>
        </w:rPr>
        <w:t>4.</w:t>
      </w:r>
      <w:r>
        <w:rPr>
          <w:rFonts w:hint="eastAsia" w:ascii="Times New Roman" w:hAnsi="Times New Roman" w:cs="Times New Roman"/>
        </w:rPr>
        <w:tab/>
      </w:r>
      <w:r>
        <w:rPr>
          <w:rFonts w:hint="eastAsia" w:ascii="Times New Roman" w:hAnsi="Times New Roman" w:cs="Times New Roman"/>
        </w:rPr>
        <w:t>Perdew, J. P., Burke, K. &amp; Ernzerhof, M</w:t>
      </w:r>
      <w:r>
        <w:rPr>
          <w:rFonts w:hint="eastAsia" w:ascii="Times New Roman" w:hAnsi="Times New Roman" w:cs="Times New Roman"/>
          <w:i/>
        </w:rPr>
        <w:t>.</w:t>
      </w:r>
      <w:r>
        <w:rPr>
          <w:rFonts w:hint="eastAsia" w:ascii="Times New Roman" w:hAnsi="Times New Roman" w:cs="Times New Roman"/>
        </w:rPr>
        <w:t xml:space="preserve"> Generalized gradient approximation made simple. </w:t>
      </w:r>
      <w:r>
        <w:rPr>
          <w:rFonts w:hint="eastAsia" w:ascii="Times New Roman" w:hAnsi="Times New Roman" w:cs="Times New Roman"/>
          <w:i/>
          <w:iCs/>
        </w:rPr>
        <w:t>Phys. Rev. Lett.</w:t>
      </w:r>
      <w:r>
        <w:rPr>
          <w:rFonts w:hint="eastAsia" w:ascii="Times New Roman" w:hAnsi="Times New Roman" w:cs="Times New Roman"/>
        </w:rPr>
        <w:t xml:space="preserve"> </w:t>
      </w:r>
      <w:r>
        <w:rPr>
          <w:rFonts w:hint="eastAsia" w:ascii="Times New Roman" w:hAnsi="Times New Roman" w:cs="Times New Roman"/>
          <w:b/>
          <w:bCs/>
        </w:rPr>
        <w:t>77</w:t>
      </w:r>
      <w:r>
        <w:rPr>
          <w:rFonts w:hint="eastAsia" w:ascii="Times New Roman" w:hAnsi="Times New Roman" w:cs="Times New Roman"/>
        </w:rPr>
        <w:t>, 3865-3868 (1996).</w:t>
      </w:r>
    </w:p>
    <w:p w14:paraId="190B746D">
      <w:pPr>
        <w:pStyle w:val="32"/>
        <w:adjustRightInd w:val="0"/>
        <w:snapToGrid w:val="0"/>
        <w:spacing w:beforeLines="0" w:afterLines="0" w:line="480" w:lineRule="auto"/>
        <w:ind w:left="0" w:firstLine="0"/>
        <w:rPr>
          <w:rFonts w:ascii="Times New Roman" w:hAnsi="Times New Roman" w:cs="Times New Roman"/>
        </w:rPr>
      </w:pPr>
      <w:r>
        <w:rPr>
          <w:rFonts w:hint="eastAsia" w:ascii="Times New Roman" w:hAnsi="Times New Roman" w:cs="Times New Roman"/>
        </w:rPr>
        <w:t>5.</w:t>
      </w:r>
      <w:r>
        <w:rPr>
          <w:rFonts w:hint="eastAsia" w:ascii="Times New Roman" w:hAnsi="Times New Roman" w:cs="Times New Roman"/>
        </w:rPr>
        <w:tab/>
      </w:r>
      <w:r>
        <w:rPr>
          <w:rFonts w:hint="eastAsia" w:ascii="Times New Roman" w:hAnsi="Times New Roman" w:cs="Times New Roman"/>
        </w:rPr>
        <w:t xml:space="preserve">Grimme, S., Antony, J., Ehrlich, S. &amp; Krieg, H. A consistent and accurate ab initio parametrization of density functional dispersion correction (DFT-D) for the 94 elements H-Pu. </w:t>
      </w:r>
      <w:r>
        <w:rPr>
          <w:rFonts w:hint="eastAsia" w:ascii="Times New Roman" w:hAnsi="Times New Roman" w:cs="Times New Roman"/>
          <w:i/>
        </w:rPr>
        <w:t>J. Chem. Phys.</w:t>
      </w:r>
      <w:r>
        <w:rPr>
          <w:rFonts w:hint="eastAsia" w:ascii="Times New Roman" w:hAnsi="Times New Roman" w:cs="Times New Roman"/>
        </w:rPr>
        <w:t xml:space="preserve"> </w:t>
      </w:r>
      <w:r>
        <w:rPr>
          <w:rFonts w:hint="eastAsia" w:ascii="Times New Roman" w:hAnsi="Times New Roman" w:cs="Times New Roman"/>
          <w:b/>
        </w:rPr>
        <w:t>132</w:t>
      </w:r>
      <w:r>
        <w:rPr>
          <w:rFonts w:hint="eastAsia" w:ascii="Times New Roman" w:hAnsi="Times New Roman" w:cs="Times New Roman"/>
        </w:rPr>
        <w:t>, 154104 (2010).</w:t>
      </w:r>
    </w:p>
    <w:p w14:paraId="668D09BD">
      <w:pPr>
        <w:pStyle w:val="32"/>
        <w:adjustRightInd w:val="0"/>
        <w:snapToGrid w:val="0"/>
        <w:spacing w:beforeLines="0" w:afterLines="0" w:line="480" w:lineRule="auto"/>
        <w:ind w:left="0" w:firstLine="0"/>
        <w:rPr>
          <w:rFonts w:ascii="Times New Roman" w:hAnsi="Times New Roman" w:cs="Times New Roman"/>
        </w:rPr>
      </w:pPr>
      <w:r>
        <w:rPr>
          <w:rFonts w:hint="eastAsia" w:ascii="Times New Roman" w:hAnsi="Times New Roman" w:cs="Times New Roman"/>
        </w:rPr>
        <w:t>6.</w:t>
      </w:r>
      <w:r>
        <w:rPr>
          <w:rFonts w:hint="eastAsia" w:ascii="Times New Roman" w:hAnsi="Times New Roman" w:cs="Times New Roman"/>
        </w:rPr>
        <w:tab/>
      </w:r>
      <w:r>
        <w:rPr>
          <w:rFonts w:hint="eastAsia" w:ascii="Times New Roman" w:hAnsi="Times New Roman" w:cs="Times New Roman"/>
        </w:rPr>
        <w:t xml:space="preserve">Wang, V., Xu, N., Liu, J. C., Tang, G. &amp; Geng, W. T. VASPKIT: A user-friendly interface facilitating high-throughput computing and analysis using VASP code. </w:t>
      </w:r>
      <w:r>
        <w:rPr>
          <w:rFonts w:hint="eastAsia" w:ascii="Times New Roman" w:hAnsi="Times New Roman" w:cs="Times New Roman"/>
          <w:i/>
        </w:rPr>
        <w:t>Comput. Phys. Commun.</w:t>
      </w:r>
      <w:r>
        <w:rPr>
          <w:rFonts w:hint="eastAsia" w:ascii="Times New Roman" w:hAnsi="Times New Roman" w:cs="Times New Roman"/>
        </w:rPr>
        <w:t xml:space="preserve"> </w:t>
      </w:r>
      <w:r>
        <w:rPr>
          <w:rFonts w:hint="eastAsia" w:ascii="Times New Roman" w:hAnsi="Times New Roman" w:cs="Times New Roman"/>
          <w:b/>
          <w:bCs/>
        </w:rPr>
        <w:t>267</w:t>
      </w:r>
      <w:r>
        <w:rPr>
          <w:rFonts w:hint="eastAsia" w:ascii="Times New Roman" w:hAnsi="Times New Roman" w:cs="Times New Roman"/>
        </w:rPr>
        <w:t>, 108033 (2021).</w:t>
      </w:r>
    </w:p>
    <w:p w14:paraId="5EF5036F">
      <w:pPr>
        <w:pStyle w:val="32"/>
        <w:adjustRightInd w:val="0"/>
        <w:snapToGrid w:val="0"/>
        <w:spacing w:beforeLines="0" w:afterLines="0" w:line="480" w:lineRule="auto"/>
        <w:ind w:left="0" w:firstLine="0"/>
        <w:rPr>
          <w:rFonts w:ascii="Times New Roman" w:hAnsi="Times New Roman" w:cs="Times New Roman"/>
        </w:rPr>
      </w:pPr>
      <w:r>
        <w:rPr>
          <w:rFonts w:hint="eastAsia" w:ascii="Times New Roman" w:hAnsi="Times New Roman" w:cs="Times New Roman"/>
        </w:rPr>
        <w:t>7.</w:t>
      </w:r>
      <w:r>
        <w:rPr>
          <w:rFonts w:hint="eastAsia" w:ascii="Times New Roman" w:hAnsi="Times New Roman" w:cs="Times New Roman"/>
        </w:rPr>
        <w:tab/>
      </w:r>
      <w:r>
        <w:rPr>
          <w:rFonts w:hint="eastAsia" w:ascii="Times New Roman" w:hAnsi="Times New Roman" w:cs="Times New Roman"/>
        </w:rPr>
        <w:t xml:space="preserve">Momma, K. &amp; Izumi, F. VESTA3 for three‐dimensional visualization of crystal, volumetric and morphology data. </w:t>
      </w:r>
      <w:r>
        <w:rPr>
          <w:rFonts w:hint="eastAsia" w:ascii="Times New Roman" w:hAnsi="Times New Roman" w:cs="Times New Roman"/>
          <w:i/>
        </w:rPr>
        <w:t>J. Appl. Crystallogr.</w:t>
      </w:r>
      <w:r>
        <w:rPr>
          <w:rFonts w:hint="eastAsia" w:ascii="Times New Roman" w:hAnsi="Times New Roman" w:cs="Times New Roman"/>
        </w:rPr>
        <w:t xml:space="preserve"> </w:t>
      </w:r>
      <w:r>
        <w:rPr>
          <w:rFonts w:hint="eastAsia" w:ascii="Times New Roman" w:hAnsi="Times New Roman" w:cs="Times New Roman"/>
          <w:b/>
        </w:rPr>
        <w:t>44</w:t>
      </w:r>
      <w:r>
        <w:rPr>
          <w:rFonts w:hint="eastAsia" w:ascii="Times New Roman" w:hAnsi="Times New Roman" w:cs="Times New Roman"/>
        </w:rPr>
        <w:t>, 1272-1276 (2011).</w:t>
      </w:r>
    </w:p>
    <w:p w14:paraId="0396A622">
      <w:pPr>
        <w:pStyle w:val="32"/>
        <w:adjustRightInd w:val="0"/>
        <w:snapToGrid w:val="0"/>
        <w:spacing w:beforeLines="0" w:afterLines="0" w:line="480" w:lineRule="auto"/>
        <w:rPr>
          <w:rFonts w:ascii="Times New Roman" w:hAnsi="Times New Roman" w:cs="Times New Roman"/>
        </w:rPr>
      </w:pPr>
    </w:p>
    <w:p w14:paraId="74D89A95">
      <w:pPr>
        <w:adjustRightInd w:val="0"/>
        <w:snapToGrid w:val="0"/>
        <w:spacing w:beforeLines="0" w:afterLines="0" w:line="480" w:lineRule="auto"/>
        <w:rPr>
          <w:rFonts w:ascii="Times New Roman" w:hAnsi="Times New Roman" w:cs="Times New Roman"/>
          <w:sz w:val="24"/>
          <w:szCs w:val="28"/>
        </w:rPr>
      </w:pPr>
      <w:r>
        <w:rPr>
          <w:rFonts w:ascii="Times New Roman" w:hAnsi="Times New Roman" w:cs="Times New Roman"/>
          <w:sz w:val="24"/>
          <w:szCs w:val="28"/>
        </w:rPr>
        <w:fldChar w:fldCharType="end"/>
      </w:r>
    </w:p>
    <w:sectPr>
      <w:footerReference r:id="rId4" w:type="default"/>
      <w:pgSz w:w="11906" w:h="16838"/>
      <w:pgMar w:top="1797" w:right="1440" w:bottom="1797"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Cambria Math">
    <w:panose1 w:val="02040503050406030204"/>
    <w:charset w:val="00"/>
    <w:family w:val="roman"/>
    <w:pitch w:val="default"/>
    <w:sig w:usb0="E00006FF" w:usb1="420024FF" w:usb2="02000000" w:usb3="00000000" w:csb0="2000019F" w:csb1="00000000"/>
  </w:font>
  <w:font w:name="MS Gothic">
    <w:panose1 w:val="020B0609070205080204"/>
    <w:charset w:val="80"/>
    <w:family w:val="modern"/>
    <w:pitch w:val="default"/>
    <w:sig w:usb0="E00002FF" w:usb1="6AC7FDFB" w:usb2="08000012" w:usb3="00000000" w:csb0="4002009F" w:csb1="DFD70000"/>
  </w:font>
  <w:font w:name="微软雅黑">
    <w:panose1 w:val="020B0503020204020204"/>
    <w:charset w:val="86"/>
    <w:family w:val="auto"/>
    <w:pitch w:val="default"/>
    <w:sig w:usb0="80000287" w:usb1="2ACF3C50" w:usb2="00000016" w:usb3="00000000" w:csb0="0004001F" w:csb1="00000000"/>
  </w:font>
  <w:font w:name="Wingdings">
    <w:panose1 w:val="05000000000000000000"/>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27891413"/>
    </w:sdtPr>
    <w:sdtContent>
      <w:p w14:paraId="7E36C8C3">
        <w:pPr>
          <w:pStyle w:val="6"/>
          <w:jc w:val="right"/>
          <w:rPr>
            <w:rFonts w:hint="eastAsia"/>
          </w:rPr>
        </w:pPr>
        <w:r>
          <w:t>S</w:t>
        </w:r>
        <w:r>
          <w:fldChar w:fldCharType="begin"/>
        </w:r>
        <w:r>
          <w:instrText xml:space="preserve">PAGE   \* MERGEFORMAT</w:instrText>
        </w:r>
        <w:r>
          <w:fldChar w:fldCharType="separate"/>
        </w:r>
        <w:r>
          <w:rPr>
            <w:lang w:val="zh-CN"/>
          </w:rPr>
          <w:t>1</w:t>
        </w:r>
        <w:r>
          <w:fldChar w:fldCharType="end"/>
        </w:r>
      </w:p>
    </w:sdtContent>
  </w:sdt>
  <w:p w14:paraId="16C0D2F5">
    <w:pPr>
      <w:pStyle w:val="6"/>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19466982"/>
    </w:sdtPr>
    <w:sdtContent>
      <w:p w14:paraId="1B777388">
        <w:pPr>
          <w:pStyle w:val="6"/>
          <w:jc w:val="center"/>
          <w:rPr>
            <w:rFonts w:hint="eastAsia"/>
          </w:rPr>
        </w:pPr>
        <w:r>
          <w:t>S</w:t>
        </w:r>
        <w:r>
          <w:fldChar w:fldCharType="begin"/>
        </w:r>
        <w:r>
          <w:instrText xml:space="preserve">PAGE   \* MERGEFORMAT</w:instrText>
        </w:r>
        <w:r>
          <w:fldChar w:fldCharType="separate"/>
        </w:r>
        <w:r>
          <w:rPr>
            <w:lang w:val="zh-CN"/>
          </w:rPr>
          <w:t>1</w:t>
        </w:r>
        <w:r>
          <w:fldChar w:fldCharType="end"/>
        </w:r>
      </w:p>
    </w:sdtContent>
  </w:sdt>
  <w:p w14:paraId="35219261">
    <w:pPr>
      <w:pStyle w:val="6"/>
      <w:rPr>
        <w:rFonts w:hint="eastAsia"/>
      </w:rPr>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trackRevisions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Communications&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9p9pveacwpfayepzzqx9w5v52drd9w0d9f2&quot;&gt;My EndNote Library&lt;record-ids&gt;&lt;item&gt;2076&lt;/item&gt;&lt;item&gt;2077&lt;/item&gt;&lt;item&gt;2078&lt;/item&gt;&lt;item&gt;2079&lt;/item&gt;&lt;item&gt;2080&lt;/item&gt;&lt;item&gt;2081&lt;/item&gt;&lt;item&gt;2083&lt;/item&gt;&lt;/record-ids&gt;&lt;/item&gt;&lt;/Libraries&gt;"/>
  </w:docVars>
  <w:rsids>
    <w:rsidRoot w:val="005D515D"/>
    <w:rsid w:val="000007CD"/>
    <w:rsid w:val="00001D42"/>
    <w:rsid w:val="00004098"/>
    <w:rsid w:val="00004D87"/>
    <w:rsid w:val="00005AA4"/>
    <w:rsid w:val="000153F6"/>
    <w:rsid w:val="00016609"/>
    <w:rsid w:val="0001745C"/>
    <w:rsid w:val="00017483"/>
    <w:rsid w:val="0002246F"/>
    <w:rsid w:val="000244BD"/>
    <w:rsid w:val="000244C6"/>
    <w:rsid w:val="000269A3"/>
    <w:rsid w:val="00027511"/>
    <w:rsid w:val="0002756C"/>
    <w:rsid w:val="00037CC3"/>
    <w:rsid w:val="00040231"/>
    <w:rsid w:val="00041E00"/>
    <w:rsid w:val="00050600"/>
    <w:rsid w:val="000506A4"/>
    <w:rsid w:val="00051479"/>
    <w:rsid w:val="000520E3"/>
    <w:rsid w:val="00052A5F"/>
    <w:rsid w:val="0005381E"/>
    <w:rsid w:val="00063236"/>
    <w:rsid w:val="000635EB"/>
    <w:rsid w:val="000652C4"/>
    <w:rsid w:val="00066B7D"/>
    <w:rsid w:val="00066CCF"/>
    <w:rsid w:val="0007136B"/>
    <w:rsid w:val="00071DF7"/>
    <w:rsid w:val="00073FB9"/>
    <w:rsid w:val="00075374"/>
    <w:rsid w:val="00075883"/>
    <w:rsid w:val="00080A4D"/>
    <w:rsid w:val="000819E0"/>
    <w:rsid w:val="0008308B"/>
    <w:rsid w:val="00083482"/>
    <w:rsid w:val="00083C1D"/>
    <w:rsid w:val="0008472D"/>
    <w:rsid w:val="00086C7C"/>
    <w:rsid w:val="0008795F"/>
    <w:rsid w:val="0009029B"/>
    <w:rsid w:val="00090905"/>
    <w:rsid w:val="000921EA"/>
    <w:rsid w:val="000952A1"/>
    <w:rsid w:val="00096343"/>
    <w:rsid w:val="000976FE"/>
    <w:rsid w:val="000A078B"/>
    <w:rsid w:val="000A0932"/>
    <w:rsid w:val="000A0C8E"/>
    <w:rsid w:val="000A1205"/>
    <w:rsid w:val="000A1BA3"/>
    <w:rsid w:val="000A2138"/>
    <w:rsid w:val="000A4B84"/>
    <w:rsid w:val="000A4EE7"/>
    <w:rsid w:val="000A51D5"/>
    <w:rsid w:val="000B0AFD"/>
    <w:rsid w:val="000B2EE7"/>
    <w:rsid w:val="000B3A18"/>
    <w:rsid w:val="000B518B"/>
    <w:rsid w:val="000B7936"/>
    <w:rsid w:val="000C0717"/>
    <w:rsid w:val="000C09B9"/>
    <w:rsid w:val="000C3B80"/>
    <w:rsid w:val="000C4596"/>
    <w:rsid w:val="000C5FEC"/>
    <w:rsid w:val="000C6CA0"/>
    <w:rsid w:val="000C73F0"/>
    <w:rsid w:val="000C7946"/>
    <w:rsid w:val="000D061B"/>
    <w:rsid w:val="000D20C5"/>
    <w:rsid w:val="000D279F"/>
    <w:rsid w:val="000D57B4"/>
    <w:rsid w:val="000D603D"/>
    <w:rsid w:val="000D751D"/>
    <w:rsid w:val="000E04A5"/>
    <w:rsid w:val="000E2A29"/>
    <w:rsid w:val="000E344F"/>
    <w:rsid w:val="000E466E"/>
    <w:rsid w:val="000E5157"/>
    <w:rsid w:val="000E5A29"/>
    <w:rsid w:val="000F0D26"/>
    <w:rsid w:val="000F30D2"/>
    <w:rsid w:val="000F429E"/>
    <w:rsid w:val="000F60DC"/>
    <w:rsid w:val="000F71FA"/>
    <w:rsid w:val="001000C0"/>
    <w:rsid w:val="00101102"/>
    <w:rsid w:val="001028C2"/>
    <w:rsid w:val="001058BB"/>
    <w:rsid w:val="0010657B"/>
    <w:rsid w:val="00110CE3"/>
    <w:rsid w:val="00112505"/>
    <w:rsid w:val="001141D4"/>
    <w:rsid w:val="001147E5"/>
    <w:rsid w:val="001204F4"/>
    <w:rsid w:val="00120B42"/>
    <w:rsid w:val="001232D6"/>
    <w:rsid w:val="00123CFE"/>
    <w:rsid w:val="00125074"/>
    <w:rsid w:val="0012653D"/>
    <w:rsid w:val="00127236"/>
    <w:rsid w:val="001272E5"/>
    <w:rsid w:val="0013055C"/>
    <w:rsid w:val="00130669"/>
    <w:rsid w:val="00131C3D"/>
    <w:rsid w:val="00132A1A"/>
    <w:rsid w:val="0013366B"/>
    <w:rsid w:val="00134A10"/>
    <w:rsid w:val="001356B7"/>
    <w:rsid w:val="00142813"/>
    <w:rsid w:val="00143611"/>
    <w:rsid w:val="00147887"/>
    <w:rsid w:val="00150EEF"/>
    <w:rsid w:val="00152061"/>
    <w:rsid w:val="001608CE"/>
    <w:rsid w:val="001624F2"/>
    <w:rsid w:val="00163C00"/>
    <w:rsid w:val="001666D6"/>
    <w:rsid w:val="00167866"/>
    <w:rsid w:val="001708AB"/>
    <w:rsid w:val="001711E4"/>
    <w:rsid w:val="0017364C"/>
    <w:rsid w:val="001760A9"/>
    <w:rsid w:val="00176E62"/>
    <w:rsid w:val="001800E3"/>
    <w:rsid w:val="00180D74"/>
    <w:rsid w:val="00183303"/>
    <w:rsid w:val="0018635E"/>
    <w:rsid w:val="00187EB4"/>
    <w:rsid w:val="0019023A"/>
    <w:rsid w:val="001964E7"/>
    <w:rsid w:val="0019775C"/>
    <w:rsid w:val="00197FA7"/>
    <w:rsid w:val="001A0231"/>
    <w:rsid w:val="001A0327"/>
    <w:rsid w:val="001A2574"/>
    <w:rsid w:val="001A288B"/>
    <w:rsid w:val="001A3595"/>
    <w:rsid w:val="001A3F48"/>
    <w:rsid w:val="001A6689"/>
    <w:rsid w:val="001B0669"/>
    <w:rsid w:val="001B0AAD"/>
    <w:rsid w:val="001B178C"/>
    <w:rsid w:val="001B35D9"/>
    <w:rsid w:val="001B5144"/>
    <w:rsid w:val="001B51AE"/>
    <w:rsid w:val="001B5777"/>
    <w:rsid w:val="001B7A93"/>
    <w:rsid w:val="001C02F8"/>
    <w:rsid w:val="001C1839"/>
    <w:rsid w:val="001C26EE"/>
    <w:rsid w:val="001C3E5E"/>
    <w:rsid w:val="001C4671"/>
    <w:rsid w:val="001C46F0"/>
    <w:rsid w:val="001C5594"/>
    <w:rsid w:val="001C766F"/>
    <w:rsid w:val="001D0542"/>
    <w:rsid w:val="001D2BC1"/>
    <w:rsid w:val="001D43BA"/>
    <w:rsid w:val="001D4E77"/>
    <w:rsid w:val="001D5BAF"/>
    <w:rsid w:val="001D5D57"/>
    <w:rsid w:val="001D6F6D"/>
    <w:rsid w:val="001D798F"/>
    <w:rsid w:val="001E0DF9"/>
    <w:rsid w:val="001E48EE"/>
    <w:rsid w:val="001E66A4"/>
    <w:rsid w:val="001F3AEF"/>
    <w:rsid w:val="001F3B0A"/>
    <w:rsid w:val="001F3FBA"/>
    <w:rsid w:val="001F46AB"/>
    <w:rsid w:val="001F4941"/>
    <w:rsid w:val="001F5772"/>
    <w:rsid w:val="001F63E9"/>
    <w:rsid w:val="001F66D0"/>
    <w:rsid w:val="00200166"/>
    <w:rsid w:val="002036C2"/>
    <w:rsid w:val="002040CF"/>
    <w:rsid w:val="0020490A"/>
    <w:rsid w:val="00205494"/>
    <w:rsid w:val="00206C8C"/>
    <w:rsid w:val="00206CEE"/>
    <w:rsid w:val="00212AF5"/>
    <w:rsid w:val="00214EE8"/>
    <w:rsid w:val="00217281"/>
    <w:rsid w:val="00217C9F"/>
    <w:rsid w:val="002204B6"/>
    <w:rsid w:val="00220C68"/>
    <w:rsid w:val="002218C9"/>
    <w:rsid w:val="00222E22"/>
    <w:rsid w:val="002238C7"/>
    <w:rsid w:val="00223E64"/>
    <w:rsid w:val="00225964"/>
    <w:rsid w:val="00226219"/>
    <w:rsid w:val="00226905"/>
    <w:rsid w:val="00226FB4"/>
    <w:rsid w:val="00231C4F"/>
    <w:rsid w:val="00234521"/>
    <w:rsid w:val="002365FF"/>
    <w:rsid w:val="00236FC2"/>
    <w:rsid w:val="002401EF"/>
    <w:rsid w:val="00250CBC"/>
    <w:rsid w:val="00251C2E"/>
    <w:rsid w:val="00254BED"/>
    <w:rsid w:val="00257019"/>
    <w:rsid w:val="00257421"/>
    <w:rsid w:val="00257716"/>
    <w:rsid w:val="00260583"/>
    <w:rsid w:val="002618A1"/>
    <w:rsid w:val="00261C17"/>
    <w:rsid w:val="00262C28"/>
    <w:rsid w:val="0026300B"/>
    <w:rsid w:val="00263138"/>
    <w:rsid w:val="00264338"/>
    <w:rsid w:val="00264921"/>
    <w:rsid w:val="002707C2"/>
    <w:rsid w:val="002708E1"/>
    <w:rsid w:val="002710B1"/>
    <w:rsid w:val="00274936"/>
    <w:rsid w:val="0028009A"/>
    <w:rsid w:val="00282E6D"/>
    <w:rsid w:val="00282F2C"/>
    <w:rsid w:val="0028467C"/>
    <w:rsid w:val="00285462"/>
    <w:rsid w:val="0028599E"/>
    <w:rsid w:val="00285A26"/>
    <w:rsid w:val="00291A81"/>
    <w:rsid w:val="00291B81"/>
    <w:rsid w:val="0029203E"/>
    <w:rsid w:val="002928AF"/>
    <w:rsid w:val="00292B8D"/>
    <w:rsid w:val="002931F5"/>
    <w:rsid w:val="002941BB"/>
    <w:rsid w:val="00295B74"/>
    <w:rsid w:val="0029630A"/>
    <w:rsid w:val="00296C66"/>
    <w:rsid w:val="002975DC"/>
    <w:rsid w:val="00297A2C"/>
    <w:rsid w:val="002A0E9F"/>
    <w:rsid w:val="002A1ABD"/>
    <w:rsid w:val="002A3204"/>
    <w:rsid w:val="002A5AC9"/>
    <w:rsid w:val="002A62C1"/>
    <w:rsid w:val="002B19DE"/>
    <w:rsid w:val="002B22F8"/>
    <w:rsid w:val="002B4803"/>
    <w:rsid w:val="002B58C2"/>
    <w:rsid w:val="002B5A93"/>
    <w:rsid w:val="002B7043"/>
    <w:rsid w:val="002B7098"/>
    <w:rsid w:val="002C07D5"/>
    <w:rsid w:val="002C084D"/>
    <w:rsid w:val="002C2535"/>
    <w:rsid w:val="002C4F7B"/>
    <w:rsid w:val="002C764C"/>
    <w:rsid w:val="002C7A67"/>
    <w:rsid w:val="002C7C00"/>
    <w:rsid w:val="002D08F6"/>
    <w:rsid w:val="002D1BED"/>
    <w:rsid w:val="002D3C9C"/>
    <w:rsid w:val="002D3E49"/>
    <w:rsid w:val="002E308A"/>
    <w:rsid w:val="002E69BB"/>
    <w:rsid w:val="002E6A53"/>
    <w:rsid w:val="002E79A4"/>
    <w:rsid w:val="002E7A31"/>
    <w:rsid w:val="002F1A8C"/>
    <w:rsid w:val="002F5347"/>
    <w:rsid w:val="002F6EFF"/>
    <w:rsid w:val="002F701F"/>
    <w:rsid w:val="002F73B3"/>
    <w:rsid w:val="002F798A"/>
    <w:rsid w:val="002F7F28"/>
    <w:rsid w:val="00301EE0"/>
    <w:rsid w:val="003028E1"/>
    <w:rsid w:val="00302C88"/>
    <w:rsid w:val="0030397A"/>
    <w:rsid w:val="0031041B"/>
    <w:rsid w:val="00320511"/>
    <w:rsid w:val="0032486E"/>
    <w:rsid w:val="00324BAF"/>
    <w:rsid w:val="0032595C"/>
    <w:rsid w:val="003267C7"/>
    <w:rsid w:val="0032694D"/>
    <w:rsid w:val="0033078D"/>
    <w:rsid w:val="00332926"/>
    <w:rsid w:val="003357E9"/>
    <w:rsid w:val="00335F64"/>
    <w:rsid w:val="003369D4"/>
    <w:rsid w:val="0034258B"/>
    <w:rsid w:val="0034288A"/>
    <w:rsid w:val="003435AA"/>
    <w:rsid w:val="0034373E"/>
    <w:rsid w:val="0034388A"/>
    <w:rsid w:val="003439C0"/>
    <w:rsid w:val="00345DF6"/>
    <w:rsid w:val="00352BD3"/>
    <w:rsid w:val="003532FF"/>
    <w:rsid w:val="00354D62"/>
    <w:rsid w:val="003551BA"/>
    <w:rsid w:val="00355294"/>
    <w:rsid w:val="00357DB4"/>
    <w:rsid w:val="00365C6A"/>
    <w:rsid w:val="003661CD"/>
    <w:rsid w:val="00366B8F"/>
    <w:rsid w:val="0036728A"/>
    <w:rsid w:val="003703C6"/>
    <w:rsid w:val="00371B74"/>
    <w:rsid w:val="0037330C"/>
    <w:rsid w:val="00373EA5"/>
    <w:rsid w:val="00373EC4"/>
    <w:rsid w:val="00380823"/>
    <w:rsid w:val="00380AA9"/>
    <w:rsid w:val="00380B72"/>
    <w:rsid w:val="0038373F"/>
    <w:rsid w:val="00383902"/>
    <w:rsid w:val="0038415F"/>
    <w:rsid w:val="00384221"/>
    <w:rsid w:val="0038501B"/>
    <w:rsid w:val="003856E2"/>
    <w:rsid w:val="00385E7B"/>
    <w:rsid w:val="003901F9"/>
    <w:rsid w:val="003905F7"/>
    <w:rsid w:val="003914B7"/>
    <w:rsid w:val="00392626"/>
    <w:rsid w:val="003944D0"/>
    <w:rsid w:val="00396A61"/>
    <w:rsid w:val="00397BBE"/>
    <w:rsid w:val="003A1197"/>
    <w:rsid w:val="003A14C7"/>
    <w:rsid w:val="003A184C"/>
    <w:rsid w:val="003A1E06"/>
    <w:rsid w:val="003A1EF7"/>
    <w:rsid w:val="003A338A"/>
    <w:rsid w:val="003A3554"/>
    <w:rsid w:val="003A4631"/>
    <w:rsid w:val="003A4840"/>
    <w:rsid w:val="003A5473"/>
    <w:rsid w:val="003A7F9B"/>
    <w:rsid w:val="003B0279"/>
    <w:rsid w:val="003B02B4"/>
    <w:rsid w:val="003B2042"/>
    <w:rsid w:val="003B25F1"/>
    <w:rsid w:val="003B25FD"/>
    <w:rsid w:val="003B2CF6"/>
    <w:rsid w:val="003B4697"/>
    <w:rsid w:val="003B5F3B"/>
    <w:rsid w:val="003B75B9"/>
    <w:rsid w:val="003B7A0B"/>
    <w:rsid w:val="003C1210"/>
    <w:rsid w:val="003C12A8"/>
    <w:rsid w:val="003C2AF4"/>
    <w:rsid w:val="003C41A1"/>
    <w:rsid w:val="003C593A"/>
    <w:rsid w:val="003C7E40"/>
    <w:rsid w:val="003D027F"/>
    <w:rsid w:val="003D08B5"/>
    <w:rsid w:val="003D4287"/>
    <w:rsid w:val="003D6524"/>
    <w:rsid w:val="003D7D08"/>
    <w:rsid w:val="003E2426"/>
    <w:rsid w:val="003E3D2C"/>
    <w:rsid w:val="003E41F9"/>
    <w:rsid w:val="003E4CC7"/>
    <w:rsid w:val="003F09B2"/>
    <w:rsid w:val="003F2CBD"/>
    <w:rsid w:val="003F2D50"/>
    <w:rsid w:val="003F6AE8"/>
    <w:rsid w:val="0040129B"/>
    <w:rsid w:val="00403E30"/>
    <w:rsid w:val="00415028"/>
    <w:rsid w:val="0041605F"/>
    <w:rsid w:val="00416945"/>
    <w:rsid w:val="00425597"/>
    <w:rsid w:val="00425B80"/>
    <w:rsid w:val="00427266"/>
    <w:rsid w:val="00427798"/>
    <w:rsid w:val="0043064E"/>
    <w:rsid w:val="00430FFF"/>
    <w:rsid w:val="0043211A"/>
    <w:rsid w:val="00433F98"/>
    <w:rsid w:val="004363F7"/>
    <w:rsid w:val="004366E1"/>
    <w:rsid w:val="00437463"/>
    <w:rsid w:val="0043772F"/>
    <w:rsid w:val="00441A4C"/>
    <w:rsid w:val="00446029"/>
    <w:rsid w:val="00450A03"/>
    <w:rsid w:val="004540F3"/>
    <w:rsid w:val="00454892"/>
    <w:rsid w:val="00454CF1"/>
    <w:rsid w:val="00456CF2"/>
    <w:rsid w:val="00460B29"/>
    <w:rsid w:val="00461532"/>
    <w:rsid w:val="00461E4D"/>
    <w:rsid w:val="00464AD3"/>
    <w:rsid w:val="004652F3"/>
    <w:rsid w:val="004656BC"/>
    <w:rsid w:val="00467508"/>
    <w:rsid w:val="00467A74"/>
    <w:rsid w:val="004715A3"/>
    <w:rsid w:val="0047214E"/>
    <w:rsid w:val="00473594"/>
    <w:rsid w:val="00473E80"/>
    <w:rsid w:val="004746B1"/>
    <w:rsid w:val="004746E8"/>
    <w:rsid w:val="004747F5"/>
    <w:rsid w:val="00475FC6"/>
    <w:rsid w:val="004775CF"/>
    <w:rsid w:val="00480500"/>
    <w:rsid w:val="004818AF"/>
    <w:rsid w:val="004822AC"/>
    <w:rsid w:val="004824F9"/>
    <w:rsid w:val="00482B8E"/>
    <w:rsid w:val="00484388"/>
    <w:rsid w:val="00484D4E"/>
    <w:rsid w:val="00486C67"/>
    <w:rsid w:val="004870FB"/>
    <w:rsid w:val="004875D5"/>
    <w:rsid w:val="00490708"/>
    <w:rsid w:val="0049150E"/>
    <w:rsid w:val="0049163E"/>
    <w:rsid w:val="00491948"/>
    <w:rsid w:val="00491A3F"/>
    <w:rsid w:val="00491E02"/>
    <w:rsid w:val="00493AC2"/>
    <w:rsid w:val="00493E18"/>
    <w:rsid w:val="00495136"/>
    <w:rsid w:val="00496312"/>
    <w:rsid w:val="00497A41"/>
    <w:rsid w:val="004A0BE1"/>
    <w:rsid w:val="004A154C"/>
    <w:rsid w:val="004A20A8"/>
    <w:rsid w:val="004A3E5C"/>
    <w:rsid w:val="004A6BDB"/>
    <w:rsid w:val="004B14C4"/>
    <w:rsid w:val="004B551E"/>
    <w:rsid w:val="004B6CE0"/>
    <w:rsid w:val="004B742E"/>
    <w:rsid w:val="004C3E17"/>
    <w:rsid w:val="004C48C4"/>
    <w:rsid w:val="004C49B3"/>
    <w:rsid w:val="004C4DFD"/>
    <w:rsid w:val="004C66FB"/>
    <w:rsid w:val="004C78B2"/>
    <w:rsid w:val="004C7C9B"/>
    <w:rsid w:val="004D0250"/>
    <w:rsid w:val="004D5C4D"/>
    <w:rsid w:val="004D5C70"/>
    <w:rsid w:val="004D74B9"/>
    <w:rsid w:val="004D78FC"/>
    <w:rsid w:val="004E0D84"/>
    <w:rsid w:val="004E22A9"/>
    <w:rsid w:val="004E2B7C"/>
    <w:rsid w:val="004E3518"/>
    <w:rsid w:val="004E48EA"/>
    <w:rsid w:val="004E67E4"/>
    <w:rsid w:val="004E6EDB"/>
    <w:rsid w:val="004F2579"/>
    <w:rsid w:val="004F29A4"/>
    <w:rsid w:val="004F2CDB"/>
    <w:rsid w:val="004F3D27"/>
    <w:rsid w:val="004F4D14"/>
    <w:rsid w:val="004F61DC"/>
    <w:rsid w:val="004F67A8"/>
    <w:rsid w:val="004F69FB"/>
    <w:rsid w:val="0050470D"/>
    <w:rsid w:val="005055B9"/>
    <w:rsid w:val="005055DD"/>
    <w:rsid w:val="00510A89"/>
    <w:rsid w:val="00511397"/>
    <w:rsid w:val="00512B59"/>
    <w:rsid w:val="0051493C"/>
    <w:rsid w:val="00520F8A"/>
    <w:rsid w:val="0052346D"/>
    <w:rsid w:val="0052396F"/>
    <w:rsid w:val="00524707"/>
    <w:rsid w:val="00525BC2"/>
    <w:rsid w:val="00526346"/>
    <w:rsid w:val="005300D1"/>
    <w:rsid w:val="0053010D"/>
    <w:rsid w:val="00530D1B"/>
    <w:rsid w:val="0053143C"/>
    <w:rsid w:val="00531D12"/>
    <w:rsid w:val="0053440F"/>
    <w:rsid w:val="00534654"/>
    <w:rsid w:val="00534B80"/>
    <w:rsid w:val="005372B1"/>
    <w:rsid w:val="005378E7"/>
    <w:rsid w:val="0054030E"/>
    <w:rsid w:val="005420F1"/>
    <w:rsid w:val="00542A00"/>
    <w:rsid w:val="005433C5"/>
    <w:rsid w:val="005464C0"/>
    <w:rsid w:val="0054711F"/>
    <w:rsid w:val="00547E71"/>
    <w:rsid w:val="00550585"/>
    <w:rsid w:val="0055149F"/>
    <w:rsid w:val="00552083"/>
    <w:rsid w:val="00553E25"/>
    <w:rsid w:val="0055425C"/>
    <w:rsid w:val="0055434A"/>
    <w:rsid w:val="00555626"/>
    <w:rsid w:val="005561CC"/>
    <w:rsid w:val="005562E1"/>
    <w:rsid w:val="00556614"/>
    <w:rsid w:val="00556E2C"/>
    <w:rsid w:val="0055793A"/>
    <w:rsid w:val="00557CFA"/>
    <w:rsid w:val="005633EC"/>
    <w:rsid w:val="00563FD2"/>
    <w:rsid w:val="0056414C"/>
    <w:rsid w:val="005669A3"/>
    <w:rsid w:val="00572396"/>
    <w:rsid w:val="00572CFB"/>
    <w:rsid w:val="00572FFE"/>
    <w:rsid w:val="005734B1"/>
    <w:rsid w:val="00574A20"/>
    <w:rsid w:val="0057515B"/>
    <w:rsid w:val="00576FA6"/>
    <w:rsid w:val="00577BA4"/>
    <w:rsid w:val="00585EDD"/>
    <w:rsid w:val="005860FD"/>
    <w:rsid w:val="005863EA"/>
    <w:rsid w:val="00593010"/>
    <w:rsid w:val="00594402"/>
    <w:rsid w:val="00595726"/>
    <w:rsid w:val="005A0170"/>
    <w:rsid w:val="005A01DC"/>
    <w:rsid w:val="005A40D6"/>
    <w:rsid w:val="005A47A3"/>
    <w:rsid w:val="005A49F3"/>
    <w:rsid w:val="005A6D54"/>
    <w:rsid w:val="005A7ACF"/>
    <w:rsid w:val="005A7ADE"/>
    <w:rsid w:val="005B39C8"/>
    <w:rsid w:val="005B4351"/>
    <w:rsid w:val="005B5573"/>
    <w:rsid w:val="005C26BF"/>
    <w:rsid w:val="005C4193"/>
    <w:rsid w:val="005C5429"/>
    <w:rsid w:val="005C5B33"/>
    <w:rsid w:val="005D0A52"/>
    <w:rsid w:val="005D0D55"/>
    <w:rsid w:val="005D46CA"/>
    <w:rsid w:val="005D515D"/>
    <w:rsid w:val="005D534B"/>
    <w:rsid w:val="005D7852"/>
    <w:rsid w:val="005D796C"/>
    <w:rsid w:val="005E25BD"/>
    <w:rsid w:val="005E41CA"/>
    <w:rsid w:val="005E510D"/>
    <w:rsid w:val="005E5EE2"/>
    <w:rsid w:val="005E6D6B"/>
    <w:rsid w:val="005E6F12"/>
    <w:rsid w:val="005E7493"/>
    <w:rsid w:val="005E77A5"/>
    <w:rsid w:val="005F2D4B"/>
    <w:rsid w:val="00601AAB"/>
    <w:rsid w:val="0060460C"/>
    <w:rsid w:val="00604F57"/>
    <w:rsid w:val="00605244"/>
    <w:rsid w:val="006062D2"/>
    <w:rsid w:val="006079E6"/>
    <w:rsid w:val="00611633"/>
    <w:rsid w:val="0061169B"/>
    <w:rsid w:val="006137EA"/>
    <w:rsid w:val="0061538A"/>
    <w:rsid w:val="00616B2B"/>
    <w:rsid w:val="00617972"/>
    <w:rsid w:val="00621151"/>
    <w:rsid w:val="006232C1"/>
    <w:rsid w:val="00623593"/>
    <w:rsid w:val="00623A58"/>
    <w:rsid w:val="0062719C"/>
    <w:rsid w:val="006274AF"/>
    <w:rsid w:val="00630744"/>
    <w:rsid w:val="00634E6C"/>
    <w:rsid w:val="00637269"/>
    <w:rsid w:val="00637A34"/>
    <w:rsid w:val="00637B2C"/>
    <w:rsid w:val="00640B57"/>
    <w:rsid w:val="00641612"/>
    <w:rsid w:val="00642F11"/>
    <w:rsid w:val="006449D6"/>
    <w:rsid w:val="00644B26"/>
    <w:rsid w:val="00644B7D"/>
    <w:rsid w:val="006458D9"/>
    <w:rsid w:val="0064618A"/>
    <w:rsid w:val="00646E45"/>
    <w:rsid w:val="00646F65"/>
    <w:rsid w:val="006479D3"/>
    <w:rsid w:val="00647C10"/>
    <w:rsid w:val="0065071F"/>
    <w:rsid w:val="00650A4F"/>
    <w:rsid w:val="00652A48"/>
    <w:rsid w:val="00657818"/>
    <w:rsid w:val="00664C27"/>
    <w:rsid w:val="0066508D"/>
    <w:rsid w:val="00666256"/>
    <w:rsid w:val="00666934"/>
    <w:rsid w:val="006679E7"/>
    <w:rsid w:val="006701CB"/>
    <w:rsid w:val="00670C3E"/>
    <w:rsid w:val="00670DA1"/>
    <w:rsid w:val="00670F76"/>
    <w:rsid w:val="00671333"/>
    <w:rsid w:val="006754E2"/>
    <w:rsid w:val="00675693"/>
    <w:rsid w:val="00675A1F"/>
    <w:rsid w:val="006767F1"/>
    <w:rsid w:val="00682B70"/>
    <w:rsid w:val="00683A2A"/>
    <w:rsid w:val="00684874"/>
    <w:rsid w:val="006857EA"/>
    <w:rsid w:val="00690385"/>
    <w:rsid w:val="006940DD"/>
    <w:rsid w:val="00694F06"/>
    <w:rsid w:val="006A2567"/>
    <w:rsid w:val="006A3D55"/>
    <w:rsid w:val="006A46A6"/>
    <w:rsid w:val="006A4A71"/>
    <w:rsid w:val="006A5722"/>
    <w:rsid w:val="006A61B5"/>
    <w:rsid w:val="006A6AA7"/>
    <w:rsid w:val="006A72AD"/>
    <w:rsid w:val="006B0E58"/>
    <w:rsid w:val="006B1807"/>
    <w:rsid w:val="006B191A"/>
    <w:rsid w:val="006B1AA8"/>
    <w:rsid w:val="006B2415"/>
    <w:rsid w:val="006B26EB"/>
    <w:rsid w:val="006B29DA"/>
    <w:rsid w:val="006B3ED2"/>
    <w:rsid w:val="006B48ED"/>
    <w:rsid w:val="006B4D70"/>
    <w:rsid w:val="006B5EB6"/>
    <w:rsid w:val="006B6F0D"/>
    <w:rsid w:val="006C0F47"/>
    <w:rsid w:val="006C13AF"/>
    <w:rsid w:val="006C32BA"/>
    <w:rsid w:val="006C4524"/>
    <w:rsid w:val="006C5E7B"/>
    <w:rsid w:val="006C75F0"/>
    <w:rsid w:val="006D0961"/>
    <w:rsid w:val="006D192E"/>
    <w:rsid w:val="006D2EC8"/>
    <w:rsid w:val="006D3411"/>
    <w:rsid w:val="006D75BC"/>
    <w:rsid w:val="006D76E6"/>
    <w:rsid w:val="006E1491"/>
    <w:rsid w:val="006E56E7"/>
    <w:rsid w:val="006F0094"/>
    <w:rsid w:val="006F090D"/>
    <w:rsid w:val="006F160D"/>
    <w:rsid w:val="006F24A5"/>
    <w:rsid w:val="006F3889"/>
    <w:rsid w:val="006F7901"/>
    <w:rsid w:val="00703689"/>
    <w:rsid w:val="007063CE"/>
    <w:rsid w:val="00710374"/>
    <w:rsid w:val="00711547"/>
    <w:rsid w:val="00711A99"/>
    <w:rsid w:val="007126DC"/>
    <w:rsid w:val="00712D8E"/>
    <w:rsid w:val="00713FF8"/>
    <w:rsid w:val="00714C8A"/>
    <w:rsid w:val="00715BDA"/>
    <w:rsid w:val="00716C98"/>
    <w:rsid w:val="007179F8"/>
    <w:rsid w:val="00721910"/>
    <w:rsid w:val="0072352B"/>
    <w:rsid w:val="00724130"/>
    <w:rsid w:val="007242F3"/>
    <w:rsid w:val="00726005"/>
    <w:rsid w:val="00730B1A"/>
    <w:rsid w:val="00730F69"/>
    <w:rsid w:val="00731DA5"/>
    <w:rsid w:val="00731FB7"/>
    <w:rsid w:val="00733612"/>
    <w:rsid w:val="007363C8"/>
    <w:rsid w:val="007402A2"/>
    <w:rsid w:val="0074057A"/>
    <w:rsid w:val="007456BE"/>
    <w:rsid w:val="00745ED3"/>
    <w:rsid w:val="00745F3C"/>
    <w:rsid w:val="00750888"/>
    <w:rsid w:val="007509A7"/>
    <w:rsid w:val="007525AC"/>
    <w:rsid w:val="00754098"/>
    <w:rsid w:val="007566BA"/>
    <w:rsid w:val="007601DE"/>
    <w:rsid w:val="00761964"/>
    <w:rsid w:val="007620DD"/>
    <w:rsid w:val="00764EAB"/>
    <w:rsid w:val="00765B74"/>
    <w:rsid w:val="00767B75"/>
    <w:rsid w:val="00771A10"/>
    <w:rsid w:val="00772F1A"/>
    <w:rsid w:val="007737FC"/>
    <w:rsid w:val="00773F3E"/>
    <w:rsid w:val="00773F57"/>
    <w:rsid w:val="00775CD2"/>
    <w:rsid w:val="007764AE"/>
    <w:rsid w:val="007768EE"/>
    <w:rsid w:val="007824BB"/>
    <w:rsid w:val="00784EEA"/>
    <w:rsid w:val="00785CE9"/>
    <w:rsid w:val="00785E60"/>
    <w:rsid w:val="00786030"/>
    <w:rsid w:val="00787C97"/>
    <w:rsid w:val="0079098B"/>
    <w:rsid w:val="007926E0"/>
    <w:rsid w:val="00793C3B"/>
    <w:rsid w:val="00794D57"/>
    <w:rsid w:val="007975BF"/>
    <w:rsid w:val="00797BA2"/>
    <w:rsid w:val="007A037A"/>
    <w:rsid w:val="007A047C"/>
    <w:rsid w:val="007A05C3"/>
    <w:rsid w:val="007A445C"/>
    <w:rsid w:val="007A77C4"/>
    <w:rsid w:val="007B10F3"/>
    <w:rsid w:val="007B19BF"/>
    <w:rsid w:val="007B3867"/>
    <w:rsid w:val="007B6045"/>
    <w:rsid w:val="007B60E3"/>
    <w:rsid w:val="007B787B"/>
    <w:rsid w:val="007C2360"/>
    <w:rsid w:val="007C240B"/>
    <w:rsid w:val="007C29E8"/>
    <w:rsid w:val="007C315A"/>
    <w:rsid w:val="007C3480"/>
    <w:rsid w:val="007C3DFF"/>
    <w:rsid w:val="007C5E0D"/>
    <w:rsid w:val="007C7E6D"/>
    <w:rsid w:val="007D1C76"/>
    <w:rsid w:val="007D1E5B"/>
    <w:rsid w:val="007D5F5D"/>
    <w:rsid w:val="007E0495"/>
    <w:rsid w:val="007E1725"/>
    <w:rsid w:val="007E23F9"/>
    <w:rsid w:val="007E327B"/>
    <w:rsid w:val="007E3A4D"/>
    <w:rsid w:val="007E3D9B"/>
    <w:rsid w:val="007E4FFE"/>
    <w:rsid w:val="007F0EF2"/>
    <w:rsid w:val="007F116A"/>
    <w:rsid w:val="007F1513"/>
    <w:rsid w:val="007F6BA2"/>
    <w:rsid w:val="0080069E"/>
    <w:rsid w:val="0080228D"/>
    <w:rsid w:val="008029B9"/>
    <w:rsid w:val="00802E65"/>
    <w:rsid w:val="008032F1"/>
    <w:rsid w:val="0080514C"/>
    <w:rsid w:val="00805289"/>
    <w:rsid w:val="008053B6"/>
    <w:rsid w:val="00807BCB"/>
    <w:rsid w:val="00810714"/>
    <w:rsid w:val="008111B0"/>
    <w:rsid w:val="00811D3D"/>
    <w:rsid w:val="00814A26"/>
    <w:rsid w:val="0081509C"/>
    <w:rsid w:val="008203A0"/>
    <w:rsid w:val="00820B1A"/>
    <w:rsid w:val="008215DA"/>
    <w:rsid w:val="00824A92"/>
    <w:rsid w:val="008251E3"/>
    <w:rsid w:val="008254EF"/>
    <w:rsid w:val="008274E2"/>
    <w:rsid w:val="00833825"/>
    <w:rsid w:val="00835330"/>
    <w:rsid w:val="00835C16"/>
    <w:rsid w:val="008370B0"/>
    <w:rsid w:val="0083718D"/>
    <w:rsid w:val="00837556"/>
    <w:rsid w:val="00840D27"/>
    <w:rsid w:val="008432C5"/>
    <w:rsid w:val="00844486"/>
    <w:rsid w:val="00844529"/>
    <w:rsid w:val="00846CF8"/>
    <w:rsid w:val="008476F4"/>
    <w:rsid w:val="00847CDB"/>
    <w:rsid w:val="00853CCB"/>
    <w:rsid w:val="00854720"/>
    <w:rsid w:val="0085525F"/>
    <w:rsid w:val="00855E6A"/>
    <w:rsid w:val="008571A1"/>
    <w:rsid w:val="0086284A"/>
    <w:rsid w:val="00863C78"/>
    <w:rsid w:val="008645CE"/>
    <w:rsid w:val="00865A45"/>
    <w:rsid w:val="008662D1"/>
    <w:rsid w:val="00871CF6"/>
    <w:rsid w:val="00872544"/>
    <w:rsid w:val="00872EE7"/>
    <w:rsid w:val="008745D9"/>
    <w:rsid w:val="0087463A"/>
    <w:rsid w:val="00875D90"/>
    <w:rsid w:val="00876471"/>
    <w:rsid w:val="00876CD3"/>
    <w:rsid w:val="00876CF1"/>
    <w:rsid w:val="00877CD1"/>
    <w:rsid w:val="00880C4C"/>
    <w:rsid w:val="00880F9A"/>
    <w:rsid w:val="008822D0"/>
    <w:rsid w:val="00882F99"/>
    <w:rsid w:val="0088356C"/>
    <w:rsid w:val="0088606B"/>
    <w:rsid w:val="00887A4D"/>
    <w:rsid w:val="008909E1"/>
    <w:rsid w:val="008915C2"/>
    <w:rsid w:val="00891A68"/>
    <w:rsid w:val="00893307"/>
    <w:rsid w:val="00893D36"/>
    <w:rsid w:val="00894E9A"/>
    <w:rsid w:val="00895C44"/>
    <w:rsid w:val="00897644"/>
    <w:rsid w:val="008A19A1"/>
    <w:rsid w:val="008A1DD6"/>
    <w:rsid w:val="008A456C"/>
    <w:rsid w:val="008A4C3E"/>
    <w:rsid w:val="008A5614"/>
    <w:rsid w:val="008A7830"/>
    <w:rsid w:val="008B42D8"/>
    <w:rsid w:val="008B7065"/>
    <w:rsid w:val="008C0505"/>
    <w:rsid w:val="008C061B"/>
    <w:rsid w:val="008C248C"/>
    <w:rsid w:val="008C2520"/>
    <w:rsid w:val="008C2CEC"/>
    <w:rsid w:val="008C541F"/>
    <w:rsid w:val="008C650F"/>
    <w:rsid w:val="008C745A"/>
    <w:rsid w:val="008D0C32"/>
    <w:rsid w:val="008D26F3"/>
    <w:rsid w:val="008D27EE"/>
    <w:rsid w:val="008D54F4"/>
    <w:rsid w:val="008E05AB"/>
    <w:rsid w:val="008E09DF"/>
    <w:rsid w:val="008E0CD3"/>
    <w:rsid w:val="008E1214"/>
    <w:rsid w:val="008E23A0"/>
    <w:rsid w:val="008E4EFE"/>
    <w:rsid w:val="008E6784"/>
    <w:rsid w:val="008E71CE"/>
    <w:rsid w:val="008F0872"/>
    <w:rsid w:val="008F184D"/>
    <w:rsid w:val="008F1958"/>
    <w:rsid w:val="008F7A32"/>
    <w:rsid w:val="008F7AB1"/>
    <w:rsid w:val="0090011B"/>
    <w:rsid w:val="0090087E"/>
    <w:rsid w:val="00903DF3"/>
    <w:rsid w:val="00910C8B"/>
    <w:rsid w:val="00911500"/>
    <w:rsid w:val="0091288D"/>
    <w:rsid w:val="00912BFB"/>
    <w:rsid w:val="009149B4"/>
    <w:rsid w:val="00914C5E"/>
    <w:rsid w:val="00914FF6"/>
    <w:rsid w:val="009176FC"/>
    <w:rsid w:val="009207DF"/>
    <w:rsid w:val="0092320B"/>
    <w:rsid w:val="00923FA5"/>
    <w:rsid w:val="00926569"/>
    <w:rsid w:val="009356BE"/>
    <w:rsid w:val="00936B96"/>
    <w:rsid w:val="00936E11"/>
    <w:rsid w:val="00937605"/>
    <w:rsid w:val="00940DD9"/>
    <w:rsid w:val="009410CF"/>
    <w:rsid w:val="00946113"/>
    <w:rsid w:val="009476C2"/>
    <w:rsid w:val="00950593"/>
    <w:rsid w:val="0095322D"/>
    <w:rsid w:val="009534FC"/>
    <w:rsid w:val="00953AF3"/>
    <w:rsid w:val="009543BA"/>
    <w:rsid w:val="009547ED"/>
    <w:rsid w:val="00954E74"/>
    <w:rsid w:val="00955FF3"/>
    <w:rsid w:val="00960731"/>
    <w:rsid w:val="00960862"/>
    <w:rsid w:val="0096664E"/>
    <w:rsid w:val="009674D1"/>
    <w:rsid w:val="0097005D"/>
    <w:rsid w:val="009706FB"/>
    <w:rsid w:val="00970AD7"/>
    <w:rsid w:val="00972489"/>
    <w:rsid w:val="00976645"/>
    <w:rsid w:val="00980862"/>
    <w:rsid w:val="00981C2E"/>
    <w:rsid w:val="00983108"/>
    <w:rsid w:val="009835B1"/>
    <w:rsid w:val="00983660"/>
    <w:rsid w:val="00983706"/>
    <w:rsid w:val="00983D38"/>
    <w:rsid w:val="00983FB8"/>
    <w:rsid w:val="00985205"/>
    <w:rsid w:val="00985231"/>
    <w:rsid w:val="00990934"/>
    <w:rsid w:val="00990CEA"/>
    <w:rsid w:val="009913F1"/>
    <w:rsid w:val="00992834"/>
    <w:rsid w:val="00993DD8"/>
    <w:rsid w:val="0099435A"/>
    <w:rsid w:val="00997188"/>
    <w:rsid w:val="009978BB"/>
    <w:rsid w:val="00997AF8"/>
    <w:rsid w:val="00997F7E"/>
    <w:rsid w:val="009A2E93"/>
    <w:rsid w:val="009A3037"/>
    <w:rsid w:val="009A3B90"/>
    <w:rsid w:val="009A4697"/>
    <w:rsid w:val="009A6446"/>
    <w:rsid w:val="009A6FC6"/>
    <w:rsid w:val="009B06AB"/>
    <w:rsid w:val="009B287B"/>
    <w:rsid w:val="009B3AB5"/>
    <w:rsid w:val="009B3BAD"/>
    <w:rsid w:val="009C1214"/>
    <w:rsid w:val="009C1312"/>
    <w:rsid w:val="009C3C9A"/>
    <w:rsid w:val="009C5023"/>
    <w:rsid w:val="009C60AA"/>
    <w:rsid w:val="009C7211"/>
    <w:rsid w:val="009C7372"/>
    <w:rsid w:val="009D0238"/>
    <w:rsid w:val="009D20B5"/>
    <w:rsid w:val="009D3519"/>
    <w:rsid w:val="009E00B0"/>
    <w:rsid w:val="009E08D1"/>
    <w:rsid w:val="009E2942"/>
    <w:rsid w:val="009E3C4C"/>
    <w:rsid w:val="009E5460"/>
    <w:rsid w:val="009E5684"/>
    <w:rsid w:val="009E6AA4"/>
    <w:rsid w:val="009E7A2F"/>
    <w:rsid w:val="009F74EE"/>
    <w:rsid w:val="009F75A1"/>
    <w:rsid w:val="00A0314B"/>
    <w:rsid w:val="00A040B2"/>
    <w:rsid w:val="00A05213"/>
    <w:rsid w:val="00A0678D"/>
    <w:rsid w:val="00A06C60"/>
    <w:rsid w:val="00A06D12"/>
    <w:rsid w:val="00A070C5"/>
    <w:rsid w:val="00A0770D"/>
    <w:rsid w:val="00A07D79"/>
    <w:rsid w:val="00A103BE"/>
    <w:rsid w:val="00A10D33"/>
    <w:rsid w:val="00A111C4"/>
    <w:rsid w:val="00A13AED"/>
    <w:rsid w:val="00A16016"/>
    <w:rsid w:val="00A16D80"/>
    <w:rsid w:val="00A16E22"/>
    <w:rsid w:val="00A2093E"/>
    <w:rsid w:val="00A22F38"/>
    <w:rsid w:val="00A23099"/>
    <w:rsid w:val="00A239B4"/>
    <w:rsid w:val="00A25CDF"/>
    <w:rsid w:val="00A26689"/>
    <w:rsid w:val="00A30C5E"/>
    <w:rsid w:val="00A32035"/>
    <w:rsid w:val="00A3207F"/>
    <w:rsid w:val="00A337B8"/>
    <w:rsid w:val="00A33BA9"/>
    <w:rsid w:val="00A34BBA"/>
    <w:rsid w:val="00A34E2C"/>
    <w:rsid w:val="00A37665"/>
    <w:rsid w:val="00A40888"/>
    <w:rsid w:val="00A41307"/>
    <w:rsid w:val="00A420AE"/>
    <w:rsid w:val="00A458FC"/>
    <w:rsid w:val="00A503BB"/>
    <w:rsid w:val="00A50771"/>
    <w:rsid w:val="00A509A2"/>
    <w:rsid w:val="00A5117A"/>
    <w:rsid w:val="00A518F6"/>
    <w:rsid w:val="00A52CF7"/>
    <w:rsid w:val="00A53236"/>
    <w:rsid w:val="00A5326E"/>
    <w:rsid w:val="00A553CD"/>
    <w:rsid w:val="00A608C7"/>
    <w:rsid w:val="00A6226E"/>
    <w:rsid w:val="00A62C76"/>
    <w:rsid w:val="00A64618"/>
    <w:rsid w:val="00A65BCC"/>
    <w:rsid w:val="00A66484"/>
    <w:rsid w:val="00A67095"/>
    <w:rsid w:val="00A678B7"/>
    <w:rsid w:val="00A67977"/>
    <w:rsid w:val="00A67A43"/>
    <w:rsid w:val="00A70A60"/>
    <w:rsid w:val="00A72177"/>
    <w:rsid w:val="00A72FE6"/>
    <w:rsid w:val="00A76A8E"/>
    <w:rsid w:val="00A76FA8"/>
    <w:rsid w:val="00A779B0"/>
    <w:rsid w:val="00A82EAA"/>
    <w:rsid w:val="00A832FD"/>
    <w:rsid w:val="00A8551E"/>
    <w:rsid w:val="00A85561"/>
    <w:rsid w:val="00A856D7"/>
    <w:rsid w:val="00A9134D"/>
    <w:rsid w:val="00A92972"/>
    <w:rsid w:val="00A92DD4"/>
    <w:rsid w:val="00A93C08"/>
    <w:rsid w:val="00A94153"/>
    <w:rsid w:val="00A94CB1"/>
    <w:rsid w:val="00AA1DB6"/>
    <w:rsid w:val="00AA39EE"/>
    <w:rsid w:val="00AA3D5C"/>
    <w:rsid w:val="00AA51F0"/>
    <w:rsid w:val="00AB194D"/>
    <w:rsid w:val="00AB5CE4"/>
    <w:rsid w:val="00AB6008"/>
    <w:rsid w:val="00AC0030"/>
    <w:rsid w:val="00AC2BE4"/>
    <w:rsid w:val="00AC317B"/>
    <w:rsid w:val="00AC3351"/>
    <w:rsid w:val="00AC3E57"/>
    <w:rsid w:val="00AC4753"/>
    <w:rsid w:val="00AC5B9A"/>
    <w:rsid w:val="00AC678C"/>
    <w:rsid w:val="00AD00D0"/>
    <w:rsid w:val="00AD034E"/>
    <w:rsid w:val="00AD1E28"/>
    <w:rsid w:val="00AD3FEE"/>
    <w:rsid w:val="00AD5387"/>
    <w:rsid w:val="00AD7855"/>
    <w:rsid w:val="00AE1385"/>
    <w:rsid w:val="00AE1814"/>
    <w:rsid w:val="00AE2985"/>
    <w:rsid w:val="00AE2B58"/>
    <w:rsid w:val="00AE2CE9"/>
    <w:rsid w:val="00AE3DE7"/>
    <w:rsid w:val="00AE4D03"/>
    <w:rsid w:val="00AE5373"/>
    <w:rsid w:val="00AE5389"/>
    <w:rsid w:val="00AE6441"/>
    <w:rsid w:val="00AE65CF"/>
    <w:rsid w:val="00AE6CBB"/>
    <w:rsid w:val="00AF094E"/>
    <w:rsid w:val="00AF2D5E"/>
    <w:rsid w:val="00AF3FB6"/>
    <w:rsid w:val="00AF3FFB"/>
    <w:rsid w:val="00AF4A73"/>
    <w:rsid w:val="00AF6B0B"/>
    <w:rsid w:val="00AF74B7"/>
    <w:rsid w:val="00B005FE"/>
    <w:rsid w:val="00B03671"/>
    <w:rsid w:val="00B04472"/>
    <w:rsid w:val="00B05E6C"/>
    <w:rsid w:val="00B070EF"/>
    <w:rsid w:val="00B12852"/>
    <w:rsid w:val="00B137BA"/>
    <w:rsid w:val="00B14219"/>
    <w:rsid w:val="00B14FD2"/>
    <w:rsid w:val="00B169FA"/>
    <w:rsid w:val="00B16B06"/>
    <w:rsid w:val="00B17197"/>
    <w:rsid w:val="00B17EF9"/>
    <w:rsid w:val="00B20025"/>
    <w:rsid w:val="00B20D79"/>
    <w:rsid w:val="00B218AC"/>
    <w:rsid w:val="00B23179"/>
    <w:rsid w:val="00B245FB"/>
    <w:rsid w:val="00B2626B"/>
    <w:rsid w:val="00B266B9"/>
    <w:rsid w:val="00B27EA7"/>
    <w:rsid w:val="00B30040"/>
    <w:rsid w:val="00B305BB"/>
    <w:rsid w:val="00B30E4E"/>
    <w:rsid w:val="00B31EBF"/>
    <w:rsid w:val="00B31F91"/>
    <w:rsid w:val="00B342F3"/>
    <w:rsid w:val="00B35587"/>
    <w:rsid w:val="00B35FBC"/>
    <w:rsid w:val="00B37449"/>
    <w:rsid w:val="00B37D2D"/>
    <w:rsid w:val="00B4082B"/>
    <w:rsid w:val="00B428D4"/>
    <w:rsid w:val="00B44652"/>
    <w:rsid w:val="00B44EBB"/>
    <w:rsid w:val="00B46919"/>
    <w:rsid w:val="00B47EFC"/>
    <w:rsid w:val="00B51129"/>
    <w:rsid w:val="00B51C83"/>
    <w:rsid w:val="00B520B2"/>
    <w:rsid w:val="00B52289"/>
    <w:rsid w:val="00B5279E"/>
    <w:rsid w:val="00B548BC"/>
    <w:rsid w:val="00B55E31"/>
    <w:rsid w:val="00B60481"/>
    <w:rsid w:val="00B61EAA"/>
    <w:rsid w:val="00B61F31"/>
    <w:rsid w:val="00B62758"/>
    <w:rsid w:val="00B6349F"/>
    <w:rsid w:val="00B650A9"/>
    <w:rsid w:val="00B663A8"/>
    <w:rsid w:val="00B6714E"/>
    <w:rsid w:val="00B703EF"/>
    <w:rsid w:val="00B70F29"/>
    <w:rsid w:val="00B729C4"/>
    <w:rsid w:val="00B73725"/>
    <w:rsid w:val="00B75133"/>
    <w:rsid w:val="00B77329"/>
    <w:rsid w:val="00B817DA"/>
    <w:rsid w:val="00B83871"/>
    <w:rsid w:val="00B83E28"/>
    <w:rsid w:val="00B84FA5"/>
    <w:rsid w:val="00B8696A"/>
    <w:rsid w:val="00B87133"/>
    <w:rsid w:val="00B902E7"/>
    <w:rsid w:val="00B9054F"/>
    <w:rsid w:val="00B914A2"/>
    <w:rsid w:val="00B941C1"/>
    <w:rsid w:val="00B941F6"/>
    <w:rsid w:val="00B950C3"/>
    <w:rsid w:val="00B96BA0"/>
    <w:rsid w:val="00BA0A7D"/>
    <w:rsid w:val="00BA19DB"/>
    <w:rsid w:val="00BA34A0"/>
    <w:rsid w:val="00BA53CE"/>
    <w:rsid w:val="00BA757C"/>
    <w:rsid w:val="00BB07CB"/>
    <w:rsid w:val="00BB178C"/>
    <w:rsid w:val="00BB2BF8"/>
    <w:rsid w:val="00BB38A4"/>
    <w:rsid w:val="00BB40D4"/>
    <w:rsid w:val="00BB64EC"/>
    <w:rsid w:val="00BC0BED"/>
    <w:rsid w:val="00BC1929"/>
    <w:rsid w:val="00BC19A9"/>
    <w:rsid w:val="00BC1E6D"/>
    <w:rsid w:val="00BC5C11"/>
    <w:rsid w:val="00BC6EE5"/>
    <w:rsid w:val="00BC7F34"/>
    <w:rsid w:val="00BD0647"/>
    <w:rsid w:val="00BD4DBB"/>
    <w:rsid w:val="00BD4EC0"/>
    <w:rsid w:val="00BD55B0"/>
    <w:rsid w:val="00BE02EB"/>
    <w:rsid w:val="00BE1142"/>
    <w:rsid w:val="00BE4CB5"/>
    <w:rsid w:val="00BE6CD5"/>
    <w:rsid w:val="00BE703C"/>
    <w:rsid w:val="00BE74EA"/>
    <w:rsid w:val="00BF1661"/>
    <w:rsid w:val="00BF4818"/>
    <w:rsid w:val="00BF5E74"/>
    <w:rsid w:val="00BF66F3"/>
    <w:rsid w:val="00BF7545"/>
    <w:rsid w:val="00BF7FAE"/>
    <w:rsid w:val="00C018E4"/>
    <w:rsid w:val="00C019CE"/>
    <w:rsid w:val="00C020E6"/>
    <w:rsid w:val="00C0274F"/>
    <w:rsid w:val="00C03B0F"/>
    <w:rsid w:val="00C03E3F"/>
    <w:rsid w:val="00C05B07"/>
    <w:rsid w:val="00C05EAD"/>
    <w:rsid w:val="00C06F81"/>
    <w:rsid w:val="00C076C8"/>
    <w:rsid w:val="00C10295"/>
    <w:rsid w:val="00C10E88"/>
    <w:rsid w:val="00C12082"/>
    <w:rsid w:val="00C137AA"/>
    <w:rsid w:val="00C159E0"/>
    <w:rsid w:val="00C21BCA"/>
    <w:rsid w:val="00C229B7"/>
    <w:rsid w:val="00C22B32"/>
    <w:rsid w:val="00C23873"/>
    <w:rsid w:val="00C238A7"/>
    <w:rsid w:val="00C2593C"/>
    <w:rsid w:val="00C27292"/>
    <w:rsid w:val="00C27FC5"/>
    <w:rsid w:val="00C30265"/>
    <w:rsid w:val="00C318DB"/>
    <w:rsid w:val="00C3209B"/>
    <w:rsid w:val="00C33FCD"/>
    <w:rsid w:val="00C3498D"/>
    <w:rsid w:val="00C37FEB"/>
    <w:rsid w:val="00C40E08"/>
    <w:rsid w:val="00C42867"/>
    <w:rsid w:val="00C454E5"/>
    <w:rsid w:val="00C45A9A"/>
    <w:rsid w:val="00C45FBB"/>
    <w:rsid w:val="00C46AA1"/>
    <w:rsid w:val="00C475ED"/>
    <w:rsid w:val="00C47637"/>
    <w:rsid w:val="00C531F4"/>
    <w:rsid w:val="00C53291"/>
    <w:rsid w:val="00C5341A"/>
    <w:rsid w:val="00C53E2F"/>
    <w:rsid w:val="00C54083"/>
    <w:rsid w:val="00C61072"/>
    <w:rsid w:val="00C62A79"/>
    <w:rsid w:val="00C62E04"/>
    <w:rsid w:val="00C6323A"/>
    <w:rsid w:val="00C66A4A"/>
    <w:rsid w:val="00C66F14"/>
    <w:rsid w:val="00C67795"/>
    <w:rsid w:val="00C67E23"/>
    <w:rsid w:val="00C71A1B"/>
    <w:rsid w:val="00C71DAE"/>
    <w:rsid w:val="00C720B3"/>
    <w:rsid w:val="00C74880"/>
    <w:rsid w:val="00C76104"/>
    <w:rsid w:val="00C764BE"/>
    <w:rsid w:val="00C765A0"/>
    <w:rsid w:val="00C772A0"/>
    <w:rsid w:val="00C77E00"/>
    <w:rsid w:val="00C84D35"/>
    <w:rsid w:val="00C924ED"/>
    <w:rsid w:val="00C93B55"/>
    <w:rsid w:val="00C943B1"/>
    <w:rsid w:val="00C97B6D"/>
    <w:rsid w:val="00CA12FA"/>
    <w:rsid w:val="00CA1483"/>
    <w:rsid w:val="00CA64AD"/>
    <w:rsid w:val="00CB00E3"/>
    <w:rsid w:val="00CB1634"/>
    <w:rsid w:val="00CB3B34"/>
    <w:rsid w:val="00CB6FEC"/>
    <w:rsid w:val="00CC0CED"/>
    <w:rsid w:val="00CC1788"/>
    <w:rsid w:val="00CD00AA"/>
    <w:rsid w:val="00CD1E91"/>
    <w:rsid w:val="00CD2061"/>
    <w:rsid w:val="00CD28DC"/>
    <w:rsid w:val="00CD4D41"/>
    <w:rsid w:val="00CD57F0"/>
    <w:rsid w:val="00CD5F64"/>
    <w:rsid w:val="00CD6575"/>
    <w:rsid w:val="00CD6B0B"/>
    <w:rsid w:val="00CD7A7C"/>
    <w:rsid w:val="00CE1C1E"/>
    <w:rsid w:val="00CE299F"/>
    <w:rsid w:val="00CE2E98"/>
    <w:rsid w:val="00CE38B9"/>
    <w:rsid w:val="00CE3EC0"/>
    <w:rsid w:val="00CE4129"/>
    <w:rsid w:val="00CE422A"/>
    <w:rsid w:val="00CE6D15"/>
    <w:rsid w:val="00CE75C9"/>
    <w:rsid w:val="00CF0181"/>
    <w:rsid w:val="00CF252B"/>
    <w:rsid w:val="00CF4B76"/>
    <w:rsid w:val="00CF7D40"/>
    <w:rsid w:val="00D00081"/>
    <w:rsid w:val="00D00A7D"/>
    <w:rsid w:val="00D0113D"/>
    <w:rsid w:val="00D10EF9"/>
    <w:rsid w:val="00D13AE7"/>
    <w:rsid w:val="00D15600"/>
    <w:rsid w:val="00D15675"/>
    <w:rsid w:val="00D17542"/>
    <w:rsid w:val="00D25D33"/>
    <w:rsid w:val="00D27494"/>
    <w:rsid w:val="00D306E7"/>
    <w:rsid w:val="00D31530"/>
    <w:rsid w:val="00D329C6"/>
    <w:rsid w:val="00D32DB3"/>
    <w:rsid w:val="00D331BD"/>
    <w:rsid w:val="00D331C5"/>
    <w:rsid w:val="00D344AA"/>
    <w:rsid w:val="00D34F2F"/>
    <w:rsid w:val="00D357DE"/>
    <w:rsid w:val="00D367F2"/>
    <w:rsid w:val="00D3758C"/>
    <w:rsid w:val="00D4014B"/>
    <w:rsid w:val="00D40279"/>
    <w:rsid w:val="00D4501B"/>
    <w:rsid w:val="00D50877"/>
    <w:rsid w:val="00D51BE5"/>
    <w:rsid w:val="00D51CE0"/>
    <w:rsid w:val="00D54ED0"/>
    <w:rsid w:val="00D573B6"/>
    <w:rsid w:val="00D57722"/>
    <w:rsid w:val="00D6057A"/>
    <w:rsid w:val="00D62C2E"/>
    <w:rsid w:val="00D62F92"/>
    <w:rsid w:val="00D636B5"/>
    <w:rsid w:val="00D643F0"/>
    <w:rsid w:val="00D64712"/>
    <w:rsid w:val="00D7108B"/>
    <w:rsid w:val="00D7165A"/>
    <w:rsid w:val="00D71B4B"/>
    <w:rsid w:val="00D71B83"/>
    <w:rsid w:val="00D72019"/>
    <w:rsid w:val="00D72165"/>
    <w:rsid w:val="00D72758"/>
    <w:rsid w:val="00D73793"/>
    <w:rsid w:val="00D74845"/>
    <w:rsid w:val="00D8077F"/>
    <w:rsid w:val="00D807E7"/>
    <w:rsid w:val="00D80ADC"/>
    <w:rsid w:val="00D82D7C"/>
    <w:rsid w:val="00D84335"/>
    <w:rsid w:val="00D84B2D"/>
    <w:rsid w:val="00D85E12"/>
    <w:rsid w:val="00D86869"/>
    <w:rsid w:val="00D876B5"/>
    <w:rsid w:val="00D92A77"/>
    <w:rsid w:val="00D92A85"/>
    <w:rsid w:val="00D93BD8"/>
    <w:rsid w:val="00D93FAC"/>
    <w:rsid w:val="00D951E1"/>
    <w:rsid w:val="00D971FC"/>
    <w:rsid w:val="00D97B74"/>
    <w:rsid w:val="00DA0FD1"/>
    <w:rsid w:val="00DA2C7C"/>
    <w:rsid w:val="00DA4025"/>
    <w:rsid w:val="00DA50EA"/>
    <w:rsid w:val="00DA57CC"/>
    <w:rsid w:val="00DA6F75"/>
    <w:rsid w:val="00DB0E8E"/>
    <w:rsid w:val="00DB19C4"/>
    <w:rsid w:val="00DB28C7"/>
    <w:rsid w:val="00DB29C6"/>
    <w:rsid w:val="00DB44B7"/>
    <w:rsid w:val="00DB4B0F"/>
    <w:rsid w:val="00DB4DF0"/>
    <w:rsid w:val="00DB71BD"/>
    <w:rsid w:val="00DC2E21"/>
    <w:rsid w:val="00DC2F0C"/>
    <w:rsid w:val="00DC31C5"/>
    <w:rsid w:val="00DC3652"/>
    <w:rsid w:val="00DC39AF"/>
    <w:rsid w:val="00DD1EDC"/>
    <w:rsid w:val="00DD302A"/>
    <w:rsid w:val="00DD418C"/>
    <w:rsid w:val="00DD4819"/>
    <w:rsid w:val="00DD4C66"/>
    <w:rsid w:val="00DD61C4"/>
    <w:rsid w:val="00DD653F"/>
    <w:rsid w:val="00DD68FA"/>
    <w:rsid w:val="00DE1566"/>
    <w:rsid w:val="00DE2541"/>
    <w:rsid w:val="00DE385C"/>
    <w:rsid w:val="00DE5A67"/>
    <w:rsid w:val="00DE7299"/>
    <w:rsid w:val="00DF1540"/>
    <w:rsid w:val="00DF1948"/>
    <w:rsid w:val="00DF1E8E"/>
    <w:rsid w:val="00DF1FA1"/>
    <w:rsid w:val="00DF23C1"/>
    <w:rsid w:val="00DF26BF"/>
    <w:rsid w:val="00DF4B24"/>
    <w:rsid w:val="00DF4B66"/>
    <w:rsid w:val="00DF52C3"/>
    <w:rsid w:val="00E04C87"/>
    <w:rsid w:val="00E04FE8"/>
    <w:rsid w:val="00E05590"/>
    <w:rsid w:val="00E05A46"/>
    <w:rsid w:val="00E05DA1"/>
    <w:rsid w:val="00E073F9"/>
    <w:rsid w:val="00E1016E"/>
    <w:rsid w:val="00E1321B"/>
    <w:rsid w:val="00E14BB7"/>
    <w:rsid w:val="00E15B28"/>
    <w:rsid w:val="00E17C0D"/>
    <w:rsid w:val="00E20D2F"/>
    <w:rsid w:val="00E21E59"/>
    <w:rsid w:val="00E226CF"/>
    <w:rsid w:val="00E2313E"/>
    <w:rsid w:val="00E25ED5"/>
    <w:rsid w:val="00E27304"/>
    <w:rsid w:val="00E31437"/>
    <w:rsid w:val="00E337CE"/>
    <w:rsid w:val="00E33830"/>
    <w:rsid w:val="00E3403D"/>
    <w:rsid w:val="00E3610D"/>
    <w:rsid w:val="00E36E56"/>
    <w:rsid w:val="00E378D6"/>
    <w:rsid w:val="00E403BC"/>
    <w:rsid w:val="00E40DBB"/>
    <w:rsid w:val="00E40E03"/>
    <w:rsid w:val="00E440F7"/>
    <w:rsid w:val="00E45229"/>
    <w:rsid w:val="00E500EC"/>
    <w:rsid w:val="00E505ED"/>
    <w:rsid w:val="00E522B7"/>
    <w:rsid w:val="00E52375"/>
    <w:rsid w:val="00E55503"/>
    <w:rsid w:val="00E5555D"/>
    <w:rsid w:val="00E61CD6"/>
    <w:rsid w:val="00E62329"/>
    <w:rsid w:val="00E629A3"/>
    <w:rsid w:val="00E63708"/>
    <w:rsid w:val="00E66330"/>
    <w:rsid w:val="00E67C19"/>
    <w:rsid w:val="00E716F0"/>
    <w:rsid w:val="00E7229C"/>
    <w:rsid w:val="00E744C8"/>
    <w:rsid w:val="00E75716"/>
    <w:rsid w:val="00E75F85"/>
    <w:rsid w:val="00E774B9"/>
    <w:rsid w:val="00E77BA5"/>
    <w:rsid w:val="00E77E5B"/>
    <w:rsid w:val="00E81072"/>
    <w:rsid w:val="00E82A1F"/>
    <w:rsid w:val="00E82E64"/>
    <w:rsid w:val="00E872EA"/>
    <w:rsid w:val="00E873F5"/>
    <w:rsid w:val="00E91187"/>
    <w:rsid w:val="00E91C17"/>
    <w:rsid w:val="00E92E47"/>
    <w:rsid w:val="00E93283"/>
    <w:rsid w:val="00E934FB"/>
    <w:rsid w:val="00E94AD7"/>
    <w:rsid w:val="00E952AC"/>
    <w:rsid w:val="00E952CB"/>
    <w:rsid w:val="00E95649"/>
    <w:rsid w:val="00E97433"/>
    <w:rsid w:val="00EA0273"/>
    <w:rsid w:val="00EA0937"/>
    <w:rsid w:val="00EA2BD6"/>
    <w:rsid w:val="00EA3043"/>
    <w:rsid w:val="00EA5206"/>
    <w:rsid w:val="00EA68C1"/>
    <w:rsid w:val="00EA787D"/>
    <w:rsid w:val="00EA7E57"/>
    <w:rsid w:val="00EB28B4"/>
    <w:rsid w:val="00EB45A6"/>
    <w:rsid w:val="00EB6D5B"/>
    <w:rsid w:val="00EC0C33"/>
    <w:rsid w:val="00EC0F37"/>
    <w:rsid w:val="00EC325A"/>
    <w:rsid w:val="00EC4902"/>
    <w:rsid w:val="00EC6D01"/>
    <w:rsid w:val="00ED13EE"/>
    <w:rsid w:val="00ED3A2B"/>
    <w:rsid w:val="00ED4713"/>
    <w:rsid w:val="00ED7796"/>
    <w:rsid w:val="00ED79B7"/>
    <w:rsid w:val="00EE092E"/>
    <w:rsid w:val="00EE1A20"/>
    <w:rsid w:val="00EE2B16"/>
    <w:rsid w:val="00EE5C1A"/>
    <w:rsid w:val="00EE71B1"/>
    <w:rsid w:val="00EE72B2"/>
    <w:rsid w:val="00EF2478"/>
    <w:rsid w:val="00F0125B"/>
    <w:rsid w:val="00F04F5C"/>
    <w:rsid w:val="00F065C0"/>
    <w:rsid w:val="00F07447"/>
    <w:rsid w:val="00F107C3"/>
    <w:rsid w:val="00F125C2"/>
    <w:rsid w:val="00F13204"/>
    <w:rsid w:val="00F132E6"/>
    <w:rsid w:val="00F160EE"/>
    <w:rsid w:val="00F21232"/>
    <w:rsid w:val="00F213A3"/>
    <w:rsid w:val="00F2223D"/>
    <w:rsid w:val="00F23578"/>
    <w:rsid w:val="00F253A8"/>
    <w:rsid w:val="00F26E3E"/>
    <w:rsid w:val="00F30278"/>
    <w:rsid w:val="00F31FE3"/>
    <w:rsid w:val="00F341E3"/>
    <w:rsid w:val="00F43041"/>
    <w:rsid w:val="00F4328F"/>
    <w:rsid w:val="00F447CD"/>
    <w:rsid w:val="00F44F02"/>
    <w:rsid w:val="00F4710F"/>
    <w:rsid w:val="00F472C1"/>
    <w:rsid w:val="00F50941"/>
    <w:rsid w:val="00F51F58"/>
    <w:rsid w:val="00F55751"/>
    <w:rsid w:val="00F560D0"/>
    <w:rsid w:val="00F56563"/>
    <w:rsid w:val="00F567BB"/>
    <w:rsid w:val="00F57947"/>
    <w:rsid w:val="00F60735"/>
    <w:rsid w:val="00F60E8F"/>
    <w:rsid w:val="00F634A4"/>
    <w:rsid w:val="00F63AD6"/>
    <w:rsid w:val="00F63E4B"/>
    <w:rsid w:val="00F64F2A"/>
    <w:rsid w:val="00F65DA0"/>
    <w:rsid w:val="00F66AA8"/>
    <w:rsid w:val="00F67452"/>
    <w:rsid w:val="00F70BF5"/>
    <w:rsid w:val="00F73521"/>
    <w:rsid w:val="00F74D5B"/>
    <w:rsid w:val="00F75EAC"/>
    <w:rsid w:val="00F76D66"/>
    <w:rsid w:val="00F77D27"/>
    <w:rsid w:val="00F814CE"/>
    <w:rsid w:val="00F825D9"/>
    <w:rsid w:val="00F82819"/>
    <w:rsid w:val="00F829B5"/>
    <w:rsid w:val="00F83AF3"/>
    <w:rsid w:val="00F84BBF"/>
    <w:rsid w:val="00F84F81"/>
    <w:rsid w:val="00F870BA"/>
    <w:rsid w:val="00F9028A"/>
    <w:rsid w:val="00F908FD"/>
    <w:rsid w:val="00F91975"/>
    <w:rsid w:val="00F91C55"/>
    <w:rsid w:val="00F93CA8"/>
    <w:rsid w:val="00F950BC"/>
    <w:rsid w:val="00F95A79"/>
    <w:rsid w:val="00F9672B"/>
    <w:rsid w:val="00F97BBB"/>
    <w:rsid w:val="00FA3232"/>
    <w:rsid w:val="00FA52A2"/>
    <w:rsid w:val="00FA61ED"/>
    <w:rsid w:val="00FA6D4C"/>
    <w:rsid w:val="00FA7021"/>
    <w:rsid w:val="00FB009C"/>
    <w:rsid w:val="00FB1905"/>
    <w:rsid w:val="00FB2068"/>
    <w:rsid w:val="00FB4EBC"/>
    <w:rsid w:val="00FB5097"/>
    <w:rsid w:val="00FC3440"/>
    <w:rsid w:val="00FC54C8"/>
    <w:rsid w:val="00FC55A8"/>
    <w:rsid w:val="00FD0235"/>
    <w:rsid w:val="00FD0374"/>
    <w:rsid w:val="00FD085B"/>
    <w:rsid w:val="00FD19DE"/>
    <w:rsid w:val="00FD72A7"/>
    <w:rsid w:val="00FE13BC"/>
    <w:rsid w:val="00FE1534"/>
    <w:rsid w:val="00FE1B76"/>
    <w:rsid w:val="00FE574D"/>
    <w:rsid w:val="00FF2286"/>
    <w:rsid w:val="00FF2E42"/>
    <w:rsid w:val="00FF52DE"/>
    <w:rsid w:val="00FF6799"/>
    <w:rsid w:val="00FF77FE"/>
    <w:rsid w:val="0DB55738"/>
    <w:rsid w:val="42BC55BD"/>
    <w:rsid w:val="60F63AD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37"/>
    <w:qFormat/>
    <w:uiPriority w:val="9"/>
    <w:pPr>
      <w:keepNext/>
      <w:keepLines/>
      <w:spacing w:before="340" w:after="330" w:line="578" w:lineRule="auto"/>
      <w:outlineLvl w:val="0"/>
    </w:pPr>
    <w:rPr>
      <w:rFonts w:eastAsia="Times New Roman"/>
      <w:b/>
      <w:bCs/>
      <w:kern w:val="44"/>
      <w:sz w:val="44"/>
      <w:szCs w:val="44"/>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3">
    <w:name w:val="annotation text"/>
    <w:basedOn w:val="1"/>
    <w:link w:val="27"/>
    <w:unhideWhenUsed/>
    <w:qFormat/>
    <w:uiPriority w:val="99"/>
    <w:pPr>
      <w:jc w:val="left"/>
    </w:pPr>
  </w:style>
  <w:style w:type="paragraph" w:styleId="4">
    <w:name w:val="toc 3"/>
    <w:basedOn w:val="1"/>
    <w:next w:val="1"/>
    <w:autoRedefine/>
    <w:unhideWhenUsed/>
    <w:qFormat/>
    <w:uiPriority w:val="39"/>
    <w:pPr>
      <w:widowControl/>
      <w:spacing w:after="100" w:line="259" w:lineRule="auto"/>
      <w:ind w:left="440"/>
      <w:jc w:val="left"/>
    </w:pPr>
    <w:rPr>
      <w:rFonts w:cs="Times New Roman"/>
      <w:kern w:val="0"/>
      <w:sz w:val="22"/>
    </w:rPr>
  </w:style>
  <w:style w:type="paragraph" w:styleId="5">
    <w:name w:val="Balloon Text"/>
    <w:basedOn w:val="1"/>
    <w:link w:val="34"/>
    <w:semiHidden/>
    <w:unhideWhenUsed/>
    <w:qFormat/>
    <w:uiPriority w:val="99"/>
    <w:rPr>
      <w:sz w:val="18"/>
      <w:szCs w:val="18"/>
    </w:rPr>
  </w:style>
  <w:style w:type="paragraph" w:styleId="6">
    <w:name w:val="footer"/>
    <w:basedOn w:val="1"/>
    <w:link w:val="25"/>
    <w:unhideWhenUsed/>
    <w:qFormat/>
    <w:uiPriority w:val="99"/>
    <w:pPr>
      <w:tabs>
        <w:tab w:val="center" w:pos="4153"/>
        <w:tab w:val="right" w:pos="8306"/>
      </w:tabs>
      <w:snapToGrid w:val="0"/>
      <w:jc w:val="left"/>
    </w:pPr>
    <w:rPr>
      <w:sz w:val="18"/>
      <w:szCs w:val="18"/>
    </w:rPr>
  </w:style>
  <w:style w:type="paragraph" w:styleId="7">
    <w:name w:val="header"/>
    <w:basedOn w:val="1"/>
    <w:link w:val="24"/>
    <w:unhideWhenUsed/>
    <w:qFormat/>
    <w:uiPriority w:val="99"/>
    <w:pPr>
      <w:tabs>
        <w:tab w:val="center" w:pos="4153"/>
        <w:tab w:val="right" w:pos="8306"/>
      </w:tabs>
      <w:snapToGrid w:val="0"/>
      <w:jc w:val="center"/>
    </w:pPr>
    <w:rPr>
      <w:sz w:val="18"/>
      <w:szCs w:val="18"/>
    </w:rPr>
  </w:style>
  <w:style w:type="paragraph" w:styleId="8">
    <w:name w:val="toc 1"/>
    <w:basedOn w:val="1"/>
    <w:next w:val="1"/>
    <w:autoRedefine/>
    <w:unhideWhenUsed/>
    <w:qFormat/>
    <w:uiPriority w:val="39"/>
    <w:pPr>
      <w:widowControl/>
      <w:spacing w:after="100" w:line="259" w:lineRule="auto"/>
      <w:jc w:val="left"/>
    </w:pPr>
    <w:rPr>
      <w:rFonts w:cs="Times New Roman"/>
      <w:kern w:val="0"/>
      <w:sz w:val="22"/>
    </w:rPr>
  </w:style>
  <w:style w:type="paragraph" w:styleId="9">
    <w:name w:val="toc 2"/>
    <w:basedOn w:val="1"/>
    <w:next w:val="1"/>
    <w:autoRedefine/>
    <w:unhideWhenUsed/>
    <w:qFormat/>
    <w:uiPriority w:val="39"/>
    <w:pPr>
      <w:widowControl/>
      <w:spacing w:after="100" w:line="259" w:lineRule="auto"/>
      <w:ind w:left="220"/>
      <w:jc w:val="left"/>
    </w:pPr>
    <w:rPr>
      <w:rFonts w:cs="Times New Roman"/>
      <w:kern w:val="0"/>
      <w:sz w:val="22"/>
    </w:rPr>
  </w:style>
  <w:style w:type="paragraph" w:styleId="10">
    <w:name w:val="annotation subject"/>
    <w:basedOn w:val="3"/>
    <w:next w:val="3"/>
    <w:link w:val="28"/>
    <w:semiHidden/>
    <w:unhideWhenUsed/>
    <w:qFormat/>
    <w:uiPriority w:val="99"/>
    <w:rPr>
      <w:b/>
      <w:bCs/>
    </w:rPr>
  </w:style>
  <w:style w:type="table" w:styleId="12">
    <w:name w:val="Table Grid"/>
    <w:basedOn w:val="11"/>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Strong"/>
    <w:basedOn w:val="13"/>
    <w:qFormat/>
    <w:uiPriority w:val="22"/>
    <w:rPr>
      <w:b/>
      <w:bCs/>
    </w:rPr>
  </w:style>
  <w:style w:type="character" w:styleId="15">
    <w:name w:val="FollowedHyperlink"/>
    <w:basedOn w:val="13"/>
    <w:semiHidden/>
    <w:unhideWhenUsed/>
    <w:qFormat/>
    <w:uiPriority w:val="99"/>
    <w:rPr>
      <w:color w:val="954F72"/>
      <w:u w:val="single"/>
    </w:rPr>
  </w:style>
  <w:style w:type="character" w:styleId="16">
    <w:name w:val="Hyperlink"/>
    <w:basedOn w:val="13"/>
    <w:unhideWhenUsed/>
    <w:qFormat/>
    <w:uiPriority w:val="99"/>
    <w:rPr>
      <w:color w:val="0563C1"/>
      <w:u w:val="single"/>
    </w:rPr>
  </w:style>
  <w:style w:type="character" w:styleId="17">
    <w:name w:val="annotation reference"/>
    <w:basedOn w:val="13"/>
    <w:semiHidden/>
    <w:unhideWhenUsed/>
    <w:qFormat/>
    <w:uiPriority w:val="99"/>
    <w:rPr>
      <w:sz w:val="21"/>
      <w:szCs w:val="21"/>
    </w:rPr>
  </w:style>
  <w:style w:type="paragraph" w:customStyle="1" w:styleId="18">
    <w:name w:val="msonormal"/>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9">
    <w:name w:val="font5"/>
    <w:basedOn w:val="1"/>
    <w:qFormat/>
    <w:uiPriority w:val="0"/>
    <w:pPr>
      <w:widowControl/>
      <w:spacing w:before="100" w:beforeAutospacing="1" w:after="100" w:afterAutospacing="1"/>
      <w:jc w:val="left"/>
    </w:pPr>
    <w:rPr>
      <w:rFonts w:ascii="等线" w:hAnsi="等线" w:eastAsia="等线" w:cs="宋体"/>
      <w:kern w:val="0"/>
      <w:sz w:val="18"/>
      <w:szCs w:val="18"/>
    </w:rPr>
  </w:style>
  <w:style w:type="paragraph" w:customStyle="1" w:styleId="20">
    <w:name w:val="xl65"/>
    <w:basedOn w:val="1"/>
    <w:qFormat/>
    <w:uiPriority w:val="0"/>
    <w:pPr>
      <w:widowControl/>
      <w:spacing w:before="100" w:beforeAutospacing="1" w:after="100" w:afterAutospacing="1"/>
      <w:jc w:val="left"/>
      <w:textAlignment w:val="center"/>
    </w:pPr>
    <w:rPr>
      <w:rFonts w:ascii="宋体" w:hAnsi="宋体" w:eastAsia="宋体" w:cs="宋体"/>
      <w:kern w:val="0"/>
      <w:sz w:val="24"/>
      <w:szCs w:val="24"/>
    </w:rPr>
  </w:style>
  <w:style w:type="paragraph" w:customStyle="1" w:styleId="21">
    <w:name w:val="xl66"/>
    <w:basedOn w:val="1"/>
    <w:qFormat/>
    <w:uiPriority w:val="0"/>
    <w:pPr>
      <w:widowControl/>
      <w:spacing w:before="100" w:beforeAutospacing="1" w:after="100" w:afterAutospacing="1"/>
      <w:jc w:val="left"/>
      <w:textAlignment w:val="center"/>
    </w:pPr>
    <w:rPr>
      <w:rFonts w:ascii="宋体" w:hAnsi="宋体" w:eastAsia="宋体" w:cs="宋体"/>
      <w:b/>
      <w:bCs/>
      <w:kern w:val="0"/>
      <w:sz w:val="24"/>
      <w:szCs w:val="24"/>
    </w:rPr>
  </w:style>
  <w:style w:type="paragraph" w:customStyle="1" w:styleId="22">
    <w:name w:val="xl67"/>
    <w:basedOn w:val="1"/>
    <w:qFormat/>
    <w:uiPriority w:val="0"/>
    <w:pPr>
      <w:widowControl/>
      <w:spacing w:before="100" w:beforeAutospacing="1" w:after="100" w:afterAutospacing="1"/>
      <w:jc w:val="left"/>
      <w:textAlignment w:val="center"/>
    </w:pPr>
    <w:rPr>
      <w:rFonts w:ascii="宋体" w:hAnsi="宋体" w:eastAsia="宋体" w:cs="宋体"/>
      <w:b/>
      <w:bCs/>
      <w:kern w:val="0"/>
      <w:sz w:val="24"/>
      <w:szCs w:val="24"/>
    </w:rPr>
  </w:style>
  <w:style w:type="paragraph" w:customStyle="1" w:styleId="23">
    <w:name w:val="xl68"/>
    <w:basedOn w:val="1"/>
    <w:qFormat/>
    <w:uiPriority w:val="0"/>
    <w:pPr>
      <w:widowControl/>
      <w:spacing w:before="100" w:beforeAutospacing="1" w:after="100" w:afterAutospacing="1"/>
      <w:jc w:val="left"/>
      <w:textAlignment w:val="center"/>
    </w:pPr>
    <w:rPr>
      <w:rFonts w:ascii="宋体" w:hAnsi="宋体" w:eastAsia="宋体" w:cs="宋体"/>
      <w:kern w:val="0"/>
      <w:sz w:val="24"/>
      <w:szCs w:val="24"/>
    </w:rPr>
  </w:style>
  <w:style w:type="character" w:customStyle="1" w:styleId="24">
    <w:name w:val="页眉 字符"/>
    <w:basedOn w:val="13"/>
    <w:link w:val="7"/>
    <w:qFormat/>
    <w:uiPriority w:val="99"/>
    <w:rPr>
      <w:sz w:val="18"/>
      <w:szCs w:val="18"/>
    </w:rPr>
  </w:style>
  <w:style w:type="character" w:customStyle="1" w:styleId="25">
    <w:name w:val="页脚 字符"/>
    <w:basedOn w:val="13"/>
    <w:link w:val="6"/>
    <w:qFormat/>
    <w:uiPriority w:val="99"/>
    <w:rPr>
      <w:sz w:val="18"/>
      <w:szCs w:val="18"/>
    </w:rPr>
  </w:style>
  <w:style w:type="character" w:customStyle="1" w:styleId="26">
    <w:name w:val="未处理的提及1"/>
    <w:basedOn w:val="13"/>
    <w:semiHidden/>
    <w:unhideWhenUsed/>
    <w:qFormat/>
    <w:uiPriority w:val="99"/>
    <w:rPr>
      <w:color w:val="605E5C"/>
      <w:shd w:val="clear" w:color="auto" w:fill="E1DFDD"/>
    </w:rPr>
  </w:style>
  <w:style w:type="character" w:customStyle="1" w:styleId="27">
    <w:name w:val="批注文字 字符"/>
    <w:basedOn w:val="13"/>
    <w:link w:val="3"/>
    <w:qFormat/>
    <w:uiPriority w:val="99"/>
  </w:style>
  <w:style w:type="character" w:customStyle="1" w:styleId="28">
    <w:name w:val="批注主题 字符"/>
    <w:basedOn w:val="27"/>
    <w:link w:val="10"/>
    <w:semiHidden/>
    <w:qFormat/>
    <w:uiPriority w:val="99"/>
    <w:rPr>
      <w:b/>
      <w:bCs/>
    </w:rPr>
  </w:style>
  <w:style w:type="paragraph" w:customStyle="1" w:styleId="29">
    <w:name w:val="修订1"/>
    <w:hidden/>
    <w:semiHidden/>
    <w:qFormat/>
    <w:uiPriority w:val="99"/>
    <w:rPr>
      <w:rFonts w:asciiTheme="minorHAnsi" w:hAnsiTheme="minorHAnsi" w:eastAsiaTheme="minorEastAsia" w:cstheme="minorBidi"/>
      <w:kern w:val="2"/>
      <w:sz w:val="21"/>
      <w:szCs w:val="22"/>
      <w:lang w:val="en-US" w:eastAsia="zh-CN" w:bidi="ar-SA"/>
    </w:rPr>
  </w:style>
  <w:style w:type="paragraph" w:customStyle="1" w:styleId="30">
    <w:name w:val="EndNote Bibliography Title"/>
    <w:basedOn w:val="1"/>
    <w:link w:val="31"/>
    <w:qFormat/>
    <w:uiPriority w:val="0"/>
    <w:pPr>
      <w:jc w:val="center"/>
    </w:pPr>
    <w:rPr>
      <w:rFonts w:ascii="等线" w:hAnsi="等线" w:eastAsia="等线"/>
      <w:sz w:val="20"/>
    </w:rPr>
  </w:style>
  <w:style w:type="character" w:customStyle="1" w:styleId="31">
    <w:name w:val="EndNote Bibliography Title 字符"/>
    <w:basedOn w:val="13"/>
    <w:link w:val="30"/>
    <w:qFormat/>
    <w:uiPriority w:val="0"/>
    <w:rPr>
      <w:rFonts w:ascii="等线" w:hAnsi="等线" w:eastAsia="等线"/>
      <w:kern w:val="2"/>
      <w:szCs w:val="22"/>
    </w:rPr>
  </w:style>
  <w:style w:type="paragraph" w:customStyle="1" w:styleId="32">
    <w:name w:val="EndNote Bibliography"/>
    <w:basedOn w:val="1"/>
    <w:link w:val="33"/>
    <w:qFormat/>
    <w:uiPriority w:val="0"/>
    <w:rPr>
      <w:rFonts w:ascii="等线" w:hAnsi="等线" w:eastAsia="等线"/>
      <w:sz w:val="20"/>
    </w:rPr>
  </w:style>
  <w:style w:type="character" w:customStyle="1" w:styleId="33">
    <w:name w:val="EndNote Bibliography 字符"/>
    <w:basedOn w:val="13"/>
    <w:link w:val="32"/>
    <w:qFormat/>
    <w:uiPriority w:val="0"/>
    <w:rPr>
      <w:rFonts w:ascii="等线" w:hAnsi="等线" w:eastAsia="等线"/>
      <w:kern w:val="2"/>
      <w:szCs w:val="22"/>
    </w:rPr>
  </w:style>
  <w:style w:type="character" w:customStyle="1" w:styleId="34">
    <w:name w:val="批注框文本 字符"/>
    <w:basedOn w:val="13"/>
    <w:link w:val="5"/>
    <w:semiHidden/>
    <w:qFormat/>
    <w:uiPriority w:val="99"/>
    <w:rPr>
      <w:sz w:val="18"/>
      <w:szCs w:val="18"/>
    </w:rPr>
  </w:style>
  <w:style w:type="character" w:customStyle="1" w:styleId="35">
    <w:name w:val="未处理的提及2"/>
    <w:basedOn w:val="13"/>
    <w:semiHidden/>
    <w:unhideWhenUsed/>
    <w:qFormat/>
    <w:uiPriority w:val="99"/>
    <w:rPr>
      <w:color w:val="605E5C"/>
      <w:shd w:val="clear" w:color="auto" w:fill="E1DFDD"/>
    </w:rPr>
  </w:style>
  <w:style w:type="paragraph" w:styleId="36">
    <w:name w:val="List Paragraph"/>
    <w:basedOn w:val="1"/>
    <w:qFormat/>
    <w:uiPriority w:val="34"/>
    <w:pPr>
      <w:ind w:firstLine="420" w:firstLineChars="200"/>
    </w:pPr>
  </w:style>
  <w:style w:type="character" w:customStyle="1" w:styleId="37">
    <w:name w:val="标题 1 字符"/>
    <w:basedOn w:val="13"/>
    <w:link w:val="2"/>
    <w:qFormat/>
    <w:uiPriority w:val="9"/>
    <w:rPr>
      <w:rFonts w:eastAsia="Times New Roman"/>
      <w:b/>
      <w:bCs/>
      <w:kern w:val="44"/>
      <w:sz w:val="44"/>
      <w:szCs w:val="44"/>
    </w:rPr>
  </w:style>
  <w:style w:type="paragraph" w:customStyle="1" w:styleId="38">
    <w:name w:val="TOC 标题1"/>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paragraph" w:customStyle="1" w:styleId="39">
    <w:name w:val="样式1"/>
    <w:basedOn w:val="2"/>
    <w:next w:val="2"/>
    <w:link w:val="40"/>
    <w:qFormat/>
    <w:uiPriority w:val="0"/>
    <w:pPr>
      <w:spacing w:before="50" w:beforeLines="50" w:after="50" w:afterLines="50" w:line="360" w:lineRule="auto"/>
      <w:jc w:val="left"/>
    </w:pPr>
    <w:rPr>
      <w:rFonts w:ascii="Times New Roman" w:hAnsi="Times New Roman" w:cs="Times New Roman"/>
      <w:b w:val="0"/>
      <w:bCs w:val="0"/>
      <w:sz w:val="24"/>
      <w:szCs w:val="32"/>
    </w:rPr>
  </w:style>
  <w:style w:type="character" w:customStyle="1" w:styleId="40">
    <w:name w:val="样式1 字符"/>
    <w:basedOn w:val="13"/>
    <w:link w:val="39"/>
    <w:qFormat/>
    <w:uiPriority w:val="0"/>
    <w:rPr>
      <w:rFonts w:ascii="Times New Roman" w:hAnsi="Times New Roman" w:eastAsia="Times New Roman" w:cs="Times New Roman"/>
      <w:kern w:val="44"/>
      <w:sz w:val="24"/>
      <w:szCs w:val="32"/>
    </w:rPr>
  </w:style>
  <w:style w:type="paragraph" w:customStyle="1" w:styleId="41">
    <w:name w:val="修订2"/>
    <w:hidden/>
    <w:unhideWhenUsed/>
    <w:qFormat/>
    <w:uiPriority w:val="99"/>
    <w:rPr>
      <w:rFonts w:asciiTheme="minorHAnsi" w:hAnsiTheme="minorHAnsi" w:eastAsiaTheme="minorEastAsia" w:cstheme="minorBidi"/>
      <w:kern w:val="2"/>
      <w:sz w:val="21"/>
      <w:szCs w:val="22"/>
      <w:lang w:val="en-US" w:eastAsia="zh-CN" w:bidi="ar-SA"/>
    </w:rPr>
  </w:style>
  <w:style w:type="paragraph" w:customStyle="1" w:styleId="42">
    <w:name w:val="Revision"/>
    <w:hidden/>
    <w:unhideWhenUsed/>
    <w:qFormat/>
    <w:uiPriority w:val="99"/>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4" Type="http://schemas.openxmlformats.org/officeDocument/2006/relationships/fontTable" Target="fontTable.xml"/><Relationship Id="rId53" Type="http://schemas.openxmlformats.org/officeDocument/2006/relationships/customXml" Target="../customXml/item1.xml"/><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2.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E8F46C-7804-4A49-9AC1-F0FECA4034F0}">
  <ds:schemaRefs/>
</ds:datastoreItem>
</file>

<file path=docProps/app.xml><?xml version="1.0" encoding="utf-8"?>
<Properties xmlns="http://schemas.openxmlformats.org/officeDocument/2006/extended-properties" xmlns:vt="http://schemas.openxmlformats.org/officeDocument/2006/docPropsVTypes">
  <Template>Normal.dotm</Template>
  <Pages>61</Pages>
  <Words>4080</Words>
  <Characters>25829</Characters>
  <Lines>363</Lines>
  <Paragraphs>102</Paragraphs>
  <TotalTime>14</TotalTime>
  <ScaleCrop>false</ScaleCrop>
  <LinksUpToDate>false</LinksUpToDate>
  <CharactersWithSpaces>29779</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2025-05-08T11:32:00Z</dcterms:created>
  <dc:creator>tao ning</dc:creator>
  <cp:lastModifiedBy>许国旺Guowang Xu</cp:lastModifiedBy>
  <cp:lastPrinted>2024-04-24T18:40:00Z</cp:lastPrinted>
  <dcterms:modified xsi:type="dcterms:W3CDTF">2026-06-03T08:41:32Z</dcterms:modified>
  <cp:revision>579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eyJoZGlkIjoiODhjMWU5YmRlMGMxODVmMGRkNTBhOTI1YjI1MjEyNzgiLCJ1c2VySWQiOiI5Nzc1NTA0MDkifQ==</vt:lpwstr>
  </property>
  <property fmtid="{D5CDD505-2E9C-101B-9397-08002B2CF9AE}" pid="3" name="KSOProductBuildVer">
    <vt:lpwstr>2052-12.1.0.26375</vt:lpwstr>
  </property>
  <property fmtid="{D5CDD505-2E9C-101B-9397-08002B2CF9AE}" pid="4" name="ICV">
    <vt:lpwstr>68E473A9D0CD4D37834EA7DF708C3CDF_12</vt:lpwstr>
  </property>
</Properties>
</file>