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8C2ABB" w14:textId="29059D61" w:rsidR="00910857" w:rsidRPr="0017262D" w:rsidRDefault="00475523">
      <w:pPr>
        <w:rPr>
          <w:rFonts w:ascii="Arial" w:hAnsi="Arial" w:cs="Arial"/>
          <w:sz w:val="22"/>
          <w:szCs w:val="22"/>
        </w:rPr>
      </w:pPr>
      <w:r w:rsidRPr="0017262D">
        <w:rPr>
          <w:rFonts w:ascii="Arial" w:hAnsi="Arial" w:cs="Arial"/>
          <w:noProof/>
          <w:sz w:val="22"/>
          <w:szCs w:val="22"/>
        </w:rPr>
        <w:drawing>
          <wp:inline distT="0" distB="0" distL="0" distR="0" wp14:anchorId="57735333" wp14:editId="49F72864">
            <wp:extent cx="5486400" cy="6393180"/>
            <wp:effectExtent l="0" t="0" r="0" b="7620"/>
            <wp:docPr id="1647434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34855" name="Picture 1647434855"/>
                    <pic:cNvPicPr/>
                  </pic:nvPicPr>
                  <pic:blipFill>
                    <a:blip r:embed="rId6"/>
                    <a:stretch>
                      <a:fillRect/>
                    </a:stretch>
                  </pic:blipFill>
                  <pic:spPr>
                    <a:xfrm>
                      <a:off x="0" y="0"/>
                      <a:ext cx="5486400" cy="6393180"/>
                    </a:xfrm>
                    <a:prstGeom prst="rect">
                      <a:avLst/>
                    </a:prstGeom>
                  </pic:spPr>
                </pic:pic>
              </a:graphicData>
            </a:graphic>
          </wp:inline>
        </w:drawing>
      </w:r>
    </w:p>
    <w:p w14:paraId="2DF86B79" w14:textId="18E9ABCE" w:rsidR="00135E35" w:rsidRPr="0017262D" w:rsidRDefault="00135E35">
      <w:pPr>
        <w:rPr>
          <w:rFonts w:ascii="Arial" w:hAnsi="Arial" w:cs="Arial"/>
          <w:sz w:val="22"/>
          <w:szCs w:val="22"/>
        </w:rPr>
      </w:pPr>
      <w:r w:rsidRPr="0017262D">
        <w:rPr>
          <w:rFonts w:ascii="Arial" w:hAnsi="Arial" w:cs="Arial"/>
          <w:b/>
          <w:bCs/>
          <w:sz w:val="22"/>
          <w:szCs w:val="22"/>
        </w:rPr>
        <w:t>Figure S1. Kingdom-level microbial composition across intestinal segments in human donors.</w:t>
      </w:r>
      <w:r w:rsidR="001464FF">
        <w:rPr>
          <w:rFonts w:ascii="Arial" w:hAnsi="Arial" w:cs="Arial"/>
          <w:b/>
          <w:bCs/>
          <w:sz w:val="22"/>
          <w:szCs w:val="22"/>
        </w:rPr>
        <w:t xml:space="preserve"> </w:t>
      </w:r>
      <w:r w:rsidRPr="0017262D">
        <w:rPr>
          <w:rFonts w:ascii="Arial" w:hAnsi="Arial" w:cs="Arial"/>
          <w:sz w:val="22"/>
          <w:szCs w:val="22"/>
        </w:rPr>
        <w:t xml:space="preserve">Line plots show the relative abundance of major microbial kingdoms (bacteria, fungi, viruses, and others) derived from whole-genome shotgun (WGS) sequencing across intestinal segments, including the duodenum, jejunum, ileum, ascending colon, transverse colon, and descending colon. Purple lines denote </w:t>
      </w:r>
      <w:r w:rsidR="00475523" w:rsidRPr="0017262D">
        <w:rPr>
          <w:rFonts w:ascii="Arial" w:hAnsi="Arial" w:cs="Arial"/>
          <w:sz w:val="22"/>
          <w:szCs w:val="22"/>
        </w:rPr>
        <w:t xml:space="preserve">lumen content </w:t>
      </w:r>
      <w:r w:rsidRPr="0017262D">
        <w:rPr>
          <w:rFonts w:ascii="Arial" w:hAnsi="Arial" w:cs="Arial"/>
          <w:sz w:val="22"/>
          <w:szCs w:val="22"/>
        </w:rPr>
        <w:t xml:space="preserve">samples, and blue lines denote </w:t>
      </w:r>
      <w:r w:rsidR="00475523" w:rsidRPr="0017262D">
        <w:rPr>
          <w:rFonts w:ascii="Arial" w:hAnsi="Arial" w:cs="Arial"/>
          <w:sz w:val="22"/>
          <w:szCs w:val="22"/>
        </w:rPr>
        <w:t>mucosal samples</w:t>
      </w:r>
      <w:r w:rsidRPr="0017262D">
        <w:rPr>
          <w:rFonts w:ascii="Arial" w:hAnsi="Arial" w:cs="Arial"/>
          <w:sz w:val="22"/>
          <w:szCs w:val="22"/>
        </w:rPr>
        <w:t>. Donor metadata, including sex, age, cause of death, and sample collection year, are provided.</w:t>
      </w:r>
    </w:p>
    <w:p w14:paraId="5BB3EB23" w14:textId="73F8E1B9" w:rsidR="003225C5" w:rsidRPr="0017262D" w:rsidRDefault="003225C5">
      <w:pPr>
        <w:rPr>
          <w:rFonts w:ascii="Arial" w:hAnsi="Arial" w:cs="Arial"/>
          <w:sz w:val="22"/>
          <w:szCs w:val="22"/>
        </w:rPr>
      </w:pPr>
      <w:r w:rsidRPr="0017262D">
        <w:rPr>
          <w:rFonts w:ascii="Arial" w:hAnsi="Arial" w:cs="Arial"/>
          <w:noProof/>
          <w:sz w:val="22"/>
          <w:szCs w:val="22"/>
        </w:rPr>
        <w:lastRenderedPageBreak/>
        <w:drawing>
          <wp:inline distT="0" distB="0" distL="0" distR="0" wp14:anchorId="6C76667D" wp14:editId="79A6F6C9">
            <wp:extent cx="5486400" cy="3319145"/>
            <wp:effectExtent l="0" t="0" r="0" b="0"/>
            <wp:docPr id="4" name="Picture 3" descr="A screenshot of a diagram&#10;&#10;Description automatically generated">
              <a:extLst xmlns:a="http://schemas.openxmlformats.org/drawingml/2006/main">
                <a:ext uri="{FF2B5EF4-FFF2-40B4-BE49-F238E27FC236}">
                  <a16:creationId xmlns:a16="http://schemas.microsoft.com/office/drawing/2014/main" id="{FAF9FE79-6901-C04B-FD2E-74635856C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diagram&#10;&#10;Description automatically generated">
                      <a:extLst>
                        <a:ext uri="{FF2B5EF4-FFF2-40B4-BE49-F238E27FC236}">
                          <a16:creationId xmlns:a16="http://schemas.microsoft.com/office/drawing/2014/main" id="{FAF9FE79-6901-C04B-FD2E-74635856C41D}"/>
                        </a:ext>
                      </a:extLst>
                    </pic:cNvPr>
                    <pic:cNvPicPr>
                      <a:picLocks noChangeAspect="1"/>
                    </pic:cNvPicPr>
                  </pic:nvPicPr>
                  <pic:blipFill>
                    <a:blip r:embed="rId7"/>
                    <a:stretch>
                      <a:fillRect/>
                    </a:stretch>
                  </pic:blipFill>
                  <pic:spPr>
                    <a:xfrm>
                      <a:off x="0" y="0"/>
                      <a:ext cx="5486400" cy="3319145"/>
                    </a:xfrm>
                    <a:prstGeom prst="rect">
                      <a:avLst/>
                    </a:prstGeom>
                  </pic:spPr>
                </pic:pic>
              </a:graphicData>
            </a:graphic>
          </wp:inline>
        </w:drawing>
      </w:r>
    </w:p>
    <w:p w14:paraId="38323B3F" w14:textId="1BF85D16" w:rsidR="000002E0" w:rsidRPr="0017262D" w:rsidRDefault="009E4508">
      <w:pPr>
        <w:rPr>
          <w:rFonts w:ascii="Arial" w:hAnsi="Arial" w:cs="Arial"/>
          <w:sz w:val="22"/>
          <w:szCs w:val="22"/>
        </w:rPr>
      </w:pPr>
      <w:r w:rsidRPr="0017262D">
        <w:rPr>
          <w:rFonts w:ascii="Arial" w:hAnsi="Arial" w:cs="Arial"/>
          <w:b/>
          <w:bCs/>
          <w:sz w:val="22"/>
          <w:szCs w:val="22"/>
        </w:rPr>
        <w:t>Figure S2. Absolute microbial abundance measured by qPCR across donors and sample characteristics.</w:t>
      </w:r>
      <w:r w:rsidR="001464FF">
        <w:rPr>
          <w:rFonts w:ascii="Arial" w:hAnsi="Arial" w:cs="Arial"/>
          <w:b/>
          <w:bCs/>
          <w:sz w:val="22"/>
          <w:szCs w:val="22"/>
        </w:rPr>
        <w:t xml:space="preserve"> </w:t>
      </w:r>
      <w:r w:rsidRPr="0017262D">
        <w:rPr>
          <w:rFonts w:ascii="Arial" w:hAnsi="Arial" w:cs="Arial"/>
          <w:sz w:val="22"/>
          <w:szCs w:val="22"/>
        </w:rPr>
        <w:t xml:space="preserve">Quantitative PCR (qPCR) measurements of absolute microbial abundance using (a) 16S rRNA gene primers (bacterial load) and (b) internal transcribed spacer (ITS) primers (fungal load). Data are stratified by donor, age, sex, intestinal segment (Duo, duodenum; </w:t>
      </w:r>
      <w:proofErr w:type="spellStart"/>
      <w:r w:rsidRPr="0017262D">
        <w:rPr>
          <w:rFonts w:ascii="Arial" w:hAnsi="Arial" w:cs="Arial"/>
          <w:sz w:val="22"/>
          <w:szCs w:val="22"/>
        </w:rPr>
        <w:t>Jej</w:t>
      </w:r>
      <w:proofErr w:type="spellEnd"/>
      <w:r w:rsidRPr="0017262D">
        <w:rPr>
          <w:rFonts w:ascii="Arial" w:hAnsi="Arial" w:cs="Arial"/>
          <w:sz w:val="22"/>
          <w:szCs w:val="22"/>
        </w:rPr>
        <w:t>, jejunum; Ile, ileum; AC, ascending colon; TC, transverse colon; DC, descending colon), section (large intestine versus small intestine), and sample milieu (lumen versus mucosa), illustrating variation in microbial load across host and spatial factors.</w:t>
      </w:r>
    </w:p>
    <w:p w14:paraId="7A6DEF8D" w14:textId="77777777" w:rsidR="000002E0" w:rsidRPr="0017262D" w:rsidRDefault="000002E0">
      <w:pPr>
        <w:rPr>
          <w:rFonts w:ascii="Arial" w:hAnsi="Arial" w:cs="Arial"/>
          <w:sz w:val="22"/>
          <w:szCs w:val="22"/>
        </w:rPr>
      </w:pPr>
      <w:r w:rsidRPr="0017262D">
        <w:rPr>
          <w:rFonts w:ascii="Arial" w:hAnsi="Arial" w:cs="Arial"/>
          <w:sz w:val="22"/>
          <w:szCs w:val="22"/>
        </w:rPr>
        <w:br w:type="page"/>
      </w:r>
    </w:p>
    <w:p w14:paraId="6A2D2B76" w14:textId="42697FE5" w:rsidR="002769AE" w:rsidRPr="0017262D" w:rsidRDefault="002769AE" w:rsidP="002769AE">
      <w:pPr>
        <w:rPr>
          <w:rFonts w:ascii="Arial" w:hAnsi="Arial" w:cs="Arial"/>
          <w:noProof/>
          <w:sz w:val="22"/>
          <w:szCs w:val="22"/>
        </w:rPr>
      </w:pPr>
      <w:r w:rsidRPr="0017262D">
        <w:rPr>
          <w:rFonts w:ascii="Arial" w:hAnsi="Arial" w:cs="Arial"/>
          <w:b/>
          <w:bCs/>
          <w:noProof/>
          <w:sz w:val="22"/>
          <w:szCs w:val="22"/>
        </w:rPr>
        <w:lastRenderedPageBreak/>
        <w:drawing>
          <wp:inline distT="0" distB="0" distL="0" distR="0" wp14:anchorId="2FDCBB39" wp14:editId="1FBE9A39">
            <wp:extent cx="5152390" cy="8229600"/>
            <wp:effectExtent l="0" t="0" r="0" b="0"/>
            <wp:docPr id="543525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525566" name="Picture 543525566"/>
                    <pic:cNvPicPr/>
                  </pic:nvPicPr>
                  <pic:blipFill>
                    <a:blip r:embed="rId8"/>
                    <a:stretch>
                      <a:fillRect/>
                    </a:stretch>
                  </pic:blipFill>
                  <pic:spPr>
                    <a:xfrm>
                      <a:off x="0" y="0"/>
                      <a:ext cx="5152390" cy="8229600"/>
                    </a:xfrm>
                    <a:prstGeom prst="rect">
                      <a:avLst/>
                    </a:prstGeom>
                  </pic:spPr>
                </pic:pic>
              </a:graphicData>
            </a:graphic>
          </wp:inline>
        </w:drawing>
      </w:r>
      <w:r w:rsidR="000002E0" w:rsidRPr="0017262D">
        <w:rPr>
          <w:rFonts w:ascii="Arial" w:hAnsi="Arial" w:cs="Arial"/>
          <w:b/>
          <w:bCs/>
          <w:sz w:val="22"/>
          <w:szCs w:val="22"/>
        </w:rPr>
        <w:lastRenderedPageBreak/>
        <w:t xml:space="preserve">Figure S3. </w:t>
      </w:r>
      <w:r w:rsidRPr="0017262D">
        <w:rPr>
          <w:rFonts w:ascii="Arial" w:hAnsi="Arial" w:cs="Arial"/>
          <w:b/>
          <w:bCs/>
          <w:sz w:val="22"/>
          <w:szCs w:val="22"/>
        </w:rPr>
        <w:t>Phylogenetic trees of the most abundant microbial taxa.</w:t>
      </w:r>
      <w:r w:rsidR="001464FF">
        <w:rPr>
          <w:rFonts w:ascii="Arial" w:hAnsi="Arial" w:cs="Arial"/>
          <w:b/>
          <w:bCs/>
          <w:sz w:val="22"/>
          <w:szCs w:val="22"/>
        </w:rPr>
        <w:t xml:space="preserve"> </w:t>
      </w:r>
      <w:r w:rsidRPr="0017262D">
        <w:rPr>
          <w:rFonts w:ascii="Arial" w:hAnsi="Arial" w:cs="Arial"/>
          <w:sz w:val="22"/>
          <w:szCs w:val="22"/>
        </w:rPr>
        <w:t>(a) Phylogenetic tree of the bacteriome based on species with ≥5,000 reads and ≥20% prevalence.</w:t>
      </w:r>
      <w:r w:rsidR="001464FF">
        <w:rPr>
          <w:rFonts w:ascii="Arial" w:hAnsi="Arial" w:cs="Arial"/>
          <w:sz w:val="22"/>
          <w:szCs w:val="22"/>
        </w:rPr>
        <w:t xml:space="preserve"> </w:t>
      </w:r>
      <w:r w:rsidRPr="0017262D">
        <w:rPr>
          <w:rFonts w:ascii="Arial" w:hAnsi="Arial" w:cs="Arial"/>
          <w:sz w:val="22"/>
          <w:szCs w:val="22"/>
        </w:rPr>
        <w:t xml:space="preserve">(b–e) Phylogenetic trees of the mycobiome, </w:t>
      </w:r>
      <w:proofErr w:type="spellStart"/>
      <w:r w:rsidRPr="0017262D">
        <w:rPr>
          <w:rFonts w:ascii="Arial" w:hAnsi="Arial" w:cs="Arial"/>
          <w:sz w:val="22"/>
          <w:szCs w:val="22"/>
        </w:rPr>
        <w:t>archaeome</w:t>
      </w:r>
      <w:proofErr w:type="spellEnd"/>
      <w:r w:rsidRPr="0017262D">
        <w:rPr>
          <w:rFonts w:ascii="Arial" w:hAnsi="Arial" w:cs="Arial"/>
          <w:sz w:val="22"/>
          <w:szCs w:val="22"/>
        </w:rPr>
        <w:t xml:space="preserve">, </w:t>
      </w:r>
      <w:proofErr w:type="spellStart"/>
      <w:r w:rsidRPr="0017262D">
        <w:rPr>
          <w:rFonts w:ascii="Arial" w:hAnsi="Arial" w:cs="Arial"/>
          <w:sz w:val="22"/>
          <w:szCs w:val="22"/>
        </w:rPr>
        <w:t>virome</w:t>
      </w:r>
      <w:proofErr w:type="spellEnd"/>
      <w:r w:rsidRPr="0017262D">
        <w:rPr>
          <w:rFonts w:ascii="Arial" w:hAnsi="Arial" w:cs="Arial"/>
          <w:sz w:val="22"/>
          <w:szCs w:val="22"/>
        </w:rPr>
        <w:t>, and other non-fungal eukaryotic microbiome, respectively, based on species with ≥1,000 reads and ≥10% prevalence.</w:t>
      </w:r>
      <w:r w:rsidR="001464FF">
        <w:rPr>
          <w:rFonts w:ascii="Arial" w:hAnsi="Arial" w:cs="Arial"/>
          <w:sz w:val="22"/>
          <w:szCs w:val="22"/>
        </w:rPr>
        <w:t xml:space="preserve"> </w:t>
      </w:r>
      <w:r w:rsidRPr="0017262D">
        <w:rPr>
          <w:rFonts w:ascii="Arial" w:hAnsi="Arial" w:cs="Arial"/>
          <w:sz w:val="22"/>
          <w:szCs w:val="22"/>
        </w:rPr>
        <w:t>For all panels (a–e), concentric heatmaps illustrate the relative abundance of taxa across intestinal regions, sample milieus, and donors. Bars in the outer ring indicate the number of donors (0–8) in which each species was observed.</w:t>
      </w:r>
    </w:p>
    <w:p w14:paraId="2BDABBD6" w14:textId="61E9453A" w:rsidR="00031806" w:rsidRPr="0017262D" w:rsidRDefault="00031806">
      <w:pPr>
        <w:rPr>
          <w:rFonts w:ascii="Arial" w:hAnsi="Arial" w:cs="Arial"/>
          <w:sz w:val="22"/>
          <w:szCs w:val="22"/>
        </w:rPr>
      </w:pPr>
      <w:r w:rsidRPr="0017262D">
        <w:rPr>
          <w:rFonts w:ascii="Arial" w:hAnsi="Arial" w:cs="Arial"/>
          <w:sz w:val="22"/>
          <w:szCs w:val="22"/>
        </w:rPr>
        <w:br w:type="page"/>
      </w:r>
    </w:p>
    <w:p w14:paraId="2E1BA6AF" w14:textId="77777777" w:rsidR="00031806" w:rsidRPr="0017262D" w:rsidRDefault="00031806" w:rsidP="00031806">
      <w:pPr>
        <w:rPr>
          <w:rFonts w:ascii="Arial" w:hAnsi="Arial" w:cs="Arial"/>
          <w:sz w:val="22"/>
          <w:szCs w:val="22"/>
        </w:rPr>
      </w:pPr>
      <w:r w:rsidRPr="0017262D">
        <w:rPr>
          <w:rFonts w:ascii="Arial" w:hAnsi="Arial" w:cs="Arial"/>
          <w:noProof/>
          <w:sz w:val="22"/>
          <w:szCs w:val="22"/>
        </w:rPr>
        <w:lastRenderedPageBreak/>
        <w:drawing>
          <wp:inline distT="0" distB="0" distL="0" distR="0" wp14:anchorId="1062271A" wp14:editId="2082C665">
            <wp:extent cx="5486243" cy="4207042"/>
            <wp:effectExtent l="0" t="0" r="635" b="3175"/>
            <wp:docPr id="1826411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11055" name="Picture 1826411055"/>
                    <pic:cNvPicPr/>
                  </pic:nvPicPr>
                  <pic:blipFill rotWithShape="1">
                    <a:blip r:embed="rId9"/>
                    <a:srcRect b="42488"/>
                    <a:stretch>
                      <a:fillRect/>
                    </a:stretch>
                  </pic:blipFill>
                  <pic:spPr bwMode="auto">
                    <a:xfrm>
                      <a:off x="0" y="0"/>
                      <a:ext cx="5486400" cy="4207163"/>
                    </a:xfrm>
                    <a:prstGeom prst="rect">
                      <a:avLst/>
                    </a:prstGeom>
                    <a:ln>
                      <a:noFill/>
                    </a:ln>
                    <a:extLst>
                      <a:ext uri="{53640926-AAD7-44D8-BBD7-CCE9431645EC}">
                        <a14:shadowObscured xmlns:a14="http://schemas.microsoft.com/office/drawing/2010/main"/>
                      </a:ext>
                    </a:extLst>
                  </pic:spPr>
                </pic:pic>
              </a:graphicData>
            </a:graphic>
          </wp:inline>
        </w:drawing>
      </w:r>
    </w:p>
    <w:p w14:paraId="75D662D5" w14:textId="42E58931" w:rsidR="00031806" w:rsidRPr="0017262D" w:rsidRDefault="00031806" w:rsidP="00031806">
      <w:pPr>
        <w:rPr>
          <w:rFonts w:ascii="Arial" w:hAnsi="Arial" w:cs="Arial"/>
          <w:sz w:val="22"/>
          <w:szCs w:val="22"/>
        </w:rPr>
      </w:pPr>
      <w:r w:rsidRPr="0017262D">
        <w:rPr>
          <w:rFonts w:ascii="Arial" w:hAnsi="Arial" w:cs="Arial"/>
          <w:b/>
          <w:bCs/>
          <w:sz w:val="22"/>
          <w:szCs w:val="22"/>
        </w:rPr>
        <w:t>Figure S</w:t>
      </w:r>
      <w:r w:rsidR="000002E0" w:rsidRPr="0017262D">
        <w:rPr>
          <w:rFonts w:ascii="Arial" w:hAnsi="Arial" w:cs="Arial"/>
          <w:b/>
          <w:bCs/>
          <w:sz w:val="22"/>
          <w:szCs w:val="22"/>
        </w:rPr>
        <w:t>4</w:t>
      </w:r>
      <w:r w:rsidRPr="0017262D">
        <w:rPr>
          <w:rFonts w:ascii="Arial" w:hAnsi="Arial" w:cs="Arial"/>
          <w:b/>
          <w:bCs/>
          <w:sz w:val="22"/>
          <w:szCs w:val="22"/>
        </w:rPr>
        <w:t>. Phylogenetic tree of core functional Enzyme Commission (EC) categories.</w:t>
      </w:r>
      <w:r w:rsidR="001464FF">
        <w:rPr>
          <w:rFonts w:ascii="Arial" w:hAnsi="Arial" w:cs="Arial"/>
          <w:b/>
          <w:bCs/>
          <w:sz w:val="22"/>
          <w:szCs w:val="22"/>
        </w:rPr>
        <w:t xml:space="preserve"> </w:t>
      </w:r>
      <w:r w:rsidRPr="0017262D">
        <w:rPr>
          <w:rFonts w:ascii="Arial" w:hAnsi="Arial" w:cs="Arial"/>
          <w:sz w:val="22"/>
          <w:szCs w:val="22"/>
        </w:rPr>
        <w:t>Core functional properties are represented using the Enzyme Commission (EC) classification system. Core EC features are defined based on a relative abundance ≥0.0001 and a prevalence ≥50%. The outer concentric circles indicate the major metabolic pathways associated with each EC number.</w:t>
      </w:r>
    </w:p>
    <w:p w14:paraId="75E3A0A0" w14:textId="4F10AF64" w:rsidR="001A03AF" w:rsidRPr="0017262D" w:rsidRDefault="00031806">
      <w:pPr>
        <w:rPr>
          <w:rFonts w:ascii="Arial" w:hAnsi="Arial" w:cs="Arial"/>
          <w:sz w:val="22"/>
          <w:szCs w:val="22"/>
        </w:rPr>
      </w:pPr>
      <w:r w:rsidRPr="0017262D">
        <w:rPr>
          <w:rFonts w:ascii="Arial" w:hAnsi="Arial" w:cs="Arial"/>
          <w:sz w:val="22"/>
          <w:szCs w:val="22"/>
        </w:rPr>
        <w:br w:type="page"/>
      </w:r>
    </w:p>
    <w:p w14:paraId="7293ADA4" w14:textId="1FA5EAA6" w:rsidR="001A03AF" w:rsidRPr="0017262D" w:rsidRDefault="001A03AF">
      <w:pPr>
        <w:rPr>
          <w:rFonts w:ascii="Arial" w:hAnsi="Arial" w:cs="Arial"/>
          <w:sz w:val="22"/>
          <w:szCs w:val="22"/>
        </w:rPr>
      </w:pPr>
    </w:p>
    <w:p w14:paraId="1BE04B9A" w14:textId="6CA09D9C" w:rsidR="001464FF" w:rsidRDefault="001464FF">
      <w:pPr>
        <w:rPr>
          <w:rFonts w:ascii="Arial" w:hAnsi="Arial" w:cs="Arial"/>
          <w:b/>
          <w:bCs/>
          <w:sz w:val="22"/>
          <w:szCs w:val="22"/>
        </w:rPr>
      </w:pPr>
    </w:p>
    <w:p w14:paraId="38F48E51" w14:textId="3B27ADAF" w:rsidR="001464FF" w:rsidRDefault="001464FF">
      <w:pPr>
        <w:rPr>
          <w:rFonts w:ascii="Arial" w:hAnsi="Arial" w:cs="Arial"/>
          <w:b/>
          <w:bCs/>
          <w:sz w:val="22"/>
          <w:szCs w:val="22"/>
        </w:rPr>
      </w:pPr>
      <w:r w:rsidRPr="0017262D">
        <w:rPr>
          <w:rFonts w:ascii="Arial" w:hAnsi="Arial" w:cs="Arial"/>
          <w:noProof/>
          <w:sz w:val="22"/>
          <w:szCs w:val="22"/>
        </w:rPr>
        <w:drawing>
          <wp:anchor distT="0" distB="0" distL="114300" distR="114300" simplePos="0" relativeHeight="251658240" behindDoc="0" locked="0" layoutInCell="1" allowOverlap="1" wp14:anchorId="0EEEF3D0" wp14:editId="1B733D18">
            <wp:simplePos x="0" y="0"/>
            <wp:positionH relativeFrom="column">
              <wp:posOffset>-343667</wp:posOffset>
            </wp:positionH>
            <wp:positionV relativeFrom="paragraph">
              <wp:posOffset>326816</wp:posOffset>
            </wp:positionV>
            <wp:extent cx="6217920" cy="1785491"/>
            <wp:effectExtent l="0" t="0" r="0" b="5715"/>
            <wp:wrapSquare wrapText="bothSides"/>
            <wp:docPr id="750447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47738" name="Picture 750447738"/>
                    <pic:cNvPicPr/>
                  </pic:nvPicPr>
                  <pic:blipFill>
                    <a:blip r:embed="rId10"/>
                    <a:stretch>
                      <a:fillRect/>
                    </a:stretch>
                  </pic:blipFill>
                  <pic:spPr>
                    <a:xfrm>
                      <a:off x="0" y="0"/>
                      <a:ext cx="6217920" cy="1785491"/>
                    </a:xfrm>
                    <a:prstGeom prst="rect">
                      <a:avLst/>
                    </a:prstGeom>
                  </pic:spPr>
                </pic:pic>
              </a:graphicData>
            </a:graphic>
            <wp14:sizeRelH relativeFrom="page">
              <wp14:pctWidth>0</wp14:pctWidth>
            </wp14:sizeRelH>
            <wp14:sizeRelV relativeFrom="page">
              <wp14:pctHeight>0</wp14:pctHeight>
            </wp14:sizeRelV>
          </wp:anchor>
        </w:drawing>
      </w:r>
    </w:p>
    <w:p w14:paraId="5F19AECE" w14:textId="77777777" w:rsidR="001464FF" w:rsidRDefault="001464FF">
      <w:pPr>
        <w:rPr>
          <w:rFonts w:ascii="Arial" w:hAnsi="Arial" w:cs="Arial"/>
          <w:b/>
          <w:bCs/>
          <w:sz w:val="22"/>
          <w:szCs w:val="22"/>
        </w:rPr>
      </w:pPr>
    </w:p>
    <w:p w14:paraId="6CD81369" w14:textId="77777777" w:rsidR="001464FF" w:rsidRDefault="001464FF">
      <w:pPr>
        <w:rPr>
          <w:rFonts w:ascii="Arial" w:hAnsi="Arial" w:cs="Arial"/>
          <w:b/>
          <w:bCs/>
          <w:sz w:val="22"/>
          <w:szCs w:val="22"/>
        </w:rPr>
      </w:pPr>
    </w:p>
    <w:p w14:paraId="5E3500B4" w14:textId="77777777" w:rsidR="001464FF" w:rsidRDefault="001464FF">
      <w:pPr>
        <w:rPr>
          <w:rFonts w:ascii="Arial" w:hAnsi="Arial" w:cs="Arial"/>
          <w:b/>
          <w:bCs/>
          <w:sz w:val="22"/>
          <w:szCs w:val="22"/>
        </w:rPr>
      </w:pPr>
    </w:p>
    <w:p w14:paraId="7B0EE982" w14:textId="77777777" w:rsidR="001464FF" w:rsidRDefault="001464FF">
      <w:pPr>
        <w:rPr>
          <w:rFonts w:ascii="Arial" w:hAnsi="Arial" w:cs="Arial"/>
          <w:b/>
          <w:bCs/>
          <w:sz w:val="22"/>
          <w:szCs w:val="22"/>
        </w:rPr>
      </w:pPr>
    </w:p>
    <w:p w14:paraId="5D397CDC" w14:textId="3268D70D" w:rsidR="001A03AF" w:rsidRPr="0017262D" w:rsidRDefault="009E4508">
      <w:pPr>
        <w:rPr>
          <w:rFonts w:ascii="Arial" w:hAnsi="Arial" w:cs="Arial"/>
          <w:sz w:val="22"/>
          <w:szCs w:val="22"/>
        </w:rPr>
      </w:pPr>
      <w:r w:rsidRPr="0017262D">
        <w:rPr>
          <w:rFonts w:ascii="Arial" w:hAnsi="Arial" w:cs="Arial"/>
          <w:b/>
          <w:bCs/>
          <w:sz w:val="22"/>
          <w:szCs w:val="22"/>
        </w:rPr>
        <w:t>Figure S</w:t>
      </w:r>
      <w:r w:rsidR="000002E0" w:rsidRPr="0017262D">
        <w:rPr>
          <w:rFonts w:ascii="Arial" w:hAnsi="Arial" w:cs="Arial"/>
          <w:b/>
          <w:bCs/>
          <w:sz w:val="22"/>
          <w:szCs w:val="22"/>
        </w:rPr>
        <w:t>5</w:t>
      </w:r>
      <w:r w:rsidRPr="0017262D">
        <w:rPr>
          <w:rFonts w:ascii="Arial" w:hAnsi="Arial" w:cs="Arial"/>
          <w:b/>
          <w:bCs/>
          <w:sz w:val="22"/>
          <w:szCs w:val="22"/>
        </w:rPr>
        <w:t>. EC functional diversity across intestinal regions.</w:t>
      </w:r>
      <w:r w:rsidR="001464FF">
        <w:rPr>
          <w:rFonts w:ascii="Arial" w:hAnsi="Arial" w:cs="Arial"/>
          <w:b/>
          <w:bCs/>
          <w:sz w:val="22"/>
          <w:szCs w:val="22"/>
        </w:rPr>
        <w:t xml:space="preserve"> </w:t>
      </w:r>
      <w:r w:rsidRPr="0017262D">
        <w:rPr>
          <w:rFonts w:ascii="Arial" w:hAnsi="Arial" w:cs="Arial"/>
          <w:sz w:val="22"/>
          <w:szCs w:val="22"/>
        </w:rPr>
        <w:t>(a) Beta diversity of EC profiles comparing sample milieu (lumen versus mucosa) and intestinal sections (large versus small intestine).</w:t>
      </w:r>
      <w:r w:rsidR="001464FF">
        <w:rPr>
          <w:rFonts w:ascii="Arial" w:hAnsi="Arial" w:cs="Arial"/>
          <w:sz w:val="22"/>
          <w:szCs w:val="22"/>
        </w:rPr>
        <w:t xml:space="preserve"> </w:t>
      </w:r>
      <w:r w:rsidRPr="0017262D">
        <w:rPr>
          <w:rFonts w:ascii="Arial" w:hAnsi="Arial" w:cs="Arial"/>
          <w:sz w:val="22"/>
          <w:szCs w:val="22"/>
        </w:rPr>
        <w:t>(b) Alpha diversity, including richness and Shannon diversity, across intestinal sections (large versus small intestine) and individual segments (duodenum, jejunum, ileum, ascending colon, transverse colon, and descending colon).</w:t>
      </w:r>
      <w:r w:rsidR="001464FF">
        <w:rPr>
          <w:rFonts w:ascii="Arial" w:hAnsi="Arial" w:cs="Arial"/>
          <w:sz w:val="22"/>
          <w:szCs w:val="22"/>
        </w:rPr>
        <w:t xml:space="preserve"> </w:t>
      </w:r>
      <w:r w:rsidRPr="0017262D">
        <w:rPr>
          <w:rFonts w:ascii="Arial" w:hAnsi="Arial" w:cs="Arial"/>
          <w:sz w:val="22"/>
          <w:szCs w:val="22"/>
        </w:rPr>
        <w:t>(c) Relative abundance of seven major enzyme classes across the large and small intestine.</w:t>
      </w:r>
      <w:r w:rsidR="001A03AF" w:rsidRPr="0017262D">
        <w:rPr>
          <w:rFonts w:ascii="Arial" w:hAnsi="Arial" w:cs="Arial"/>
          <w:sz w:val="22"/>
          <w:szCs w:val="22"/>
        </w:rPr>
        <w:br w:type="page"/>
      </w:r>
    </w:p>
    <w:p w14:paraId="529587C7" w14:textId="136BE3AD" w:rsidR="008D7E87" w:rsidRPr="0017262D" w:rsidRDefault="008D7E87">
      <w:pPr>
        <w:rPr>
          <w:rFonts w:ascii="Arial" w:hAnsi="Arial" w:cs="Arial"/>
          <w:sz w:val="22"/>
          <w:szCs w:val="22"/>
        </w:rPr>
      </w:pPr>
      <w:r w:rsidRPr="0017262D">
        <w:rPr>
          <w:rFonts w:ascii="Arial" w:hAnsi="Arial" w:cs="Arial"/>
          <w:noProof/>
          <w:sz w:val="22"/>
          <w:szCs w:val="22"/>
        </w:rPr>
        <w:lastRenderedPageBreak/>
        <w:drawing>
          <wp:inline distT="0" distB="0" distL="0" distR="0" wp14:anchorId="2D0A2F3A" wp14:editId="13401D2C">
            <wp:extent cx="5486400" cy="5351780"/>
            <wp:effectExtent l="0" t="0" r="0" b="1270"/>
            <wp:docPr id="2023569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69871" name="Picture 2023569871"/>
                    <pic:cNvPicPr/>
                  </pic:nvPicPr>
                  <pic:blipFill>
                    <a:blip r:embed="rId11"/>
                    <a:stretch>
                      <a:fillRect/>
                    </a:stretch>
                  </pic:blipFill>
                  <pic:spPr>
                    <a:xfrm>
                      <a:off x="0" y="0"/>
                      <a:ext cx="5486400" cy="5351780"/>
                    </a:xfrm>
                    <a:prstGeom prst="rect">
                      <a:avLst/>
                    </a:prstGeom>
                  </pic:spPr>
                </pic:pic>
              </a:graphicData>
            </a:graphic>
          </wp:inline>
        </w:drawing>
      </w:r>
    </w:p>
    <w:p w14:paraId="713C8D65" w14:textId="1A3E2FC5" w:rsidR="00031806" w:rsidRPr="0017262D" w:rsidRDefault="009E4508">
      <w:pPr>
        <w:rPr>
          <w:rFonts w:ascii="Arial" w:hAnsi="Arial" w:cs="Arial"/>
          <w:sz w:val="22"/>
          <w:szCs w:val="22"/>
        </w:rPr>
      </w:pPr>
      <w:r w:rsidRPr="0017262D">
        <w:rPr>
          <w:rFonts w:ascii="Arial" w:hAnsi="Arial" w:cs="Arial"/>
          <w:b/>
          <w:bCs/>
          <w:sz w:val="22"/>
          <w:szCs w:val="22"/>
        </w:rPr>
        <w:t>Figure S</w:t>
      </w:r>
      <w:r w:rsidR="000002E0" w:rsidRPr="0017262D">
        <w:rPr>
          <w:rFonts w:ascii="Arial" w:hAnsi="Arial" w:cs="Arial"/>
          <w:b/>
          <w:bCs/>
          <w:sz w:val="22"/>
          <w:szCs w:val="22"/>
        </w:rPr>
        <w:t>6</w:t>
      </w:r>
      <w:r w:rsidRPr="0017262D">
        <w:rPr>
          <w:rFonts w:ascii="Arial" w:hAnsi="Arial" w:cs="Arial"/>
          <w:b/>
          <w:bCs/>
          <w:sz w:val="22"/>
          <w:szCs w:val="22"/>
        </w:rPr>
        <w:t>. Antimicrobial resistance (AMR) gene family abundance and richness across intestinal environments.</w:t>
      </w:r>
      <w:r w:rsidR="001464FF">
        <w:rPr>
          <w:rFonts w:ascii="Arial" w:hAnsi="Arial" w:cs="Arial"/>
          <w:b/>
          <w:bCs/>
          <w:sz w:val="22"/>
          <w:szCs w:val="22"/>
        </w:rPr>
        <w:t xml:space="preserve"> </w:t>
      </w:r>
      <w:r w:rsidRPr="0017262D">
        <w:rPr>
          <w:rFonts w:ascii="Arial" w:hAnsi="Arial" w:cs="Arial"/>
          <w:sz w:val="22"/>
          <w:szCs w:val="22"/>
        </w:rPr>
        <w:t>Abundance and richness of AMR gene families are shown across (a) sample milieu (mucosa versus lumen), (b) intestinal sections (small versus large intestine), and (c) individual segments (duodenum, jejunum, ileum, ascending colon, transverse colon, and descending colon).</w:t>
      </w:r>
      <w:r w:rsidR="00031806" w:rsidRPr="0017262D">
        <w:rPr>
          <w:rFonts w:ascii="Arial" w:hAnsi="Arial" w:cs="Arial"/>
          <w:sz w:val="22"/>
          <w:szCs w:val="22"/>
        </w:rPr>
        <w:br w:type="page"/>
      </w:r>
    </w:p>
    <w:p w14:paraId="6EC42CA2" w14:textId="08931207" w:rsidR="00031806" w:rsidRPr="0017262D" w:rsidRDefault="00031806">
      <w:pPr>
        <w:rPr>
          <w:rFonts w:ascii="Arial" w:hAnsi="Arial" w:cs="Arial"/>
          <w:sz w:val="22"/>
          <w:szCs w:val="22"/>
        </w:rPr>
      </w:pPr>
      <w:r w:rsidRPr="0017262D">
        <w:rPr>
          <w:rFonts w:ascii="Arial" w:hAnsi="Arial" w:cs="Arial"/>
          <w:noProof/>
          <w:sz w:val="22"/>
          <w:szCs w:val="22"/>
        </w:rPr>
        <w:lastRenderedPageBreak/>
        <w:drawing>
          <wp:inline distT="0" distB="0" distL="0" distR="0" wp14:anchorId="0D273EDC" wp14:editId="0BB265CE">
            <wp:extent cx="5486400" cy="7349490"/>
            <wp:effectExtent l="0" t="0" r="0" b="3810"/>
            <wp:docPr id="5352872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7247" name="Picture 535287247"/>
                    <pic:cNvPicPr/>
                  </pic:nvPicPr>
                  <pic:blipFill>
                    <a:blip r:embed="rId12"/>
                    <a:stretch>
                      <a:fillRect/>
                    </a:stretch>
                  </pic:blipFill>
                  <pic:spPr>
                    <a:xfrm>
                      <a:off x="0" y="0"/>
                      <a:ext cx="5486400" cy="7349490"/>
                    </a:xfrm>
                    <a:prstGeom prst="rect">
                      <a:avLst/>
                    </a:prstGeom>
                  </pic:spPr>
                </pic:pic>
              </a:graphicData>
            </a:graphic>
          </wp:inline>
        </w:drawing>
      </w:r>
    </w:p>
    <w:p w14:paraId="0185839B" w14:textId="78784EFA" w:rsidR="00C13996" w:rsidRPr="0017262D" w:rsidRDefault="004F4579">
      <w:pPr>
        <w:rPr>
          <w:rFonts w:ascii="Arial" w:hAnsi="Arial" w:cs="Arial"/>
          <w:sz w:val="22"/>
          <w:szCs w:val="22"/>
        </w:rPr>
      </w:pPr>
      <w:r w:rsidRPr="0017262D">
        <w:rPr>
          <w:rFonts w:ascii="Arial" w:hAnsi="Arial" w:cs="Arial"/>
          <w:b/>
          <w:bCs/>
          <w:sz w:val="22"/>
          <w:szCs w:val="22"/>
        </w:rPr>
        <w:t>Figure S</w:t>
      </w:r>
      <w:r w:rsidR="000002E0" w:rsidRPr="0017262D">
        <w:rPr>
          <w:rFonts w:ascii="Arial" w:hAnsi="Arial" w:cs="Arial"/>
          <w:b/>
          <w:bCs/>
          <w:sz w:val="22"/>
          <w:szCs w:val="22"/>
        </w:rPr>
        <w:t>7</w:t>
      </w:r>
      <w:r w:rsidRPr="0017262D">
        <w:rPr>
          <w:rFonts w:ascii="Arial" w:hAnsi="Arial" w:cs="Arial"/>
          <w:b/>
          <w:bCs/>
          <w:sz w:val="22"/>
          <w:szCs w:val="22"/>
        </w:rPr>
        <w:t>. AMR gene class and family diversity stratified by host demographics.</w:t>
      </w:r>
      <w:r w:rsidRPr="0017262D">
        <w:rPr>
          <w:rFonts w:ascii="Arial" w:hAnsi="Arial" w:cs="Arial"/>
          <w:sz w:val="22"/>
          <w:szCs w:val="22"/>
        </w:rPr>
        <w:br/>
        <w:t>Abundance and richness of antimicrobial resistance (AMR) gene drug classes and gene families are shown stratified by (a) age and (b) gender.</w:t>
      </w:r>
    </w:p>
    <w:p w14:paraId="7E2E5F5D" w14:textId="77777777" w:rsidR="00B9118E" w:rsidRPr="0017262D" w:rsidRDefault="00B9118E">
      <w:pPr>
        <w:rPr>
          <w:rFonts w:ascii="Arial" w:hAnsi="Arial" w:cs="Arial"/>
          <w:sz w:val="22"/>
          <w:szCs w:val="22"/>
        </w:rPr>
      </w:pPr>
      <w:r w:rsidRPr="0017262D">
        <w:rPr>
          <w:rFonts w:ascii="Arial" w:hAnsi="Arial" w:cs="Arial"/>
          <w:noProof/>
          <w:sz w:val="22"/>
          <w:szCs w:val="22"/>
        </w:rPr>
        <w:lastRenderedPageBreak/>
        <w:drawing>
          <wp:inline distT="0" distB="0" distL="0" distR="0" wp14:anchorId="056EBFF6" wp14:editId="2705917A">
            <wp:extent cx="5486400" cy="2927350"/>
            <wp:effectExtent l="0" t="0" r="0" b="6350"/>
            <wp:docPr id="151552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26224" name="Picture 1515526224"/>
                    <pic:cNvPicPr/>
                  </pic:nvPicPr>
                  <pic:blipFill>
                    <a:blip r:embed="rId13"/>
                    <a:stretch>
                      <a:fillRect/>
                    </a:stretch>
                  </pic:blipFill>
                  <pic:spPr>
                    <a:xfrm>
                      <a:off x="0" y="0"/>
                      <a:ext cx="5486400" cy="2927350"/>
                    </a:xfrm>
                    <a:prstGeom prst="rect">
                      <a:avLst/>
                    </a:prstGeom>
                  </pic:spPr>
                </pic:pic>
              </a:graphicData>
            </a:graphic>
          </wp:inline>
        </w:drawing>
      </w:r>
    </w:p>
    <w:p w14:paraId="7C6C1FF3" w14:textId="77777777" w:rsidR="00B9118E" w:rsidRPr="0017262D" w:rsidRDefault="00B9118E" w:rsidP="00B9118E">
      <w:pPr>
        <w:rPr>
          <w:rFonts w:ascii="Arial" w:hAnsi="Arial" w:cs="Arial"/>
          <w:sz w:val="22"/>
          <w:szCs w:val="22"/>
        </w:rPr>
      </w:pPr>
    </w:p>
    <w:p w14:paraId="5B12B9FE" w14:textId="548EBA94" w:rsidR="00B9118E" w:rsidRPr="0017262D" w:rsidRDefault="00B9118E" w:rsidP="00B9118E">
      <w:pPr>
        <w:rPr>
          <w:rFonts w:ascii="Arial" w:hAnsi="Arial" w:cs="Arial"/>
          <w:sz w:val="22"/>
          <w:szCs w:val="22"/>
        </w:rPr>
      </w:pPr>
      <w:r w:rsidRPr="0017262D">
        <w:rPr>
          <w:rFonts w:ascii="Arial" w:hAnsi="Arial" w:cs="Arial"/>
          <w:b/>
          <w:bCs/>
          <w:sz w:val="22"/>
          <w:szCs w:val="22"/>
        </w:rPr>
        <w:t>Figure S8. Microbial community clustering and correlation structure across intestinal regions and milieus.</w:t>
      </w:r>
      <w:r w:rsidR="001464FF">
        <w:rPr>
          <w:rFonts w:ascii="Arial" w:hAnsi="Arial" w:cs="Arial"/>
          <w:b/>
          <w:bCs/>
          <w:sz w:val="22"/>
          <w:szCs w:val="22"/>
        </w:rPr>
        <w:t xml:space="preserve"> </w:t>
      </w:r>
      <w:r w:rsidRPr="0017262D">
        <w:rPr>
          <w:rFonts w:ascii="Arial" w:hAnsi="Arial" w:cs="Arial"/>
          <w:sz w:val="22"/>
          <w:szCs w:val="22"/>
        </w:rPr>
        <w:t xml:space="preserve">Cluster analysis based on </w:t>
      </w:r>
      <w:proofErr w:type="spellStart"/>
      <w:r w:rsidRPr="0017262D">
        <w:rPr>
          <w:rFonts w:ascii="Arial" w:hAnsi="Arial" w:cs="Arial"/>
          <w:sz w:val="22"/>
          <w:szCs w:val="22"/>
        </w:rPr>
        <w:t>CCrepe</w:t>
      </w:r>
      <w:proofErr w:type="spellEnd"/>
      <w:r w:rsidRPr="0017262D">
        <w:rPr>
          <w:rFonts w:ascii="Arial" w:hAnsi="Arial" w:cs="Arial"/>
          <w:sz w:val="22"/>
          <w:szCs w:val="22"/>
        </w:rPr>
        <w:t>-derived correlations of species relative abundance identified distinct microbial community structures. Four panels represent the small intestine, large intestine, lumen, and mucosa, respectively. Niche-associated communities, which we determined as Persistent microbial community states (PMCs), were identified. Within each cluster, correlation analysis of the top 10 most abundant taxa defined smaller units of correlation structure (UCS).</w:t>
      </w:r>
    </w:p>
    <w:p w14:paraId="77954653" w14:textId="1BAAAFFE" w:rsidR="00B9118E" w:rsidRPr="0017262D" w:rsidRDefault="00B9118E">
      <w:pPr>
        <w:rPr>
          <w:rFonts w:ascii="Arial" w:hAnsi="Arial" w:cs="Arial"/>
          <w:sz w:val="22"/>
          <w:szCs w:val="22"/>
        </w:rPr>
      </w:pPr>
      <w:r w:rsidRPr="0017262D">
        <w:rPr>
          <w:rFonts w:ascii="Arial" w:hAnsi="Arial" w:cs="Arial"/>
          <w:sz w:val="22"/>
          <w:szCs w:val="22"/>
        </w:rPr>
        <w:br w:type="page"/>
      </w:r>
    </w:p>
    <w:p w14:paraId="0C5BA080" w14:textId="77777777" w:rsidR="00B9118E" w:rsidRPr="0017262D" w:rsidRDefault="00B9118E">
      <w:pPr>
        <w:rPr>
          <w:rFonts w:ascii="Arial" w:hAnsi="Arial" w:cs="Arial"/>
          <w:sz w:val="22"/>
          <w:szCs w:val="22"/>
        </w:rPr>
      </w:pPr>
    </w:p>
    <w:p w14:paraId="5527ED88" w14:textId="77777777" w:rsidR="00C13996" w:rsidRPr="0017262D" w:rsidRDefault="00C13996">
      <w:pPr>
        <w:rPr>
          <w:rFonts w:ascii="Arial" w:hAnsi="Arial" w:cs="Arial"/>
          <w:sz w:val="22"/>
          <w:szCs w:val="22"/>
        </w:rPr>
      </w:pPr>
      <w:r w:rsidRPr="0017262D">
        <w:rPr>
          <w:rFonts w:ascii="Arial" w:hAnsi="Arial" w:cs="Arial"/>
          <w:noProof/>
          <w:sz w:val="22"/>
          <w:szCs w:val="22"/>
        </w:rPr>
        <w:drawing>
          <wp:inline distT="0" distB="0" distL="0" distR="0" wp14:anchorId="77779C38" wp14:editId="57CBD03E">
            <wp:extent cx="5486400" cy="7315200"/>
            <wp:effectExtent l="0" t="0" r="0" b="0"/>
            <wp:docPr id="11377204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03031DE7" w14:textId="04DF82D3" w:rsidR="00031806" w:rsidRPr="001464FF" w:rsidRDefault="00C13996">
      <w:pPr>
        <w:rPr>
          <w:rFonts w:ascii="Arial" w:hAnsi="Arial" w:cs="Arial"/>
          <w:b/>
          <w:bCs/>
          <w:sz w:val="22"/>
          <w:szCs w:val="22"/>
        </w:rPr>
      </w:pPr>
      <w:r w:rsidRPr="0017262D">
        <w:rPr>
          <w:rFonts w:ascii="Arial" w:hAnsi="Arial" w:cs="Arial"/>
          <w:b/>
          <w:bCs/>
          <w:sz w:val="22"/>
          <w:szCs w:val="22"/>
        </w:rPr>
        <w:t>Figure S</w:t>
      </w:r>
      <w:r w:rsidR="00B9118E" w:rsidRPr="0017262D">
        <w:rPr>
          <w:rFonts w:ascii="Arial" w:hAnsi="Arial" w:cs="Arial"/>
          <w:b/>
          <w:bCs/>
          <w:sz w:val="22"/>
          <w:szCs w:val="22"/>
        </w:rPr>
        <w:t>9</w:t>
      </w:r>
      <w:r w:rsidRPr="0017262D">
        <w:rPr>
          <w:rFonts w:ascii="Arial" w:hAnsi="Arial" w:cs="Arial"/>
          <w:b/>
          <w:bCs/>
          <w:sz w:val="22"/>
          <w:szCs w:val="22"/>
        </w:rPr>
        <w:t xml:space="preserve">. </w:t>
      </w:r>
      <w:r w:rsidRPr="001464FF">
        <w:rPr>
          <w:rFonts w:ascii="Arial" w:hAnsi="Arial" w:cs="Arial"/>
          <w:sz w:val="22"/>
          <w:szCs w:val="22"/>
        </w:rPr>
        <w:t>Tissue collection and sample processing.</w:t>
      </w:r>
      <w:r w:rsidR="001464FF">
        <w:rPr>
          <w:rFonts w:ascii="Arial" w:hAnsi="Arial" w:cs="Arial"/>
          <w:sz w:val="22"/>
          <w:szCs w:val="22"/>
        </w:rPr>
        <w:t xml:space="preserve"> </w:t>
      </w:r>
      <w:r w:rsidR="003D0E9A" w:rsidRPr="0017262D">
        <w:rPr>
          <w:rFonts w:ascii="Arial" w:hAnsi="Arial" w:cs="Arial"/>
          <w:sz w:val="22"/>
          <w:szCs w:val="22"/>
        </w:rPr>
        <w:t xml:space="preserve">The intestinal samples were obtained from six segments (duodenum, jejunum, ileum, ascending colon, transverse </w:t>
      </w:r>
      <w:r w:rsidR="003D0E9A" w:rsidRPr="0017262D">
        <w:rPr>
          <w:rFonts w:ascii="Arial" w:hAnsi="Arial" w:cs="Arial"/>
          <w:sz w:val="22"/>
          <w:szCs w:val="22"/>
        </w:rPr>
        <w:lastRenderedPageBreak/>
        <w:t>colon, and descending colon), and each fragment was subdivided into luminal contents and mucosal scrapings, yielding 12 samples per donor. Mucosal scrapings were collected using a sterile surgical blade, and luminal contents were obtained using sterile disposable culture loops.</w:t>
      </w:r>
    </w:p>
    <w:sectPr w:rsidR="00031806" w:rsidRPr="001464FF">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F4F4D" w14:textId="77777777" w:rsidR="005D2C26" w:rsidRDefault="005D2C26" w:rsidP="000002E0">
      <w:pPr>
        <w:spacing w:after="0" w:line="240" w:lineRule="auto"/>
      </w:pPr>
      <w:r>
        <w:separator/>
      </w:r>
    </w:p>
  </w:endnote>
  <w:endnote w:type="continuationSeparator" w:id="0">
    <w:p w14:paraId="72B75366" w14:textId="77777777" w:rsidR="005D2C26" w:rsidRDefault="005D2C26" w:rsidP="000002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6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F38927" w14:textId="77777777" w:rsidR="005D2C26" w:rsidRDefault="005D2C26" w:rsidP="000002E0">
      <w:pPr>
        <w:spacing w:after="0" w:line="240" w:lineRule="auto"/>
      </w:pPr>
      <w:r>
        <w:separator/>
      </w:r>
    </w:p>
  </w:footnote>
  <w:footnote w:type="continuationSeparator" w:id="0">
    <w:p w14:paraId="13513A5D" w14:textId="77777777" w:rsidR="005D2C26" w:rsidRDefault="005D2C26" w:rsidP="000002E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857"/>
    <w:rsid w:val="000002E0"/>
    <w:rsid w:val="00031806"/>
    <w:rsid w:val="00071B5C"/>
    <w:rsid w:val="00135E35"/>
    <w:rsid w:val="001464FF"/>
    <w:rsid w:val="0017262D"/>
    <w:rsid w:val="001A03AF"/>
    <w:rsid w:val="002769AE"/>
    <w:rsid w:val="003225C5"/>
    <w:rsid w:val="003D0E9A"/>
    <w:rsid w:val="00475523"/>
    <w:rsid w:val="004F4579"/>
    <w:rsid w:val="005B7518"/>
    <w:rsid w:val="005D2C26"/>
    <w:rsid w:val="007D1FA0"/>
    <w:rsid w:val="008D7E87"/>
    <w:rsid w:val="00910857"/>
    <w:rsid w:val="009E4508"/>
    <w:rsid w:val="00A86669"/>
    <w:rsid w:val="00AA3287"/>
    <w:rsid w:val="00B9118E"/>
    <w:rsid w:val="00B94A1E"/>
    <w:rsid w:val="00BB6798"/>
    <w:rsid w:val="00C139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0A50EA7"/>
  <w15:chartTrackingRefBased/>
  <w15:docId w15:val="{1EC2C37C-894B-4DFD-B942-E6539C61B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085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1085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1085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1085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1085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1085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1085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1085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1085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085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1085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1085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1085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1085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108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108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108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10857"/>
    <w:rPr>
      <w:rFonts w:eastAsiaTheme="majorEastAsia" w:cstheme="majorBidi"/>
      <w:color w:val="272727" w:themeColor="text1" w:themeTint="D8"/>
    </w:rPr>
  </w:style>
  <w:style w:type="paragraph" w:styleId="Title">
    <w:name w:val="Title"/>
    <w:basedOn w:val="Normal"/>
    <w:next w:val="Normal"/>
    <w:link w:val="TitleChar"/>
    <w:uiPriority w:val="10"/>
    <w:qFormat/>
    <w:rsid w:val="009108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108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108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108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10857"/>
    <w:pPr>
      <w:spacing w:before="160"/>
      <w:jc w:val="center"/>
    </w:pPr>
    <w:rPr>
      <w:i/>
      <w:iCs/>
      <w:color w:val="404040" w:themeColor="text1" w:themeTint="BF"/>
    </w:rPr>
  </w:style>
  <w:style w:type="character" w:customStyle="1" w:styleId="QuoteChar">
    <w:name w:val="Quote Char"/>
    <w:basedOn w:val="DefaultParagraphFont"/>
    <w:link w:val="Quote"/>
    <w:uiPriority w:val="29"/>
    <w:rsid w:val="00910857"/>
    <w:rPr>
      <w:i/>
      <w:iCs/>
      <w:color w:val="404040" w:themeColor="text1" w:themeTint="BF"/>
    </w:rPr>
  </w:style>
  <w:style w:type="paragraph" w:styleId="ListParagraph">
    <w:name w:val="List Paragraph"/>
    <w:basedOn w:val="Normal"/>
    <w:uiPriority w:val="34"/>
    <w:qFormat/>
    <w:rsid w:val="00910857"/>
    <w:pPr>
      <w:ind w:left="720"/>
      <w:contextualSpacing/>
    </w:pPr>
  </w:style>
  <w:style w:type="character" w:styleId="IntenseEmphasis">
    <w:name w:val="Intense Emphasis"/>
    <w:basedOn w:val="DefaultParagraphFont"/>
    <w:uiPriority w:val="21"/>
    <w:qFormat/>
    <w:rsid w:val="00910857"/>
    <w:rPr>
      <w:i/>
      <w:iCs/>
      <w:color w:val="0F4761" w:themeColor="accent1" w:themeShade="BF"/>
    </w:rPr>
  </w:style>
  <w:style w:type="paragraph" w:styleId="IntenseQuote">
    <w:name w:val="Intense Quote"/>
    <w:basedOn w:val="Normal"/>
    <w:next w:val="Normal"/>
    <w:link w:val="IntenseQuoteChar"/>
    <w:uiPriority w:val="30"/>
    <w:qFormat/>
    <w:rsid w:val="009108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10857"/>
    <w:rPr>
      <w:i/>
      <w:iCs/>
      <w:color w:val="0F4761" w:themeColor="accent1" w:themeShade="BF"/>
    </w:rPr>
  </w:style>
  <w:style w:type="character" w:styleId="IntenseReference">
    <w:name w:val="Intense Reference"/>
    <w:basedOn w:val="DefaultParagraphFont"/>
    <w:uiPriority w:val="32"/>
    <w:qFormat/>
    <w:rsid w:val="00910857"/>
    <w:rPr>
      <w:b/>
      <w:bCs/>
      <w:smallCaps/>
      <w:color w:val="0F4761" w:themeColor="accent1" w:themeShade="BF"/>
      <w:spacing w:val="5"/>
    </w:rPr>
  </w:style>
  <w:style w:type="character" w:styleId="CommentReference">
    <w:name w:val="annotation reference"/>
    <w:basedOn w:val="DefaultParagraphFont"/>
    <w:uiPriority w:val="99"/>
    <w:semiHidden/>
    <w:unhideWhenUsed/>
    <w:rsid w:val="003D0E9A"/>
    <w:rPr>
      <w:sz w:val="16"/>
      <w:szCs w:val="16"/>
    </w:rPr>
  </w:style>
  <w:style w:type="paragraph" w:styleId="CommentText">
    <w:name w:val="annotation text"/>
    <w:basedOn w:val="Normal"/>
    <w:link w:val="CommentTextChar"/>
    <w:uiPriority w:val="99"/>
    <w:semiHidden/>
    <w:unhideWhenUsed/>
    <w:rsid w:val="003D0E9A"/>
    <w:pPr>
      <w:spacing w:after="0" w:line="240" w:lineRule="auto"/>
    </w:pPr>
    <w:rPr>
      <w:rFonts w:ascii="Times New Roman" w:eastAsia="Times New Roman" w:hAnsi="Times New Roman" w:cs="Times New Roman"/>
      <w:kern w:val="0"/>
      <w:sz w:val="20"/>
      <w:szCs w:val="20"/>
      <w:lang w:eastAsia="en-US"/>
      <w14:ligatures w14:val="none"/>
    </w:rPr>
  </w:style>
  <w:style w:type="character" w:customStyle="1" w:styleId="CommentTextChar">
    <w:name w:val="Comment Text Char"/>
    <w:basedOn w:val="DefaultParagraphFont"/>
    <w:link w:val="CommentText"/>
    <w:uiPriority w:val="99"/>
    <w:semiHidden/>
    <w:rsid w:val="003D0E9A"/>
    <w:rPr>
      <w:rFonts w:ascii="Times New Roman" w:eastAsia="Times New Roman" w:hAnsi="Times New Roman" w:cs="Times New Roman"/>
      <w:kern w:val="0"/>
      <w:sz w:val="20"/>
      <w:szCs w:val="20"/>
      <w:lang w:eastAsia="en-US"/>
      <w14:ligatures w14:val="none"/>
    </w:rPr>
  </w:style>
  <w:style w:type="paragraph" w:styleId="Header">
    <w:name w:val="header"/>
    <w:basedOn w:val="Normal"/>
    <w:link w:val="HeaderChar"/>
    <w:uiPriority w:val="99"/>
    <w:unhideWhenUsed/>
    <w:rsid w:val="000002E0"/>
    <w:pPr>
      <w:tabs>
        <w:tab w:val="center" w:pos="4320"/>
        <w:tab w:val="right" w:pos="8640"/>
      </w:tabs>
      <w:spacing w:after="0" w:line="240" w:lineRule="auto"/>
    </w:pPr>
  </w:style>
  <w:style w:type="character" w:customStyle="1" w:styleId="HeaderChar">
    <w:name w:val="Header Char"/>
    <w:basedOn w:val="DefaultParagraphFont"/>
    <w:link w:val="Header"/>
    <w:uiPriority w:val="99"/>
    <w:rsid w:val="000002E0"/>
  </w:style>
  <w:style w:type="paragraph" w:styleId="Footer">
    <w:name w:val="footer"/>
    <w:basedOn w:val="Normal"/>
    <w:link w:val="FooterChar"/>
    <w:uiPriority w:val="99"/>
    <w:unhideWhenUsed/>
    <w:rsid w:val="000002E0"/>
    <w:pPr>
      <w:tabs>
        <w:tab w:val="center" w:pos="4320"/>
        <w:tab w:val="right" w:pos="8640"/>
      </w:tabs>
      <w:spacing w:after="0" w:line="240" w:lineRule="auto"/>
    </w:pPr>
  </w:style>
  <w:style w:type="character" w:customStyle="1" w:styleId="FooterChar">
    <w:name w:val="Footer Char"/>
    <w:basedOn w:val="DefaultParagraphFont"/>
    <w:link w:val="Footer"/>
    <w:uiPriority w:val="99"/>
    <w:rsid w:val="000002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639</Words>
  <Characters>3645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Yunan</dc:creator>
  <cp:keywords/>
  <dc:description/>
  <cp:lastModifiedBy>Azcarate-Peril, M. Andrea</cp:lastModifiedBy>
  <cp:revision>3</cp:revision>
  <dcterms:created xsi:type="dcterms:W3CDTF">2026-06-02T12:15:00Z</dcterms:created>
  <dcterms:modified xsi:type="dcterms:W3CDTF">2026-06-02T12:19:00Z</dcterms:modified>
</cp:coreProperties>
</file>