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672E" w14:textId="77777777" w:rsidR="00310C52" w:rsidRDefault="00000000">
      <w:pPr>
        <w:jc w:val="center"/>
      </w:pPr>
      <w:r>
        <w:rPr>
          <w:b/>
          <w:bCs/>
          <w:sz w:val="28"/>
          <w:szCs w:val="28"/>
        </w:rPr>
        <w:t>ONLINE SUPPLEMENT</w:t>
      </w:r>
    </w:p>
    <w:p w14:paraId="09564760" w14:textId="77777777" w:rsidR="00310C52" w:rsidRDefault="00310C52">
      <w:pPr>
        <w:spacing w:line="480" w:lineRule="auto"/>
      </w:pPr>
    </w:p>
    <w:p w14:paraId="4DFCE46C" w14:textId="77777777" w:rsidR="00310C52" w:rsidRDefault="00310C52">
      <w:pPr>
        <w:spacing w:line="480" w:lineRule="auto"/>
      </w:pPr>
    </w:p>
    <w:p w14:paraId="79D3E610" w14:textId="77777777" w:rsidR="00310C52" w:rsidRDefault="00000000">
      <w:pPr>
        <w:jc w:val="center"/>
      </w:pPr>
      <w:r>
        <w:rPr>
          <w:b/>
          <w:bCs/>
        </w:rPr>
        <w:t>Brief Report: Invisible at Birth: State Administrative Capacity, Subnational Development Inequality, and Civil Registration Completeness — Cross-National Evidence from 150 Countries</w:t>
      </w:r>
    </w:p>
    <w:p w14:paraId="512DE40E" w14:textId="77777777" w:rsidR="00310C52" w:rsidRDefault="00310C52">
      <w:pPr>
        <w:spacing w:line="480" w:lineRule="auto"/>
      </w:pPr>
    </w:p>
    <w:p w14:paraId="6892CAD2" w14:textId="77777777" w:rsidR="00310C52" w:rsidRDefault="00310C52">
      <w:pPr>
        <w:spacing w:line="480" w:lineRule="auto"/>
      </w:pPr>
    </w:p>
    <w:p w14:paraId="627BBD0B" w14:textId="77777777" w:rsidR="00310C52" w:rsidRDefault="00000000">
      <w:r>
        <w:t>Contents</w:t>
      </w:r>
    </w:p>
    <w:p w14:paraId="40103845" w14:textId="77777777" w:rsidR="00310C52" w:rsidRDefault="00000000">
      <w:pPr>
        <w:ind w:left="720"/>
      </w:pPr>
      <w:r>
        <w:t>Figure S1. Distribution of Birth Registration Completeness and Governance Quality by Region</w:t>
      </w:r>
    </w:p>
    <w:p w14:paraId="0DA62816" w14:textId="77777777" w:rsidR="00BF7DA5" w:rsidRDefault="00000000">
      <w:pPr>
        <w:ind w:left="720"/>
      </w:pPr>
      <w:r>
        <w:t xml:space="preserve">Figure S2. </w:t>
      </w:r>
      <w:proofErr w:type="spellStart"/>
      <w:r w:rsidR="00BF7DA5" w:rsidRPr="00BF7DA5">
        <w:t>Standardised</w:t>
      </w:r>
      <w:proofErr w:type="spellEnd"/>
      <w:r w:rsidR="00BF7DA5" w:rsidRPr="00BF7DA5">
        <w:t xml:space="preserve"> Regression Coefficients for Governance Quality (WGI Composite) with 95% Confidence Intervals across Four Model Specifications</w:t>
      </w:r>
    </w:p>
    <w:p w14:paraId="72FDD05F" w14:textId="2E264808" w:rsidR="00310C52" w:rsidRDefault="00000000">
      <w:pPr>
        <w:ind w:left="720"/>
      </w:pPr>
      <w:r>
        <w:t>Figure S3. HDI–Registration Relationship by Governance Quality Tertile</w:t>
      </w:r>
    </w:p>
    <w:p w14:paraId="59210D92" w14:textId="77777777" w:rsidR="00310C52" w:rsidRDefault="00000000">
      <w:r>
        <w:br w:type="page"/>
      </w:r>
    </w:p>
    <w:p w14:paraId="64128197" w14:textId="77777777" w:rsidR="00310C52" w:rsidRDefault="00000000">
      <w:r>
        <w:rPr>
          <w:b/>
          <w:bCs/>
        </w:rPr>
        <w:lastRenderedPageBreak/>
        <w:t>Figure S1</w:t>
      </w:r>
    </w:p>
    <w:p w14:paraId="350258BF" w14:textId="77777777" w:rsidR="00310C52" w:rsidRDefault="00000000">
      <w:r>
        <w:rPr>
          <w:i/>
          <w:iCs/>
        </w:rPr>
        <w:t>Distribution of Birth Registration Completeness (Panel A) and Composite Governance Quality (Panel B) by World Region</w:t>
      </w:r>
    </w:p>
    <w:p w14:paraId="1F119C1A" w14:textId="19B89C44" w:rsidR="00310C52" w:rsidRDefault="00BF7DA5">
      <w:r>
        <w:rPr>
          <w:noProof/>
        </w:rPr>
        <w:drawing>
          <wp:inline distT="0" distB="0" distL="0" distR="0" wp14:anchorId="5A4F8E01" wp14:editId="3907AA22">
            <wp:extent cx="5669280" cy="26448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_g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644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i/>
          <w:iCs/>
        </w:rPr>
        <w:t xml:space="preserve">Note. </w:t>
      </w:r>
      <w:r w:rsidR="00000000">
        <w:t>SSA = Sub-Saharan Africa; SA = South Asia; EAP = East Asia and Pacific; LAC = Latin America and Caribbean; MENA = Middle East and North Africa; ECA = Europe and Central Asia. Box fill patterns distinguish regions in black-and-white print.</w:t>
      </w:r>
    </w:p>
    <w:p w14:paraId="019E64EB" w14:textId="77777777" w:rsidR="00310C52" w:rsidRDefault="00310C52">
      <w:pPr>
        <w:spacing w:line="480" w:lineRule="auto"/>
      </w:pPr>
    </w:p>
    <w:p w14:paraId="34924C2F" w14:textId="77777777" w:rsidR="00310C52" w:rsidRDefault="00000000">
      <w:r>
        <w:br w:type="page"/>
      </w:r>
    </w:p>
    <w:p w14:paraId="6B81857C" w14:textId="77777777" w:rsidR="00310C52" w:rsidRDefault="00000000">
      <w:r>
        <w:rPr>
          <w:b/>
          <w:bCs/>
        </w:rPr>
        <w:lastRenderedPageBreak/>
        <w:t>Figure S2</w:t>
      </w:r>
    </w:p>
    <w:p w14:paraId="0D76E5A2" w14:textId="77777777" w:rsidR="00BF7DA5" w:rsidRDefault="00BF7DA5">
      <w:pPr>
        <w:rPr>
          <w:i/>
          <w:iCs/>
        </w:rPr>
      </w:pPr>
      <w:proofErr w:type="spellStart"/>
      <w:r w:rsidRPr="00BF7DA5">
        <w:rPr>
          <w:i/>
          <w:iCs/>
        </w:rPr>
        <w:t>Standardised</w:t>
      </w:r>
      <w:proofErr w:type="spellEnd"/>
      <w:r w:rsidRPr="00BF7DA5">
        <w:rPr>
          <w:i/>
          <w:iCs/>
        </w:rPr>
        <w:t xml:space="preserve"> Regression Coefficients for Governance Quality (WGI Composite) with 95% Confidence Intervals across Four Model Specifications</w:t>
      </w:r>
      <w:r w:rsidRPr="00BF7DA5">
        <w:rPr>
          <w:i/>
          <w:iCs/>
        </w:rPr>
        <w:t xml:space="preserve"> </w:t>
      </w:r>
    </w:p>
    <w:p w14:paraId="68D59EC4" w14:textId="77777777" w:rsidR="00BF7DA5" w:rsidRDefault="00BF7DA5">
      <w:pPr>
        <w:rPr>
          <w:i/>
          <w:iCs/>
        </w:rPr>
      </w:pPr>
      <w:r>
        <w:rPr>
          <w:noProof/>
        </w:rPr>
        <w:drawing>
          <wp:inline distT="0" distB="0" distL="0" distR="0" wp14:anchorId="203F454A" wp14:editId="3651E83F">
            <wp:extent cx="5303520" cy="344695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_g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4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BBB34" w14:textId="783D39B4" w:rsidR="00310C52" w:rsidRPr="00BF7DA5" w:rsidRDefault="00BF7DA5" w:rsidP="00BF7DA5">
      <w:r w:rsidRPr="00BF7DA5">
        <w:rPr>
          <w:i/>
          <w:iCs/>
        </w:rPr>
        <w:t>Note.</w:t>
      </w:r>
      <w:r w:rsidRPr="00BF7DA5">
        <w:t xml:space="preserve"> Filled squares (solid line) indicate p &lt; .05; open circles (dotted line) indicate p ≥ .05.</w:t>
      </w:r>
      <w:r>
        <w:t xml:space="preserve"> </w:t>
      </w:r>
      <w:r w:rsidRPr="00BF7DA5">
        <w:t>Coefficients from Models A–D (see Table 2). WGI = Worldwide Governance Indicators.</w:t>
      </w:r>
    </w:p>
    <w:p w14:paraId="06B9B261" w14:textId="77777777" w:rsidR="00310C52" w:rsidRDefault="00000000">
      <w:r>
        <w:br w:type="page"/>
      </w:r>
    </w:p>
    <w:p w14:paraId="1CFCE9B7" w14:textId="77777777" w:rsidR="00310C52" w:rsidRDefault="00000000">
      <w:r>
        <w:rPr>
          <w:b/>
          <w:bCs/>
        </w:rPr>
        <w:lastRenderedPageBreak/>
        <w:t>Figure S3</w:t>
      </w:r>
    </w:p>
    <w:p w14:paraId="2D9EC6FB" w14:textId="77777777" w:rsidR="00310C52" w:rsidRDefault="00000000">
      <w:r>
        <w:rPr>
          <w:i/>
          <w:iCs/>
        </w:rPr>
        <w:t>Relationship between National HDI and Birth Registration Completeness, Stratified by Governance Quality Tertile</w:t>
      </w:r>
    </w:p>
    <w:p w14:paraId="3F44592F" w14:textId="3445D558" w:rsidR="00310C52" w:rsidRDefault="00BF7DA5">
      <w:r>
        <w:rPr>
          <w:noProof/>
        </w:rPr>
        <w:drawing>
          <wp:inline distT="0" distB="0" distL="0" distR="0" wp14:anchorId="76166CAE" wp14:editId="555435A3">
            <wp:extent cx="5303520" cy="366872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_g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66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3D49" w14:textId="77777777" w:rsidR="00310C52" w:rsidRDefault="00000000">
      <w:r>
        <w:rPr>
          <w:i/>
          <w:iCs/>
        </w:rPr>
        <w:t xml:space="preserve">Note. </w:t>
      </w:r>
      <w:r>
        <w:t xml:space="preserve">Points represent individual countries; lines show OLS </w:t>
      </w:r>
      <w:proofErr w:type="gramStart"/>
      <w:r>
        <w:t>fits</w:t>
      </w:r>
      <w:proofErr w:type="gramEnd"/>
      <w:r>
        <w:t xml:space="preserve"> within each tertile. Dark solid line = low governance tertile; mid-grey dashed = mid governance tertile; light grey dotted = high governance tertile. HDI = Human Development Index; OLS = ordinary least squares.</w:t>
      </w:r>
    </w:p>
    <w:p w14:paraId="6F21F1DC" w14:textId="77777777" w:rsidR="00310C52" w:rsidRDefault="00310C52">
      <w:pPr>
        <w:spacing w:line="480" w:lineRule="auto"/>
      </w:pPr>
    </w:p>
    <w:p w14:paraId="044864AF" w14:textId="77777777" w:rsidR="00310C52" w:rsidRDefault="00000000">
      <w:r>
        <w:br w:type="page"/>
      </w:r>
    </w:p>
    <w:p w14:paraId="754110DB" w14:textId="4E08A6A0" w:rsidR="00BF7DA5" w:rsidRDefault="00BF7DA5">
      <w:pPr>
        <w:rPr>
          <w:b/>
          <w:bCs/>
        </w:rPr>
      </w:pPr>
      <w:r w:rsidRPr="00BF7DA5">
        <w:rPr>
          <w:b/>
          <w:bCs/>
        </w:rPr>
        <w:lastRenderedPageBreak/>
        <w:t>Level 2</w:t>
      </w:r>
      <w:r w:rsidRPr="00BF7DA5">
        <w:rPr>
          <w:b/>
          <w:bCs/>
        </w:rPr>
        <w:t xml:space="preserve"> heading </w:t>
      </w:r>
    </w:p>
    <w:p w14:paraId="2ADA5816" w14:textId="6366AE7E" w:rsidR="00310C52" w:rsidRDefault="00000000">
      <w:r>
        <w:rPr>
          <w:i/>
          <w:iCs/>
        </w:rPr>
        <w:t>Sensitivity Analysis: OLS Regression Results for Low- and Lower-Middle-Income Countries (n = 67)</w:t>
      </w:r>
    </w:p>
    <w:p w14:paraId="15720136" w14:textId="77777777" w:rsidR="00310C52" w:rsidRDefault="00310C52">
      <w:pPr>
        <w:spacing w:line="480" w:lineRule="auto"/>
      </w:pPr>
    </w:p>
    <w:p w14:paraId="51A53774" w14:textId="77777777" w:rsidR="00310C52" w:rsidRDefault="00000000">
      <w:pPr>
        <w:spacing w:line="480" w:lineRule="auto"/>
        <w:ind w:firstLine="720"/>
      </w:pPr>
      <w:r>
        <w:t xml:space="preserve">Among the 67 low- and lower-middle-income countries, governance quality was directionally positive but did not reach statistical significance (β = 0.38, SE = 0.30, </w:t>
      </w:r>
      <w:r>
        <w:rPr>
          <w:i/>
          <w:iCs/>
        </w:rPr>
        <w:t>p</w:t>
      </w:r>
      <w:r>
        <w:t xml:space="preserve"> = .204), while national HDI remained significant (β = 1.03, SE = 0.40, </w:t>
      </w:r>
      <w:r>
        <w:rPr>
          <w:i/>
          <w:iCs/>
        </w:rPr>
        <w:t>p</w:t>
      </w:r>
      <w:r>
        <w:t xml:space="preserve"> = .013). Regional effects were especially pronounced in this subsample: Sub-Saharan African low- and middle-income countries showed registration rates nearly three logit units below income-comparable countries in other regions, net of governance and HDI. This points to region-specific institutional and historical factors — including the post-colonial configuration of civil registration systems — that current WGI scores do not fully capture within the low-income stratum. A full tabular presentation of the sensitivity analysis models is available from the authors upon request.</w:t>
      </w:r>
    </w:p>
    <w:p w14:paraId="4A4D37E1" w14:textId="77777777" w:rsidR="00310C52" w:rsidRDefault="00310C52">
      <w:pPr>
        <w:spacing w:line="480" w:lineRule="auto"/>
      </w:pPr>
    </w:p>
    <w:p w14:paraId="0F658B4F" w14:textId="77777777" w:rsidR="00310C52" w:rsidRDefault="00000000">
      <w:r>
        <w:rPr>
          <w:i/>
          <w:iCs/>
        </w:rPr>
        <w:t xml:space="preserve">Note. </w:t>
      </w:r>
      <w:r>
        <w:t xml:space="preserve">OLS = ordinary least squares; HDI = Human Development Index; WGI = Worldwide Governance Indicators. All continuous predictors </w:t>
      </w:r>
      <w:proofErr w:type="spellStart"/>
      <w:r>
        <w:t>standardised</w:t>
      </w:r>
      <w:proofErr w:type="spellEnd"/>
      <w:r>
        <w:t xml:space="preserve"> (M = 0, SD = 1). Reference region = Europe and Central Asia.</w:t>
      </w:r>
    </w:p>
    <w:sectPr w:rsidR="00310C5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6501" w14:textId="77777777" w:rsidR="008D3EBA" w:rsidRDefault="008D3EBA" w:rsidP="00860DC9">
      <w:r>
        <w:separator/>
      </w:r>
    </w:p>
  </w:endnote>
  <w:endnote w:type="continuationSeparator" w:id="0">
    <w:p w14:paraId="03233111" w14:textId="77777777" w:rsidR="008D3EBA" w:rsidRDefault="008D3EBA" w:rsidP="0086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4592" w14:textId="77777777" w:rsidR="008D3EBA" w:rsidRDefault="008D3EBA" w:rsidP="00860DC9">
      <w:r>
        <w:separator/>
      </w:r>
    </w:p>
  </w:footnote>
  <w:footnote w:type="continuationSeparator" w:id="0">
    <w:p w14:paraId="44662D66" w14:textId="77777777" w:rsidR="008D3EBA" w:rsidRDefault="008D3EBA" w:rsidP="00860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76CDC"/>
    <w:multiLevelType w:val="hybridMultilevel"/>
    <w:tmpl w:val="0090DAF2"/>
    <w:lvl w:ilvl="0" w:tplc="F8E86CAE">
      <w:start w:val="1"/>
      <w:numFmt w:val="bullet"/>
      <w:lvlText w:val="●"/>
      <w:lvlJc w:val="left"/>
      <w:pPr>
        <w:ind w:left="720" w:hanging="360"/>
      </w:pPr>
    </w:lvl>
    <w:lvl w:ilvl="1" w:tplc="ACF6D5D6">
      <w:start w:val="1"/>
      <w:numFmt w:val="bullet"/>
      <w:lvlText w:val="○"/>
      <w:lvlJc w:val="left"/>
      <w:pPr>
        <w:ind w:left="1440" w:hanging="360"/>
      </w:pPr>
    </w:lvl>
    <w:lvl w:ilvl="2" w:tplc="10B094FC">
      <w:start w:val="1"/>
      <w:numFmt w:val="bullet"/>
      <w:lvlText w:val="■"/>
      <w:lvlJc w:val="left"/>
      <w:pPr>
        <w:ind w:left="2160" w:hanging="360"/>
      </w:pPr>
    </w:lvl>
    <w:lvl w:ilvl="3" w:tplc="14229ED6">
      <w:start w:val="1"/>
      <w:numFmt w:val="bullet"/>
      <w:lvlText w:val="●"/>
      <w:lvlJc w:val="left"/>
      <w:pPr>
        <w:ind w:left="2880" w:hanging="360"/>
      </w:pPr>
    </w:lvl>
    <w:lvl w:ilvl="4" w:tplc="09380DD6">
      <w:start w:val="1"/>
      <w:numFmt w:val="bullet"/>
      <w:lvlText w:val="○"/>
      <w:lvlJc w:val="left"/>
      <w:pPr>
        <w:ind w:left="3600" w:hanging="360"/>
      </w:pPr>
    </w:lvl>
    <w:lvl w:ilvl="5" w:tplc="36C6C818">
      <w:start w:val="1"/>
      <w:numFmt w:val="bullet"/>
      <w:lvlText w:val="■"/>
      <w:lvlJc w:val="left"/>
      <w:pPr>
        <w:ind w:left="4320" w:hanging="360"/>
      </w:pPr>
    </w:lvl>
    <w:lvl w:ilvl="6" w:tplc="EF5664DC">
      <w:start w:val="1"/>
      <w:numFmt w:val="bullet"/>
      <w:lvlText w:val="●"/>
      <w:lvlJc w:val="left"/>
      <w:pPr>
        <w:ind w:left="5040" w:hanging="360"/>
      </w:pPr>
    </w:lvl>
    <w:lvl w:ilvl="7" w:tplc="ADFAF2E6">
      <w:start w:val="1"/>
      <w:numFmt w:val="bullet"/>
      <w:lvlText w:val="●"/>
      <w:lvlJc w:val="left"/>
      <w:pPr>
        <w:ind w:left="5760" w:hanging="360"/>
      </w:pPr>
    </w:lvl>
    <w:lvl w:ilvl="8" w:tplc="F49A7366">
      <w:start w:val="1"/>
      <w:numFmt w:val="bullet"/>
      <w:lvlText w:val="●"/>
      <w:lvlJc w:val="left"/>
      <w:pPr>
        <w:ind w:left="6480" w:hanging="360"/>
      </w:pPr>
    </w:lvl>
  </w:abstractNum>
  <w:num w:numId="1" w16cid:durableId="11543011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52"/>
    <w:rsid w:val="0022019C"/>
    <w:rsid w:val="00310C52"/>
    <w:rsid w:val="003D5A99"/>
    <w:rsid w:val="00860DC9"/>
    <w:rsid w:val="008D3EBA"/>
    <w:rsid w:val="00B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D5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6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DC9"/>
  </w:style>
  <w:style w:type="paragraph" w:styleId="Footer">
    <w:name w:val="footer"/>
    <w:basedOn w:val="Normal"/>
    <w:link w:val="FooterChar"/>
    <w:uiPriority w:val="99"/>
    <w:unhideWhenUsed/>
    <w:rsid w:val="0086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2026-06-04T12:40:00Z</dcterms:created>
  <dcterms:modified xsi:type="dcterms:W3CDTF">2026-06-04T12:40:00Z</dcterms:modified>
</cp:coreProperties>
</file>