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357" w:rsidRDefault="00F87357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651375" cy="2941955"/>
            <wp:effectExtent l="0" t="0" r="0" b="0"/>
            <wp:docPr id="1" name="그림 1" descr="C:\Users\cha\Desktop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a\Desktop\Figure 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75" cy="294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357" w:rsidRPr="00F87357" w:rsidRDefault="00F87357">
      <w:pPr>
        <w:rPr>
          <w:rFonts w:ascii="Times New Roman" w:hAnsi="Times New Roman" w:cs="Times New Roman"/>
          <w:b/>
          <w:sz w:val="22"/>
        </w:rPr>
      </w:pPr>
      <w:proofErr w:type="gramStart"/>
      <w:r w:rsidRPr="00F87357">
        <w:rPr>
          <w:rFonts w:ascii="Times New Roman" w:hAnsi="Times New Roman" w:cs="Times New Roman"/>
          <w:b/>
          <w:sz w:val="22"/>
        </w:rPr>
        <w:t>Supplementary Figure 1.</w:t>
      </w:r>
      <w:proofErr w:type="gramEnd"/>
      <w:r w:rsidRPr="00F87357">
        <w:rPr>
          <w:rFonts w:ascii="Times New Roman" w:hAnsi="Times New Roman" w:cs="Times New Roman"/>
          <w:b/>
          <w:sz w:val="22"/>
        </w:rPr>
        <w:t xml:space="preserve"> Flow chart of patient</w:t>
      </w:r>
      <w:r w:rsidR="003E3A1E">
        <w:rPr>
          <w:rFonts w:ascii="Times New Roman" w:hAnsi="Times New Roman" w:cs="Times New Roman" w:hint="eastAsia"/>
          <w:b/>
          <w:sz w:val="22"/>
        </w:rPr>
        <w:t>s.</w:t>
      </w:r>
      <w:bookmarkStart w:id="0" w:name="_GoBack"/>
      <w:bookmarkEnd w:id="0"/>
    </w:p>
    <w:p w:rsidR="00F87357" w:rsidRDefault="00F87357"/>
    <w:tbl>
      <w:tblPr>
        <w:tblW w:w="1010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51"/>
        <w:gridCol w:w="6849"/>
      </w:tblGrid>
      <w:tr w:rsidR="00AD42D0" w:rsidRPr="00536622" w:rsidTr="004C2263">
        <w:trPr>
          <w:trHeight w:val="825"/>
        </w:trPr>
        <w:tc>
          <w:tcPr>
            <w:tcW w:w="101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Supplementary Table 1</w:t>
            </w: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 w:rsidRPr="005366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The detailed reimbursement guidelines for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oral </w:t>
            </w:r>
            <w:proofErr w:type="spellStart"/>
            <w:r w:rsidRPr="005366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nucleos</w:t>
            </w:r>
            <w:proofErr w:type="spellEnd"/>
            <w:r w:rsidRPr="005366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(t)ide analogs therapy by the National Health Insurance Service in the Republic of Korea</w:t>
            </w:r>
          </w:p>
        </w:tc>
      </w:tr>
      <w:tr w:rsidR="00AD42D0" w:rsidRPr="00536622" w:rsidTr="004C2263">
        <w:trPr>
          <w:trHeight w:val="345"/>
        </w:trPr>
        <w:tc>
          <w:tcPr>
            <w:tcW w:w="32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Clinical status    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Criteria for reimbursement of </w:t>
            </w:r>
            <w:proofErr w:type="spellStart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nucleos</w:t>
            </w:r>
            <w:proofErr w:type="spellEnd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(t)ide analogs therapy</w:t>
            </w:r>
          </w:p>
        </w:tc>
      </w:tr>
      <w:tr w:rsidR="00AD42D0" w:rsidRPr="00536622" w:rsidTr="004C2263">
        <w:trPr>
          <w:trHeight w:val="330"/>
        </w:trPr>
        <w:tc>
          <w:tcPr>
            <w:tcW w:w="3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HBeAg</w:t>
            </w:r>
            <w:proofErr w:type="spellEnd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-positive CHB</w:t>
            </w:r>
          </w:p>
        </w:tc>
        <w:tc>
          <w:tcPr>
            <w:tcW w:w="6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Serum HBV-DNA ≥ 20,000 IU/mL &amp; serum AST or ALT ≥ 80 U/mL</w:t>
            </w:r>
          </w:p>
        </w:tc>
      </w:tr>
      <w:tr w:rsidR="00AD42D0" w:rsidRPr="00536622" w:rsidTr="004C2263">
        <w:trPr>
          <w:trHeight w:val="330"/>
        </w:trPr>
        <w:tc>
          <w:tcPr>
            <w:tcW w:w="3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HBeAg</w:t>
            </w:r>
            <w:proofErr w:type="spellEnd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-negative CHB</w:t>
            </w:r>
          </w:p>
        </w:tc>
        <w:tc>
          <w:tcPr>
            <w:tcW w:w="6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Serum HBV-DNA ≥ 2,000 IU/mL &amp; serum AST or ALT ≥ 80 U/mL</w:t>
            </w:r>
          </w:p>
        </w:tc>
      </w:tr>
      <w:tr w:rsidR="00AD42D0" w:rsidRPr="00536622" w:rsidTr="004C2263">
        <w:trPr>
          <w:trHeight w:val="330"/>
        </w:trPr>
        <w:tc>
          <w:tcPr>
            <w:tcW w:w="3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Compensated Cirrhosis</w:t>
            </w:r>
          </w:p>
        </w:tc>
        <w:tc>
          <w:tcPr>
            <w:tcW w:w="6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Serum HBV-DNA ≥ 2,000 IU/mL</w:t>
            </w:r>
          </w:p>
        </w:tc>
      </w:tr>
      <w:tr w:rsidR="00AD42D0" w:rsidRPr="00536622" w:rsidTr="004C2263">
        <w:trPr>
          <w:trHeight w:val="345"/>
        </w:trPr>
        <w:tc>
          <w:tcPr>
            <w:tcW w:w="32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HCC or decompensated cirrhosis</w:t>
            </w:r>
          </w:p>
        </w:tc>
        <w:tc>
          <w:tcPr>
            <w:tcW w:w="6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Detectable serum HBV-DNA (≥ 20 IU/mL)</w:t>
            </w:r>
          </w:p>
        </w:tc>
      </w:tr>
      <w:tr w:rsidR="00AD42D0" w:rsidRPr="00536622" w:rsidTr="004C2263">
        <w:trPr>
          <w:trHeight w:val="495"/>
        </w:trPr>
        <w:tc>
          <w:tcPr>
            <w:tcW w:w="101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42D0" w:rsidRPr="00536622" w:rsidRDefault="00AD42D0" w:rsidP="004C2263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Abbreviations; </w:t>
            </w:r>
            <w:proofErr w:type="spellStart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HBeAg</w:t>
            </w:r>
            <w:proofErr w:type="spellEnd"/>
            <w:r w:rsidRPr="0053662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hepatitis B e antigen; CHB, chronic hepatitis B, HBV, hepatitis B virus; AST, aspartate aminotransferase; ALT, alanine aminotransferase; HCC, hepatocellular carcinoma</w:t>
            </w:r>
          </w:p>
        </w:tc>
      </w:tr>
    </w:tbl>
    <w:p w:rsidR="007205DB" w:rsidRPr="00AD42D0" w:rsidRDefault="007205DB"/>
    <w:sectPr w:rsidR="007205DB" w:rsidRPr="00AD42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4F9" w:rsidRDefault="006234F9" w:rsidP="00F87357">
      <w:pPr>
        <w:spacing w:after="0" w:line="240" w:lineRule="auto"/>
      </w:pPr>
      <w:r>
        <w:separator/>
      </w:r>
    </w:p>
  </w:endnote>
  <w:endnote w:type="continuationSeparator" w:id="0">
    <w:p w:rsidR="006234F9" w:rsidRDefault="006234F9" w:rsidP="00F87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4F9" w:rsidRDefault="006234F9" w:rsidP="00F87357">
      <w:pPr>
        <w:spacing w:after="0" w:line="240" w:lineRule="auto"/>
      </w:pPr>
      <w:r>
        <w:separator/>
      </w:r>
    </w:p>
  </w:footnote>
  <w:footnote w:type="continuationSeparator" w:id="0">
    <w:p w:rsidR="006234F9" w:rsidRDefault="006234F9" w:rsidP="00F873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2D0"/>
    <w:rsid w:val="003E3A1E"/>
    <w:rsid w:val="006234F9"/>
    <w:rsid w:val="007205DB"/>
    <w:rsid w:val="00AD42D0"/>
    <w:rsid w:val="00F8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2D0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35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87357"/>
  </w:style>
  <w:style w:type="paragraph" w:styleId="a4">
    <w:name w:val="footer"/>
    <w:basedOn w:val="a"/>
    <w:link w:val="Char0"/>
    <w:uiPriority w:val="99"/>
    <w:unhideWhenUsed/>
    <w:rsid w:val="00F8735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87357"/>
  </w:style>
  <w:style w:type="paragraph" w:styleId="a5">
    <w:name w:val="Balloon Text"/>
    <w:basedOn w:val="a"/>
    <w:link w:val="Char1"/>
    <w:uiPriority w:val="99"/>
    <w:semiHidden/>
    <w:unhideWhenUsed/>
    <w:rsid w:val="00F8735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F8735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2D0"/>
    <w:pPr>
      <w:widowControl w:val="0"/>
      <w:wordWrap w:val="0"/>
      <w:autoSpaceDE w:val="0"/>
      <w:autoSpaceDN w:val="0"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35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87357"/>
  </w:style>
  <w:style w:type="paragraph" w:styleId="a4">
    <w:name w:val="footer"/>
    <w:basedOn w:val="a"/>
    <w:link w:val="Char0"/>
    <w:uiPriority w:val="99"/>
    <w:unhideWhenUsed/>
    <w:rsid w:val="00F8735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87357"/>
  </w:style>
  <w:style w:type="paragraph" w:styleId="a5">
    <w:name w:val="Balloon Text"/>
    <w:basedOn w:val="a"/>
    <w:link w:val="Char1"/>
    <w:uiPriority w:val="99"/>
    <w:semiHidden/>
    <w:unhideWhenUsed/>
    <w:rsid w:val="00F8735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F8735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</dc:creator>
  <cp:lastModifiedBy>cha</cp:lastModifiedBy>
  <cp:revision>3</cp:revision>
  <dcterms:created xsi:type="dcterms:W3CDTF">2021-08-24T05:28:00Z</dcterms:created>
  <dcterms:modified xsi:type="dcterms:W3CDTF">2021-08-24T05:54:00Z</dcterms:modified>
</cp:coreProperties>
</file>