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E5353" w14:textId="77777777" w:rsidR="00F75D37" w:rsidRPr="00EF04F4" w:rsidRDefault="00000000">
      <w:pPr>
        <w:spacing w:line="480" w:lineRule="auto"/>
        <w:jc w:val="center"/>
        <w:rPr>
          <w:color w:val="074F6A" w:themeColor="accent4" w:themeShade="80"/>
          <w:sz w:val="40"/>
          <w:szCs w:val="40"/>
        </w:rPr>
      </w:pPr>
      <w:r w:rsidRPr="00EF04F4">
        <w:rPr>
          <w:b/>
          <w:color w:val="074F6A" w:themeColor="accent4" w:themeShade="80"/>
          <w:sz w:val="40"/>
          <w:szCs w:val="40"/>
        </w:rPr>
        <w:t>Supplementary Information</w:t>
      </w:r>
    </w:p>
    <w:p w14:paraId="42FF4EE7" w14:textId="77777777" w:rsidR="00D96FD3" w:rsidRPr="00EF04F4" w:rsidRDefault="00D96FD3" w:rsidP="00EF04F4">
      <w:pPr>
        <w:spacing w:line="480" w:lineRule="auto"/>
        <w:jc w:val="center"/>
        <w:rPr>
          <w:b/>
          <w:color w:val="074F6A" w:themeColor="accent4" w:themeShade="80"/>
        </w:rPr>
      </w:pPr>
      <w:r w:rsidRPr="00EF04F4">
        <w:rPr>
          <w:b/>
          <w:color w:val="074F6A" w:themeColor="accent4" w:themeShade="80"/>
          <w:sz w:val="28"/>
        </w:rPr>
        <w:t>Multi-Domain Machine Learning of VR-</w:t>
      </w:r>
      <w:proofErr w:type="spellStart"/>
      <w:r w:rsidRPr="00EF04F4">
        <w:rPr>
          <w:b/>
          <w:color w:val="074F6A" w:themeColor="accent4" w:themeShade="80"/>
          <w:sz w:val="28"/>
        </w:rPr>
        <w:t>synchronised</w:t>
      </w:r>
      <w:proofErr w:type="spellEnd"/>
      <w:r w:rsidRPr="00EF04F4">
        <w:rPr>
          <w:b/>
          <w:color w:val="074F6A" w:themeColor="accent4" w:themeShade="80"/>
          <w:sz w:val="28"/>
        </w:rPr>
        <w:t xml:space="preserve"> directional EEG phase connectivity reveals candidate Alzheimer's continuum biomarkers</w:t>
      </w:r>
    </w:p>
    <w:p w14:paraId="5782C3CA" w14:textId="77777777" w:rsidR="00F75D37" w:rsidRPr="00D96FD3" w:rsidRDefault="00000000">
      <w:pPr>
        <w:spacing w:line="480" w:lineRule="auto"/>
        <w:jc w:val="center"/>
        <w:rPr>
          <w:color w:val="000000" w:themeColor="text1"/>
          <w:sz w:val="24"/>
          <w:szCs w:val="24"/>
          <w:lang w:eastAsia="ko-KR"/>
        </w:rPr>
      </w:pPr>
      <w:r w:rsidRPr="00D96FD3">
        <w:rPr>
          <w:color w:val="000000" w:themeColor="text1"/>
          <w:sz w:val="24"/>
          <w:szCs w:val="24"/>
        </w:rPr>
        <w:t>Scientific Reports — Submission Version v</w:t>
      </w:r>
      <w:r w:rsidR="00D96FD3" w:rsidRPr="00D96FD3">
        <w:rPr>
          <w:rFonts w:hint="eastAsia"/>
          <w:color w:val="000000" w:themeColor="text1"/>
          <w:sz w:val="24"/>
          <w:szCs w:val="24"/>
          <w:lang w:eastAsia="ko-KR"/>
        </w:rPr>
        <w:t>7.8</w:t>
      </w:r>
    </w:p>
    <w:p w14:paraId="209950BD" w14:textId="77777777" w:rsidR="006A2BC4" w:rsidRPr="00A03C6F" w:rsidRDefault="006A2BC4" w:rsidP="006A2BC4">
      <w:pPr>
        <w:keepNext/>
        <w:spacing w:before="360" w:line="480" w:lineRule="auto"/>
        <w:rPr>
          <w:rFonts w:cs="Arial"/>
          <w:color w:val="002060"/>
          <w:sz w:val="28"/>
          <w:szCs w:val="28"/>
          <w:lang w:eastAsia="ko-KR"/>
        </w:rPr>
      </w:pPr>
      <w:r w:rsidRPr="00A03C6F">
        <w:rPr>
          <w:rFonts w:cs="Arial"/>
          <w:b/>
          <w:color w:val="002060"/>
          <w:sz w:val="28"/>
          <w:szCs w:val="28"/>
        </w:rPr>
        <w:t>Supplementary Information</w:t>
      </w:r>
    </w:p>
    <w:p w14:paraId="34BB256C" w14:textId="77777777" w:rsidR="006A2BC4" w:rsidRPr="00EF04F4" w:rsidRDefault="00AD750D" w:rsidP="00AD750D">
      <w:pPr>
        <w:spacing w:line="480" w:lineRule="auto"/>
        <w:jc w:val="both"/>
        <w:rPr>
          <w:rFonts w:cs="Arial"/>
          <w:color w:val="000000" w:themeColor="text1"/>
        </w:rPr>
      </w:pPr>
      <w:r w:rsidRPr="00EF04F4">
        <w:t xml:space="preserve">Supplementary Tables S1–S7 and Supplementary Figs. S1–S4 are provided in this file in accordance with </w:t>
      </w:r>
      <w:r w:rsidRPr="00EF04F4">
        <w:rPr>
          <w:color w:val="000000" w:themeColor="text1"/>
        </w:rPr>
        <w:t>Scientific Reports formatting guidelines.</w:t>
      </w:r>
    </w:p>
    <w:p w14:paraId="0A977402" w14:textId="77777777" w:rsidR="006A2BC4" w:rsidRPr="003D42F5" w:rsidRDefault="006A2BC4" w:rsidP="006A2BC4">
      <w:pPr>
        <w:keepNext/>
        <w:spacing w:before="280" w:after="80" w:line="480" w:lineRule="auto"/>
        <w:rPr>
          <w:rFonts w:cs="Arial"/>
          <w:b/>
          <w:i/>
          <w:iCs/>
          <w:color w:val="002060"/>
          <w:sz w:val="20"/>
          <w:szCs w:val="20"/>
        </w:rPr>
      </w:pPr>
      <w:r w:rsidRPr="003D42F5">
        <w:rPr>
          <w:rFonts w:cs="Arial"/>
          <w:b/>
          <w:i/>
          <w:iCs/>
          <w:color w:val="002060"/>
          <w:sz w:val="20"/>
          <w:szCs w:val="20"/>
        </w:rPr>
        <w:t>Supplementary Table S1 | 64-channel EGI electrode–lobe mapping</w:t>
      </w:r>
    </w:p>
    <w:tbl>
      <w:tblPr>
        <w:tblW w:w="10050" w:type="dxa"/>
        <w:tblCellMar>
          <w:left w:w="99" w:type="dxa"/>
          <w:right w:w="99" w:type="dxa"/>
        </w:tblCellMar>
        <w:tblLook w:val="04A0" w:firstRow="1" w:lastRow="0" w:firstColumn="1" w:lastColumn="0" w:noHBand="0" w:noVBand="1"/>
      </w:tblPr>
      <w:tblGrid>
        <w:gridCol w:w="725"/>
        <w:gridCol w:w="1238"/>
        <w:gridCol w:w="745"/>
        <w:gridCol w:w="570"/>
        <w:gridCol w:w="1359"/>
        <w:gridCol w:w="1856"/>
        <w:gridCol w:w="2361"/>
        <w:gridCol w:w="1196"/>
      </w:tblGrid>
      <w:tr w:rsidR="006A2BC4" w:rsidRPr="00C7005F" w14:paraId="7A158571" w14:textId="77777777" w:rsidTr="00770F64">
        <w:trPr>
          <w:trHeight w:val="430"/>
        </w:trPr>
        <w:tc>
          <w:tcPr>
            <w:tcW w:w="725" w:type="dxa"/>
            <w:tcBorders>
              <w:top w:val="single" w:sz="4" w:space="0" w:color="CCCCCC"/>
              <w:left w:val="single" w:sz="4" w:space="0" w:color="CCCCCC"/>
              <w:bottom w:val="single" w:sz="4" w:space="0" w:color="CCCCCC"/>
              <w:right w:val="single" w:sz="4" w:space="0" w:color="CCCCCC"/>
            </w:tcBorders>
            <w:shd w:val="clear" w:color="000000" w:fill="1A1A6E"/>
            <w:noWrap/>
            <w:vAlign w:val="center"/>
            <w:hideMark/>
          </w:tcPr>
          <w:p w14:paraId="6F4A270C"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ROI</w:t>
            </w:r>
          </w:p>
        </w:tc>
        <w:tc>
          <w:tcPr>
            <w:tcW w:w="1238" w:type="dxa"/>
            <w:tcBorders>
              <w:top w:val="single" w:sz="4" w:space="0" w:color="CCCCCC"/>
              <w:left w:val="nil"/>
              <w:bottom w:val="single" w:sz="4" w:space="0" w:color="CCCCCC"/>
              <w:right w:val="single" w:sz="4" w:space="0" w:color="CCCCCC"/>
            </w:tcBorders>
            <w:shd w:val="clear" w:color="000000" w:fill="1A1A6E"/>
            <w:noWrap/>
            <w:vAlign w:val="center"/>
            <w:hideMark/>
          </w:tcPr>
          <w:p w14:paraId="0AC8EBA7"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Brain Region</w:t>
            </w:r>
          </w:p>
        </w:tc>
        <w:tc>
          <w:tcPr>
            <w:tcW w:w="745" w:type="dxa"/>
            <w:tcBorders>
              <w:top w:val="single" w:sz="4" w:space="0" w:color="CCCCCC"/>
              <w:left w:val="nil"/>
              <w:bottom w:val="single" w:sz="4" w:space="0" w:color="CCCCCC"/>
              <w:right w:val="single" w:sz="4" w:space="0" w:color="CCCCCC"/>
            </w:tcBorders>
            <w:shd w:val="clear" w:color="000000" w:fill="1A1A6E"/>
            <w:noWrap/>
            <w:vAlign w:val="center"/>
            <w:hideMark/>
          </w:tcPr>
          <w:p w14:paraId="5905158C"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Code</w:t>
            </w:r>
          </w:p>
        </w:tc>
        <w:tc>
          <w:tcPr>
            <w:tcW w:w="570" w:type="dxa"/>
            <w:tcBorders>
              <w:top w:val="single" w:sz="4" w:space="0" w:color="CCCCCC"/>
              <w:left w:val="nil"/>
              <w:bottom w:val="single" w:sz="4" w:space="0" w:color="CCCCCC"/>
              <w:right w:val="single" w:sz="4" w:space="0" w:color="CCCCCC"/>
            </w:tcBorders>
            <w:shd w:val="clear" w:color="000000" w:fill="1A1A6E"/>
            <w:noWrap/>
            <w:vAlign w:val="center"/>
            <w:hideMark/>
          </w:tcPr>
          <w:p w14:paraId="33187852"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n</w:t>
            </w:r>
          </w:p>
        </w:tc>
        <w:tc>
          <w:tcPr>
            <w:tcW w:w="1359" w:type="dxa"/>
            <w:tcBorders>
              <w:top w:val="single" w:sz="4" w:space="0" w:color="CCCCCC"/>
              <w:left w:val="nil"/>
              <w:bottom w:val="single" w:sz="4" w:space="0" w:color="CCCCCC"/>
              <w:right w:val="single" w:sz="4" w:space="0" w:color="CCCCCC"/>
            </w:tcBorders>
            <w:shd w:val="clear" w:color="000000" w:fill="1A1A6E"/>
            <w:noWrap/>
            <w:vAlign w:val="center"/>
            <w:hideMark/>
          </w:tcPr>
          <w:p w14:paraId="4CCCC12C"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Brodmann Area</w:t>
            </w:r>
          </w:p>
        </w:tc>
        <w:tc>
          <w:tcPr>
            <w:tcW w:w="1856" w:type="dxa"/>
            <w:tcBorders>
              <w:top w:val="single" w:sz="4" w:space="0" w:color="CCCCCC"/>
              <w:left w:val="nil"/>
              <w:bottom w:val="single" w:sz="4" w:space="0" w:color="CCCCCC"/>
              <w:right w:val="single" w:sz="4" w:space="0" w:color="CCCCCC"/>
            </w:tcBorders>
            <w:shd w:val="clear" w:color="000000" w:fill="1A1A6E"/>
            <w:noWrap/>
            <w:vAlign w:val="center"/>
            <w:hideMark/>
          </w:tcPr>
          <w:p w14:paraId="661B9797"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Electrodes (EGI / 10-10)</w:t>
            </w:r>
          </w:p>
        </w:tc>
        <w:tc>
          <w:tcPr>
            <w:tcW w:w="2361" w:type="dxa"/>
            <w:tcBorders>
              <w:top w:val="single" w:sz="4" w:space="0" w:color="CCCCCC"/>
              <w:left w:val="nil"/>
              <w:bottom w:val="single" w:sz="4" w:space="0" w:color="CCCCCC"/>
              <w:right w:val="single" w:sz="4" w:space="0" w:color="CCCCCC"/>
            </w:tcBorders>
            <w:shd w:val="clear" w:color="000000" w:fill="1A1A6E"/>
            <w:noWrap/>
            <w:vAlign w:val="center"/>
            <w:hideMark/>
          </w:tcPr>
          <w:p w14:paraId="4B935731"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Brain Function</w:t>
            </w:r>
          </w:p>
        </w:tc>
        <w:tc>
          <w:tcPr>
            <w:tcW w:w="1196" w:type="dxa"/>
            <w:tcBorders>
              <w:top w:val="single" w:sz="4" w:space="0" w:color="CCCCCC"/>
              <w:left w:val="nil"/>
              <w:bottom w:val="single" w:sz="4" w:space="0" w:color="CCCCCC"/>
              <w:right w:val="single" w:sz="4" w:space="0" w:color="CCCCCC"/>
            </w:tcBorders>
            <w:shd w:val="clear" w:color="000000" w:fill="1A1A6E"/>
            <w:noWrap/>
            <w:vAlign w:val="center"/>
            <w:hideMark/>
          </w:tcPr>
          <w:p w14:paraId="6E84DCBF" w14:textId="77777777" w:rsidR="006A2BC4" w:rsidRPr="00CF5324" w:rsidRDefault="006A2BC4" w:rsidP="00770F64">
            <w:pPr>
              <w:spacing w:after="0" w:line="240" w:lineRule="auto"/>
              <w:jc w:val="center"/>
              <w:rPr>
                <w:rFonts w:eastAsia="맑은 고딕" w:cs="Arial"/>
                <w:b/>
                <w:bCs/>
                <w:color w:val="FFFFFF"/>
                <w:sz w:val="18"/>
                <w:szCs w:val="18"/>
                <w:lang w:eastAsia="ko-KR"/>
              </w:rPr>
            </w:pPr>
            <w:r w:rsidRPr="00CF5324">
              <w:rPr>
                <w:rFonts w:eastAsia="맑은 고딕" w:cs="Arial"/>
                <w:b/>
                <w:bCs/>
                <w:color w:val="FFFFFF"/>
                <w:sz w:val="18"/>
                <w:szCs w:val="18"/>
                <w:lang w:eastAsia="ko-KR"/>
              </w:rPr>
              <w:t xml:space="preserve">Biomarker </w:t>
            </w:r>
            <w:r w:rsidRPr="00CF5324">
              <w:rPr>
                <w:rFonts w:eastAsia="맑은 고딕" w:cs="Segoe UI Symbol"/>
                <w:b/>
                <w:bCs/>
                <w:color w:val="FFFFFF"/>
                <w:sz w:val="18"/>
                <w:szCs w:val="18"/>
                <w:lang w:eastAsia="ko-KR"/>
              </w:rPr>
              <w:t>★</w:t>
            </w:r>
          </w:p>
        </w:tc>
      </w:tr>
      <w:tr w:rsidR="006A2BC4" w:rsidRPr="00C7005F" w14:paraId="4C473925"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26AD3C35"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1</w:t>
            </w:r>
          </w:p>
        </w:tc>
        <w:tc>
          <w:tcPr>
            <w:tcW w:w="1238" w:type="dxa"/>
            <w:tcBorders>
              <w:top w:val="nil"/>
              <w:left w:val="nil"/>
              <w:bottom w:val="single" w:sz="4" w:space="0" w:color="CCCCCC"/>
              <w:right w:val="single" w:sz="4" w:space="0" w:color="CCCCCC"/>
            </w:tcBorders>
            <w:shd w:val="clear" w:color="000000" w:fill="FFF2CC"/>
            <w:vAlign w:val="center"/>
            <w:hideMark/>
          </w:tcPr>
          <w:p w14:paraId="5EEB9658"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Prefrontal</w:t>
            </w:r>
          </w:p>
        </w:tc>
        <w:tc>
          <w:tcPr>
            <w:tcW w:w="745" w:type="dxa"/>
            <w:tcBorders>
              <w:top w:val="nil"/>
              <w:left w:val="nil"/>
              <w:bottom w:val="single" w:sz="4" w:space="0" w:color="CCCCCC"/>
              <w:right w:val="single" w:sz="4" w:space="0" w:color="CCCCCC"/>
            </w:tcBorders>
            <w:shd w:val="clear" w:color="000000" w:fill="FFF2CC"/>
            <w:noWrap/>
            <w:vAlign w:val="center"/>
            <w:hideMark/>
          </w:tcPr>
          <w:p w14:paraId="0EF386B0"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PF</w:t>
            </w:r>
          </w:p>
        </w:tc>
        <w:tc>
          <w:tcPr>
            <w:tcW w:w="570" w:type="dxa"/>
            <w:tcBorders>
              <w:top w:val="nil"/>
              <w:left w:val="nil"/>
              <w:bottom w:val="single" w:sz="4" w:space="0" w:color="CCCCCC"/>
              <w:right w:val="single" w:sz="4" w:space="0" w:color="CCCCCC"/>
            </w:tcBorders>
            <w:shd w:val="clear" w:color="000000" w:fill="FFF2CC"/>
            <w:noWrap/>
            <w:vAlign w:val="center"/>
            <w:hideMark/>
          </w:tcPr>
          <w:p w14:paraId="2F82C3D0"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3</w:t>
            </w:r>
          </w:p>
        </w:tc>
        <w:tc>
          <w:tcPr>
            <w:tcW w:w="1359" w:type="dxa"/>
            <w:tcBorders>
              <w:top w:val="nil"/>
              <w:left w:val="nil"/>
              <w:bottom w:val="single" w:sz="4" w:space="0" w:color="CCCCCC"/>
              <w:right w:val="single" w:sz="4" w:space="0" w:color="CCCCCC"/>
            </w:tcBorders>
            <w:shd w:val="clear" w:color="000000" w:fill="FFF2CC"/>
            <w:noWrap/>
            <w:vAlign w:val="center"/>
            <w:hideMark/>
          </w:tcPr>
          <w:p w14:paraId="469ECD0B"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10</w:t>
            </w:r>
          </w:p>
        </w:tc>
        <w:tc>
          <w:tcPr>
            <w:tcW w:w="1856" w:type="dxa"/>
            <w:tcBorders>
              <w:top w:val="nil"/>
              <w:left w:val="nil"/>
              <w:bottom w:val="single" w:sz="4" w:space="0" w:color="CCCCCC"/>
              <w:right w:val="single" w:sz="4" w:space="0" w:color="CCCCCC"/>
            </w:tcBorders>
            <w:shd w:val="clear" w:color="000000" w:fill="FFF2CC"/>
            <w:vAlign w:val="center"/>
            <w:hideMark/>
          </w:tcPr>
          <w:p w14:paraId="552CE79A"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E1(Fp2), E54(Fp1), E55(</w:t>
            </w:r>
            <w:proofErr w:type="spellStart"/>
            <w:r w:rsidRPr="00CF5324">
              <w:rPr>
                <w:rFonts w:eastAsia="맑은 고딕" w:cs="Arial"/>
                <w:b/>
                <w:bCs/>
                <w:sz w:val="18"/>
                <w:szCs w:val="18"/>
                <w:lang w:eastAsia="ko-KR"/>
              </w:rPr>
              <w:t>Fpz</w:t>
            </w:r>
            <w:proofErr w:type="spellEnd"/>
            <w:r w:rsidRPr="00CF5324">
              <w:rPr>
                <w:rFonts w:eastAsia="맑은 고딕" w:cs="Arial"/>
                <w:b/>
                <w:bCs/>
                <w:sz w:val="18"/>
                <w:szCs w:val="18"/>
                <w:lang w:eastAsia="ko-KR"/>
              </w:rPr>
              <w:t>)</w:t>
            </w:r>
          </w:p>
        </w:tc>
        <w:tc>
          <w:tcPr>
            <w:tcW w:w="2361" w:type="dxa"/>
            <w:tcBorders>
              <w:top w:val="nil"/>
              <w:left w:val="nil"/>
              <w:bottom w:val="single" w:sz="4" w:space="0" w:color="CCCCCC"/>
              <w:right w:val="single" w:sz="4" w:space="0" w:color="CCCCCC"/>
            </w:tcBorders>
            <w:shd w:val="clear" w:color="000000" w:fill="FFF2CC"/>
            <w:vAlign w:val="center"/>
            <w:hideMark/>
          </w:tcPr>
          <w:p w14:paraId="36BDD929"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Executive function, decision making, emotional regulation</w:t>
            </w:r>
          </w:p>
        </w:tc>
        <w:tc>
          <w:tcPr>
            <w:tcW w:w="1196" w:type="dxa"/>
            <w:tcBorders>
              <w:top w:val="nil"/>
              <w:left w:val="nil"/>
              <w:bottom w:val="single" w:sz="4" w:space="0" w:color="CCCCCC"/>
              <w:right w:val="single" w:sz="4" w:space="0" w:color="CCCCCC"/>
            </w:tcBorders>
            <w:shd w:val="clear" w:color="000000" w:fill="FFF2CC"/>
            <w:noWrap/>
            <w:vAlign w:val="center"/>
            <w:hideMark/>
          </w:tcPr>
          <w:p w14:paraId="2C40C80C"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E1</w:t>
            </w:r>
          </w:p>
        </w:tc>
      </w:tr>
      <w:tr w:rsidR="006A2BC4" w:rsidRPr="00C7005F" w14:paraId="361E1415"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D6EAF8"/>
            <w:noWrap/>
            <w:vAlign w:val="center"/>
            <w:hideMark/>
          </w:tcPr>
          <w:p w14:paraId="6368108A"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2</w:t>
            </w:r>
          </w:p>
        </w:tc>
        <w:tc>
          <w:tcPr>
            <w:tcW w:w="1238" w:type="dxa"/>
            <w:tcBorders>
              <w:top w:val="nil"/>
              <w:left w:val="nil"/>
              <w:bottom w:val="single" w:sz="4" w:space="0" w:color="CCCCCC"/>
              <w:right w:val="single" w:sz="4" w:space="0" w:color="CCCCCC"/>
            </w:tcBorders>
            <w:shd w:val="clear" w:color="000000" w:fill="D6EAF8"/>
            <w:vAlign w:val="center"/>
            <w:hideMark/>
          </w:tcPr>
          <w:p w14:paraId="2A4F5EA4"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Anterior Frontal</w:t>
            </w:r>
          </w:p>
        </w:tc>
        <w:tc>
          <w:tcPr>
            <w:tcW w:w="745" w:type="dxa"/>
            <w:tcBorders>
              <w:top w:val="nil"/>
              <w:left w:val="nil"/>
              <w:bottom w:val="single" w:sz="4" w:space="0" w:color="CCCCCC"/>
              <w:right w:val="single" w:sz="4" w:space="0" w:color="CCCCCC"/>
            </w:tcBorders>
            <w:shd w:val="clear" w:color="000000" w:fill="D6EAF8"/>
            <w:noWrap/>
            <w:vAlign w:val="center"/>
            <w:hideMark/>
          </w:tcPr>
          <w:p w14:paraId="41EE919E"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AF</w:t>
            </w:r>
          </w:p>
        </w:tc>
        <w:tc>
          <w:tcPr>
            <w:tcW w:w="570" w:type="dxa"/>
            <w:tcBorders>
              <w:top w:val="nil"/>
              <w:left w:val="nil"/>
              <w:bottom w:val="single" w:sz="4" w:space="0" w:color="CCCCCC"/>
              <w:right w:val="single" w:sz="4" w:space="0" w:color="CCCCCC"/>
            </w:tcBorders>
            <w:shd w:val="clear" w:color="000000" w:fill="D6EAF8"/>
            <w:noWrap/>
            <w:vAlign w:val="center"/>
            <w:hideMark/>
          </w:tcPr>
          <w:p w14:paraId="785544A5"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5</w:t>
            </w:r>
          </w:p>
        </w:tc>
        <w:tc>
          <w:tcPr>
            <w:tcW w:w="1359" w:type="dxa"/>
            <w:tcBorders>
              <w:top w:val="nil"/>
              <w:left w:val="nil"/>
              <w:bottom w:val="single" w:sz="4" w:space="0" w:color="CCCCCC"/>
              <w:right w:val="single" w:sz="4" w:space="0" w:color="CCCCCC"/>
            </w:tcBorders>
            <w:shd w:val="clear" w:color="000000" w:fill="D6EAF8"/>
            <w:noWrap/>
            <w:vAlign w:val="center"/>
            <w:hideMark/>
          </w:tcPr>
          <w:p w14:paraId="7A375D82"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BA 9/10/46</w:t>
            </w:r>
          </w:p>
        </w:tc>
        <w:tc>
          <w:tcPr>
            <w:tcW w:w="1856" w:type="dxa"/>
            <w:tcBorders>
              <w:top w:val="nil"/>
              <w:left w:val="nil"/>
              <w:bottom w:val="single" w:sz="4" w:space="0" w:color="CCCCCC"/>
              <w:right w:val="single" w:sz="4" w:space="0" w:color="CCCCCC"/>
            </w:tcBorders>
            <w:shd w:val="clear" w:color="000000" w:fill="D6EAF8"/>
            <w:vAlign w:val="center"/>
            <w:hideMark/>
          </w:tcPr>
          <w:p w14:paraId="390B2FE6"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E2(AF8), E3(AF4), E52(AF3), E53(AF7), E56(</w:t>
            </w:r>
            <w:proofErr w:type="spellStart"/>
            <w:r w:rsidRPr="00CF5324">
              <w:rPr>
                <w:rFonts w:eastAsia="맑은 고딕" w:cs="Arial"/>
                <w:sz w:val="18"/>
                <w:szCs w:val="18"/>
                <w:lang w:eastAsia="ko-KR"/>
              </w:rPr>
              <w:t>AFz</w:t>
            </w:r>
            <w:proofErr w:type="spellEnd"/>
            <w:r w:rsidRPr="00CF5324">
              <w:rPr>
                <w:rFonts w:eastAsia="맑은 고딕" w:cs="Arial"/>
                <w:sz w:val="18"/>
                <w:szCs w:val="18"/>
                <w:lang w:eastAsia="ko-KR"/>
              </w:rPr>
              <w:t>)</w:t>
            </w:r>
          </w:p>
        </w:tc>
        <w:tc>
          <w:tcPr>
            <w:tcW w:w="2361" w:type="dxa"/>
            <w:tcBorders>
              <w:top w:val="nil"/>
              <w:left w:val="nil"/>
              <w:bottom w:val="single" w:sz="4" w:space="0" w:color="CCCCCC"/>
              <w:right w:val="single" w:sz="4" w:space="0" w:color="CCCCCC"/>
            </w:tcBorders>
            <w:shd w:val="clear" w:color="000000" w:fill="D6EAF8"/>
            <w:vAlign w:val="center"/>
            <w:hideMark/>
          </w:tcPr>
          <w:p w14:paraId="7D396524"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Working memory, cognitive control, DLPFC</w:t>
            </w:r>
          </w:p>
        </w:tc>
        <w:tc>
          <w:tcPr>
            <w:tcW w:w="1196" w:type="dxa"/>
            <w:tcBorders>
              <w:top w:val="nil"/>
              <w:left w:val="nil"/>
              <w:bottom w:val="single" w:sz="4" w:space="0" w:color="CCCCCC"/>
              <w:right w:val="single" w:sz="4" w:space="0" w:color="CCCCCC"/>
            </w:tcBorders>
            <w:shd w:val="clear" w:color="000000" w:fill="D6EAF8"/>
            <w:noWrap/>
            <w:vAlign w:val="center"/>
            <w:hideMark/>
          </w:tcPr>
          <w:p w14:paraId="1DEA0713"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 xml:space="preserve">　</w:t>
            </w:r>
          </w:p>
        </w:tc>
      </w:tr>
      <w:tr w:rsidR="006A2BC4" w:rsidRPr="00C7005F" w14:paraId="71D5321E"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C8E6F5"/>
            <w:noWrap/>
            <w:vAlign w:val="center"/>
            <w:hideMark/>
          </w:tcPr>
          <w:p w14:paraId="3AF53B9A"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3</w:t>
            </w:r>
          </w:p>
        </w:tc>
        <w:tc>
          <w:tcPr>
            <w:tcW w:w="1238" w:type="dxa"/>
            <w:tcBorders>
              <w:top w:val="nil"/>
              <w:left w:val="nil"/>
              <w:bottom w:val="single" w:sz="4" w:space="0" w:color="CCCCCC"/>
              <w:right w:val="single" w:sz="4" w:space="0" w:color="CCCCCC"/>
            </w:tcBorders>
            <w:shd w:val="clear" w:color="000000" w:fill="C8E6F5"/>
            <w:vAlign w:val="center"/>
            <w:hideMark/>
          </w:tcPr>
          <w:p w14:paraId="6CFC51D8"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Frontal</w:t>
            </w:r>
          </w:p>
        </w:tc>
        <w:tc>
          <w:tcPr>
            <w:tcW w:w="745" w:type="dxa"/>
            <w:tcBorders>
              <w:top w:val="nil"/>
              <w:left w:val="nil"/>
              <w:bottom w:val="single" w:sz="4" w:space="0" w:color="CCCCCC"/>
              <w:right w:val="single" w:sz="4" w:space="0" w:color="CCCCCC"/>
            </w:tcBorders>
            <w:shd w:val="clear" w:color="000000" w:fill="C8E6F5"/>
            <w:noWrap/>
            <w:vAlign w:val="center"/>
            <w:hideMark/>
          </w:tcPr>
          <w:p w14:paraId="26DCAF93"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F</w:t>
            </w:r>
          </w:p>
        </w:tc>
        <w:tc>
          <w:tcPr>
            <w:tcW w:w="570" w:type="dxa"/>
            <w:tcBorders>
              <w:top w:val="nil"/>
              <w:left w:val="nil"/>
              <w:bottom w:val="single" w:sz="4" w:space="0" w:color="CCCCCC"/>
              <w:right w:val="single" w:sz="4" w:space="0" w:color="CCCCCC"/>
            </w:tcBorders>
            <w:shd w:val="clear" w:color="000000" w:fill="C8E6F5"/>
            <w:noWrap/>
            <w:vAlign w:val="center"/>
            <w:hideMark/>
          </w:tcPr>
          <w:p w14:paraId="7B4867A6"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9</w:t>
            </w:r>
          </w:p>
        </w:tc>
        <w:tc>
          <w:tcPr>
            <w:tcW w:w="1359" w:type="dxa"/>
            <w:tcBorders>
              <w:top w:val="nil"/>
              <w:left w:val="nil"/>
              <w:bottom w:val="single" w:sz="4" w:space="0" w:color="CCCCCC"/>
              <w:right w:val="single" w:sz="4" w:space="0" w:color="CCCCCC"/>
            </w:tcBorders>
            <w:shd w:val="clear" w:color="000000" w:fill="C8E6F5"/>
            <w:noWrap/>
            <w:vAlign w:val="center"/>
            <w:hideMark/>
          </w:tcPr>
          <w:p w14:paraId="23BD55ED"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BA 6/8/9/44/45/47</w:t>
            </w:r>
          </w:p>
        </w:tc>
        <w:tc>
          <w:tcPr>
            <w:tcW w:w="1856" w:type="dxa"/>
            <w:tcBorders>
              <w:top w:val="nil"/>
              <w:left w:val="nil"/>
              <w:bottom w:val="single" w:sz="4" w:space="0" w:color="CCCCCC"/>
              <w:right w:val="single" w:sz="4" w:space="0" w:color="CCCCCC"/>
            </w:tcBorders>
            <w:shd w:val="clear" w:color="000000" w:fill="C8E6F5"/>
            <w:vAlign w:val="center"/>
            <w:hideMark/>
          </w:tcPr>
          <w:p w14:paraId="319619EC"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E4(F2), E7(F4), E8(F6), E9(F8), E48(F5), E49(F3), E50(F7), E51(F1), E57(Fz)</w:t>
            </w:r>
          </w:p>
        </w:tc>
        <w:tc>
          <w:tcPr>
            <w:tcW w:w="2361" w:type="dxa"/>
            <w:tcBorders>
              <w:top w:val="nil"/>
              <w:left w:val="nil"/>
              <w:bottom w:val="single" w:sz="4" w:space="0" w:color="CCCCCC"/>
              <w:right w:val="single" w:sz="4" w:space="0" w:color="CCCCCC"/>
            </w:tcBorders>
            <w:shd w:val="clear" w:color="000000" w:fill="C8E6F5"/>
            <w:vAlign w:val="center"/>
            <w:hideMark/>
          </w:tcPr>
          <w:p w14:paraId="666D4EBF"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Motor planning, attention, language production (Broca)</w:t>
            </w:r>
          </w:p>
        </w:tc>
        <w:tc>
          <w:tcPr>
            <w:tcW w:w="1196" w:type="dxa"/>
            <w:tcBorders>
              <w:top w:val="nil"/>
              <w:left w:val="nil"/>
              <w:bottom w:val="single" w:sz="4" w:space="0" w:color="CCCCCC"/>
              <w:right w:val="single" w:sz="4" w:space="0" w:color="CCCCCC"/>
            </w:tcBorders>
            <w:shd w:val="clear" w:color="000000" w:fill="C8E6F5"/>
            <w:noWrap/>
            <w:vAlign w:val="center"/>
            <w:hideMark/>
          </w:tcPr>
          <w:p w14:paraId="0A72D154"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 xml:space="preserve">　</w:t>
            </w:r>
          </w:p>
        </w:tc>
      </w:tr>
      <w:tr w:rsidR="006A2BC4" w:rsidRPr="00C7005F" w14:paraId="358BC0B9"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1AF0A85B"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4</w:t>
            </w:r>
          </w:p>
        </w:tc>
        <w:tc>
          <w:tcPr>
            <w:tcW w:w="1238" w:type="dxa"/>
            <w:tcBorders>
              <w:top w:val="nil"/>
              <w:left w:val="nil"/>
              <w:bottom w:val="single" w:sz="4" w:space="0" w:color="CCCCCC"/>
              <w:right w:val="single" w:sz="4" w:space="0" w:color="CCCCCC"/>
            </w:tcBorders>
            <w:shd w:val="clear" w:color="000000" w:fill="FFF2CC"/>
            <w:vAlign w:val="center"/>
            <w:hideMark/>
          </w:tcPr>
          <w:p w14:paraId="1D775D7D"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Fronto-Central</w:t>
            </w:r>
          </w:p>
        </w:tc>
        <w:tc>
          <w:tcPr>
            <w:tcW w:w="745" w:type="dxa"/>
            <w:tcBorders>
              <w:top w:val="nil"/>
              <w:left w:val="nil"/>
              <w:bottom w:val="single" w:sz="4" w:space="0" w:color="CCCCCC"/>
              <w:right w:val="single" w:sz="4" w:space="0" w:color="CCCCCC"/>
            </w:tcBorders>
            <w:shd w:val="clear" w:color="000000" w:fill="FFF2CC"/>
            <w:noWrap/>
            <w:vAlign w:val="center"/>
            <w:hideMark/>
          </w:tcPr>
          <w:p w14:paraId="074A4141"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FC</w:t>
            </w:r>
          </w:p>
        </w:tc>
        <w:tc>
          <w:tcPr>
            <w:tcW w:w="570" w:type="dxa"/>
            <w:tcBorders>
              <w:top w:val="nil"/>
              <w:left w:val="nil"/>
              <w:bottom w:val="single" w:sz="4" w:space="0" w:color="CCCCCC"/>
              <w:right w:val="single" w:sz="4" w:space="0" w:color="CCCCCC"/>
            </w:tcBorders>
            <w:shd w:val="clear" w:color="000000" w:fill="FFF2CC"/>
            <w:noWrap/>
            <w:vAlign w:val="center"/>
            <w:hideMark/>
          </w:tcPr>
          <w:p w14:paraId="46B620F9"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7</w:t>
            </w:r>
          </w:p>
        </w:tc>
        <w:tc>
          <w:tcPr>
            <w:tcW w:w="1359" w:type="dxa"/>
            <w:tcBorders>
              <w:top w:val="nil"/>
              <w:left w:val="nil"/>
              <w:bottom w:val="single" w:sz="4" w:space="0" w:color="CCCCCC"/>
              <w:right w:val="single" w:sz="4" w:space="0" w:color="CCCCCC"/>
            </w:tcBorders>
            <w:shd w:val="clear" w:color="000000" w:fill="FFF2CC"/>
            <w:noWrap/>
            <w:vAlign w:val="center"/>
            <w:hideMark/>
          </w:tcPr>
          <w:p w14:paraId="541BB970"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6/24/44</w:t>
            </w:r>
          </w:p>
        </w:tc>
        <w:tc>
          <w:tcPr>
            <w:tcW w:w="1856" w:type="dxa"/>
            <w:tcBorders>
              <w:top w:val="nil"/>
              <w:left w:val="nil"/>
              <w:bottom w:val="single" w:sz="4" w:space="0" w:color="CCCCCC"/>
              <w:right w:val="single" w:sz="4" w:space="0" w:color="CCCCCC"/>
            </w:tcBorders>
            <w:shd w:val="clear" w:color="000000" w:fill="FFF2CC"/>
            <w:vAlign w:val="center"/>
            <w:hideMark/>
          </w:tcPr>
          <w:p w14:paraId="46A5D461"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E5(FC2), E6(FC4), E11(FC6), E44(FC5), E45(FC3), E46(FC1), E58(</w:t>
            </w:r>
            <w:proofErr w:type="spellStart"/>
            <w:r w:rsidRPr="00CF5324">
              <w:rPr>
                <w:rFonts w:eastAsia="맑은 고딕" w:cs="Arial"/>
                <w:b/>
                <w:bCs/>
                <w:sz w:val="18"/>
                <w:szCs w:val="18"/>
                <w:lang w:eastAsia="ko-KR"/>
              </w:rPr>
              <w:t>FCz</w:t>
            </w:r>
            <w:proofErr w:type="spellEnd"/>
            <w:r w:rsidRPr="00CF5324">
              <w:rPr>
                <w:rFonts w:eastAsia="맑은 고딕" w:cs="Arial"/>
                <w:b/>
                <w:bCs/>
                <w:sz w:val="18"/>
                <w:szCs w:val="18"/>
                <w:lang w:eastAsia="ko-KR"/>
              </w:rPr>
              <w:t>)</w:t>
            </w:r>
          </w:p>
        </w:tc>
        <w:tc>
          <w:tcPr>
            <w:tcW w:w="2361" w:type="dxa"/>
            <w:tcBorders>
              <w:top w:val="nil"/>
              <w:left w:val="nil"/>
              <w:bottom w:val="single" w:sz="4" w:space="0" w:color="CCCCCC"/>
              <w:right w:val="single" w:sz="4" w:space="0" w:color="CCCCCC"/>
            </w:tcBorders>
            <w:shd w:val="clear" w:color="000000" w:fill="FFF2CC"/>
            <w:vAlign w:val="center"/>
            <w:hideMark/>
          </w:tcPr>
          <w:p w14:paraId="62D16D25"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SMA, premotor cortex, error monitoring, motor preparation</w:t>
            </w:r>
          </w:p>
        </w:tc>
        <w:tc>
          <w:tcPr>
            <w:tcW w:w="1196" w:type="dxa"/>
            <w:tcBorders>
              <w:top w:val="nil"/>
              <w:left w:val="nil"/>
              <w:bottom w:val="single" w:sz="4" w:space="0" w:color="CCCCCC"/>
              <w:right w:val="single" w:sz="4" w:space="0" w:color="CCCCCC"/>
            </w:tcBorders>
            <w:shd w:val="clear" w:color="000000" w:fill="FFF2CC"/>
            <w:noWrap/>
            <w:vAlign w:val="center"/>
            <w:hideMark/>
          </w:tcPr>
          <w:p w14:paraId="17551177"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E5, E11</w:t>
            </w:r>
          </w:p>
        </w:tc>
      </w:tr>
      <w:tr w:rsidR="006A2BC4" w:rsidRPr="00C7005F" w14:paraId="0A5D32DA"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E8D5E8"/>
            <w:noWrap/>
            <w:vAlign w:val="center"/>
            <w:hideMark/>
          </w:tcPr>
          <w:p w14:paraId="4D6D3F6A"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5</w:t>
            </w:r>
          </w:p>
        </w:tc>
        <w:tc>
          <w:tcPr>
            <w:tcW w:w="1238" w:type="dxa"/>
            <w:tcBorders>
              <w:top w:val="nil"/>
              <w:left w:val="nil"/>
              <w:bottom w:val="single" w:sz="4" w:space="0" w:color="CCCCCC"/>
              <w:right w:val="single" w:sz="4" w:space="0" w:color="CCCCCC"/>
            </w:tcBorders>
            <w:shd w:val="clear" w:color="000000" w:fill="E8D5E8"/>
            <w:vAlign w:val="center"/>
            <w:hideMark/>
          </w:tcPr>
          <w:p w14:paraId="7326A6E9"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Fronto-Temporal</w:t>
            </w:r>
          </w:p>
        </w:tc>
        <w:tc>
          <w:tcPr>
            <w:tcW w:w="745" w:type="dxa"/>
            <w:tcBorders>
              <w:top w:val="nil"/>
              <w:left w:val="nil"/>
              <w:bottom w:val="single" w:sz="4" w:space="0" w:color="CCCCCC"/>
              <w:right w:val="single" w:sz="4" w:space="0" w:color="CCCCCC"/>
            </w:tcBorders>
            <w:shd w:val="clear" w:color="000000" w:fill="E8D5E8"/>
            <w:noWrap/>
            <w:vAlign w:val="center"/>
            <w:hideMark/>
          </w:tcPr>
          <w:p w14:paraId="2CDE3DF2"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FT</w:t>
            </w:r>
          </w:p>
        </w:tc>
        <w:tc>
          <w:tcPr>
            <w:tcW w:w="570" w:type="dxa"/>
            <w:tcBorders>
              <w:top w:val="nil"/>
              <w:left w:val="nil"/>
              <w:bottom w:val="single" w:sz="4" w:space="0" w:color="CCCCCC"/>
              <w:right w:val="single" w:sz="4" w:space="0" w:color="CCCCCC"/>
            </w:tcBorders>
            <w:shd w:val="clear" w:color="000000" w:fill="E8D5E8"/>
            <w:noWrap/>
            <w:vAlign w:val="center"/>
            <w:hideMark/>
          </w:tcPr>
          <w:p w14:paraId="64FB25C8"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2</w:t>
            </w:r>
          </w:p>
        </w:tc>
        <w:tc>
          <w:tcPr>
            <w:tcW w:w="1359" w:type="dxa"/>
            <w:tcBorders>
              <w:top w:val="nil"/>
              <w:left w:val="nil"/>
              <w:bottom w:val="single" w:sz="4" w:space="0" w:color="CCCCCC"/>
              <w:right w:val="single" w:sz="4" w:space="0" w:color="CCCCCC"/>
            </w:tcBorders>
            <w:shd w:val="clear" w:color="000000" w:fill="E8D5E8"/>
            <w:noWrap/>
            <w:vAlign w:val="center"/>
            <w:hideMark/>
          </w:tcPr>
          <w:p w14:paraId="11E564B1"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BA 22/44/45</w:t>
            </w:r>
          </w:p>
        </w:tc>
        <w:tc>
          <w:tcPr>
            <w:tcW w:w="1856" w:type="dxa"/>
            <w:tcBorders>
              <w:top w:val="nil"/>
              <w:left w:val="nil"/>
              <w:bottom w:val="single" w:sz="4" w:space="0" w:color="CCCCCC"/>
              <w:right w:val="single" w:sz="4" w:space="0" w:color="CCCCCC"/>
            </w:tcBorders>
            <w:shd w:val="clear" w:color="000000" w:fill="E8D5E8"/>
            <w:vAlign w:val="center"/>
            <w:hideMark/>
          </w:tcPr>
          <w:p w14:paraId="28549785"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E10(FT8), E47(FT7)</w:t>
            </w:r>
          </w:p>
        </w:tc>
        <w:tc>
          <w:tcPr>
            <w:tcW w:w="2361" w:type="dxa"/>
            <w:tcBorders>
              <w:top w:val="nil"/>
              <w:left w:val="nil"/>
              <w:bottom w:val="single" w:sz="4" w:space="0" w:color="CCCCCC"/>
              <w:right w:val="single" w:sz="4" w:space="0" w:color="CCCCCC"/>
            </w:tcBorders>
            <w:shd w:val="clear" w:color="000000" w:fill="E8D5E8"/>
            <w:vAlign w:val="center"/>
            <w:hideMark/>
          </w:tcPr>
          <w:p w14:paraId="50458C27"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Emotional prosody, social cognition, auditory-motor integration</w:t>
            </w:r>
          </w:p>
        </w:tc>
        <w:tc>
          <w:tcPr>
            <w:tcW w:w="1196" w:type="dxa"/>
            <w:tcBorders>
              <w:top w:val="nil"/>
              <w:left w:val="nil"/>
              <w:bottom w:val="single" w:sz="4" w:space="0" w:color="CCCCCC"/>
              <w:right w:val="single" w:sz="4" w:space="0" w:color="CCCCCC"/>
            </w:tcBorders>
            <w:shd w:val="clear" w:color="000000" w:fill="E8D5E8"/>
            <w:noWrap/>
            <w:vAlign w:val="center"/>
            <w:hideMark/>
          </w:tcPr>
          <w:p w14:paraId="171E8EE9"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 xml:space="preserve">　</w:t>
            </w:r>
          </w:p>
        </w:tc>
      </w:tr>
      <w:tr w:rsidR="006A2BC4" w:rsidRPr="00C7005F" w14:paraId="36F5DEA3"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34747D22"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6</w:t>
            </w:r>
          </w:p>
        </w:tc>
        <w:tc>
          <w:tcPr>
            <w:tcW w:w="1238" w:type="dxa"/>
            <w:tcBorders>
              <w:top w:val="nil"/>
              <w:left w:val="nil"/>
              <w:bottom w:val="single" w:sz="4" w:space="0" w:color="CCCCCC"/>
              <w:right w:val="single" w:sz="4" w:space="0" w:color="CCCCCC"/>
            </w:tcBorders>
            <w:shd w:val="clear" w:color="000000" w:fill="FFF2CC"/>
            <w:vAlign w:val="center"/>
            <w:hideMark/>
          </w:tcPr>
          <w:p w14:paraId="73F15412"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Central</w:t>
            </w:r>
          </w:p>
        </w:tc>
        <w:tc>
          <w:tcPr>
            <w:tcW w:w="745" w:type="dxa"/>
            <w:tcBorders>
              <w:top w:val="nil"/>
              <w:left w:val="nil"/>
              <w:bottom w:val="single" w:sz="4" w:space="0" w:color="CCCCCC"/>
              <w:right w:val="single" w:sz="4" w:space="0" w:color="CCCCCC"/>
            </w:tcBorders>
            <w:shd w:val="clear" w:color="000000" w:fill="FFF2CC"/>
            <w:noWrap/>
            <w:vAlign w:val="center"/>
            <w:hideMark/>
          </w:tcPr>
          <w:p w14:paraId="0C3324C3"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C</w:t>
            </w:r>
          </w:p>
        </w:tc>
        <w:tc>
          <w:tcPr>
            <w:tcW w:w="570" w:type="dxa"/>
            <w:tcBorders>
              <w:top w:val="nil"/>
              <w:left w:val="nil"/>
              <w:bottom w:val="single" w:sz="4" w:space="0" w:color="CCCCCC"/>
              <w:right w:val="single" w:sz="4" w:space="0" w:color="CCCCCC"/>
            </w:tcBorders>
            <w:shd w:val="clear" w:color="000000" w:fill="FFF2CC"/>
            <w:noWrap/>
            <w:vAlign w:val="center"/>
            <w:hideMark/>
          </w:tcPr>
          <w:p w14:paraId="211607D0"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7</w:t>
            </w:r>
          </w:p>
        </w:tc>
        <w:tc>
          <w:tcPr>
            <w:tcW w:w="1359" w:type="dxa"/>
            <w:tcBorders>
              <w:top w:val="nil"/>
              <w:left w:val="nil"/>
              <w:bottom w:val="single" w:sz="4" w:space="0" w:color="CCCCCC"/>
              <w:right w:val="single" w:sz="4" w:space="0" w:color="CCCCCC"/>
            </w:tcBorders>
            <w:shd w:val="clear" w:color="000000" w:fill="FFF2CC"/>
            <w:noWrap/>
            <w:vAlign w:val="center"/>
            <w:hideMark/>
          </w:tcPr>
          <w:p w14:paraId="6536682A"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4/1-3</w:t>
            </w:r>
          </w:p>
        </w:tc>
        <w:tc>
          <w:tcPr>
            <w:tcW w:w="1856" w:type="dxa"/>
            <w:tcBorders>
              <w:top w:val="nil"/>
              <w:left w:val="nil"/>
              <w:bottom w:val="single" w:sz="4" w:space="0" w:color="CCCCCC"/>
              <w:right w:val="single" w:sz="4" w:space="0" w:color="CCCCCC"/>
            </w:tcBorders>
            <w:shd w:val="clear" w:color="000000" w:fill="FFF2CC"/>
            <w:vAlign w:val="center"/>
            <w:hideMark/>
          </w:tcPr>
          <w:p w14:paraId="7346F689"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E12(C4), E13(C6), E18(C2), E40(C1), E41(C5), E42(C3), E59(</w:t>
            </w:r>
            <w:proofErr w:type="spellStart"/>
            <w:r w:rsidRPr="00CF5324">
              <w:rPr>
                <w:rFonts w:eastAsia="맑은 고딕" w:cs="Arial"/>
                <w:b/>
                <w:bCs/>
                <w:sz w:val="18"/>
                <w:szCs w:val="18"/>
                <w:lang w:eastAsia="ko-KR"/>
              </w:rPr>
              <w:t>Cz</w:t>
            </w:r>
            <w:proofErr w:type="spellEnd"/>
            <w:r w:rsidRPr="00CF5324">
              <w:rPr>
                <w:rFonts w:eastAsia="맑은 고딕" w:cs="Arial"/>
                <w:b/>
                <w:bCs/>
                <w:sz w:val="18"/>
                <w:szCs w:val="18"/>
                <w:lang w:eastAsia="ko-KR"/>
              </w:rPr>
              <w:t>)</w:t>
            </w:r>
          </w:p>
        </w:tc>
        <w:tc>
          <w:tcPr>
            <w:tcW w:w="2361" w:type="dxa"/>
            <w:tcBorders>
              <w:top w:val="nil"/>
              <w:left w:val="nil"/>
              <w:bottom w:val="single" w:sz="4" w:space="0" w:color="CCCCCC"/>
              <w:right w:val="single" w:sz="4" w:space="0" w:color="CCCCCC"/>
            </w:tcBorders>
            <w:shd w:val="clear" w:color="000000" w:fill="FFF2CC"/>
            <w:vAlign w:val="center"/>
            <w:hideMark/>
          </w:tcPr>
          <w:p w14:paraId="046CD976"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Primary motor &amp; sensorimotor cortex, tactile processing</w:t>
            </w:r>
          </w:p>
        </w:tc>
        <w:tc>
          <w:tcPr>
            <w:tcW w:w="1196" w:type="dxa"/>
            <w:tcBorders>
              <w:top w:val="nil"/>
              <w:left w:val="nil"/>
              <w:bottom w:val="single" w:sz="4" w:space="0" w:color="CCCCCC"/>
              <w:right w:val="single" w:sz="4" w:space="0" w:color="CCCCCC"/>
            </w:tcBorders>
            <w:shd w:val="clear" w:color="000000" w:fill="FFF2CC"/>
            <w:noWrap/>
            <w:vAlign w:val="center"/>
            <w:hideMark/>
          </w:tcPr>
          <w:p w14:paraId="5EDF48BA"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E41</w:t>
            </w:r>
          </w:p>
        </w:tc>
      </w:tr>
      <w:tr w:rsidR="006A2BC4" w:rsidRPr="00C7005F" w14:paraId="72822F5A"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116AEF9B"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7</w:t>
            </w:r>
          </w:p>
        </w:tc>
        <w:tc>
          <w:tcPr>
            <w:tcW w:w="1238" w:type="dxa"/>
            <w:tcBorders>
              <w:top w:val="nil"/>
              <w:left w:val="nil"/>
              <w:bottom w:val="single" w:sz="4" w:space="0" w:color="CCCCCC"/>
              <w:right w:val="single" w:sz="4" w:space="0" w:color="CCCCCC"/>
            </w:tcBorders>
            <w:shd w:val="clear" w:color="000000" w:fill="FFF2CC"/>
            <w:vAlign w:val="center"/>
            <w:hideMark/>
          </w:tcPr>
          <w:p w14:paraId="4E76BF5C"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Centro-Parietal</w:t>
            </w:r>
          </w:p>
        </w:tc>
        <w:tc>
          <w:tcPr>
            <w:tcW w:w="745" w:type="dxa"/>
            <w:tcBorders>
              <w:top w:val="nil"/>
              <w:left w:val="nil"/>
              <w:bottom w:val="single" w:sz="4" w:space="0" w:color="CCCCCC"/>
              <w:right w:val="single" w:sz="4" w:space="0" w:color="CCCCCC"/>
            </w:tcBorders>
            <w:shd w:val="clear" w:color="000000" w:fill="FFF2CC"/>
            <w:noWrap/>
            <w:vAlign w:val="center"/>
            <w:hideMark/>
          </w:tcPr>
          <w:p w14:paraId="3C981326"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CP</w:t>
            </w:r>
          </w:p>
        </w:tc>
        <w:tc>
          <w:tcPr>
            <w:tcW w:w="570" w:type="dxa"/>
            <w:tcBorders>
              <w:top w:val="nil"/>
              <w:left w:val="nil"/>
              <w:bottom w:val="single" w:sz="4" w:space="0" w:color="CCCCCC"/>
              <w:right w:val="single" w:sz="4" w:space="0" w:color="CCCCCC"/>
            </w:tcBorders>
            <w:shd w:val="clear" w:color="000000" w:fill="FFF2CC"/>
            <w:noWrap/>
            <w:vAlign w:val="center"/>
            <w:hideMark/>
          </w:tcPr>
          <w:p w14:paraId="312373C5"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7</w:t>
            </w:r>
          </w:p>
        </w:tc>
        <w:tc>
          <w:tcPr>
            <w:tcW w:w="1359" w:type="dxa"/>
            <w:tcBorders>
              <w:top w:val="nil"/>
              <w:left w:val="nil"/>
              <w:bottom w:val="single" w:sz="4" w:space="0" w:color="CCCCCC"/>
              <w:right w:val="single" w:sz="4" w:space="0" w:color="CCCCCC"/>
            </w:tcBorders>
            <w:shd w:val="clear" w:color="000000" w:fill="FFF2CC"/>
            <w:noWrap/>
            <w:vAlign w:val="center"/>
            <w:hideMark/>
          </w:tcPr>
          <w:p w14:paraId="381D13AD"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1-3/5/7/40</w:t>
            </w:r>
          </w:p>
        </w:tc>
        <w:tc>
          <w:tcPr>
            <w:tcW w:w="1856" w:type="dxa"/>
            <w:tcBorders>
              <w:top w:val="nil"/>
              <w:left w:val="nil"/>
              <w:bottom w:val="single" w:sz="4" w:space="0" w:color="CCCCCC"/>
              <w:right w:val="single" w:sz="4" w:space="0" w:color="CCCCCC"/>
            </w:tcBorders>
            <w:shd w:val="clear" w:color="000000" w:fill="FFF2CC"/>
            <w:vAlign w:val="center"/>
            <w:hideMark/>
          </w:tcPr>
          <w:p w14:paraId="4E8895C9"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E15(CP6), E16(CP4), E17(CP2), E37(CP5), E38(CP3), E39(CP1), E60(</w:t>
            </w:r>
            <w:proofErr w:type="spellStart"/>
            <w:r w:rsidRPr="00CF5324">
              <w:rPr>
                <w:rFonts w:eastAsia="맑은 고딕" w:cs="Arial"/>
                <w:b/>
                <w:bCs/>
                <w:sz w:val="18"/>
                <w:szCs w:val="18"/>
                <w:lang w:eastAsia="ko-KR"/>
              </w:rPr>
              <w:t>CPz</w:t>
            </w:r>
            <w:proofErr w:type="spellEnd"/>
            <w:r w:rsidRPr="00CF5324">
              <w:rPr>
                <w:rFonts w:eastAsia="맑은 고딕" w:cs="Arial"/>
                <w:b/>
                <w:bCs/>
                <w:sz w:val="18"/>
                <w:szCs w:val="18"/>
                <w:lang w:eastAsia="ko-KR"/>
              </w:rPr>
              <w:t>)</w:t>
            </w:r>
          </w:p>
        </w:tc>
        <w:tc>
          <w:tcPr>
            <w:tcW w:w="2361" w:type="dxa"/>
            <w:tcBorders>
              <w:top w:val="nil"/>
              <w:left w:val="nil"/>
              <w:bottom w:val="single" w:sz="4" w:space="0" w:color="CCCCCC"/>
              <w:right w:val="single" w:sz="4" w:space="0" w:color="CCCCCC"/>
            </w:tcBorders>
            <w:shd w:val="clear" w:color="000000" w:fill="FFF2CC"/>
            <w:vAlign w:val="center"/>
            <w:hideMark/>
          </w:tcPr>
          <w:p w14:paraId="68E713DD"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Somatosensory association, sensory integration, spatial orientation</w:t>
            </w:r>
          </w:p>
        </w:tc>
        <w:tc>
          <w:tcPr>
            <w:tcW w:w="1196" w:type="dxa"/>
            <w:tcBorders>
              <w:top w:val="nil"/>
              <w:left w:val="nil"/>
              <w:bottom w:val="single" w:sz="4" w:space="0" w:color="CCCCCC"/>
              <w:right w:val="single" w:sz="4" w:space="0" w:color="CCCCCC"/>
            </w:tcBorders>
            <w:shd w:val="clear" w:color="000000" w:fill="FFF2CC"/>
            <w:noWrap/>
            <w:vAlign w:val="center"/>
            <w:hideMark/>
          </w:tcPr>
          <w:p w14:paraId="03F1E8F2"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E39</w:t>
            </w:r>
          </w:p>
        </w:tc>
      </w:tr>
      <w:tr w:rsidR="006A2BC4" w:rsidRPr="00C7005F" w14:paraId="5B6802B4"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5E6D3"/>
            <w:noWrap/>
            <w:vAlign w:val="center"/>
            <w:hideMark/>
          </w:tcPr>
          <w:p w14:paraId="075F8CAE"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lastRenderedPageBreak/>
              <w:t>8</w:t>
            </w:r>
          </w:p>
        </w:tc>
        <w:tc>
          <w:tcPr>
            <w:tcW w:w="1238" w:type="dxa"/>
            <w:tcBorders>
              <w:top w:val="nil"/>
              <w:left w:val="nil"/>
              <w:bottom w:val="single" w:sz="4" w:space="0" w:color="CCCCCC"/>
              <w:right w:val="single" w:sz="4" w:space="0" w:color="CCCCCC"/>
            </w:tcBorders>
            <w:shd w:val="clear" w:color="000000" w:fill="F5E6D3"/>
            <w:vAlign w:val="center"/>
            <w:hideMark/>
          </w:tcPr>
          <w:p w14:paraId="77A4A1C9"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Temporo-Parietal</w:t>
            </w:r>
          </w:p>
        </w:tc>
        <w:tc>
          <w:tcPr>
            <w:tcW w:w="745" w:type="dxa"/>
            <w:tcBorders>
              <w:top w:val="nil"/>
              <w:left w:val="nil"/>
              <w:bottom w:val="single" w:sz="4" w:space="0" w:color="CCCCCC"/>
              <w:right w:val="single" w:sz="4" w:space="0" w:color="CCCCCC"/>
            </w:tcBorders>
            <w:shd w:val="clear" w:color="000000" w:fill="F5E6D3"/>
            <w:noWrap/>
            <w:vAlign w:val="center"/>
            <w:hideMark/>
          </w:tcPr>
          <w:p w14:paraId="01DF8D2A"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TP</w:t>
            </w:r>
          </w:p>
        </w:tc>
        <w:tc>
          <w:tcPr>
            <w:tcW w:w="570" w:type="dxa"/>
            <w:tcBorders>
              <w:top w:val="nil"/>
              <w:left w:val="nil"/>
              <w:bottom w:val="single" w:sz="4" w:space="0" w:color="CCCCCC"/>
              <w:right w:val="single" w:sz="4" w:space="0" w:color="CCCCCC"/>
            </w:tcBorders>
            <w:shd w:val="clear" w:color="000000" w:fill="F5E6D3"/>
            <w:noWrap/>
            <w:vAlign w:val="center"/>
            <w:hideMark/>
          </w:tcPr>
          <w:p w14:paraId="7837425F"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2</w:t>
            </w:r>
          </w:p>
        </w:tc>
        <w:tc>
          <w:tcPr>
            <w:tcW w:w="1359" w:type="dxa"/>
            <w:tcBorders>
              <w:top w:val="nil"/>
              <w:left w:val="nil"/>
              <w:bottom w:val="single" w:sz="4" w:space="0" w:color="CCCCCC"/>
              <w:right w:val="single" w:sz="4" w:space="0" w:color="CCCCCC"/>
            </w:tcBorders>
            <w:shd w:val="clear" w:color="000000" w:fill="F5E6D3"/>
            <w:noWrap/>
            <w:vAlign w:val="center"/>
            <w:hideMark/>
          </w:tcPr>
          <w:p w14:paraId="7AFA269A"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BA 22/39/40</w:t>
            </w:r>
          </w:p>
        </w:tc>
        <w:tc>
          <w:tcPr>
            <w:tcW w:w="1856" w:type="dxa"/>
            <w:tcBorders>
              <w:top w:val="nil"/>
              <w:left w:val="nil"/>
              <w:bottom w:val="single" w:sz="4" w:space="0" w:color="CCCCCC"/>
              <w:right w:val="single" w:sz="4" w:space="0" w:color="CCCCCC"/>
            </w:tcBorders>
            <w:shd w:val="clear" w:color="000000" w:fill="F5E6D3"/>
            <w:vAlign w:val="center"/>
            <w:hideMark/>
          </w:tcPr>
          <w:p w14:paraId="69A7EEE2"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E19(TP8), E36(TP7)</w:t>
            </w:r>
          </w:p>
        </w:tc>
        <w:tc>
          <w:tcPr>
            <w:tcW w:w="2361" w:type="dxa"/>
            <w:tcBorders>
              <w:top w:val="nil"/>
              <w:left w:val="nil"/>
              <w:bottom w:val="single" w:sz="4" w:space="0" w:color="CCCCCC"/>
              <w:right w:val="single" w:sz="4" w:space="0" w:color="CCCCCC"/>
            </w:tcBorders>
            <w:shd w:val="clear" w:color="000000" w:fill="F5E6D3"/>
            <w:vAlign w:val="center"/>
            <w:hideMark/>
          </w:tcPr>
          <w:p w14:paraId="6A844790"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Language comprehension, social cognition, theory of mind</w:t>
            </w:r>
          </w:p>
        </w:tc>
        <w:tc>
          <w:tcPr>
            <w:tcW w:w="1196" w:type="dxa"/>
            <w:tcBorders>
              <w:top w:val="nil"/>
              <w:left w:val="nil"/>
              <w:bottom w:val="single" w:sz="4" w:space="0" w:color="CCCCCC"/>
              <w:right w:val="single" w:sz="4" w:space="0" w:color="CCCCCC"/>
            </w:tcBorders>
            <w:shd w:val="clear" w:color="000000" w:fill="F5E6D3"/>
            <w:noWrap/>
            <w:vAlign w:val="center"/>
            <w:hideMark/>
          </w:tcPr>
          <w:p w14:paraId="6FBA5BFE"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 xml:space="preserve">　</w:t>
            </w:r>
          </w:p>
        </w:tc>
      </w:tr>
      <w:tr w:rsidR="006A2BC4" w:rsidRPr="00C7005F" w14:paraId="59749564"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403C8EBB"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9</w:t>
            </w:r>
          </w:p>
        </w:tc>
        <w:tc>
          <w:tcPr>
            <w:tcW w:w="1238" w:type="dxa"/>
            <w:tcBorders>
              <w:top w:val="nil"/>
              <w:left w:val="nil"/>
              <w:bottom w:val="single" w:sz="4" w:space="0" w:color="CCCCCC"/>
              <w:right w:val="single" w:sz="4" w:space="0" w:color="CCCCCC"/>
            </w:tcBorders>
            <w:shd w:val="clear" w:color="000000" w:fill="FFF2CC"/>
            <w:vAlign w:val="center"/>
            <w:hideMark/>
          </w:tcPr>
          <w:p w14:paraId="6E3C5F84"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Temporal</w:t>
            </w:r>
          </w:p>
        </w:tc>
        <w:tc>
          <w:tcPr>
            <w:tcW w:w="745" w:type="dxa"/>
            <w:tcBorders>
              <w:top w:val="nil"/>
              <w:left w:val="nil"/>
              <w:bottom w:val="single" w:sz="4" w:space="0" w:color="CCCCCC"/>
              <w:right w:val="single" w:sz="4" w:space="0" w:color="CCCCCC"/>
            </w:tcBorders>
            <w:shd w:val="clear" w:color="000000" w:fill="FFF2CC"/>
            <w:noWrap/>
            <w:vAlign w:val="center"/>
            <w:hideMark/>
          </w:tcPr>
          <w:p w14:paraId="1D294504"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T</w:t>
            </w:r>
          </w:p>
        </w:tc>
        <w:tc>
          <w:tcPr>
            <w:tcW w:w="570" w:type="dxa"/>
            <w:tcBorders>
              <w:top w:val="nil"/>
              <w:left w:val="nil"/>
              <w:bottom w:val="single" w:sz="4" w:space="0" w:color="CCCCCC"/>
              <w:right w:val="single" w:sz="4" w:space="0" w:color="CCCCCC"/>
            </w:tcBorders>
            <w:shd w:val="clear" w:color="000000" w:fill="FFF2CC"/>
            <w:noWrap/>
            <w:vAlign w:val="center"/>
            <w:hideMark/>
          </w:tcPr>
          <w:p w14:paraId="534959E2"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2</w:t>
            </w:r>
          </w:p>
        </w:tc>
        <w:tc>
          <w:tcPr>
            <w:tcW w:w="1359" w:type="dxa"/>
            <w:tcBorders>
              <w:top w:val="nil"/>
              <w:left w:val="nil"/>
              <w:bottom w:val="single" w:sz="4" w:space="0" w:color="CCCCCC"/>
              <w:right w:val="single" w:sz="4" w:space="0" w:color="CCCCCC"/>
            </w:tcBorders>
            <w:shd w:val="clear" w:color="000000" w:fill="FFF2CC"/>
            <w:noWrap/>
            <w:vAlign w:val="center"/>
            <w:hideMark/>
          </w:tcPr>
          <w:p w14:paraId="400A0C1E"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21/22</w:t>
            </w:r>
          </w:p>
        </w:tc>
        <w:tc>
          <w:tcPr>
            <w:tcW w:w="1856" w:type="dxa"/>
            <w:tcBorders>
              <w:top w:val="nil"/>
              <w:left w:val="nil"/>
              <w:bottom w:val="single" w:sz="4" w:space="0" w:color="CCCCCC"/>
              <w:right w:val="single" w:sz="4" w:space="0" w:color="CCCCCC"/>
            </w:tcBorders>
            <w:shd w:val="clear" w:color="000000" w:fill="FFF2CC"/>
            <w:vAlign w:val="center"/>
            <w:hideMark/>
          </w:tcPr>
          <w:p w14:paraId="5C7FACA5"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E14(T8), E43(T7)</w:t>
            </w:r>
          </w:p>
        </w:tc>
        <w:tc>
          <w:tcPr>
            <w:tcW w:w="2361" w:type="dxa"/>
            <w:tcBorders>
              <w:top w:val="nil"/>
              <w:left w:val="nil"/>
              <w:bottom w:val="single" w:sz="4" w:space="0" w:color="CCCCCC"/>
              <w:right w:val="single" w:sz="4" w:space="0" w:color="CCCCCC"/>
            </w:tcBorders>
            <w:shd w:val="clear" w:color="000000" w:fill="FFF2CC"/>
            <w:vAlign w:val="center"/>
            <w:hideMark/>
          </w:tcPr>
          <w:p w14:paraId="290F164D"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Auditory processing, language (Wernicke), emotional prosody</w:t>
            </w:r>
          </w:p>
        </w:tc>
        <w:tc>
          <w:tcPr>
            <w:tcW w:w="1196" w:type="dxa"/>
            <w:tcBorders>
              <w:top w:val="nil"/>
              <w:left w:val="nil"/>
              <w:bottom w:val="single" w:sz="4" w:space="0" w:color="CCCCCC"/>
              <w:right w:val="single" w:sz="4" w:space="0" w:color="CCCCCC"/>
            </w:tcBorders>
            <w:shd w:val="clear" w:color="000000" w:fill="FFF2CC"/>
            <w:noWrap/>
            <w:vAlign w:val="center"/>
            <w:hideMark/>
          </w:tcPr>
          <w:p w14:paraId="42D75214"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E14</w:t>
            </w:r>
          </w:p>
        </w:tc>
      </w:tr>
      <w:tr w:rsidR="006A2BC4" w:rsidRPr="00C7005F" w14:paraId="5436B5BB"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68940C25"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10</w:t>
            </w:r>
          </w:p>
        </w:tc>
        <w:tc>
          <w:tcPr>
            <w:tcW w:w="1238" w:type="dxa"/>
            <w:tcBorders>
              <w:top w:val="nil"/>
              <w:left w:val="nil"/>
              <w:bottom w:val="single" w:sz="4" w:space="0" w:color="CCCCCC"/>
              <w:right w:val="single" w:sz="4" w:space="0" w:color="CCCCCC"/>
            </w:tcBorders>
            <w:shd w:val="clear" w:color="000000" w:fill="FFF2CC"/>
            <w:vAlign w:val="center"/>
            <w:hideMark/>
          </w:tcPr>
          <w:p w14:paraId="12A2DA16"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Parietal</w:t>
            </w:r>
          </w:p>
        </w:tc>
        <w:tc>
          <w:tcPr>
            <w:tcW w:w="745" w:type="dxa"/>
            <w:tcBorders>
              <w:top w:val="nil"/>
              <w:left w:val="nil"/>
              <w:bottom w:val="single" w:sz="4" w:space="0" w:color="CCCCCC"/>
              <w:right w:val="single" w:sz="4" w:space="0" w:color="CCCCCC"/>
            </w:tcBorders>
            <w:shd w:val="clear" w:color="000000" w:fill="FFF2CC"/>
            <w:noWrap/>
            <w:vAlign w:val="center"/>
            <w:hideMark/>
          </w:tcPr>
          <w:p w14:paraId="0C952E06"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P</w:t>
            </w:r>
          </w:p>
        </w:tc>
        <w:tc>
          <w:tcPr>
            <w:tcW w:w="570" w:type="dxa"/>
            <w:tcBorders>
              <w:top w:val="nil"/>
              <w:left w:val="nil"/>
              <w:bottom w:val="single" w:sz="4" w:space="0" w:color="CCCCCC"/>
              <w:right w:val="single" w:sz="4" w:space="0" w:color="CCCCCC"/>
            </w:tcBorders>
            <w:shd w:val="clear" w:color="000000" w:fill="FFF2CC"/>
            <w:noWrap/>
            <w:vAlign w:val="center"/>
            <w:hideMark/>
          </w:tcPr>
          <w:p w14:paraId="52136037"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9</w:t>
            </w:r>
          </w:p>
        </w:tc>
        <w:tc>
          <w:tcPr>
            <w:tcW w:w="1359" w:type="dxa"/>
            <w:tcBorders>
              <w:top w:val="nil"/>
              <w:left w:val="nil"/>
              <w:bottom w:val="single" w:sz="4" w:space="0" w:color="CCCCCC"/>
              <w:right w:val="single" w:sz="4" w:space="0" w:color="CCCCCC"/>
            </w:tcBorders>
            <w:shd w:val="clear" w:color="000000" w:fill="FFF2CC"/>
            <w:noWrap/>
            <w:vAlign w:val="center"/>
            <w:hideMark/>
          </w:tcPr>
          <w:p w14:paraId="4C5EF51F"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7/39/40</w:t>
            </w:r>
          </w:p>
        </w:tc>
        <w:tc>
          <w:tcPr>
            <w:tcW w:w="1856" w:type="dxa"/>
            <w:tcBorders>
              <w:top w:val="nil"/>
              <w:left w:val="nil"/>
              <w:bottom w:val="single" w:sz="4" w:space="0" w:color="CCCCCC"/>
              <w:right w:val="single" w:sz="4" w:space="0" w:color="CCCCCC"/>
            </w:tcBorders>
            <w:shd w:val="clear" w:color="000000" w:fill="FFF2CC"/>
            <w:vAlign w:val="center"/>
            <w:hideMark/>
          </w:tcPr>
          <w:p w14:paraId="71EE899D"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E20(P6), E21(P4), E22(P2), E23(P8), E32(P7), E33(P5), E34(P3), E35(P1), E61(</w:t>
            </w:r>
            <w:proofErr w:type="spellStart"/>
            <w:r w:rsidRPr="00CF5324">
              <w:rPr>
                <w:rFonts w:eastAsia="맑은 고딕" w:cs="Arial"/>
                <w:b/>
                <w:bCs/>
                <w:sz w:val="18"/>
                <w:szCs w:val="18"/>
                <w:lang w:eastAsia="ko-KR"/>
              </w:rPr>
              <w:t>Pz</w:t>
            </w:r>
            <w:proofErr w:type="spellEnd"/>
            <w:r w:rsidRPr="00CF5324">
              <w:rPr>
                <w:rFonts w:eastAsia="맑은 고딕" w:cs="Arial"/>
                <w:b/>
                <w:bCs/>
                <w:sz w:val="18"/>
                <w:szCs w:val="18"/>
                <w:lang w:eastAsia="ko-KR"/>
              </w:rPr>
              <w:t>)</w:t>
            </w:r>
          </w:p>
        </w:tc>
        <w:tc>
          <w:tcPr>
            <w:tcW w:w="2361" w:type="dxa"/>
            <w:tcBorders>
              <w:top w:val="nil"/>
              <w:left w:val="nil"/>
              <w:bottom w:val="single" w:sz="4" w:space="0" w:color="CCCCCC"/>
              <w:right w:val="single" w:sz="4" w:space="0" w:color="CCCCCC"/>
            </w:tcBorders>
            <w:shd w:val="clear" w:color="000000" w:fill="FFF2CC"/>
            <w:vAlign w:val="center"/>
            <w:hideMark/>
          </w:tcPr>
          <w:p w14:paraId="672246B1"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Visuospatial attention, language, numerical processing, IPL hub</w:t>
            </w:r>
          </w:p>
        </w:tc>
        <w:tc>
          <w:tcPr>
            <w:tcW w:w="1196" w:type="dxa"/>
            <w:tcBorders>
              <w:top w:val="nil"/>
              <w:left w:val="nil"/>
              <w:bottom w:val="single" w:sz="4" w:space="0" w:color="CCCCCC"/>
              <w:right w:val="single" w:sz="4" w:space="0" w:color="CCCCCC"/>
            </w:tcBorders>
            <w:shd w:val="clear" w:color="000000" w:fill="FFF2CC"/>
            <w:noWrap/>
            <w:vAlign w:val="center"/>
            <w:hideMark/>
          </w:tcPr>
          <w:p w14:paraId="28FEDB7B"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E20, E33</w:t>
            </w:r>
          </w:p>
        </w:tc>
      </w:tr>
      <w:tr w:rsidR="006A2BC4" w:rsidRPr="00C7005F" w14:paraId="6DE5E6B1"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FF2CC"/>
            <w:noWrap/>
            <w:vAlign w:val="center"/>
            <w:hideMark/>
          </w:tcPr>
          <w:p w14:paraId="51E69BAD"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11</w:t>
            </w:r>
          </w:p>
        </w:tc>
        <w:tc>
          <w:tcPr>
            <w:tcW w:w="1238" w:type="dxa"/>
            <w:tcBorders>
              <w:top w:val="nil"/>
              <w:left w:val="nil"/>
              <w:bottom w:val="single" w:sz="4" w:space="0" w:color="CCCCCC"/>
              <w:right w:val="single" w:sz="4" w:space="0" w:color="CCCCCC"/>
            </w:tcBorders>
            <w:shd w:val="clear" w:color="000000" w:fill="FFF2CC"/>
            <w:vAlign w:val="center"/>
            <w:hideMark/>
          </w:tcPr>
          <w:p w14:paraId="16EF2666"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Parieto-Occipital</w:t>
            </w:r>
          </w:p>
        </w:tc>
        <w:tc>
          <w:tcPr>
            <w:tcW w:w="745" w:type="dxa"/>
            <w:tcBorders>
              <w:top w:val="nil"/>
              <w:left w:val="nil"/>
              <w:bottom w:val="single" w:sz="4" w:space="0" w:color="CCCCCC"/>
              <w:right w:val="single" w:sz="4" w:space="0" w:color="CCCCCC"/>
            </w:tcBorders>
            <w:shd w:val="clear" w:color="000000" w:fill="FFF2CC"/>
            <w:noWrap/>
            <w:vAlign w:val="center"/>
            <w:hideMark/>
          </w:tcPr>
          <w:p w14:paraId="6FA0D5C4"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PO</w:t>
            </w:r>
          </w:p>
        </w:tc>
        <w:tc>
          <w:tcPr>
            <w:tcW w:w="570" w:type="dxa"/>
            <w:tcBorders>
              <w:top w:val="nil"/>
              <w:left w:val="nil"/>
              <w:bottom w:val="single" w:sz="4" w:space="0" w:color="CCCCCC"/>
              <w:right w:val="single" w:sz="4" w:space="0" w:color="CCCCCC"/>
            </w:tcBorders>
            <w:shd w:val="clear" w:color="000000" w:fill="FFF2CC"/>
            <w:noWrap/>
            <w:vAlign w:val="center"/>
            <w:hideMark/>
          </w:tcPr>
          <w:p w14:paraId="0835C1AF"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5</w:t>
            </w:r>
          </w:p>
        </w:tc>
        <w:tc>
          <w:tcPr>
            <w:tcW w:w="1359" w:type="dxa"/>
            <w:tcBorders>
              <w:top w:val="nil"/>
              <w:left w:val="nil"/>
              <w:bottom w:val="single" w:sz="4" w:space="0" w:color="CCCCCC"/>
              <w:right w:val="single" w:sz="4" w:space="0" w:color="CCCCCC"/>
            </w:tcBorders>
            <w:shd w:val="clear" w:color="000000" w:fill="FFF2CC"/>
            <w:noWrap/>
            <w:vAlign w:val="center"/>
            <w:hideMark/>
          </w:tcPr>
          <w:p w14:paraId="11540542"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Arial"/>
                <w:b/>
                <w:bCs/>
                <w:sz w:val="18"/>
                <w:szCs w:val="18"/>
                <w:lang w:eastAsia="ko-KR"/>
              </w:rPr>
              <w:t>BA 19/39</w:t>
            </w:r>
          </w:p>
        </w:tc>
        <w:tc>
          <w:tcPr>
            <w:tcW w:w="1856" w:type="dxa"/>
            <w:tcBorders>
              <w:top w:val="nil"/>
              <w:left w:val="nil"/>
              <w:bottom w:val="single" w:sz="4" w:space="0" w:color="CCCCCC"/>
              <w:right w:val="single" w:sz="4" w:space="0" w:color="CCCCCC"/>
            </w:tcBorders>
            <w:shd w:val="clear" w:color="000000" w:fill="FFF2CC"/>
            <w:vAlign w:val="center"/>
            <w:hideMark/>
          </w:tcPr>
          <w:p w14:paraId="5F5A6EAB"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E24(PO8), E25(PO4), E27(POz), E30(PO3), E31(PO7)</w:t>
            </w:r>
          </w:p>
        </w:tc>
        <w:tc>
          <w:tcPr>
            <w:tcW w:w="2361" w:type="dxa"/>
            <w:tcBorders>
              <w:top w:val="nil"/>
              <w:left w:val="nil"/>
              <w:bottom w:val="single" w:sz="4" w:space="0" w:color="CCCCCC"/>
              <w:right w:val="single" w:sz="4" w:space="0" w:color="CCCCCC"/>
            </w:tcBorders>
            <w:shd w:val="clear" w:color="000000" w:fill="FFF2CC"/>
            <w:vAlign w:val="center"/>
            <w:hideMark/>
          </w:tcPr>
          <w:p w14:paraId="2B549114" w14:textId="77777777" w:rsidR="006A2BC4" w:rsidRPr="00CF5324" w:rsidRDefault="006A2BC4" w:rsidP="00770F64">
            <w:pPr>
              <w:spacing w:after="0" w:line="240" w:lineRule="auto"/>
              <w:ind w:firstLineChars="100" w:firstLine="180"/>
              <w:rPr>
                <w:rFonts w:eastAsia="맑은 고딕" w:cs="Arial"/>
                <w:b/>
                <w:bCs/>
                <w:sz w:val="18"/>
                <w:szCs w:val="18"/>
                <w:lang w:eastAsia="ko-KR"/>
              </w:rPr>
            </w:pPr>
            <w:r w:rsidRPr="00CF5324">
              <w:rPr>
                <w:rFonts w:eastAsia="맑은 고딕" w:cs="Arial"/>
                <w:b/>
                <w:bCs/>
                <w:sz w:val="18"/>
                <w:szCs w:val="18"/>
                <w:lang w:eastAsia="ko-KR"/>
              </w:rPr>
              <w:t>Visual association, visuospatial processing, object recognition</w:t>
            </w:r>
          </w:p>
        </w:tc>
        <w:tc>
          <w:tcPr>
            <w:tcW w:w="1196" w:type="dxa"/>
            <w:tcBorders>
              <w:top w:val="nil"/>
              <w:left w:val="nil"/>
              <w:bottom w:val="single" w:sz="4" w:space="0" w:color="CCCCCC"/>
              <w:right w:val="single" w:sz="4" w:space="0" w:color="CCCCCC"/>
            </w:tcBorders>
            <w:shd w:val="clear" w:color="000000" w:fill="FFF2CC"/>
            <w:noWrap/>
            <w:vAlign w:val="center"/>
            <w:hideMark/>
          </w:tcPr>
          <w:p w14:paraId="664E88E0" w14:textId="77777777" w:rsidR="006A2BC4" w:rsidRPr="00CF5324" w:rsidRDefault="006A2BC4" w:rsidP="00770F64">
            <w:pPr>
              <w:spacing w:after="0" w:line="240" w:lineRule="auto"/>
              <w:jc w:val="center"/>
              <w:rPr>
                <w:rFonts w:eastAsia="맑은 고딕" w:cs="Arial"/>
                <w:b/>
                <w:bCs/>
                <w:sz w:val="18"/>
                <w:szCs w:val="18"/>
                <w:lang w:eastAsia="ko-KR"/>
              </w:rPr>
            </w:pPr>
            <w:r w:rsidRPr="00CF5324">
              <w:rPr>
                <w:rFonts w:eastAsia="맑은 고딕" w:cs="Segoe UI Symbol"/>
                <w:b/>
                <w:bCs/>
                <w:sz w:val="18"/>
                <w:szCs w:val="18"/>
                <w:lang w:eastAsia="ko-KR"/>
              </w:rPr>
              <w:t>★</w:t>
            </w:r>
            <w:r w:rsidRPr="00CF5324">
              <w:rPr>
                <w:rFonts w:eastAsia="맑은 고딕" w:cs="Arial"/>
                <w:b/>
                <w:bCs/>
                <w:sz w:val="18"/>
                <w:szCs w:val="18"/>
                <w:lang w:eastAsia="ko-KR"/>
              </w:rPr>
              <w:t xml:space="preserve"> E24, E30</w:t>
            </w:r>
          </w:p>
        </w:tc>
      </w:tr>
      <w:tr w:rsidR="006A2BC4" w:rsidRPr="00C7005F" w14:paraId="61DE3407"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9EBEA"/>
            <w:noWrap/>
            <w:vAlign w:val="center"/>
            <w:hideMark/>
          </w:tcPr>
          <w:p w14:paraId="27D01508"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12</w:t>
            </w:r>
          </w:p>
        </w:tc>
        <w:tc>
          <w:tcPr>
            <w:tcW w:w="1238" w:type="dxa"/>
            <w:tcBorders>
              <w:top w:val="nil"/>
              <w:left w:val="nil"/>
              <w:bottom w:val="single" w:sz="4" w:space="0" w:color="CCCCCC"/>
              <w:right w:val="single" w:sz="4" w:space="0" w:color="CCCCCC"/>
            </w:tcBorders>
            <w:shd w:val="clear" w:color="000000" w:fill="F9EBEA"/>
            <w:vAlign w:val="center"/>
            <w:hideMark/>
          </w:tcPr>
          <w:p w14:paraId="74C389A0"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Occipital</w:t>
            </w:r>
          </w:p>
        </w:tc>
        <w:tc>
          <w:tcPr>
            <w:tcW w:w="745" w:type="dxa"/>
            <w:tcBorders>
              <w:top w:val="nil"/>
              <w:left w:val="nil"/>
              <w:bottom w:val="single" w:sz="4" w:space="0" w:color="CCCCCC"/>
              <w:right w:val="single" w:sz="4" w:space="0" w:color="CCCCCC"/>
            </w:tcBorders>
            <w:shd w:val="clear" w:color="000000" w:fill="F9EBEA"/>
            <w:noWrap/>
            <w:vAlign w:val="center"/>
            <w:hideMark/>
          </w:tcPr>
          <w:p w14:paraId="0C83C866"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O</w:t>
            </w:r>
          </w:p>
        </w:tc>
        <w:tc>
          <w:tcPr>
            <w:tcW w:w="570" w:type="dxa"/>
            <w:tcBorders>
              <w:top w:val="nil"/>
              <w:left w:val="nil"/>
              <w:bottom w:val="single" w:sz="4" w:space="0" w:color="CCCCCC"/>
              <w:right w:val="single" w:sz="4" w:space="0" w:color="CCCCCC"/>
            </w:tcBorders>
            <w:shd w:val="clear" w:color="000000" w:fill="F9EBEA"/>
            <w:noWrap/>
            <w:vAlign w:val="center"/>
            <w:hideMark/>
          </w:tcPr>
          <w:p w14:paraId="36AB9B8A"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3</w:t>
            </w:r>
          </w:p>
        </w:tc>
        <w:tc>
          <w:tcPr>
            <w:tcW w:w="1359" w:type="dxa"/>
            <w:tcBorders>
              <w:top w:val="nil"/>
              <w:left w:val="nil"/>
              <w:bottom w:val="single" w:sz="4" w:space="0" w:color="CCCCCC"/>
              <w:right w:val="single" w:sz="4" w:space="0" w:color="CCCCCC"/>
            </w:tcBorders>
            <w:shd w:val="clear" w:color="000000" w:fill="F9EBEA"/>
            <w:noWrap/>
            <w:vAlign w:val="center"/>
            <w:hideMark/>
          </w:tcPr>
          <w:p w14:paraId="707AD698"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BA 17/18</w:t>
            </w:r>
          </w:p>
        </w:tc>
        <w:tc>
          <w:tcPr>
            <w:tcW w:w="1856" w:type="dxa"/>
            <w:tcBorders>
              <w:top w:val="nil"/>
              <w:left w:val="nil"/>
              <w:bottom w:val="single" w:sz="4" w:space="0" w:color="CCCCCC"/>
              <w:right w:val="single" w:sz="4" w:space="0" w:color="CCCCCC"/>
            </w:tcBorders>
            <w:shd w:val="clear" w:color="000000" w:fill="F9EBEA"/>
            <w:vAlign w:val="center"/>
            <w:hideMark/>
          </w:tcPr>
          <w:p w14:paraId="338780C7"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E26(O2), E28(Oz), E29(O1)</w:t>
            </w:r>
          </w:p>
        </w:tc>
        <w:tc>
          <w:tcPr>
            <w:tcW w:w="2361" w:type="dxa"/>
            <w:tcBorders>
              <w:top w:val="nil"/>
              <w:left w:val="nil"/>
              <w:bottom w:val="single" w:sz="4" w:space="0" w:color="CCCCCC"/>
              <w:right w:val="single" w:sz="4" w:space="0" w:color="CCCCCC"/>
            </w:tcBorders>
            <w:shd w:val="clear" w:color="000000" w:fill="F9EBEA"/>
            <w:vAlign w:val="center"/>
            <w:hideMark/>
          </w:tcPr>
          <w:p w14:paraId="706419FF"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Primary visual cortex, basic visual processing</w:t>
            </w:r>
          </w:p>
        </w:tc>
        <w:tc>
          <w:tcPr>
            <w:tcW w:w="1196" w:type="dxa"/>
            <w:tcBorders>
              <w:top w:val="nil"/>
              <w:left w:val="nil"/>
              <w:bottom w:val="single" w:sz="4" w:space="0" w:color="CCCCCC"/>
              <w:right w:val="single" w:sz="4" w:space="0" w:color="CCCCCC"/>
            </w:tcBorders>
            <w:shd w:val="clear" w:color="000000" w:fill="F9EBEA"/>
            <w:noWrap/>
            <w:vAlign w:val="center"/>
            <w:hideMark/>
          </w:tcPr>
          <w:p w14:paraId="4B464552"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 xml:space="preserve">　</w:t>
            </w:r>
          </w:p>
        </w:tc>
      </w:tr>
      <w:tr w:rsidR="006A2BC4" w:rsidRPr="00C7005F" w14:paraId="5CAA3B7C" w14:textId="77777777" w:rsidTr="00770F64">
        <w:trPr>
          <w:trHeight w:val="587"/>
        </w:trPr>
        <w:tc>
          <w:tcPr>
            <w:tcW w:w="725" w:type="dxa"/>
            <w:tcBorders>
              <w:top w:val="nil"/>
              <w:left w:val="single" w:sz="4" w:space="0" w:color="CCCCCC"/>
              <w:bottom w:val="single" w:sz="4" w:space="0" w:color="CCCCCC"/>
              <w:right w:val="single" w:sz="4" w:space="0" w:color="CCCCCC"/>
            </w:tcBorders>
            <w:shd w:val="clear" w:color="000000" w:fill="F2F2F2"/>
            <w:noWrap/>
            <w:vAlign w:val="center"/>
            <w:hideMark/>
          </w:tcPr>
          <w:p w14:paraId="247ED732"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13</w:t>
            </w:r>
          </w:p>
        </w:tc>
        <w:tc>
          <w:tcPr>
            <w:tcW w:w="1238" w:type="dxa"/>
            <w:tcBorders>
              <w:top w:val="nil"/>
              <w:left w:val="nil"/>
              <w:bottom w:val="single" w:sz="4" w:space="0" w:color="CCCCCC"/>
              <w:right w:val="single" w:sz="4" w:space="0" w:color="CCCCCC"/>
            </w:tcBorders>
            <w:shd w:val="clear" w:color="000000" w:fill="F2F2F2"/>
            <w:vAlign w:val="center"/>
            <w:hideMark/>
          </w:tcPr>
          <w:p w14:paraId="31126D29"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Reference</w:t>
            </w:r>
          </w:p>
        </w:tc>
        <w:tc>
          <w:tcPr>
            <w:tcW w:w="745" w:type="dxa"/>
            <w:tcBorders>
              <w:top w:val="nil"/>
              <w:left w:val="nil"/>
              <w:bottom w:val="single" w:sz="4" w:space="0" w:color="CCCCCC"/>
              <w:right w:val="single" w:sz="4" w:space="0" w:color="CCCCCC"/>
            </w:tcBorders>
            <w:shd w:val="clear" w:color="000000" w:fill="F2F2F2"/>
            <w:noWrap/>
            <w:vAlign w:val="center"/>
            <w:hideMark/>
          </w:tcPr>
          <w:p w14:paraId="2AF28920"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REF</w:t>
            </w:r>
          </w:p>
        </w:tc>
        <w:tc>
          <w:tcPr>
            <w:tcW w:w="570" w:type="dxa"/>
            <w:tcBorders>
              <w:top w:val="nil"/>
              <w:left w:val="nil"/>
              <w:bottom w:val="single" w:sz="4" w:space="0" w:color="CCCCCC"/>
              <w:right w:val="single" w:sz="4" w:space="0" w:color="CCCCCC"/>
            </w:tcBorders>
            <w:shd w:val="clear" w:color="000000" w:fill="F2F2F2"/>
            <w:noWrap/>
            <w:vAlign w:val="center"/>
            <w:hideMark/>
          </w:tcPr>
          <w:p w14:paraId="35835230"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3</w:t>
            </w:r>
          </w:p>
        </w:tc>
        <w:tc>
          <w:tcPr>
            <w:tcW w:w="1359" w:type="dxa"/>
            <w:tcBorders>
              <w:top w:val="nil"/>
              <w:left w:val="nil"/>
              <w:bottom w:val="single" w:sz="4" w:space="0" w:color="CCCCCC"/>
              <w:right w:val="single" w:sz="4" w:space="0" w:color="CCCCCC"/>
            </w:tcBorders>
            <w:shd w:val="clear" w:color="000000" w:fill="F2F2F2"/>
            <w:noWrap/>
            <w:vAlign w:val="center"/>
            <w:hideMark/>
          </w:tcPr>
          <w:p w14:paraId="09F4D2CF"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w:t>
            </w:r>
          </w:p>
        </w:tc>
        <w:tc>
          <w:tcPr>
            <w:tcW w:w="1856" w:type="dxa"/>
            <w:tcBorders>
              <w:top w:val="nil"/>
              <w:left w:val="nil"/>
              <w:bottom w:val="single" w:sz="4" w:space="0" w:color="CCCCCC"/>
              <w:right w:val="single" w:sz="4" w:space="0" w:color="CCCCCC"/>
            </w:tcBorders>
            <w:shd w:val="clear" w:color="000000" w:fill="F2F2F2"/>
            <w:vAlign w:val="center"/>
            <w:hideMark/>
          </w:tcPr>
          <w:p w14:paraId="1047FABC"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E62(M1), E63(M2), E64(</w:t>
            </w:r>
            <w:proofErr w:type="spellStart"/>
            <w:r w:rsidRPr="00CF5324">
              <w:rPr>
                <w:rFonts w:eastAsia="맑은 고딕" w:cs="Arial"/>
                <w:sz w:val="18"/>
                <w:szCs w:val="18"/>
                <w:lang w:eastAsia="ko-KR"/>
              </w:rPr>
              <w:t>Iz</w:t>
            </w:r>
            <w:proofErr w:type="spellEnd"/>
            <w:r w:rsidRPr="00CF5324">
              <w:rPr>
                <w:rFonts w:eastAsia="맑은 고딕" w:cs="Arial"/>
                <w:sz w:val="18"/>
                <w:szCs w:val="18"/>
                <w:lang w:eastAsia="ko-KR"/>
              </w:rPr>
              <w:t>)</w:t>
            </w:r>
          </w:p>
        </w:tc>
        <w:tc>
          <w:tcPr>
            <w:tcW w:w="2361" w:type="dxa"/>
            <w:tcBorders>
              <w:top w:val="nil"/>
              <w:left w:val="nil"/>
              <w:bottom w:val="single" w:sz="4" w:space="0" w:color="CCCCCC"/>
              <w:right w:val="single" w:sz="4" w:space="0" w:color="CCCCCC"/>
            </w:tcBorders>
            <w:shd w:val="clear" w:color="000000" w:fill="F2F2F2"/>
            <w:vAlign w:val="center"/>
            <w:hideMark/>
          </w:tcPr>
          <w:p w14:paraId="346AC63B" w14:textId="77777777" w:rsidR="006A2BC4" w:rsidRPr="00CF5324" w:rsidRDefault="006A2BC4" w:rsidP="00770F64">
            <w:pPr>
              <w:spacing w:after="0" w:line="240" w:lineRule="auto"/>
              <w:ind w:firstLineChars="100" w:firstLine="180"/>
              <w:rPr>
                <w:rFonts w:eastAsia="맑은 고딕" w:cs="Arial"/>
                <w:sz w:val="18"/>
                <w:szCs w:val="18"/>
                <w:lang w:eastAsia="ko-KR"/>
              </w:rPr>
            </w:pPr>
            <w:r w:rsidRPr="00CF5324">
              <w:rPr>
                <w:rFonts w:eastAsia="맑은 고딕" w:cs="Arial"/>
                <w:sz w:val="18"/>
                <w:szCs w:val="18"/>
                <w:lang w:eastAsia="ko-KR"/>
              </w:rPr>
              <w:t>Reference electrodes (mastoid + inion), artifact monitoring</w:t>
            </w:r>
          </w:p>
        </w:tc>
        <w:tc>
          <w:tcPr>
            <w:tcW w:w="1196" w:type="dxa"/>
            <w:tcBorders>
              <w:top w:val="nil"/>
              <w:left w:val="nil"/>
              <w:bottom w:val="single" w:sz="4" w:space="0" w:color="CCCCCC"/>
              <w:right w:val="single" w:sz="4" w:space="0" w:color="CCCCCC"/>
            </w:tcBorders>
            <w:shd w:val="clear" w:color="000000" w:fill="F2F2F2"/>
            <w:noWrap/>
            <w:vAlign w:val="center"/>
            <w:hideMark/>
          </w:tcPr>
          <w:p w14:paraId="7F43874B" w14:textId="77777777" w:rsidR="006A2BC4" w:rsidRPr="00CF5324" w:rsidRDefault="006A2BC4" w:rsidP="00770F64">
            <w:pPr>
              <w:spacing w:after="0" w:line="240" w:lineRule="auto"/>
              <w:jc w:val="center"/>
              <w:rPr>
                <w:rFonts w:eastAsia="맑은 고딕" w:cs="Arial"/>
                <w:sz w:val="18"/>
                <w:szCs w:val="18"/>
                <w:lang w:eastAsia="ko-KR"/>
              </w:rPr>
            </w:pPr>
            <w:r w:rsidRPr="00CF5324">
              <w:rPr>
                <w:rFonts w:eastAsia="맑은 고딕" w:cs="Arial"/>
                <w:sz w:val="18"/>
                <w:szCs w:val="18"/>
                <w:lang w:eastAsia="ko-KR"/>
              </w:rPr>
              <w:t xml:space="preserve">　</w:t>
            </w:r>
          </w:p>
        </w:tc>
      </w:tr>
      <w:tr w:rsidR="006A2BC4" w:rsidRPr="00C7005F" w14:paraId="0E514AC5" w14:textId="77777777" w:rsidTr="00770F64">
        <w:trPr>
          <w:trHeight w:val="822"/>
        </w:trPr>
        <w:tc>
          <w:tcPr>
            <w:tcW w:w="8854" w:type="dxa"/>
            <w:gridSpan w:val="7"/>
            <w:tcBorders>
              <w:top w:val="nil"/>
              <w:left w:val="nil"/>
              <w:bottom w:val="nil"/>
              <w:right w:val="nil"/>
            </w:tcBorders>
            <w:hideMark/>
          </w:tcPr>
          <w:p w14:paraId="09B8EBD4" w14:textId="77777777" w:rsidR="006A2BC4" w:rsidRPr="00A03C6F" w:rsidRDefault="006A2BC4" w:rsidP="00770F64">
            <w:pPr>
              <w:spacing w:after="0" w:line="240" w:lineRule="auto"/>
              <w:rPr>
                <w:rFonts w:eastAsia="맑은 고딕" w:cs="Arial"/>
                <w:i/>
                <w:iCs/>
                <w:color w:val="666666"/>
                <w:sz w:val="18"/>
                <w:szCs w:val="18"/>
                <w:lang w:eastAsia="ko-KR"/>
              </w:rPr>
            </w:pPr>
            <w:r>
              <w:rPr>
                <w:i/>
                <w:sz w:val="18"/>
              </w:rPr>
              <w:t xml:space="preserve">★ Biomarker electrodes: electrodes whose derived features appear among </w:t>
            </w:r>
            <w:r w:rsidRPr="0045655C">
              <w:rPr>
                <w:i/>
                <w:color w:val="000000" w:themeColor="text1"/>
                <w:sz w:val="18"/>
              </w:rPr>
              <w:t xml:space="preserve">the </w:t>
            </w:r>
            <w:r w:rsidRPr="0045655C">
              <w:rPr>
                <w:color w:val="000000" w:themeColor="text1"/>
                <w:sz w:val="18"/>
              </w:rPr>
              <w:t>11 candidate digital biomarkers</w:t>
            </w:r>
            <w:r w:rsidRPr="0045655C">
              <w:rPr>
                <w:i/>
                <w:color w:val="000000" w:themeColor="text1"/>
                <w:sz w:val="18"/>
              </w:rPr>
              <w:t xml:space="preserve"> (composite confidence ≥85%; Table 3 of main text). EGI channel numbering </w:t>
            </w:r>
            <w:r>
              <w:rPr>
                <w:i/>
                <w:sz w:val="18"/>
              </w:rPr>
              <w:t>follows HydroCel Geodesic Sensor Net (64-ch) conventions. 10-10 labels follow the extended International 10-10 system.</w:t>
            </w:r>
          </w:p>
        </w:tc>
        <w:tc>
          <w:tcPr>
            <w:tcW w:w="1196" w:type="dxa"/>
            <w:tcBorders>
              <w:top w:val="nil"/>
              <w:left w:val="nil"/>
              <w:bottom w:val="nil"/>
              <w:right w:val="nil"/>
            </w:tcBorders>
            <w:noWrap/>
            <w:vAlign w:val="bottom"/>
            <w:hideMark/>
          </w:tcPr>
          <w:p w14:paraId="163BC716" w14:textId="77777777" w:rsidR="006A2BC4" w:rsidRPr="00C7005F" w:rsidRDefault="006A2BC4" w:rsidP="00770F64">
            <w:pPr>
              <w:spacing w:after="0" w:line="240" w:lineRule="auto"/>
              <w:rPr>
                <w:rFonts w:eastAsia="맑은 고딕" w:cs="Arial"/>
                <w:i/>
                <w:iCs/>
                <w:color w:val="666666"/>
                <w:sz w:val="16"/>
                <w:szCs w:val="16"/>
                <w:lang w:eastAsia="ko-KR"/>
              </w:rPr>
            </w:pPr>
          </w:p>
        </w:tc>
      </w:tr>
    </w:tbl>
    <w:p w14:paraId="5FAE2EBF" w14:textId="77777777" w:rsidR="006A2BC4" w:rsidRDefault="001F52D6" w:rsidP="006A2BC4">
      <w:pPr>
        <w:keepNext/>
        <w:spacing w:before="280" w:after="80"/>
        <w:rPr>
          <w:b/>
          <w:color w:val="1A1A6E"/>
          <w:sz w:val="18"/>
          <w:szCs w:val="18"/>
          <w:lang w:eastAsia="ko-KR"/>
        </w:rPr>
      </w:pPr>
      <w:r>
        <w:rPr>
          <w:b/>
          <w:noProof/>
          <w:color w:val="1A1A6E"/>
          <w:sz w:val="18"/>
          <w:szCs w:val="18"/>
          <w:lang w:eastAsia="ko-KR"/>
          <w14:ligatures w14:val="standardContextual"/>
        </w:rPr>
        <w:drawing>
          <wp:inline distT="0" distB="0" distL="0" distR="0" wp14:anchorId="5B885C78" wp14:editId="624D3779">
            <wp:extent cx="5760720" cy="3246120"/>
            <wp:effectExtent l="0" t="0" r="5080" b="5080"/>
            <wp:docPr id="10326091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09148" name="그림 103260914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6120"/>
                    </a:xfrm>
                    <a:prstGeom prst="rect">
                      <a:avLst/>
                    </a:prstGeom>
                  </pic:spPr>
                </pic:pic>
              </a:graphicData>
            </a:graphic>
          </wp:inline>
        </w:drawing>
      </w:r>
    </w:p>
    <w:p w14:paraId="384444A8" w14:textId="44A6DB93" w:rsidR="006A2BC4" w:rsidRPr="0045655C" w:rsidRDefault="00E7714C" w:rsidP="006A2BC4">
      <w:pPr>
        <w:keepNext/>
        <w:spacing w:before="280" w:after="80" w:line="480" w:lineRule="auto"/>
        <w:rPr>
          <w:bCs/>
          <w:lang w:eastAsia="ko-KR"/>
        </w:rPr>
      </w:pPr>
      <w:r w:rsidRPr="0045655C">
        <w:rPr>
          <w:b/>
        </w:rPr>
        <w:t xml:space="preserve">Supplementary Fig. S1 | 64-channel EGI </w:t>
      </w:r>
      <w:proofErr w:type="spellStart"/>
      <w:r w:rsidRPr="0045655C">
        <w:rPr>
          <w:b/>
        </w:rPr>
        <w:t>HydroCel</w:t>
      </w:r>
      <w:proofErr w:type="spellEnd"/>
      <w:r w:rsidRPr="0045655C">
        <w:rPr>
          <w:b/>
        </w:rPr>
        <w:t xml:space="preserve"> GSN electrode topography with </w:t>
      </w:r>
      <w:r w:rsidRPr="0045655C">
        <w:rPr>
          <w:b/>
          <w:color w:val="000000" w:themeColor="text1"/>
        </w:rPr>
        <w:t>candidate biomarker positions.</w:t>
      </w:r>
      <w:r w:rsidRPr="0045655C">
        <w:rPr>
          <w:bCs/>
          <w:color w:val="000000" w:themeColor="text1"/>
        </w:rPr>
        <w:t xml:space="preserve"> Scalp </w:t>
      </w:r>
      <w:r w:rsidRPr="0045655C">
        <w:rPr>
          <w:bCs/>
        </w:rPr>
        <w:t xml:space="preserve">layout of the 64-channel EGI </w:t>
      </w:r>
      <w:proofErr w:type="spellStart"/>
      <w:r w:rsidRPr="0045655C">
        <w:rPr>
          <w:bCs/>
        </w:rPr>
        <w:t>HydroCel</w:t>
      </w:r>
      <w:proofErr w:type="spellEnd"/>
      <w:r w:rsidRPr="0045655C">
        <w:rPr>
          <w:bCs/>
        </w:rPr>
        <w:t xml:space="preserve"> Geodesic Sensor Net following the extended International 10–10 system. Electrodes contributing to the 11 candidate clinical EEG biomarkers (composite confidence ≥85%; Table 3 of main text) are highlighted with </w:t>
      </w:r>
      <w:proofErr w:type="spellStart"/>
      <w:r w:rsidRPr="0045655C">
        <w:rPr>
          <w:bCs/>
        </w:rPr>
        <w:t>colour</w:t>
      </w:r>
      <w:proofErr w:type="spellEnd"/>
      <w:r w:rsidRPr="0045655C">
        <w:rPr>
          <w:bCs/>
        </w:rPr>
        <w:t>-coded circles corresponding to their computational domain: Information Theory/PTE (</w:t>
      </w:r>
      <w:proofErr w:type="spellStart"/>
      <w:r w:rsidRPr="0045655C">
        <w:rPr>
          <w:bCs/>
        </w:rPr>
        <w:t>net_flow</w:t>
      </w:r>
      <w:proofErr w:type="spellEnd"/>
      <w:r w:rsidRPr="0045655C">
        <w:rPr>
          <w:bCs/>
        </w:rPr>
        <w:t xml:space="preserve">, </w:t>
      </w:r>
      <w:proofErr w:type="spellStart"/>
      <w:r w:rsidRPr="0045655C">
        <w:rPr>
          <w:bCs/>
        </w:rPr>
        <w:t>mean_PTE</w:t>
      </w:r>
      <w:proofErr w:type="spellEnd"/>
      <w:r w:rsidRPr="0045655C">
        <w:rPr>
          <w:bCs/>
        </w:rPr>
        <w:t xml:space="preserve">, </w:t>
      </w:r>
      <w:proofErr w:type="spellStart"/>
      <w:r w:rsidRPr="0045655C">
        <w:rPr>
          <w:bCs/>
        </w:rPr>
        <w:t>hub_score</w:t>
      </w:r>
      <w:proofErr w:type="spellEnd"/>
      <w:r w:rsidRPr="0045655C">
        <w:rPr>
          <w:bCs/>
        </w:rPr>
        <w:t xml:space="preserve">), Statistical (kurtosis), and </w:t>
      </w:r>
      <w:r w:rsidRPr="0045655C">
        <w:rPr>
          <w:bCs/>
        </w:rPr>
        <w:lastRenderedPageBreak/>
        <w:t>Spectral-Ratio (α/θ). The 10 confirmed biomarker electrodes (solid circles) and 1 SHAP-excluded electrode (E23/P8; dashed circle, r = 0.91 with E20/P6) are distinguished. Anatomical region-of-interest (ROI) groupings and associated Brodmann areas are annotated for reference (see Supplementary Table S1 for full mapping).</w:t>
      </w:r>
      <w:r w:rsidR="0045655C" w:rsidRPr="0045655C">
        <w:rPr>
          <w:rFonts w:hint="eastAsia"/>
          <w:bCs/>
          <w:lang w:eastAsia="ko-KR"/>
        </w:rPr>
        <w:t xml:space="preserve"> </w:t>
      </w:r>
    </w:p>
    <w:p w14:paraId="2114FDF9" w14:textId="77777777" w:rsidR="0045655C" w:rsidRPr="0045655C" w:rsidRDefault="0045655C" w:rsidP="006A2BC4">
      <w:pPr>
        <w:keepNext/>
        <w:spacing w:before="280" w:after="80" w:line="480" w:lineRule="auto"/>
        <w:rPr>
          <w:rFonts w:cs="Arial"/>
          <w:bCs/>
          <w:iCs/>
          <w:color w:val="000000" w:themeColor="text1"/>
          <w:sz w:val="18"/>
          <w:szCs w:val="18"/>
          <w:lang w:eastAsia="ko-KR"/>
        </w:rPr>
      </w:pPr>
    </w:p>
    <w:p w14:paraId="2E0AB0C2" w14:textId="77777777" w:rsidR="006A2BC4" w:rsidRPr="0045655C" w:rsidRDefault="006A2BC4" w:rsidP="006A2BC4">
      <w:pPr>
        <w:keepNext/>
        <w:spacing w:before="280" w:after="80" w:line="480" w:lineRule="auto"/>
        <w:rPr>
          <w:rFonts w:cs="Arial"/>
          <w:i/>
          <w:iCs/>
        </w:rPr>
      </w:pPr>
      <w:r w:rsidRPr="0045655C">
        <w:rPr>
          <w:rFonts w:cs="Arial"/>
          <w:b/>
          <w:i/>
          <w:iCs/>
          <w:color w:val="1A1A6E"/>
        </w:rPr>
        <w:t>Supplementary Table S2 | Per-domain classification performance detail</w:t>
      </w:r>
    </w:p>
    <w:tbl>
      <w:tblPr>
        <w:tblStyle w:val="aa"/>
        <w:tblW w:w="0" w:type="auto"/>
        <w:tblLook w:val="04A0" w:firstRow="1" w:lastRow="0" w:firstColumn="1" w:lastColumn="0" w:noHBand="0" w:noVBand="1"/>
      </w:tblPr>
      <w:tblGrid>
        <w:gridCol w:w="1768"/>
        <w:gridCol w:w="1768"/>
        <w:gridCol w:w="1768"/>
        <w:gridCol w:w="1768"/>
        <w:gridCol w:w="1768"/>
      </w:tblGrid>
      <w:tr w:rsidR="006A2BC4" w:rsidRPr="00155498" w14:paraId="449E232C" w14:textId="77777777" w:rsidTr="00770F64">
        <w:tc>
          <w:tcPr>
            <w:tcW w:w="1768" w:type="dxa"/>
          </w:tcPr>
          <w:p w14:paraId="6B2BC024" w14:textId="77777777" w:rsidR="006A2BC4" w:rsidRPr="00155498" w:rsidRDefault="006A2BC4" w:rsidP="00770F64">
            <w:pPr>
              <w:rPr>
                <w:rFonts w:cs="Arial"/>
                <w:sz w:val="18"/>
                <w:szCs w:val="18"/>
              </w:rPr>
            </w:pPr>
            <w:r w:rsidRPr="00155498">
              <w:rPr>
                <w:rFonts w:cs="Arial"/>
                <w:b/>
                <w:sz w:val="18"/>
                <w:szCs w:val="18"/>
              </w:rPr>
              <w:t>Domain</w:t>
            </w:r>
          </w:p>
        </w:tc>
        <w:tc>
          <w:tcPr>
            <w:tcW w:w="1768" w:type="dxa"/>
          </w:tcPr>
          <w:p w14:paraId="087711BA" w14:textId="77777777" w:rsidR="006A2BC4" w:rsidRPr="00155498" w:rsidRDefault="006A2BC4" w:rsidP="00770F64">
            <w:pPr>
              <w:rPr>
                <w:rFonts w:cs="Arial"/>
                <w:sz w:val="18"/>
                <w:szCs w:val="18"/>
              </w:rPr>
            </w:pPr>
            <w:r w:rsidRPr="00155498">
              <w:rPr>
                <w:rFonts w:cs="Arial"/>
                <w:b/>
                <w:sz w:val="18"/>
                <w:szCs w:val="18"/>
              </w:rPr>
              <w:t>Best Model</w:t>
            </w:r>
          </w:p>
        </w:tc>
        <w:tc>
          <w:tcPr>
            <w:tcW w:w="1768" w:type="dxa"/>
          </w:tcPr>
          <w:p w14:paraId="5AEFCE95" w14:textId="77777777" w:rsidR="006A2BC4" w:rsidRPr="00155498" w:rsidRDefault="006A2BC4" w:rsidP="00770F64">
            <w:pPr>
              <w:rPr>
                <w:rFonts w:cs="Arial"/>
                <w:sz w:val="18"/>
                <w:szCs w:val="18"/>
              </w:rPr>
            </w:pPr>
            <w:r w:rsidRPr="00155498">
              <w:rPr>
                <w:rFonts w:cs="Arial"/>
                <w:b/>
                <w:sz w:val="18"/>
                <w:szCs w:val="18"/>
              </w:rPr>
              <w:t>Accuracy</w:t>
            </w:r>
          </w:p>
        </w:tc>
        <w:tc>
          <w:tcPr>
            <w:tcW w:w="1768" w:type="dxa"/>
          </w:tcPr>
          <w:p w14:paraId="3CD504F1" w14:textId="77777777" w:rsidR="006A2BC4" w:rsidRPr="00155498" w:rsidRDefault="006A2BC4" w:rsidP="00770F64">
            <w:pPr>
              <w:rPr>
                <w:rFonts w:cs="Arial"/>
                <w:sz w:val="18"/>
                <w:szCs w:val="18"/>
              </w:rPr>
            </w:pPr>
            <w:r w:rsidRPr="00155498">
              <w:rPr>
                <w:rFonts w:cs="Arial"/>
                <w:b/>
                <w:sz w:val="18"/>
                <w:szCs w:val="18"/>
              </w:rPr>
              <w:t>N Features Selected</w:t>
            </w:r>
          </w:p>
        </w:tc>
        <w:tc>
          <w:tcPr>
            <w:tcW w:w="1768" w:type="dxa"/>
          </w:tcPr>
          <w:p w14:paraId="532B7115" w14:textId="77777777" w:rsidR="006A2BC4" w:rsidRPr="00155498" w:rsidRDefault="006A2BC4" w:rsidP="00770F64">
            <w:pPr>
              <w:rPr>
                <w:rFonts w:cs="Arial"/>
                <w:sz w:val="18"/>
                <w:szCs w:val="18"/>
              </w:rPr>
            </w:pPr>
            <w:r w:rsidRPr="00155498">
              <w:rPr>
                <w:rFonts w:cs="Arial"/>
                <w:b/>
                <w:sz w:val="18"/>
                <w:szCs w:val="18"/>
              </w:rPr>
              <w:t>Feature Density (Acc/N)</w:t>
            </w:r>
          </w:p>
        </w:tc>
      </w:tr>
      <w:tr w:rsidR="006A2BC4" w:rsidRPr="00155498" w14:paraId="4FBF0B12" w14:textId="77777777" w:rsidTr="00770F64">
        <w:tc>
          <w:tcPr>
            <w:tcW w:w="1768" w:type="dxa"/>
          </w:tcPr>
          <w:p w14:paraId="01B82215" w14:textId="77777777" w:rsidR="006A2BC4" w:rsidRPr="00155498" w:rsidRDefault="006A2BC4" w:rsidP="00770F64">
            <w:pPr>
              <w:rPr>
                <w:rFonts w:cs="Arial"/>
                <w:sz w:val="18"/>
                <w:szCs w:val="18"/>
              </w:rPr>
            </w:pPr>
            <w:r w:rsidRPr="00155498">
              <w:rPr>
                <w:rFonts w:cs="Arial"/>
                <w:sz w:val="18"/>
                <w:szCs w:val="18"/>
              </w:rPr>
              <w:t>Info</w:t>
            </w:r>
            <w:r w:rsidR="008817D6">
              <w:rPr>
                <w:rFonts w:cs="Arial"/>
                <w:sz w:val="18"/>
                <w:szCs w:val="18"/>
              </w:rPr>
              <w:t>rmation</w:t>
            </w:r>
            <w:r w:rsidRPr="00155498">
              <w:rPr>
                <w:rFonts w:cs="Arial"/>
                <w:sz w:val="18"/>
                <w:szCs w:val="18"/>
              </w:rPr>
              <w:t xml:space="preserve"> Theory/PTE</w:t>
            </w:r>
          </w:p>
        </w:tc>
        <w:tc>
          <w:tcPr>
            <w:tcW w:w="1768" w:type="dxa"/>
          </w:tcPr>
          <w:p w14:paraId="100043F7" w14:textId="77777777" w:rsidR="006A2BC4" w:rsidRPr="00155498" w:rsidRDefault="006A2BC4" w:rsidP="00770F64">
            <w:pPr>
              <w:rPr>
                <w:rFonts w:cs="Arial"/>
                <w:sz w:val="18"/>
                <w:szCs w:val="18"/>
              </w:rPr>
            </w:pPr>
            <w:r w:rsidRPr="00155498">
              <w:rPr>
                <w:rFonts w:cs="Arial"/>
                <w:sz w:val="18"/>
                <w:szCs w:val="18"/>
              </w:rPr>
              <w:t>RF</w:t>
            </w:r>
          </w:p>
        </w:tc>
        <w:tc>
          <w:tcPr>
            <w:tcW w:w="1768" w:type="dxa"/>
          </w:tcPr>
          <w:p w14:paraId="753C2762" w14:textId="77777777" w:rsidR="006A2BC4" w:rsidRPr="00155498" w:rsidRDefault="006A2BC4" w:rsidP="00770F64">
            <w:pPr>
              <w:rPr>
                <w:rFonts w:cs="Arial"/>
                <w:sz w:val="18"/>
                <w:szCs w:val="18"/>
              </w:rPr>
            </w:pPr>
            <w:r w:rsidRPr="00155498">
              <w:rPr>
                <w:rFonts w:cs="Arial"/>
                <w:sz w:val="18"/>
                <w:szCs w:val="18"/>
              </w:rPr>
              <w:t>78.4%</w:t>
            </w:r>
          </w:p>
        </w:tc>
        <w:tc>
          <w:tcPr>
            <w:tcW w:w="1768" w:type="dxa"/>
          </w:tcPr>
          <w:p w14:paraId="1FBFC47A" w14:textId="77777777" w:rsidR="006A2BC4" w:rsidRPr="00155498" w:rsidRDefault="006A2BC4" w:rsidP="00770F64">
            <w:pPr>
              <w:rPr>
                <w:rFonts w:cs="Arial"/>
                <w:sz w:val="18"/>
                <w:szCs w:val="18"/>
              </w:rPr>
            </w:pPr>
            <w:r w:rsidRPr="00155498">
              <w:rPr>
                <w:rFonts w:cs="Arial"/>
                <w:sz w:val="18"/>
                <w:szCs w:val="18"/>
              </w:rPr>
              <w:t>10</w:t>
            </w:r>
          </w:p>
        </w:tc>
        <w:tc>
          <w:tcPr>
            <w:tcW w:w="1768" w:type="dxa"/>
          </w:tcPr>
          <w:p w14:paraId="1AE14920" w14:textId="77777777" w:rsidR="006A2BC4" w:rsidRPr="00155498" w:rsidRDefault="006A2BC4" w:rsidP="00770F64">
            <w:pPr>
              <w:rPr>
                <w:rFonts w:cs="Arial"/>
                <w:sz w:val="18"/>
                <w:szCs w:val="18"/>
              </w:rPr>
            </w:pPr>
            <w:r w:rsidRPr="00155498">
              <w:rPr>
                <w:rFonts w:cs="Arial"/>
                <w:sz w:val="18"/>
                <w:szCs w:val="18"/>
              </w:rPr>
              <w:t>7.84</w:t>
            </w:r>
          </w:p>
        </w:tc>
      </w:tr>
      <w:tr w:rsidR="006A2BC4" w:rsidRPr="00155498" w14:paraId="38DB5D3A" w14:textId="77777777" w:rsidTr="00770F64">
        <w:tc>
          <w:tcPr>
            <w:tcW w:w="1768" w:type="dxa"/>
          </w:tcPr>
          <w:p w14:paraId="6F187F16" w14:textId="77777777" w:rsidR="006A2BC4" w:rsidRPr="00155498" w:rsidRDefault="006A2BC4" w:rsidP="00770F64">
            <w:pPr>
              <w:rPr>
                <w:rFonts w:cs="Arial"/>
                <w:sz w:val="18"/>
                <w:szCs w:val="18"/>
              </w:rPr>
            </w:pPr>
            <w:r w:rsidRPr="00155498">
              <w:rPr>
                <w:rFonts w:cs="Arial"/>
                <w:sz w:val="18"/>
                <w:szCs w:val="18"/>
              </w:rPr>
              <w:t>Statistical</w:t>
            </w:r>
          </w:p>
        </w:tc>
        <w:tc>
          <w:tcPr>
            <w:tcW w:w="1768" w:type="dxa"/>
          </w:tcPr>
          <w:p w14:paraId="19D06F1F" w14:textId="77777777" w:rsidR="006A2BC4" w:rsidRPr="00155498" w:rsidRDefault="006A2BC4" w:rsidP="00770F64">
            <w:pPr>
              <w:rPr>
                <w:rFonts w:cs="Arial"/>
                <w:sz w:val="18"/>
                <w:szCs w:val="18"/>
              </w:rPr>
            </w:pPr>
            <w:r w:rsidRPr="00155498">
              <w:rPr>
                <w:rFonts w:cs="Arial"/>
                <w:sz w:val="18"/>
                <w:szCs w:val="18"/>
              </w:rPr>
              <w:t>SVM</w:t>
            </w:r>
          </w:p>
        </w:tc>
        <w:tc>
          <w:tcPr>
            <w:tcW w:w="1768" w:type="dxa"/>
          </w:tcPr>
          <w:p w14:paraId="6C43C2F6" w14:textId="77777777" w:rsidR="006A2BC4" w:rsidRPr="00155498" w:rsidRDefault="006A2BC4" w:rsidP="00770F64">
            <w:pPr>
              <w:rPr>
                <w:rFonts w:cs="Arial"/>
                <w:sz w:val="18"/>
                <w:szCs w:val="18"/>
              </w:rPr>
            </w:pPr>
            <w:r w:rsidRPr="00155498">
              <w:rPr>
                <w:rFonts w:cs="Arial"/>
                <w:sz w:val="18"/>
                <w:szCs w:val="18"/>
              </w:rPr>
              <w:t>78.4%</w:t>
            </w:r>
          </w:p>
        </w:tc>
        <w:tc>
          <w:tcPr>
            <w:tcW w:w="1768" w:type="dxa"/>
          </w:tcPr>
          <w:p w14:paraId="7E9B5B3D" w14:textId="77777777" w:rsidR="006A2BC4" w:rsidRPr="00155498" w:rsidRDefault="006A2BC4" w:rsidP="00770F64">
            <w:pPr>
              <w:rPr>
                <w:rFonts w:cs="Arial"/>
                <w:sz w:val="18"/>
                <w:szCs w:val="18"/>
              </w:rPr>
            </w:pPr>
            <w:r w:rsidRPr="00155498">
              <w:rPr>
                <w:rFonts w:cs="Arial"/>
                <w:sz w:val="18"/>
                <w:szCs w:val="18"/>
              </w:rPr>
              <w:t>13</w:t>
            </w:r>
          </w:p>
        </w:tc>
        <w:tc>
          <w:tcPr>
            <w:tcW w:w="1768" w:type="dxa"/>
          </w:tcPr>
          <w:p w14:paraId="29082760" w14:textId="77777777" w:rsidR="006A2BC4" w:rsidRPr="00155498" w:rsidRDefault="006A2BC4" w:rsidP="00770F64">
            <w:pPr>
              <w:rPr>
                <w:rFonts w:cs="Arial"/>
                <w:sz w:val="18"/>
                <w:szCs w:val="18"/>
              </w:rPr>
            </w:pPr>
            <w:r w:rsidRPr="00155498">
              <w:rPr>
                <w:rFonts w:cs="Arial"/>
                <w:sz w:val="18"/>
                <w:szCs w:val="18"/>
              </w:rPr>
              <w:t>6.03</w:t>
            </w:r>
          </w:p>
        </w:tc>
      </w:tr>
      <w:tr w:rsidR="006A2BC4" w:rsidRPr="00155498" w14:paraId="643EC37E" w14:textId="77777777" w:rsidTr="00770F64">
        <w:tc>
          <w:tcPr>
            <w:tcW w:w="1768" w:type="dxa"/>
          </w:tcPr>
          <w:p w14:paraId="52943B42" w14:textId="77777777" w:rsidR="006A2BC4" w:rsidRPr="00155498" w:rsidRDefault="006A2BC4" w:rsidP="00770F64">
            <w:pPr>
              <w:rPr>
                <w:rFonts w:cs="Arial"/>
                <w:sz w:val="18"/>
                <w:szCs w:val="18"/>
              </w:rPr>
            </w:pPr>
            <w:r w:rsidRPr="00155498">
              <w:rPr>
                <w:rFonts w:cs="Arial"/>
                <w:sz w:val="18"/>
                <w:szCs w:val="18"/>
              </w:rPr>
              <w:t>Dynamic (During−Pre)</w:t>
            </w:r>
          </w:p>
        </w:tc>
        <w:tc>
          <w:tcPr>
            <w:tcW w:w="1768" w:type="dxa"/>
          </w:tcPr>
          <w:p w14:paraId="1BB22DDE" w14:textId="77777777" w:rsidR="006A2BC4" w:rsidRPr="00155498" w:rsidRDefault="006A2BC4" w:rsidP="00770F64">
            <w:pPr>
              <w:rPr>
                <w:rFonts w:cs="Arial"/>
                <w:sz w:val="18"/>
                <w:szCs w:val="18"/>
              </w:rPr>
            </w:pPr>
            <w:r w:rsidRPr="00155498">
              <w:rPr>
                <w:rFonts w:cs="Arial"/>
                <w:sz w:val="18"/>
                <w:szCs w:val="18"/>
              </w:rPr>
              <w:t>LR</w:t>
            </w:r>
          </w:p>
        </w:tc>
        <w:tc>
          <w:tcPr>
            <w:tcW w:w="1768" w:type="dxa"/>
          </w:tcPr>
          <w:p w14:paraId="1D965DCA" w14:textId="77777777" w:rsidR="006A2BC4" w:rsidRPr="00155498" w:rsidRDefault="006A2BC4" w:rsidP="00770F64">
            <w:pPr>
              <w:rPr>
                <w:rFonts w:cs="Arial"/>
                <w:sz w:val="18"/>
                <w:szCs w:val="18"/>
              </w:rPr>
            </w:pPr>
            <w:r w:rsidRPr="00155498">
              <w:rPr>
                <w:rFonts w:cs="Arial"/>
                <w:sz w:val="18"/>
                <w:szCs w:val="18"/>
              </w:rPr>
              <w:t>78.4%</w:t>
            </w:r>
          </w:p>
        </w:tc>
        <w:tc>
          <w:tcPr>
            <w:tcW w:w="1768" w:type="dxa"/>
          </w:tcPr>
          <w:p w14:paraId="2C98D471" w14:textId="77777777" w:rsidR="006A2BC4" w:rsidRPr="00155498" w:rsidRDefault="006A2BC4" w:rsidP="00770F64">
            <w:pPr>
              <w:rPr>
                <w:rFonts w:cs="Arial"/>
                <w:sz w:val="18"/>
                <w:szCs w:val="18"/>
              </w:rPr>
            </w:pPr>
            <w:r w:rsidRPr="00155498">
              <w:rPr>
                <w:rFonts w:cs="Arial"/>
                <w:sz w:val="18"/>
                <w:szCs w:val="18"/>
              </w:rPr>
              <w:t>9</w:t>
            </w:r>
          </w:p>
        </w:tc>
        <w:tc>
          <w:tcPr>
            <w:tcW w:w="1768" w:type="dxa"/>
          </w:tcPr>
          <w:p w14:paraId="7E1AC684" w14:textId="77777777" w:rsidR="006A2BC4" w:rsidRPr="00155498" w:rsidRDefault="006A2BC4" w:rsidP="00770F64">
            <w:pPr>
              <w:rPr>
                <w:rFonts w:cs="Arial"/>
                <w:sz w:val="18"/>
                <w:szCs w:val="18"/>
              </w:rPr>
            </w:pPr>
            <w:r w:rsidRPr="00155498">
              <w:rPr>
                <w:rFonts w:cs="Arial"/>
                <w:sz w:val="18"/>
                <w:szCs w:val="18"/>
              </w:rPr>
              <w:t>8.71</w:t>
            </w:r>
          </w:p>
        </w:tc>
      </w:tr>
      <w:tr w:rsidR="006A2BC4" w:rsidRPr="00155498" w14:paraId="498F30A0" w14:textId="77777777" w:rsidTr="00770F64">
        <w:tc>
          <w:tcPr>
            <w:tcW w:w="1768" w:type="dxa"/>
          </w:tcPr>
          <w:p w14:paraId="56DE9742" w14:textId="77777777" w:rsidR="006A2BC4" w:rsidRPr="00155498" w:rsidRDefault="008817D6" w:rsidP="00770F64">
            <w:pPr>
              <w:rPr>
                <w:rFonts w:cs="Arial"/>
                <w:sz w:val="18"/>
                <w:szCs w:val="18"/>
              </w:rPr>
            </w:pPr>
            <w:r>
              <w:rPr>
                <w:rFonts w:cs="Arial"/>
                <w:sz w:val="18"/>
                <w:szCs w:val="18"/>
              </w:rPr>
              <w:t xml:space="preserve">Spectral </w:t>
            </w:r>
            <w:r w:rsidR="006A2BC4" w:rsidRPr="00155498">
              <w:rPr>
                <w:rFonts w:cs="Arial"/>
                <w:sz w:val="18"/>
                <w:szCs w:val="18"/>
              </w:rPr>
              <w:t>Ratio</w:t>
            </w:r>
          </w:p>
        </w:tc>
        <w:tc>
          <w:tcPr>
            <w:tcW w:w="1768" w:type="dxa"/>
          </w:tcPr>
          <w:p w14:paraId="345D9AB1" w14:textId="77777777" w:rsidR="006A2BC4" w:rsidRPr="00155498" w:rsidRDefault="006A2BC4" w:rsidP="00770F64">
            <w:pPr>
              <w:rPr>
                <w:rFonts w:cs="Arial"/>
                <w:sz w:val="18"/>
                <w:szCs w:val="18"/>
              </w:rPr>
            </w:pPr>
            <w:r w:rsidRPr="00155498">
              <w:rPr>
                <w:rFonts w:cs="Arial"/>
                <w:sz w:val="18"/>
                <w:szCs w:val="18"/>
              </w:rPr>
              <w:t>SVM</w:t>
            </w:r>
          </w:p>
        </w:tc>
        <w:tc>
          <w:tcPr>
            <w:tcW w:w="1768" w:type="dxa"/>
          </w:tcPr>
          <w:p w14:paraId="0604385E" w14:textId="77777777" w:rsidR="006A2BC4" w:rsidRPr="00155498" w:rsidRDefault="006A2BC4" w:rsidP="00770F64">
            <w:pPr>
              <w:rPr>
                <w:rFonts w:cs="Arial"/>
                <w:sz w:val="18"/>
                <w:szCs w:val="18"/>
              </w:rPr>
            </w:pPr>
            <w:r w:rsidRPr="00155498">
              <w:rPr>
                <w:rFonts w:cs="Arial"/>
                <w:sz w:val="18"/>
                <w:szCs w:val="18"/>
              </w:rPr>
              <w:t>51.3%</w:t>
            </w:r>
          </w:p>
        </w:tc>
        <w:tc>
          <w:tcPr>
            <w:tcW w:w="1768" w:type="dxa"/>
          </w:tcPr>
          <w:p w14:paraId="6AF32D3C" w14:textId="77777777" w:rsidR="006A2BC4" w:rsidRPr="00155498" w:rsidRDefault="006A2BC4" w:rsidP="00770F64">
            <w:pPr>
              <w:rPr>
                <w:rFonts w:cs="Arial"/>
                <w:sz w:val="18"/>
                <w:szCs w:val="18"/>
              </w:rPr>
            </w:pPr>
            <w:r w:rsidRPr="00155498">
              <w:rPr>
                <w:rFonts w:cs="Arial"/>
                <w:sz w:val="18"/>
                <w:szCs w:val="18"/>
              </w:rPr>
              <w:t>6</w:t>
            </w:r>
          </w:p>
        </w:tc>
        <w:tc>
          <w:tcPr>
            <w:tcW w:w="1768" w:type="dxa"/>
          </w:tcPr>
          <w:p w14:paraId="0E1B54C1" w14:textId="77777777" w:rsidR="006A2BC4" w:rsidRPr="00155498" w:rsidRDefault="006A2BC4" w:rsidP="00770F64">
            <w:pPr>
              <w:rPr>
                <w:rFonts w:cs="Arial"/>
                <w:sz w:val="18"/>
                <w:szCs w:val="18"/>
              </w:rPr>
            </w:pPr>
            <w:r w:rsidRPr="00155498">
              <w:rPr>
                <w:rFonts w:cs="Arial"/>
                <w:sz w:val="18"/>
                <w:szCs w:val="18"/>
              </w:rPr>
              <w:t>8.55</w:t>
            </w:r>
          </w:p>
        </w:tc>
      </w:tr>
      <w:tr w:rsidR="006A2BC4" w:rsidRPr="00155498" w14:paraId="2145CCDF" w14:textId="77777777" w:rsidTr="00770F64">
        <w:tc>
          <w:tcPr>
            <w:tcW w:w="1768" w:type="dxa"/>
          </w:tcPr>
          <w:p w14:paraId="15495307" w14:textId="77777777" w:rsidR="006A2BC4" w:rsidRPr="00155498" w:rsidRDefault="006A2BC4" w:rsidP="00770F64">
            <w:pPr>
              <w:rPr>
                <w:rFonts w:cs="Arial"/>
                <w:sz w:val="18"/>
                <w:szCs w:val="18"/>
              </w:rPr>
            </w:pPr>
            <w:r w:rsidRPr="00155498">
              <w:rPr>
                <w:rFonts w:cs="Arial"/>
                <w:sz w:val="18"/>
                <w:szCs w:val="18"/>
              </w:rPr>
              <w:t>Dynamic</w:t>
            </w:r>
          </w:p>
        </w:tc>
        <w:tc>
          <w:tcPr>
            <w:tcW w:w="1768" w:type="dxa"/>
          </w:tcPr>
          <w:p w14:paraId="3902F269" w14:textId="77777777" w:rsidR="006A2BC4" w:rsidRPr="00155498" w:rsidRDefault="006A2BC4" w:rsidP="00770F64">
            <w:pPr>
              <w:rPr>
                <w:rFonts w:cs="Arial"/>
                <w:sz w:val="18"/>
                <w:szCs w:val="18"/>
              </w:rPr>
            </w:pPr>
            <w:r w:rsidRPr="00155498">
              <w:rPr>
                <w:rFonts w:cs="Arial"/>
                <w:sz w:val="18"/>
                <w:szCs w:val="18"/>
              </w:rPr>
              <w:t>XGB</w:t>
            </w:r>
          </w:p>
        </w:tc>
        <w:tc>
          <w:tcPr>
            <w:tcW w:w="1768" w:type="dxa"/>
          </w:tcPr>
          <w:p w14:paraId="411A68D5" w14:textId="77777777" w:rsidR="006A2BC4" w:rsidRPr="00155498" w:rsidRDefault="006A2BC4" w:rsidP="00770F64">
            <w:pPr>
              <w:rPr>
                <w:rFonts w:cs="Arial"/>
                <w:sz w:val="18"/>
                <w:szCs w:val="18"/>
              </w:rPr>
            </w:pPr>
            <w:r w:rsidRPr="00155498">
              <w:rPr>
                <w:rFonts w:cs="Arial"/>
                <w:sz w:val="18"/>
                <w:szCs w:val="18"/>
              </w:rPr>
              <w:t>48.6%</w:t>
            </w:r>
          </w:p>
        </w:tc>
        <w:tc>
          <w:tcPr>
            <w:tcW w:w="1768" w:type="dxa"/>
          </w:tcPr>
          <w:p w14:paraId="2D34802F" w14:textId="77777777" w:rsidR="006A2BC4" w:rsidRPr="00155498" w:rsidRDefault="006A2BC4" w:rsidP="00770F64">
            <w:pPr>
              <w:rPr>
                <w:rFonts w:cs="Arial"/>
                <w:sz w:val="18"/>
                <w:szCs w:val="18"/>
              </w:rPr>
            </w:pPr>
            <w:r w:rsidRPr="00155498">
              <w:rPr>
                <w:rFonts w:cs="Arial"/>
                <w:sz w:val="18"/>
                <w:szCs w:val="18"/>
              </w:rPr>
              <w:t>18</w:t>
            </w:r>
          </w:p>
        </w:tc>
        <w:tc>
          <w:tcPr>
            <w:tcW w:w="1768" w:type="dxa"/>
          </w:tcPr>
          <w:p w14:paraId="52264584" w14:textId="77777777" w:rsidR="006A2BC4" w:rsidRPr="00155498" w:rsidRDefault="006A2BC4" w:rsidP="00770F64">
            <w:pPr>
              <w:rPr>
                <w:rFonts w:cs="Arial"/>
                <w:sz w:val="18"/>
                <w:szCs w:val="18"/>
              </w:rPr>
            </w:pPr>
            <w:r w:rsidRPr="00155498">
              <w:rPr>
                <w:rFonts w:cs="Arial"/>
                <w:sz w:val="18"/>
                <w:szCs w:val="18"/>
              </w:rPr>
              <w:t>2.70</w:t>
            </w:r>
          </w:p>
        </w:tc>
      </w:tr>
      <w:tr w:rsidR="006A2BC4" w:rsidRPr="00155498" w14:paraId="0492A3D3" w14:textId="77777777" w:rsidTr="00770F64">
        <w:tc>
          <w:tcPr>
            <w:tcW w:w="1768" w:type="dxa"/>
          </w:tcPr>
          <w:p w14:paraId="0DD13A6A" w14:textId="77777777" w:rsidR="006A2BC4" w:rsidRPr="00155498" w:rsidRDefault="006A2BC4" w:rsidP="00770F64">
            <w:pPr>
              <w:rPr>
                <w:rFonts w:cs="Arial"/>
                <w:sz w:val="18"/>
                <w:szCs w:val="18"/>
              </w:rPr>
            </w:pPr>
            <w:r w:rsidRPr="00155498">
              <w:rPr>
                <w:rFonts w:cs="Arial"/>
                <w:sz w:val="18"/>
                <w:szCs w:val="18"/>
              </w:rPr>
              <w:t>Graph Theory</w:t>
            </w:r>
          </w:p>
        </w:tc>
        <w:tc>
          <w:tcPr>
            <w:tcW w:w="1768" w:type="dxa"/>
          </w:tcPr>
          <w:p w14:paraId="2EBABF36" w14:textId="77777777" w:rsidR="006A2BC4" w:rsidRPr="00155498" w:rsidRDefault="006A2BC4" w:rsidP="00770F64">
            <w:pPr>
              <w:rPr>
                <w:rFonts w:cs="Arial"/>
                <w:sz w:val="18"/>
                <w:szCs w:val="18"/>
              </w:rPr>
            </w:pPr>
            <w:r w:rsidRPr="00155498">
              <w:rPr>
                <w:rFonts w:cs="Arial"/>
                <w:sz w:val="18"/>
                <w:szCs w:val="18"/>
              </w:rPr>
              <w:t>KNN</w:t>
            </w:r>
          </w:p>
        </w:tc>
        <w:tc>
          <w:tcPr>
            <w:tcW w:w="1768" w:type="dxa"/>
          </w:tcPr>
          <w:p w14:paraId="4D465821" w14:textId="77777777" w:rsidR="006A2BC4" w:rsidRPr="00155498" w:rsidRDefault="006A2BC4" w:rsidP="00770F64">
            <w:pPr>
              <w:rPr>
                <w:rFonts w:cs="Arial"/>
                <w:sz w:val="18"/>
                <w:szCs w:val="18"/>
              </w:rPr>
            </w:pPr>
            <w:r w:rsidRPr="00155498">
              <w:rPr>
                <w:rFonts w:cs="Arial"/>
                <w:sz w:val="18"/>
                <w:szCs w:val="18"/>
              </w:rPr>
              <w:t>40.5%</w:t>
            </w:r>
          </w:p>
        </w:tc>
        <w:tc>
          <w:tcPr>
            <w:tcW w:w="1768" w:type="dxa"/>
          </w:tcPr>
          <w:p w14:paraId="1EAFB7D7" w14:textId="77777777" w:rsidR="006A2BC4" w:rsidRPr="00155498" w:rsidRDefault="006A2BC4" w:rsidP="00770F64">
            <w:pPr>
              <w:rPr>
                <w:rFonts w:cs="Arial"/>
                <w:sz w:val="18"/>
                <w:szCs w:val="18"/>
              </w:rPr>
            </w:pPr>
            <w:r w:rsidRPr="00155498">
              <w:rPr>
                <w:rFonts w:cs="Arial"/>
                <w:sz w:val="18"/>
                <w:szCs w:val="18"/>
              </w:rPr>
              <w:t>17</w:t>
            </w:r>
          </w:p>
        </w:tc>
        <w:tc>
          <w:tcPr>
            <w:tcW w:w="1768" w:type="dxa"/>
          </w:tcPr>
          <w:p w14:paraId="562C8261" w14:textId="77777777" w:rsidR="006A2BC4" w:rsidRPr="00155498" w:rsidRDefault="006A2BC4" w:rsidP="00770F64">
            <w:pPr>
              <w:rPr>
                <w:rFonts w:cs="Arial"/>
                <w:sz w:val="18"/>
                <w:szCs w:val="18"/>
              </w:rPr>
            </w:pPr>
            <w:r w:rsidRPr="00155498">
              <w:rPr>
                <w:rFonts w:cs="Arial"/>
                <w:sz w:val="18"/>
                <w:szCs w:val="18"/>
              </w:rPr>
              <w:t>2.38</w:t>
            </w:r>
          </w:p>
        </w:tc>
      </w:tr>
    </w:tbl>
    <w:p w14:paraId="08A38E4D" w14:textId="77777777" w:rsidR="00E7714C" w:rsidRPr="0045655C" w:rsidRDefault="00C74F3C" w:rsidP="006A2BC4">
      <w:pPr>
        <w:keepNext/>
        <w:spacing w:before="280" w:after="80" w:line="480" w:lineRule="auto"/>
        <w:rPr>
          <w:rFonts w:cs="Arial"/>
          <w:b/>
          <w:i/>
          <w:iCs/>
          <w:color w:val="1A1A6E"/>
          <w:lang w:eastAsia="ko-KR"/>
        </w:rPr>
      </w:pPr>
      <w:r>
        <w:rPr>
          <w:rFonts w:cs="Arial"/>
          <w:b/>
          <w:color w:val="1A1A6E"/>
          <w:szCs w:val="18"/>
          <w:lang w:eastAsia="ko-KR"/>
        </w:rPr>
        <w:br/>
      </w:r>
      <w:r w:rsidRPr="0045655C">
        <w:rPr>
          <w:rFonts w:cs="Arial"/>
          <w:b/>
          <w:i/>
          <w:iCs/>
          <w:color w:val="1A1A6E"/>
          <w:lang w:eastAsia="ko-KR"/>
        </w:rPr>
        <w:t xml:space="preserve">Supplementary Note 1 </w:t>
      </w:r>
    </w:p>
    <w:p w14:paraId="0596DFBE" w14:textId="77777777" w:rsidR="00CF5324" w:rsidRPr="0045655C" w:rsidRDefault="00CB4C46" w:rsidP="00535741">
      <w:pPr>
        <w:spacing w:after="210" w:line="480" w:lineRule="auto"/>
        <w:rPr>
          <w:rFonts w:cs="Arial"/>
          <w:b/>
          <w:bCs/>
          <w:i/>
          <w:iCs/>
          <w:lang w:eastAsia="ko-KR"/>
        </w:rPr>
      </w:pPr>
      <w:r w:rsidRPr="0045655C">
        <w:rPr>
          <w:rFonts w:cs="Arial"/>
          <w:b/>
          <w:bCs/>
          <w:i/>
          <w:iCs/>
          <w:color w:val="002060"/>
          <w:lang w:eastAsia="ko-KR"/>
        </w:rPr>
        <w:t xml:space="preserve">Supplementary Note 1 | </w:t>
      </w:r>
      <w:r w:rsidR="00535741" w:rsidRPr="0045655C">
        <w:rPr>
          <w:rFonts w:cs="Arial"/>
          <w:b/>
          <w:bCs/>
          <w:i/>
          <w:iCs/>
          <w:color w:val="002060"/>
          <w:lang w:eastAsia="ko-KR"/>
        </w:rPr>
        <w:t>F</w:t>
      </w:r>
      <w:r w:rsidRPr="0045655C">
        <w:rPr>
          <w:rFonts w:cs="Arial"/>
          <w:b/>
          <w:bCs/>
          <w:i/>
          <w:iCs/>
          <w:color w:val="002060"/>
          <w:lang w:eastAsia="ko-KR"/>
        </w:rPr>
        <w:t xml:space="preserve">ive-domain feature architecture and per-domain </w:t>
      </w:r>
      <w:r w:rsidR="00535741" w:rsidRPr="0045655C">
        <w:rPr>
          <w:rFonts w:cs="Arial"/>
          <w:b/>
          <w:bCs/>
          <w:i/>
          <w:iCs/>
          <w:color w:val="002060"/>
          <w:lang w:eastAsia="ko-KR"/>
        </w:rPr>
        <w:t>exploratory analysis</w:t>
      </w:r>
      <w:r w:rsidRPr="0045655C">
        <w:rPr>
          <w:rFonts w:cs="Arial" w:hint="eastAsia"/>
          <w:b/>
          <w:bCs/>
          <w:i/>
          <w:iCs/>
          <w:color w:val="002060"/>
          <w:lang w:eastAsia="ko-KR"/>
        </w:rPr>
        <w:t>.</w:t>
      </w:r>
      <w:r w:rsidRPr="0045655C">
        <w:rPr>
          <w:rFonts w:cs="Arial" w:hint="eastAsia"/>
          <w:b/>
          <w:bCs/>
          <w:i/>
          <w:iCs/>
          <w:lang w:eastAsia="ko-KR"/>
        </w:rPr>
        <w:t xml:space="preserve"> </w:t>
      </w:r>
    </w:p>
    <w:p w14:paraId="08121F3E" w14:textId="77777777" w:rsidR="00C74F3C" w:rsidRPr="0045655C" w:rsidRDefault="00535741" w:rsidP="00A70E2E">
      <w:pPr>
        <w:spacing w:after="210" w:line="480" w:lineRule="auto"/>
        <w:rPr>
          <w:rFonts w:eastAsia="Georgia" w:cs="Arial"/>
          <w:color w:val="000000"/>
          <w:lang w:eastAsia="ko-KR"/>
        </w:rPr>
      </w:pPr>
      <w:r w:rsidRPr="0045655C">
        <w:rPr>
          <w:rFonts w:eastAsia="Georgia" w:cs="Arial"/>
          <w:color w:val="000000"/>
        </w:rPr>
        <w:t>The 16,892-feature space was constructed from five complementary computational domains (Supplementary Table S2), each designed to capture a distinct neurophysiological dimension of VR-</w:t>
      </w:r>
      <w:proofErr w:type="spellStart"/>
      <w:r w:rsidRPr="0045655C">
        <w:rPr>
          <w:rFonts w:eastAsia="Georgia" w:cs="Arial"/>
          <w:color w:val="000000"/>
        </w:rPr>
        <w:t>synchronised</w:t>
      </w:r>
      <w:proofErr w:type="spellEnd"/>
      <w:r w:rsidRPr="0045655C">
        <w:rPr>
          <w:rFonts w:eastAsia="Georgia" w:cs="Arial"/>
          <w:color w:val="000000"/>
        </w:rPr>
        <w:t xml:space="preserve"> EEG:</w:t>
      </w:r>
    </w:p>
    <w:tbl>
      <w:tblPr>
        <w:tblStyle w:val="aa"/>
        <w:tblW w:w="0" w:type="auto"/>
        <w:tblInd w:w="-5" w:type="dxa"/>
        <w:tblLook w:val="04A0" w:firstRow="1" w:lastRow="0" w:firstColumn="1" w:lastColumn="0" w:noHBand="0" w:noVBand="1"/>
      </w:tblPr>
      <w:tblGrid>
        <w:gridCol w:w="9067"/>
      </w:tblGrid>
      <w:tr w:rsidR="00C74F3C" w:rsidRPr="00C74F3C" w14:paraId="0FFD961A" w14:textId="77777777" w:rsidTr="00A70E2E">
        <w:trPr>
          <w:trHeight w:val="5526"/>
        </w:trPr>
        <w:tc>
          <w:tcPr>
            <w:tcW w:w="9067" w:type="dxa"/>
          </w:tcPr>
          <w:p w14:paraId="3A454F3C" w14:textId="77777777" w:rsidR="00C74F3C" w:rsidRPr="00C74F3C" w:rsidRDefault="00C74F3C" w:rsidP="00C74F3C">
            <w:pPr>
              <w:rPr>
                <w:rFonts w:cs="Arial"/>
                <w:sz w:val="20"/>
                <w:szCs w:val="20"/>
                <w:lang w:eastAsia="ko-KR"/>
              </w:rPr>
            </w:pPr>
            <w:r w:rsidRPr="00C74F3C">
              <w:rPr>
                <w:rFonts w:cs="Arial"/>
                <w:b/>
                <w:noProof/>
                <w:sz w:val="20"/>
                <w:szCs w:val="20"/>
                <w:lang w:eastAsia="ko-KR"/>
              </w:rPr>
              <w:lastRenderedPageBreak/>
              <w:drawing>
                <wp:inline distT="0" distB="0" distL="0" distR="0" wp14:anchorId="4D7B2A23" wp14:editId="2920CF33">
                  <wp:extent cx="5560823" cy="3483979"/>
                  <wp:effectExtent l="0" t="0" r="1905" b="0"/>
                  <wp:docPr id="44073599"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3599" name="그림 4407359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4439" cy="3617814"/>
                          </a:xfrm>
                          <a:prstGeom prst="rect">
                            <a:avLst/>
                          </a:prstGeom>
                        </pic:spPr>
                      </pic:pic>
                    </a:graphicData>
                  </a:graphic>
                </wp:inline>
              </w:drawing>
            </w:r>
          </w:p>
        </w:tc>
      </w:tr>
      <w:tr w:rsidR="00F84DD0" w:rsidRPr="00C74F3C" w14:paraId="19F30721" w14:textId="77777777" w:rsidTr="002617CB">
        <w:trPr>
          <w:trHeight w:val="557"/>
        </w:trPr>
        <w:tc>
          <w:tcPr>
            <w:tcW w:w="9067" w:type="dxa"/>
          </w:tcPr>
          <w:p w14:paraId="0E742D1A" w14:textId="77777777" w:rsidR="00F84DD0" w:rsidRPr="00A03C6F" w:rsidRDefault="00F84DD0" w:rsidP="00C74F3C">
            <w:pPr>
              <w:rPr>
                <w:rFonts w:cs="Arial"/>
                <w:bCs/>
                <w:noProof/>
                <w:sz w:val="18"/>
                <w:szCs w:val="18"/>
                <w:lang w:eastAsia="ko-KR"/>
              </w:rPr>
            </w:pPr>
            <w:r w:rsidRPr="00A03C6F">
              <w:rPr>
                <w:rFonts w:cs="Arial"/>
                <w:b/>
                <w:noProof/>
                <w:sz w:val="18"/>
                <w:szCs w:val="18"/>
                <w:lang w:eastAsia="ko-KR"/>
              </w:rPr>
              <w:t>(a) Graph Theory (252 features).</w:t>
            </w:r>
            <w:r w:rsidRPr="00A03C6F">
              <w:rPr>
                <w:rFonts w:cs="Arial"/>
                <w:bCs/>
                <w:noProof/>
                <w:sz w:val="18"/>
                <w:szCs w:val="18"/>
                <w:lang w:eastAsia="ko-KR"/>
              </w:rPr>
              <w:t xml:space="preserve"> Twelve network-topological metrics were computed from PTE-weighted directed graphs for each of 7 frequency bands × 3 temporal phases.</w:t>
            </w:r>
          </w:p>
        </w:tc>
      </w:tr>
      <w:tr w:rsidR="00F84DD0" w:rsidRPr="00C74F3C" w14:paraId="151ACA3B" w14:textId="77777777" w:rsidTr="002617CB">
        <w:trPr>
          <w:trHeight w:val="855"/>
        </w:trPr>
        <w:tc>
          <w:tcPr>
            <w:tcW w:w="9067" w:type="dxa"/>
          </w:tcPr>
          <w:p w14:paraId="1B6537CF" w14:textId="77777777" w:rsidR="00F84DD0" w:rsidRPr="00A03C6F" w:rsidRDefault="00F84DD0" w:rsidP="00C74F3C">
            <w:pPr>
              <w:rPr>
                <w:rFonts w:cs="Arial"/>
                <w:b/>
                <w:noProof/>
                <w:sz w:val="18"/>
                <w:szCs w:val="18"/>
                <w:lang w:eastAsia="ko-KR"/>
              </w:rPr>
            </w:pPr>
            <w:r w:rsidRPr="00A03C6F">
              <w:rPr>
                <w:rFonts w:cs="Arial"/>
                <w:b/>
                <w:noProof/>
                <w:sz w:val="18"/>
                <w:szCs w:val="18"/>
                <w:lang w:eastAsia="ko-KR"/>
              </w:rPr>
              <w:t>Supplementary Fig. S3a |</w:t>
            </w:r>
            <w:r w:rsidRPr="00A03C6F">
              <w:rPr>
                <w:rFonts w:cs="Arial"/>
                <w:bCs/>
                <w:noProof/>
                <w:sz w:val="18"/>
                <w:szCs w:val="18"/>
                <w:lang w:eastAsia="ko-KR"/>
              </w:rPr>
              <w:t xml:space="preserve"> Exploratory analysis revealed that the majority of global metrics—transitivity, path_length, global_efficiency, local_efficiency, rich_club (all fixed at 1.0), and betweenness, assortativity, modularity (all ≈ 0.0)—exhibited ceiling or floor effects across all three groups owing to the near-complete connectivity of dense PTE matrices</w:t>
            </w:r>
            <w:r w:rsidR="008817D6" w:rsidRPr="00A03C6F">
              <w:rPr>
                <w:rFonts w:cs="Arial"/>
                <w:bCs/>
                <w:noProof/>
                <w:sz w:val="18"/>
                <w:szCs w:val="18"/>
                <w:lang w:eastAsia="ko-KR"/>
              </w:rPr>
              <w:t>.</w:t>
            </w:r>
            <w:r w:rsidRPr="00A03C6F">
              <w:rPr>
                <w:rFonts w:cs="Arial"/>
                <w:bCs/>
                <w:noProof/>
                <w:sz w:val="18"/>
                <w:szCs w:val="18"/>
                <w:lang w:eastAsia="ko-KR"/>
              </w:rPr>
              <w:t xml:space="preserve"> Only clustering coefficient (range: 0.42–0.94, SD = 0.06) and participation coefficient (range: 0.00–0.65, SD = 0.18) demonstrated inter-individual variability and visible group separation. To further investigate, PTE-driven sparse adjacency matrices were reconstructed and thresholded at 20% and 30% edge retention. Among 12 recomputed metrics, only Transitivity, Modularity, and Participation coefficient exhibited consistent group separation across both thresholds, with MCI showing the highest values in all three—a pattern directionally preserved regardless of threshold (Supplementary Figs. S3b, S3c; Supplementary Table S</w:t>
            </w:r>
            <w:r w:rsidR="00EA653D" w:rsidRPr="00A03C6F">
              <w:rPr>
                <w:rFonts w:cs="Arial"/>
                <w:bCs/>
                <w:noProof/>
                <w:sz w:val="18"/>
                <w:szCs w:val="18"/>
                <w:lang w:eastAsia="ko-KR"/>
              </w:rPr>
              <w:t>3</w:t>
            </w:r>
            <w:r w:rsidRPr="00A03C6F">
              <w:rPr>
                <w:rFonts w:cs="Arial"/>
                <w:bCs/>
                <w:noProof/>
                <w:sz w:val="18"/>
                <w:szCs w:val="18"/>
                <w:lang w:eastAsia="ko-KR"/>
              </w:rPr>
              <w:t>). This threshold-robust but statistically sub-significant pattern motivated the subsequent ML-based hub_score derivation, which ultimately produced the highest-ranked biomarker (C5 γ hub_score, Rank 1; Table 3 of main text).</w:t>
            </w:r>
          </w:p>
        </w:tc>
      </w:tr>
      <w:tr w:rsidR="00C74F3C" w:rsidRPr="00C74F3C" w14:paraId="364FD9CC" w14:textId="77777777" w:rsidTr="002617CB">
        <w:tc>
          <w:tcPr>
            <w:tcW w:w="9067" w:type="dxa"/>
          </w:tcPr>
          <w:p w14:paraId="3FCCFE98" w14:textId="77777777" w:rsidR="00C74F3C" w:rsidRPr="00C74F3C" w:rsidRDefault="00833E4B" w:rsidP="00C74F3C">
            <w:pPr>
              <w:rPr>
                <w:rFonts w:cs="Arial"/>
                <w:b/>
                <w:sz w:val="20"/>
                <w:szCs w:val="20"/>
                <w:lang w:eastAsia="ko-KR"/>
              </w:rPr>
            </w:pPr>
            <w:r w:rsidRPr="00833E4B">
              <w:rPr>
                <w:rFonts w:cs="Arial"/>
                <w:b/>
                <w:noProof/>
                <w:sz w:val="20"/>
                <w:szCs w:val="20"/>
                <w:lang w:eastAsia="ko-KR"/>
              </w:rPr>
              <w:lastRenderedPageBreak/>
              <w:drawing>
                <wp:inline distT="0" distB="0" distL="0" distR="0" wp14:anchorId="63BB8CC7" wp14:editId="23244DD1">
                  <wp:extent cx="5629417" cy="3952754"/>
                  <wp:effectExtent l="0" t="0" r="0" b="0"/>
                  <wp:docPr id="15969451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45113" name=""/>
                          <pic:cNvPicPr/>
                        </pic:nvPicPr>
                        <pic:blipFill>
                          <a:blip r:embed="rId9"/>
                          <a:stretch>
                            <a:fillRect/>
                          </a:stretch>
                        </pic:blipFill>
                        <pic:spPr>
                          <a:xfrm>
                            <a:off x="0" y="0"/>
                            <a:ext cx="5722966" cy="4018441"/>
                          </a:xfrm>
                          <a:prstGeom prst="rect">
                            <a:avLst/>
                          </a:prstGeom>
                        </pic:spPr>
                      </pic:pic>
                    </a:graphicData>
                  </a:graphic>
                </wp:inline>
              </w:drawing>
            </w:r>
          </w:p>
        </w:tc>
      </w:tr>
      <w:tr w:rsidR="004E106C" w:rsidRPr="00C74F3C" w14:paraId="68A8D400" w14:textId="77777777" w:rsidTr="002617CB">
        <w:tc>
          <w:tcPr>
            <w:tcW w:w="9067" w:type="dxa"/>
          </w:tcPr>
          <w:p w14:paraId="30633303" w14:textId="77777777" w:rsidR="004E106C" w:rsidRPr="00A03C6F" w:rsidRDefault="004E106C" w:rsidP="00C74F3C">
            <w:pPr>
              <w:rPr>
                <w:rFonts w:cs="Arial"/>
                <w:bCs/>
                <w:sz w:val="18"/>
                <w:szCs w:val="18"/>
                <w:lang w:eastAsia="ko-KR"/>
              </w:rPr>
            </w:pPr>
            <w:r w:rsidRPr="00A03C6F">
              <w:rPr>
                <w:rFonts w:cs="Arial"/>
                <w:b/>
                <w:sz w:val="18"/>
                <w:szCs w:val="18"/>
                <w:lang w:eastAsia="ko-KR"/>
              </w:rPr>
              <w:t>Supplementary Fig. S3b |</w:t>
            </w:r>
            <w:r w:rsidRPr="00A03C6F">
              <w:rPr>
                <w:rFonts w:cs="Arial"/>
                <w:bCs/>
                <w:sz w:val="18"/>
                <w:szCs w:val="18"/>
                <w:lang w:eastAsia="ko-KR"/>
              </w:rPr>
              <w:t xml:space="preserve"> PTE-driven graph metric distributions under 20% edge-retention threshold. Group-level density histograms (AD, red; MCI, orange; NC, green) for 12 graph-theoretic metrics computed from PTE-weighted sparse directed graphs (</w:t>
            </w:r>
            <w:proofErr w:type="gramStart"/>
            <w:r w:rsidRPr="00A03C6F">
              <w:rPr>
                <w:rFonts w:cs="Arial"/>
                <w:bCs/>
                <w:sz w:val="18"/>
                <w:szCs w:val="18"/>
                <w:lang w:eastAsia="ko-KR"/>
              </w:rPr>
              <w:t>top-20</w:t>
            </w:r>
            <w:proofErr w:type="gramEnd"/>
            <w:r w:rsidRPr="00A03C6F">
              <w:rPr>
                <w:rFonts w:cs="Arial"/>
                <w:bCs/>
                <w:sz w:val="18"/>
                <w:szCs w:val="18"/>
                <w:lang w:eastAsia="ko-KR"/>
              </w:rPr>
              <w:t>% edges retained), averaged across 7 frequency bands × 3 temporal phases. Modularity (F = 2.29, p = 0.116), Participation (F = 2.00, p = 0.151), and Transitivity (F = 1.67, p = 0.203) showed the strongest group separation, with MCI consistently exhibiting the highest values.</w:t>
            </w:r>
          </w:p>
        </w:tc>
      </w:tr>
      <w:tr w:rsidR="00C74F3C" w:rsidRPr="00C74F3C" w14:paraId="59B212A1" w14:textId="77777777" w:rsidTr="002617CB">
        <w:trPr>
          <w:trHeight w:val="3496"/>
        </w:trPr>
        <w:tc>
          <w:tcPr>
            <w:tcW w:w="9067" w:type="dxa"/>
          </w:tcPr>
          <w:p w14:paraId="2FDA0301" w14:textId="77777777" w:rsidR="00C74F3C" w:rsidRPr="00C74F3C" w:rsidRDefault="002C40A1" w:rsidP="00C74F3C">
            <w:pPr>
              <w:rPr>
                <w:rFonts w:cs="Arial"/>
                <w:sz w:val="20"/>
                <w:szCs w:val="20"/>
                <w:lang w:eastAsia="ko-KR"/>
              </w:rPr>
            </w:pPr>
            <w:r w:rsidRPr="002C40A1">
              <w:rPr>
                <w:rFonts w:cs="Arial"/>
                <w:noProof/>
                <w:sz w:val="20"/>
                <w:szCs w:val="20"/>
                <w:lang w:eastAsia="ko-KR"/>
              </w:rPr>
              <w:lastRenderedPageBreak/>
              <w:drawing>
                <wp:inline distT="0" distB="0" distL="0" distR="0" wp14:anchorId="2E40F851" wp14:editId="1C921606">
                  <wp:extent cx="5600404" cy="3906455"/>
                  <wp:effectExtent l="0" t="0" r="635" b="5715"/>
                  <wp:docPr id="36969299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92995" name=""/>
                          <pic:cNvPicPr/>
                        </pic:nvPicPr>
                        <pic:blipFill>
                          <a:blip r:embed="rId10"/>
                          <a:stretch>
                            <a:fillRect/>
                          </a:stretch>
                        </pic:blipFill>
                        <pic:spPr>
                          <a:xfrm>
                            <a:off x="0" y="0"/>
                            <a:ext cx="5664508" cy="3951170"/>
                          </a:xfrm>
                          <a:prstGeom prst="rect">
                            <a:avLst/>
                          </a:prstGeom>
                        </pic:spPr>
                      </pic:pic>
                    </a:graphicData>
                  </a:graphic>
                </wp:inline>
              </w:drawing>
            </w:r>
          </w:p>
        </w:tc>
      </w:tr>
      <w:tr w:rsidR="004E106C" w:rsidRPr="00C74F3C" w14:paraId="4ACEED5F" w14:textId="77777777" w:rsidTr="002617CB">
        <w:trPr>
          <w:trHeight w:val="674"/>
        </w:trPr>
        <w:tc>
          <w:tcPr>
            <w:tcW w:w="9067" w:type="dxa"/>
          </w:tcPr>
          <w:p w14:paraId="1F819F74" w14:textId="77777777" w:rsidR="004E106C" w:rsidRPr="00A03C6F" w:rsidRDefault="004E106C" w:rsidP="00C74F3C">
            <w:pPr>
              <w:rPr>
                <w:rFonts w:cs="Arial"/>
                <w:sz w:val="18"/>
                <w:szCs w:val="18"/>
                <w:lang w:eastAsia="ko-KR"/>
              </w:rPr>
            </w:pPr>
            <w:r w:rsidRPr="00A03C6F">
              <w:rPr>
                <w:rFonts w:cs="Arial"/>
                <w:b/>
                <w:bCs/>
                <w:sz w:val="18"/>
                <w:szCs w:val="18"/>
                <w:lang w:eastAsia="ko-KR"/>
              </w:rPr>
              <w:t>Supplementary Fig. S3c |</w:t>
            </w:r>
            <w:r w:rsidRPr="00A03C6F">
              <w:rPr>
                <w:rFonts w:cs="Arial"/>
                <w:sz w:val="18"/>
                <w:szCs w:val="18"/>
                <w:lang w:eastAsia="ko-KR"/>
              </w:rPr>
              <w:t xml:space="preserve"> PTE-driven graph metric distributions under 30% edge-retention threshold. Same analysis as Fig. S3b with </w:t>
            </w:r>
            <w:proofErr w:type="gramStart"/>
            <w:r w:rsidRPr="00A03C6F">
              <w:rPr>
                <w:rFonts w:cs="Arial"/>
                <w:sz w:val="18"/>
                <w:szCs w:val="18"/>
                <w:lang w:eastAsia="ko-KR"/>
              </w:rPr>
              <w:t>top-30</w:t>
            </w:r>
            <w:proofErr w:type="gramEnd"/>
            <w:r w:rsidRPr="00A03C6F">
              <w:rPr>
                <w:rFonts w:cs="Arial"/>
                <w:sz w:val="18"/>
                <w:szCs w:val="18"/>
                <w:lang w:eastAsia="ko-KR"/>
              </w:rPr>
              <w:t>% edge retention. Transitivity (F = 2.41, p = 0.105) showed improved separation, and Participation (F = 2.19, p = 0.128) remained robust. The preservation of the MCI-highest directionality across both thresholds confirms threshold-invariant group structure (Supplementary Table S</w:t>
            </w:r>
            <w:r w:rsidR="00EA653D" w:rsidRPr="00A03C6F">
              <w:rPr>
                <w:rFonts w:cs="Arial"/>
                <w:sz w:val="18"/>
                <w:szCs w:val="18"/>
                <w:lang w:eastAsia="ko-KR"/>
              </w:rPr>
              <w:t>3</w:t>
            </w:r>
            <w:r w:rsidRPr="00A03C6F">
              <w:rPr>
                <w:rFonts w:cs="Arial"/>
                <w:sz w:val="18"/>
                <w:szCs w:val="18"/>
                <w:lang w:eastAsia="ko-KR"/>
              </w:rPr>
              <w:t xml:space="preserve">), motivating the ML-based </w:t>
            </w:r>
            <w:proofErr w:type="spellStart"/>
            <w:r w:rsidRPr="00A03C6F">
              <w:rPr>
                <w:rFonts w:cs="Arial"/>
                <w:sz w:val="18"/>
                <w:szCs w:val="18"/>
                <w:lang w:eastAsia="ko-KR"/>
              </w:rPr>
              <w:t>hub_score</w:t>
            </w:r>
            <w:proofErr w:type="spellEnd"/>
            <w:r w:rsidRPr="00A03C6F">
              <w:rPr>
                <w:rFonts w:cs="Arial"/>
                <w:sz w:val="18"/>
                <w:szCs w:val="18"/>
                <w:lang w:eastAsia="ko-KR"/>
              </w:rPr>
              <w:t xml:space="preserve"> derivation that produced the top-ranked biomarker (C5 γ </w:t>
            </w:r>
            <w:proofErr w:type="spellStart"/>
            <w:r w:rsidRPr="00A03C6F">
              <w:rPr>
                <w:rFonts w:cs="Arial"/>
                <w:sz w:val="18"/>
                <w:szCs w:val="18"/>
                <w:lang w:eastAsia="ko-KR"/>
              </w:rPr>
              <w:t>hub_score</w:t>
            </w:r>
            <w:proofErr w:type="spellEnd"/>
            <w:r w:rsidRPr="00A03C6F">
              <w:rPr>
                <w:rFonts w:cs="Arial"/>
                <w:sz w:val="18"/>
                <w:szCs w:val="18"/>
                <w:lang w:eastAsia="ko-KR"/>
              </w:rPr>
              <w:t>, Rank 1; Table 3 of main text).</w:t>
            </w:r>
            <w:r w:rsidRPr="00A03C6F">
              <w:rPr>
                <w:rFonts w:cs="Arial" w:hint="eastAsia"/>
                <w:sz w:val="18"/>
                <w:szCs w:val="18"/>
                <w:lang w:eastAsia="ko-KR"/>
              </w:rPr>
              <w:t xml:space="preserve"> </w:t>
            </w:r>
          </w:p>
        </w:tc>
      </w:tr>
      <w:tr w:rsidR="004E106C" w:rsidRPr="00C74F3C" w14:paraId="4E3BDAA4" w14:textId="77777777" w:rsidTr="002617CB">
        <w:trPr>
          <w:trHeight w:val="805"/>
        </w:trPr>
        <w:tc>
          <w:tcPr>
            <w:tcW w:w="9067" w:type="dxa"/>
          </w:tcPr>
          <w:p w14:paraId="7F75333E" w14:textId="77777777" w:rsidR="004E106C" w:rsidRPr="004E106C" w:rsidRDefault="004E106C" w:rsidP="00C74F3C">
            <w:pPr>
              <w:rPr>
                <w:rFonts w:cs="Arial"/>
                <w:b/>
                <w:bCs/>
                <w:sz w:val="20"/>
                <w:szCs w:val="20"/>
                <w:lang w:eastAsia="ko-KR"/>
              </w:rPr>
            </w:pPr>
            <w:r w:rsidRPr="00C74F3C">
              <w:rPr>
                <w:rFonts w:cs="Arial"/>
                <w:noProof/>
                <w:sz w:val="20"/>
                <w:szCs w:val="20"/>
                <w:lang w:eastAsia="ko-KR"/>
              </w:rPr>
              <w:drawing>
                <wp:inline distT="0" distB="0" distL="0" distR="0" wp14:anchorId="201D5C9B" wp14:editId="4A7B60DA">
                  <wp:extent cx="5573628" cy="1741990"/>
                  <wp:effectExtent l="0" t="0" r="1905" b="0"/>
                  <wp:docPr id="1389982214" name="그림 1" descr="스크린샷, 레드, 라인, 다채로움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82214" name="그림 1" descr="스크린샷, 레드, 라인, 다채로움이(가) 표시된 사진&#10;&#10;AI 생성 콘텐츠는 정확하지 않을 수 있습니다."/>
                          <pic:cNvPicPr/>
                        </pic:nvPicPr>
                        <pic:blipFill>
                          <a:blip r:embed="rId11"/>
                          <a:stretch>
                            <a:fillRect/>
                          </a:stretch>
                        </pic:blipFill>
                        <pic:spPr>
                          <a:xfrm>
                            <a:off x="0" y="0"/>
                            <a:ext cx="6003873" cy="1876459"/>
                          </a:xfrm>
                          <a:prstGeom prst="rect">
                            <a:avLst/>
                          </a:prstGeom>
                        </pic:spPr>
                      </pic:pic>
                    </a:graphicData>
                  </a:graphic>
                </wp:inline>
              </w:drawing>
            </w:r>
          </w:p>
        </w:tc>
      </w:tr>
      <w:tr w:rsidR="004E106C" w:rsidRPr="00C74F3C" w14:paraId="4B23C2E7" w14:textId="77777777" w:rsidTr="002617CB">
        <w:trPr>
          <w:trHeight w:val="775"/>
        </w:trPr>
        <w:tc>
          <w:tcPr>
            <w:tcW w:w="9067" w:type="dxa"/>
          </w:tcPr>
          <w:p w14:paraId="693FAEDA" w14:textId="77777777" w:rsidR="004E106C" w:rsidRPr="00A03C6F" w:rsidRDefault="004E106C" w:rsidP="00C74F3C">
            <w:pPr>
              <w:rPr>
                <w:rFonts w:cs="Arial"/>
                <w:noProof/>
                <w:sz w:val="18"/>
                <w:szCs w:val="18"/>
                <w:lang w:eastAsia="ko-KR"/>
              </w:rPr>
            </w:pPr>
            <w:r w:rsidRPr="00A03C6F">
              <w:rPr>
                <w:rFonts w:cs="Arial"/>
                <w:b/>
                <w:sz w:val="18"/>
                <w:szCs w:val="18"/>
                <w:lang w:eastAsia="ko-KR"/>
              </w:rPr>
              <w:t>(b) Information Theory / PTE (5,376 features).</w:t>
            </w:r>
            <w:r w:rsidRPr="00A03C6F">
              <w:rPr>
                <w:rFonts w:cs="Arial"/>
                <w:sz w:val="18"/>
                <w:szCs w:val="18"/>
                <w:lang w:eastAsia="ko-KR"/>
              </w:rPr>
              <w:t xml:space="preserve"> Four directed-connectivity metrics (</w:t>
            </w:r>
            <w:proofErr w:type="spellStart"/>
            <w:r w:rsidRPr="00A03C6F">
              <w:rPr>
                <w:rFonts w:cs="Arial"/>
                <w:sz w:val="18"/>
                <w:szCs w:val="18"/>
                <w:lang w:eastAsia="ko-KR"/>
              </w:rPr>
              <w:t>mean_PTE</w:t>
            </w:r>
            <w:proofErr w:type="spellEnd"/>
            <w:r w:rsidRPr="00A03C6F">
              <w:rPr>
                <w:rFonts w:cs="Arial"/>
                <w:sz w:val="18"/>
                <w:szCs w:val="18"/>
                <w:lang w:eastAsia="ko-KR"/>
              </w:rPr>
              <w:t xml:space="preserve">, </w:t>
            </w:r>
            <w:proofErr w:type="spellStart"/>
            <w:r w:rsidRPr="00A03C6F">
              <w:rPr>
                <w:rFonts w:cs="Arial"/>
                <w:sz w:val="18"/>
                <w:szCs w:val="18"/>
                <w:lang w:eastAsia="ko-KR"/>
              </w:rPr>
              <w:t>net_flow</w:t>
            </w:r>
            <w:proofErr w:type="spellEnd"/>
            <w:r w:rsidRPr="00A03C6F">
              <w:rPr>
                <w:rFonts w:cs="Arial"/>
                <w:sz w:val="18"/>
                <w:szCs w:val="18"/>
                <w:lang w:eastAsia="ko-KR"/>
              </w:rPr>
              <w:t xml:space="preserve">, asymmetry, </w:t>
            </w:r>
            <w:proofErr w:type="spellStart"/>
            <w:r w:rsidRPr="00A03C6F">
              <w:rPr>
                <w:rFonts w:cs="Arial"/>
                <w:sz w:val="18"/>
                <w:szCs w:val="18"/>
                <w:lang w:eastAsia="ko-KR"/>
              </w:rPr>
              <w:t>hub_score</w:t>
            </w:r>
            <w:proofErr w:type="spellEnd"/>
            <w:r w:rsidRPr="00A03C6F">
              <w:rPr>
                <w:rFonts w:cs="Arial"/>
                <w:sz w:val="18"/>
                <w:szCs w:val="18"/>
                <w:lang w:eastAsia="ko-KR"/>
              </w:rPr>
              <w:t xml:space="preserve">) were extracted per channel × band × session. </w:t>
            </w:r>
          </w:p>
        </w:tc>
      </w:tr>
      <w:tr w:rsidR="0049685D" w:rsidRPr="00C74F3C" w14:paraId="29907A76" w14:textId="77777777" w:rsidTr="002617CB">
        <w:trPr>
          <w:trHeight w:val="342"/>
        </w:trPr>
        <w:tc>
          <w:tcPr>
            <w:tcW w:w="9067" w:type="dxa"/>
          </w:tcPr>
          <w:p w14:paraId="35F8EC5D" w14:textId="77777777" w:rsidR="0049685D" w:rsidRPr="00A03C6F" w:rsidRDefault="0049685D" w:rsidP="00C74F3C">
            <w:pPr>
              <w:rPr>
                <w:rFonts w:cs="Arial"/>
                <w:b/>
                <w:sz w:val="18"/>
                <w:szCs w:val="18"/>
                <w:lang w:eastAsia="ko-KR"/>
              </w:rPr>
            </w:pPr>
            <w:r w:rsidRPr="00A03C6F">
              <w:rPr>
                <w:rFonts w:cs="Arial"/>
                <w:b/>
                <w:bCs/>
                <w:sz w:val="18"/>
                <w:szCs w:val="18"/>
                <w:lang w:eastAsia="ko-KR"/>
              </w:rPr>
              <w:t>Supplementary Fig. S3d |</w:t>
            </w:r>
            <w:r w:rsidRPr="00A03C6F">
              <w:rPr>
                <w:rFonts w:cs="Arial"/>
                <w:sz w:val="18"/>
                <w:szCs w:val="18"/>
                <w:lang w:eastAsia="ko-KR"/>
              </w:rPr>
              <w:t xml:space="preserve"> Group-averaged PTE matrices (Alpha-During band) revealed visually discernible differences in connectivity density: NC showed the most diffuse pattern (mean PTE = 0.1335), MCI showed focal amplification in posterior regions (0.1334), and AD showed globally attenuated connectivity (0.1322)</w:t>
            </w:r>
            <w:r w:rsidR="00AD750D" w:rsidRPr="00A03C6F">
              <w:rPr>
                <w:rFonts w:cs="Arial" w:hint="eastAsia"/>
                <w:sz w:val="18"/>
                <w:szCs w:val="18"/>
                <w:lang w:eastAsia="ko-KR"/>
              </w:rPr>
              <w:t>.</w:t>
            </w:r>
            <w:r w:rsidRPr="00A03C6F">
              <w:rPr>
                <w:rFonts w:cs="Arial"/>
                <w:sz w:val="18"/>
                <w:szCs w:val="18"/>
                <w:lang w:eastAsia="ko-KR"/>
              </w:rPr>
              <w:t xml:space="preserve"> </w:t>
            </w:r>
          </w:p>
        </w:tc>
      </w:tr>
      <w:tr w:rsidR="00C74F3C" w:rsidRPr="00C74F3C" w14:paraId="4E58F5CA" w14:textId="77777777" w:rsidTr="002617CB">
        <w:trPr>
          <w:trHeight w:val="1406"/>
        </w:trPr>
        <w:tc>
          <w:tcPr>
            <w:tcW w:w="9067" w:type="dxa"/>
          </w:tcPr>
          <w:p w14:paraId="26B6D011" w14:textId="77777777" w:rsidR="00D625FE" w:rsidRPr="00C74F3C" w:rsidRDefault="00C74F3C" w:rsidP="00C74F3C">
            <w:pPr>
              <w:rPr>
                <w:rFonts w:cs="Arial"/>
                <w:b/>
                <w:sz w:val="20"/>
                <w:szCs w:val="20"/>
                <w:lang w:eastAsia="ko-KR"/>
              </w:rPr>
            </w:pPr>
            <w:r w:rsidRPr="00C74F3C">
              <w:rPr>
                <w:rFonts w:cs="Arial"/>
                <w:noProof/>
                <w:sz w:val="20"/>
                <w:szCs w:val="20"/>
                <w:lang w:eastAsia="ko-KR"/>
              </w:rPr>
              <w:lastRenderedPageBreak/>
              <w:drawing>
                <wp:inline distT="0" distB="0" distL="0" distR="0" wp14:anchorId="633BE11D" wp14:editId="50DCA7A4">
                  <wp:extent cx="5578998" cy="4640717"/>
                  <wp:effectExtent l="0" t="0" r="0" b="0"/>
                  <wp:docPr id="116329561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95617" name=""/>
                          <pic:cNvPicPr/>
                        </pic:nvPicPr>
                        <pic:blipFill>
                          <a:blip r:embed="rId12"/>
                          <a:stretch>
                            <a:fillRect/>
                          </a:stretch>
                        </pic:blipFill>
                        <pic:spPr>
                          <a:xfrm>
                            <a:off x="0" y="0"/>
                            <a:ext cx="5988419" cy="4981282"/>
                          </a:xfrm>
                          <a:prstGeom prst="rect">
                            <a:avLst/>
                          </a:prstGeom>
                        </pic:spPr>
                      </pic:pic>
                    </a:graphicData>
                  </a:graphic>
                </wp:inline>
              </w:drawing>
            </w:r>
          </w:p>
        </w:tc>
      </w:tr>
      <w:tr w:rsidR="00D625FE" w:rsidRPr="00C74F3C" w14:paraId="5D776C57" w14:textId="77777777" w:rsidTr="002617CB">
        <w:trPr>
          <w:trHeight w:val="1405"/>
        </w:trPr>
        <w:tc>
          <w:tcPr>
            <w:tcW w:w="9067" w:type="dxa"/>
          </w:tcPr>
          <w:p w14:paraId="45DA2983" w14:textId="77777777" w:rsidR="00D625FE" w:rsidRPr="00A03C6F" w:rsidRDefault="0049685D" w:rsidP="00C74F3C">
            <w:pPr>
              <w:rPr>
                <w:rFonts w:cs="Arial"/>
                <w:sz w:val="18"/>
                <w:szCs w:val="18"/>
                <w:lang w:eastAsia="ko-KR"/>
              </w:rPr>
            </w:pPr>
            <w:r w:rsidRPr="00A03C6F">
              <w:rPr>
                <w:rFonts w:cs="Arial"/>
                <w:b/>
                <w:bCs/>
                <w:sz w:val="18"/>
                <w:szCs w:val="18"/>
                <w:lang w:eastAsia="ko-KR"/>
              </w:rPr>
              <w:t>Supplementary Fig. S3e |</w:t>
            </w:r>
            <w:r w:rsidRPr="00A03C6F">
              <w:rPr>
                <w:rFonts w:cs="Arial"/>
                <w:sz w:val="18"/>
                <w:szCs w:val="18"/>
                <w:lang w:eastAsia="ko-KR"/>
              </w:rPr>
              <w:t xml:space="preserve"> </w:t>
            </w:r>
            <w:r w:rsidR="00D625FE" w:rsidRPr="00A03C6F">
              <w:rPr>
                <w:rFonts w:cs="Arial"/>
                <w:sz w:val="18"/>
                <w:szCs w:val="18"/>
                <w:lang w:eastAsia="ko-KR"/>
              </w:rPr>
              <w:t xml:space="preserve">Composite biomarker scoring across all metric × band combinations identified Asymmetry @ Gamma (score = 0.940), Mean PTE @ Alpha (0.802), and Hub Score @ Alpha (0.794) as the three highest-ranked candidates within this domain, indicating that Alpha-band connectivity strength and Gamma-band directional asymmetry carry the strongest group-discriminative signals. </w:t>
            </w:r>
          </w:p>
        </w:tc>
      </w:tr>
      <w:tr w:rsidR="00C74F3C" w:rsidRPr="00C74F3C" w14:paraId="708E3DDB" w14:textId="77777777" w:rsidTr="002617CB">
        <w:trPr>
          <w:trHeight w:val="1259"/>
        </w:trPr>
        <w:tc>
          <w:tcPr>
            <w:tcW w:w="9067" w:type="dxa"/>
          </w:tcPr>
          <w:p w14:paraId="49843912" w14:textId="77777777" w:rsidR="00D625FE" w:rsidRPr="00C74F3C" w:rsidRDefault="00C74F3C" w:rsidP="00C74F3C">
            <w:pPr>
              <w:rPr>
                <w:rFonts w:cs="Arial"/>
                <w:b/>
                <w:sz w:val="20"/>
                <w:szCs w:val="20"/>
                <w:lang w:eastAsia="ko-KR"/>
              </w:rPr>
            </w:pPr>
            <w:r w:rsidRPr="00C74F3C">
              <w:rPr>
                <w:rFonts w:cs="Arial"/>
                <w:noProof/>
                <w:sz w:val="20"/>
                <w:szCs w:val="20"/>
                <w:lang w:eastAsia="ko-KR"/>
              </w:rPr>
              <w:lastRenderedPageBreak/>
              <w:drawing>
                <wp:inline distT="0" distB="0" distL="0" distR="0" wp14:anchorId="7D82150D" wp14:editId="03908E9B">
                  <wp:extent cx="5632495" cy="3715473"/>
                  <wp:effectExtent l="0" t="0" r="0" b="5715"/>
                  <wp:docPr id="2144235576" name="그림 1" descr="도표, 친필, 그래프, 폰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35576" name="그림 1" descr="도표, 친필, 그래프, 폰트이(가) 표시된 사진&#10;&#10;AI 생성 콘텐츠는 정확하지 않을 수 있습니다."/>
                          <pic:cNvPicPr/>
                        </pic:nvPicPr>
                        <pic:blipFill>
                          <a:blip r:embed="rId13"/>
                          <a:stretch>
                            <a:fillRect/>
                          </a:stretch>
                        </pic:blipFill>
                        <pic:spPr>
                          <a:xfrm>
                            <a:off x="0" y="0"/>
                            <a:ext cx="6019535" cy="3970784"/>
                          </a:xfrm>
                          <a:prstGeom prst="rect">
                            <a:avLst/>
                          </a:prstGeom>
                        </pic:spPr>
                      </pic:pic>
                    </a:graphicData>
                  </a:graphic>
                </wp:inline>
              </w:drawing>
            </w:r>
          </w:p>
        </w:tc>
      </w:tr>
      <w:tr w:rsidR="00D625FE" w:rsidRPr="00C74F3C" w14:paraId="293C0E40" w14:textId="77777777" w:rsidTr="002617CB">
        <w:trPr>
          <w:trHeight w:val="447"/>
        </w:trPr>
        <w:tc>
          <w:tcPr>
            <w:tcW w:w="9067" w:type="dxa"/>
          </w:tcPr>
          <w:p w14:paraId="1BE7DDFE" w14:textId="77777777" w:rsidR="00D625FE" w:rsidRPr="00A03C6F" w:rsidRDefault="00D625FE" w:rsidP="00C74F3C">
            <w:pPr>
              <w:rPr>
                <w:rFonts w:cs="Arial"/>
                <w:sz w:val="18"/>
                <w:szCs w:val="18"/>
                <w:lang w:eastAsia="ko-KR"/>
              </w:rPr>
            </w:pPr>
            <w:r w:rsidRPr="00A03C6F">
              <w:rPr>
                <w:rFonts w:cs="Arial"/>
                <w:b/>
                <w:sz w:val="18"/>
                <w:szCs w:val="18"/>
                <w:lang w:eastAsia="ko-KR"/>
              </w:rPr>
              <w:t>(c) Statistical (8,064 features).</w:t>
            </w:r>
            <w:r w:rsidRPr="00A03C6F">
              <w:rPr>
                <w:rFonts w:cs="Arial"/>
                <w:sz w:val="18"/>
                <w:szCs w:val="18"/>
                <w:lang w:eastAsia="ko-KR"/>
              </w:rPr>
              <w:t xml:space="preserve"> Six time-domain statistics (power, mean, SD, skewness, kurtosis, RMS) were computed per channel × band × session. </w:t>
            </w:r>
          </w:p>
        </w:tc>
      </w:tr>
      <w:tr w:rsidR="0049685D" w:rsidRPr="00C74F3C" w14:paraId="6C24956F" w14:textId="77777777" w:rsidTr="002617CB">
        <w:trPr>
          <w:trHeight w:val="446"/>
        </w:trPr>
        <w:tc>
          <w:tcPr>
            <w:tcW w:w="9067" w:type="dxa"/>
          </w:tcPr>
          <w:p w14:paraId="7FFB70D5" w14:textId="77777777" w:rsidR="0049685D" w:rsidRPr="00A03C6F" w:rsidRDefault="0049685D" w:rsidP="00C74F3C">
            <w:pPr>
              <w:rPr>
                <w:rFonts w:cs="Arial"/>
                <w:b/>
                <w:sz w:val="18"/>
                <w:szCs w:val="18"/>
                <w:lang w:eastAsia="ko-KR"/>
              </w:rPr>
            </w:pPr>
            <w:r w:rsidRPr="00A03C6F">
              <w:rPr>
                <w:rFonts w:cs="Arial"/>
                <w:b/>
                <w:bCs/>
                <w:sz w:val="18"/>
                <w:szCs w:val="18"/>
                <w:lang w:eastAsia="ko-KR"/>
              </w:rPr>
              <w:t>Supplementary Fig. S3f |</w:t>
            </w:r>
            <w:r w:rsidRPr="00A03C6F">
              <w:rPr>
                <w:rFonts w:cs="Arial"/>
                <w:sz w:val="18"/>
                <w:szCs w:val="18"/>
                <w:lang w:eastAsia="ko-KR"/>
              </w:rPr>
              <w:t xml:space="preserve"> Channel-wise group comparison (Alpha-During band) revealed that kurtosis and skewness exhibited the most prominent inter-group separation across the 64-channel array, whereas power and RMS displayed nearly identical spatial profiles, confirming expected redundancy (Pearson r &gt; 0.99). Among these, kurtosis showed the widest inter-individual dispersion (range: −1.80 to 14.44), </w:t>
            </w:r>
            <w:r w:rsidR="00AD750D" w:rsidRPr="00A03C6F">
              <w:rPr>
                <w:rFonts w:cs="Arial"/>
                <w:sz w:val="18"/>
                <w:szCs w:val="18"/>
                <w:lang w:eastAsia="ko-KR"/>
              </w:rPr>
              <w:t>suggesting that it is the most informative univariate statistical descriptor for group discrimination.</w:t>
            </w:r>
          </w:p>
        </w:tc>
      </w:tr>
      <w:tr w:rsidR="00C74F3C" w:rsidRPr="00C74F3C" w14:paraId="700FAAC5" w14:textId="77777777" w:rsidTr="002617CB">
        <w:trPr>
          <w:trHeight w:val="1086"/>
        </w:trPr>
        <w:tc>
          <w:tcPr>
            <w:tcW w:w="9067" w:type="dxa"/>
          </w:tcPr>
          <w:p w14:paraId="5285BF7B" w14:textId="77777777" w:rsidR="00D625FE" w:rsidRPr="00C74F3C" w:rsidRDefault="00C74F3C" w:rsidP="00C74F3C">
            <w:pPr>
              <w:rPr>
                <w:rFonts w:cs="Arial"/>
                <w:b/>
                <w:sz w:val="20"/>
                <w:szCs w:val="20"/>
                <w:lang w:eastAsia="ko-KR"/>
              </w:rPr>
            </w:pPr>
            <w:r w:rsidRPr="00C74F3C">
              <w:rPr>
                <w:rFonts w:cs="Arial"/>
                <w:noProof/>
                <w:sz w:val="20"/>
                <w:szCs w:val="20"/>
                <w:lang w:eastAsia="ko-KR"/>
              </w:rPr>
              <w:drawing>
                <wp:inline distT="0" distB="0" distL="0" distR="0" wp14:anchorId="6508B578" wp14:editId="480E4B75">
                  <wp:extent cx="5598275" cy="3078865"/>
                  <wp:effectExtent l="0" t="0" r="2540" b="0"/>
                  <wp:docPr id="1320981352" name="그림 1" descr="텍스트, 라인, 그래프,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1352" name="그림 1" descr="텍스트, 라인, 그래프, 도표이(가) 표시된 사진&#10;&#10;AI 생성 콘텐츠는 정확하지 않을 수 있습니다."/>
                          <pic:cNvPicPr/>
                        </pic:nvPicPr>
                        <pic:blipFill>
                          <a:blip r:embed="rId14"/>
                          <a:stretch>
                            <a:fillRect/>
                          </a:stretch>
                        </pic:blipFill>
                        <pic:spPr>
                          <a:xfrm>
                            <a:off x="0" y="0"/>
                            <a:ext cx="5658370" cy="3111915"/>
                          </a:xfrm>
                          <a:prstGeom prst="rect">
                            <a:avLst/>
                          </a:prstGeom>
                        </pic:spPr>
                      </pic:pic>
                    </a:graphicData>
                  </a:graphic>
                </wp:inline>
              </w:drawing>
            </w:r>
          </w:p>
        </w:tc>
      </w:tr>
      <w:tr w:rsidR="00D625FE" w:rsidRPr="00C74F3C" w14:paraId="2BFE042E" w14:textId="77777777" w:rsidTr="002617CB">
        <w:trPr>
          <w:trHeight w:val="397"/>
        </w:trPr>
        <w:tc>
          <w:tcPr>
            <w:tcW w:w="9067" w:type="dxa"/>
          </w:tcPr>
          <w:p w14:paraId="241746A6" w14:textId="77777777" w:rsidR="00D625FE" w:rsidRPr="00A03C6F" w:rsidRDefault="00D625FE" w:rsidP="00C74F3C">
            <w:pPr>
              <w:rPr>
                <w:rFonts w:cs="Arial"/>
                <w:sz w:val="18"/>
                <w:szCs w:val="18"/>
                <w:lang w:eastAsia="ko-KR"/>
              </w:rPr>
            </w:pPr>
            <w:r w:rsidRPr="00A03C6F">
              <w:rPr>
                <w:rFonts w:cs="Arial"/>
                <w:b/>
                <w:sz w:val="18"/>
                <w:szCs w:val="18"/>
                <w:lang w:eastAsia="ko-KR"/>
              </w:rPr>
              <w:t>(d) Dynamic / VR-reactivity (2,240 features).</w:t>
            </w:r>
            <w:r w:rsidRPr="00A03C6F">
              <w:rPr>
                <w:rFonts w:cs="Arial"/>
                <w:sz w:val="18"/>
                <w:szCs w:val="18"/>
                <w:lang w:eastAsia="ko-KR"/>
              </w:rPr>
              <w:t xml:space="preserve"> Five temporal-change indices (</w:t>
            </w:r>
            <w:proofErr w:type="spellStart"/>
            <w:r w:rsidRPr="00A03C6F">
              <w:rPr>
                <w:rFonts w:cs="Arial"/>
                <w:sz w:val="18"/>
                <w:szCs w:val="18"/>
                <w:lang w:eastAsia="ko-KR"/>
              </w:rPr>
              <w:t>pre→during</w:t>
            </w:r>
            <w:proofErr w:type="spellEnd"/>
            <w:r w:rsidRPr="00A03C6F">
              <w:rPr>
                <w:rFonts w:cs="Arial"/>
                <w:sz w:val="18"/>
                <w:szCs w:val="18"/>
                <w:lang w:eastAsia="ko-KR"/>
              </w:rPr>
              <w:t xml:space="preserve">, </w:t>
            </w:r>
            <w:proofErr w:type="spellStart"/>
            <w:r w:rsidRPr="00A03C6F">
              <w:rPr>
                <w:rFonts w:cs="Arial"/>
                <w:sz w:val="18"/>
                <w:szCs w:val="18"/>
                <w:lang w:eastAsia="ko-KR"/>
              </w:rPr>
              <w:t>during→post</w:t>
            </w:r>
            <w:proofErr w:type="spellEnd"/>
            <w:r w:rsidRPr="00A03C6F">
              <w:rPr>
                <w:rFonts w:cs="Arial"/>
                <w:sz w:val="18"/>
                <w:szCs w:val="18"/>
                <w:lang w:eastAsia="ko-KR"/>
              </w:rPr>
              <w:t xml:space="preserve">, </w:t>
            </w:r>
            <w:proofErr w:type="spellStart"/>
            <w:r w:rsidRPr="00A03C6F">
              <w:rPr>
                <w:rFonts w:cs="Arial"/>
                <w:sz w:val="18"/>
                <w:szCs w:val="18"/>
                <w:lang w:eastAsia="ko-KR"/>
              </w:rPr>
              <w:t>pre→post</w:t>
            </w:r>
            <w:proofErr w:type="spellEnd"/>
            <w:r w:rsidRPr="00A03C6F">
              <w:rPr>
                <w:rFonts w:cs="Arial"/>
                <w:sz w:val="18"/>
                <w:szCs w:val="18"/>
                <w:lang w:eastAsia="ko-KR"/>
              </w:rPr>
              <w:t xml:space="preserve">, </w:t>
            </w:r>
            <w:proofErr w:type="spellStart"/>
            <w:r w:rsidRPr="00A03C6F">
              <w:rPr>
                <w:rFonts w:cs="Arial"/>
                <w:sz w:val="18"/>
                <w:szCs w:val="18"/>
                <w:lang w:eastAsia="ko-KR"/>
              </w:rPr>
              <w:t>max_change</w:t>
            </w:r>
            <w:proofErr w:type="spellEnd"/>
            <w:r w:rsidRPr="00A03C6F">
              <w:rPr>
                <w:rFonts w:cs="Arial"/>
                <w:sz w:val="18"/>
                <w:szCs w:val="18"/>
                <w:lang w:eastAsia="ko-KR"/>
              </w:rPr>
              <w:t xml:space="preserve">, recovery) quantified VR-induced modulation in dB scale. </w:t>
            </w:r>
          </w:p>
        </w:tc>
      </w:tr>
      <w:tr w:rsidR="0049685D" w:rsidRPr="00C74F3C" w14:paraId="6C99D767" w14:textId="77777777" w:rsidTr="002617CB">
        <w:trPr>
          <w:trHeight w:val="396"/>
        </w:trPr>
        <w:tc>
          <w:tcPr>
            <w:tcW w:w="9067" w:type="dxa"/>
          </w:tcPr>
          <w:p w14:paraId="4AF32330" w14:textId="77777777" w:rsidR="0049685D" w:rsidRPr="00A03C6F" w:rsidRDefault="0049685D" w:rsidP="00C74F3C">
            <w:pPr>
              <w:rPr>
                <w:rFonts w:cs="Arial"/>
                <w:b/>
                <w:sz w:val="18"/>
                <w:szCs w:val="18"/>
                <w:lang w:eastAsia="ko-KR"/>
              </w:rPr>
            </w:pPr>
            <w:r w:rsidRPr="00A03C6F">
              <w:rPr>
                <w:rFonts w:cs="Arial"/>
                <w:b/>
                <w:bCs/>
                <w:sz w:val="18"/>
                <w:szCs w:val="18"/>
                <w:lang w:eastAsia="ko-KR"/>
              </w:rPr>
              <w:lastRenderedPageBreak/>
              <w:t>Supplementary Fig. S3g |</w:t>
            </w:r>
            <w:r w:rsidRPr="00A03C6F">
              <w:rPr>
                <w:rFonts w:cs="Arial"/>
                <w:sz w:val="18"/>
                <w:szCs w:val="18"/>
                <w:lang w:eastAsia="ko-KR"/>
              </w:rPr>
              <w:t xml:space="preserve"> A striking pattern emerged: NC exhibited the largest VR reactivity (~42 dB across all bands), AD showed intermediate reactivity (~19 dB), and MCI showed the smallest reactivity (~11 dB). This non-monotonic pattern (NC &gt; AD &gt; MCI) suggests that MCI participants may exhibit attenuated VR engagement prior to the overt disconnection seen in AD, a finding consistent with compensatory load theory.</w:t>
            </w:r>
          </w:p>
        </w:tc>
      </w:tr>
      <w:tr w:rsidR="00C74F3C" w:rsidRPr="00C74F3C" w14:paraId="6E8626C9" w14:textId="77777777" w:rsidTr="002617CB">
        <w:trPr>
          <w:trHeight w:val="1098"/>
        </w:trPr>
        <w:tc>
          <w:tcPr>
            <w:tcW w:w="9067" w:type="dxa"/>
          </w:tcPr>
          <w:p w14:paraId="64E98AFE" w14:textId="77777777" w:rsidR="00D625FE" w:rsidRPr="00C74F3C" w:rsidRDefault="00C74F3C" w:rsidP="00C74F3C">
            <w:pPr>
              <w:rPr>
                <w:rFonts w:cs="Arial"/>
                <w:b/>
                <w:sz w:val="20"/>
                <w:szCs w:val="20"/>
                <w:lang w:eastAsia="ko-KR"/>
              </w:rPr>
            </w:pPr>
            <w:r w:rsidRPr="00C74F3C">
              <w:rPr>
                <w:rFonts w:cs="Arial"/>
                <w:noProof/>
                <w:sz w:val="20"/>
                <w:szCs w:val="20"/>
                <w:lang w:eastAsia="ko-KR"/>
              </w:rPr>
              <w:drawing>
                <wp:inline distT="0" distB="0" distL="0" distR="0" wp14:anchorId="584E8781" wp14:editId="3B55EBFA">
                  <wp:extent cx="5629849" cy="3096228"/>
                  <wp:effectExtent l="0" t="0" r="0" b="3175"/>
                  <wp:docPr id="51961072" name="그림 1" descr="라인, 그래프, 도표, 텍스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1072" name="그림 1" descr="라인, 그래프, 도표, 텍스트이(가) 표시된 사진&#10;&#10;AI 생성 콘텐츠는 정확하지 않을 수 있습니다."/>
                          <pic:cNvPicPr/>
                        </pic:nvPicPr>
                        <pic:blipFill>
                          <a:blip r:embed="rId15"/>
                          <a:stretch>
                            <a:fillRect/>
                          </a:stretch>
                        </pic:blipFill>
                        <pic:spPr>
                          <a:xfrm>
                            <a:off x="0" y="0"/>
                            <a:ext cx="5892647" cy="3240758"/>
                          </a:xfrm>
                          <a:prstGeom prst="rect">
                            <a:avLst/>
                          </a:prstGeom>
                        </pic:spPr>
                      </pic:pic>
                    </a:graphicData>
                  </a:graphic>
                </wp:inline>
              </w:drawing>
            </w:r>
          </w:p>
        </w:tc>
      </w:tr>
      <w:tr w:rsidR="00D625FE" w:rsidRPr="00C74F3C" w14:paraId="0893B9B9" w14:textId="77777777" w:rsidTr="002617CB">
        <w:trPr>
          <w:trHeight w:val="447"/>
        </w:trPr>
        <w:tc>
          <w:tcPr>
            <w:tcW w:w="9067" w:type="dxa"/>
          </w:tcPr>
          <w:p w14:paraId="2B8AD82B" w14:textId="77777777" w:rsidR="00D625FE" w:rsidRPr="00A03C6F" w:rsidRDefault="00D625FE" w:rsidP="00C74F3C">
            <w:pPr>
              <w:rPr>
                <w:rFonts w:cs="Arial"/>
                <w:sz w:val="18"/>
                <w:szCs w:val="18"/>
                <w:lang w:eastAsia="ko-KR"/>
              </w:rPr>
            </w:pPr>
            <w:r w:rsidRPr="00A03C6F">
              <w:rPr>
                <w:rFonts w:cs="Arial"/>
                <w:b/>
                <w:sz w:val="18"/>
                <w:szCs w:val="18"/>
                <w:lang w:eastAsia="ko-KR"/>
              </w:rPr>
              <w:t>(e) Spectral-Ratio (960 features).</w:t>
            </w:r>
            <w:r w:rsidRPr="00A03C6F">
              <w:rPr>
                <w:rFonts w:cs="Arial"/>
                <w:sz w:val="18"/>
                <w:szCs w:val="18"/>
                <w:lang w:eastAsia="ko-KR"/>
              </w:rPr>
              <w:t xml:space="preserve"> Five inter-band power ratios (α/θ, β/α, θ/β, high-β/low-β, slow/fast) were computed per channel × session. </w:t>
            </w:r>
          </w:p>
        </w:tc>
      </w:tr>
      <w:tr w:rsidR="0049685D" w:rsidRPr="00C74F3C" w14:paraId="4C6F5CBC" w14:textId="77777777" w:rsidTr="002617CB">
        <w:trPr>
          <w:trHeight w:val="446"/>
        </w:trPr>
        <w:tc>
          <w:tcPr>
            <w:tcW w:w="9067" w:type="dxa"/>
          </w:tcPr>
          <w:p w14:paraId="2648A85A" w14:textId="77777777" w:rsidR="0049685D" w:rsidRPr="00A03C6F" w:rsidRDefault="0049685D" w:rsidP="00C74F3C">
            <w:pPr>
              <w:rPr>
                <w:rFonts w:cs="Arial"/>
                <w:b/>
                <w:sz w:val="18"/>
                <w:szCs w:val="18"/>
                <w:lang w:eastAsia="ko-KR"/>
              </w:rPr>
            </w:pPr>
            <w:r w:rsidRPr="00A03C6F">
              <w:rPr>
                <w:rFonts w:cs="Arial"/>
                <w:b/>
                <w:bCs/>
                <w:sz w:val="18"/>
                <w:szCs w:val="18"/>
                <w:lang w:eastAsia="ko-KR"/>
              </w:rPr>
              <w:t>Supplementary Fig. S3h |</w:t>
            </w:r>
            <w:r w:rsidRPr="00A03C6F">
              <w:rPr>
                <w:rFonts w:cs="Arial"/>
                <w:sz w:val="18"/>
                <w:szCs w:val="18"/>
                <w:lang w:eastAsia="ko-KR"/>
              </w:rPr>
              <w:t xml:space="preserve"> Channel-wise group comparison during VR confirmed that the α/θ ratio was broadly lower and the θ/β ratio higher in AD, consistent with expected cortical slowing; however, all five ratios exhibited pronounced channel-to-channel </w:t>
            </w:r>
            <w:proofErr w:type="gramStart"/>
            <w:r w:rsidRPr="00A03C6F">
              <w:rPr>
                <w:rFonts w:cs="Arial"/>
                <w:sz w:val="18"/>
                <w:szCs w:val="18"/>
                <w:lang w:eastAsia="ko-KR"/>
              </w:rPr>
              <w:t>fluctuation</w:t>
            </w:r>
            <w:proofErr w:type="gramEnd"/>
            <w:r w:rsidRPr="00A03C6F">
              <w:rPr>
                <w:rFonts w:cs="Arial"/>
                <w:sz w:val="18"/>
                <w:szCs w:val="18"/>
                <w:lang w:eastAsia="ko-KR"/>
              </w:rPr>
              <w:t xml:space="preserve"> and the slow/fast ratio displayed extreme outlier spikes in isolated channels. This substantial within-group variance underscores why single-ratio indices alone are insufficient for robust group discrimination and motivates the multi-domain integration adopted here.</w:t>
            </w:r>
          </w:p>
        </w:tc>
      </w:tr>
    </w:tbl>
    <w:p w14:paraId="6745828B" w14:textId="77777777" w:rsidR="00C74F3C" w:rsidRPr="00CF5324" w:rsidRDefault="004C7C41" w:rsidP="002761C3">
      <w:pPr>
        <w:spacing w:line="480" w:lineRule="auto"/>
        <w:rPr>
          <w:rFonts w:cs="Arial"/>
          <w:color w:val="000000" w:themeColor="text1"/>
          <w:sz w:val="18"/>
          <w:szCs w:val="18"/>
          <w:lang w:eastAsia="ko-KR"/>
        </w:rPr>
      </w:pPr>
      <w:r>
        <w:rPr>
          <w:rFonts w:cs="Arial"/>
          <w:b/>
          <w:sz w:val="20"/>
          <w:szCs w:val="20"/>
          <w:lang w:eastAsia="ko-KR"/>
        </w:rPr>
        <w:br/>
      </w:r>
      <w:r w:rsidR="002761C3">
        <w:rPr>
          <w:rFonts w:cs="Arial"/>
          <w:b/>
          <w:bCs/>
          <w:color w:val="002060"/>
          <w:sz w:val="20"/>
          <w:szCs w:val="20"/>
          <w:lang w:eastAsia="ko-KR"/>
        </w:rPr>
        <w:br/>
      </w:r>
      <w:r w:rsidR="002761C3" w:rsidRPr="00CF5324">
        <w:rPr>
          <w:rFonts w:cs="Arial"/>
          <w:b/>
          <w:bCs/>
          <w:i/>
          <w:iCs/>
          <w:color w:val="002060"/>
          <w:sz w:val="20"/>
          <w:szCs w:val="20"/>
          <w:lang w:eastAsia="ko-KR"/>
        </w:rPr>
        <w:t>Supplementary Table S3 | Sensitivity analysis of PTE-driven graph metrics across edge-retention thresholds.</w:t>
      </w:r>
      <w:r w:rsidR="002761C3" w:rsidRPr="00CF5324">
        <w:rPr>
          <w:rFonts w:cs="Arial"/>
          <w:color w:val="000000" w:themeColor="text1"/>
          <w:sz w:val="20"/>
          <w:szCs w:val="20"/>
          <w:lang w:eastAsia="ko-KR"/>
        </w:rPr>
        <w:br/>
      </w:r>
      <w:r w:rsidR="002761C3" w:rsidRPr="00CF5324">
        <w:rPr>
          <w:rFonts w:cs="Arial"/>
          <w:color w:val="000000" w:themeColor="text1"/>
          <w:szCs w:val="18"/>
          <w:lang w:eastAsia="ko-KR"/>
        </w:rPr>
        <w:t xml:space="preserve">To evaluate whether group differences in graph-theoretic metrics were robust to network </w:t>
      </w:r>
      <w:proofErr w:type="spellStart"/>
      <w:r w:rsidR="002761C3" w:rsidRPr="00CF5324">
        <w:rPr>
          <w:rFonts w:cs="Arial"/>
          <w:color w:val="000000" w:themeColor="text1"/>
          <w:szCs w:val="18"/>
          <w:lang w:eastAsia="ko-KR"/>
        </w:rPr>
        <w:t>sparsification</w:t>
      </w:r>
      <w:proofErr w:type="spellEnd"/>
      <w:r w:rsidR="002761C3" w:rsidRPr="00CF5324">
        <w:rPr>
          <w:rFonts w:cs="Arial"/>
          <w:color w:val="000000" w:themeColor="text1"/>
          <w:szCs w:val="18"/>
          <w:lang w:eastAsia="ko-KR"/>
        </w:rPr>
        <w:t xml:space="preserve">, PTE-weighted directed graphs were </w:t>
      </w:r>
      <w:proofErr w:type="spellStart"/>
      <w:r w:rsidR="002761C3" w:rsidRPr="00CF5324">
        <w:rPr>
          <w:rFonts w:cs="Arial"/>
          <w:color w:val="000000" w:themeColor="text1"/>
          <w:szCs w:val="18"/>
          <w:lang w:eastAsia="ko-KR"/>
        </w:rPr>
        <w:t>thresholded</w:t>
      </w:r>
      <w:proofErr w:type="spellEnd"/>
      <w:r w:rsidR="002761C3" w:rsidRPr="00CF5324">
        <w:rPr>
          <w:rFonts w:cs="Arial"/>
          <w:color w:val="000000" w:themeColor="text1"/>
          <w:szCs w:val="18"/>
          <w:lang w:eastAsia="ko-KR"/>
        </w:rPr>
        <w:t xml:space="preserve"> at 20% and 30% edge retention and 12 metrics were recomputed for each condition (averaged across 7 frequency bands × 3 temporal phases). The </w:t>
      </w:r>
      <w:proofErr w:type="gramStart"/>
      <w:r w:rsidR="002761C3" w:rsidRPr="00CF5324">
        <w:rPr>
          <w:rFonts w:cs="Arial"/>
          <w:color w:val="000000" w:themeColor="text1"/>
          <w:szCs w:val="18"/>
          <w:lang w:eastAsia="ko-KR"/>
        </w:rPr>
        <w:t>top-5</w:t>
      </w:r>
      <w:proofErr w:type="gramEnd"/>
      <w:r w:rsidR="002761C3" w:rsidRPr="00CF5324">
        <w:rPr>
          <w:rFonts w:cs="Arial"/>
          <w:color w:val="000000" w:themeColor="text1"/>
          <w:szCs w:val="18"/>
          <w:lang w:eastAsia="ko-KR"/>
        </w:rPr>
        <w:t xml:space="preserve"> metric × threshold combinations, ranked by one-way ANOVA F-statistic, are shown below. Only Transitivity, Modularity, and Participation coefficient exhibited consistent group separation, with MCI showing the highest values </w:t>
      </w:r>
      <w:r w:rsidR="002761C3" w:rsidRPr="00CF5324">
        <w:rPr>
          <w:rFonts w:cs="Arial"/>
          <w:color w:val="000000" w:themeColor="text1"/>
          <w:szCs w:val="18"/>
          <w:lang w:eastAsia="ko-KR"/>
        </w:rPr>
        <w:lastRenderedPageBreak/>
        <w:t xml:space="preserve">across both thresholds—a pattern that motivated the subsequent ML-based </w:t>
      </w:r>
      <w:proofErr w:type="spellStart"/>
      <w:r w:rsidR="002761C3" w:rsidRPr="00CF5324">
        <w:rPr>
          <w:rFonts w:cs="Arial"/>
          <w:color w:val="000000" w:themeColor="text1"/>
          <w:szCs w:val="18"/>
          <w:lang w:eastAsia="ko-KR"/>
        </w:rPr>
        <w:t>hub_score</w:t>
      </w:r>
      <w:proofErr w:type="spellEnd"/>
      <w:r w:rsidR="002761C3" w:rsidRPr="00CF5324">
        <w:rPr>
          <w:rFonts w:cs="Arial"/>
          <w:color w:val="000000" w:themeColor="text1"/>
          <w:szCs w:val="18"/>
          <w:lang w:eastAsia="ko-KR"/>
        </w:rPr>
        <w:t xml:space="preserve"> derivation (see Supplementary Note 1a).</w:t>
      </w:r>
    </w:p>
    <w:tbl>
      <w:tblPr>
        <w:tblStyle w:val="aa"/>
        <w:tblW w:w="0" w:type="auto"/>
        <w:tblLook w:val="04A0" w:firstRow="1" w:lastRow="0" w:firstColumn="1" w:lastColumn="0" w:noHBand="0" w:noVBand="1"/>
      </w:tblPr>
      <w:tblGrid>
        <w:gridCol w:w="801"/>
        <w:gridCol w:w="2423"/>
        <w:gridCol w:w="1616"/>
        <w:gridCol w:w="1454"/>
        <w:gridCol w:w="1131"/>
      </w:tblGrid>
      <w:tr w:rsidR="002761C3" w14:paraId="2946FF7E" w14:textId="77777777" w:rsidTr="001B4E29">
        <w:trPr>
          <w:trHeight w:val="229"/>
        </w:trPr>
        <w:tc>
          <w:tcPr>
            <w:tcW w:w="801" w:type="dxa"/>
            <w:shd w:val="clear" w:color="auto" w:fill="CAEDFB" w:themeFill="accent4" w:themeFillTint="33"/>
          </w:tcPr>
          <w:p w14:paraId="70ADFE10" w14:textId="77777777" w:rsidR="002761C3" w:rsidRPr="001B4E29" w:rsidRDefault="001B4E29" w:rsidP="001B4E29">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pacing w:line="240" w:lineRule="auto"/>
              <w:jc w:val="center"/>
              <w:rPr>
                <w:rFonts w:cs="Arial"/>
                <w:b/>
                <w:bCs/>
                <w:color w:val="000000" w:themeColor="text1"/>
                <w:sz w:val="18"/>
                <w:szCs w:val="18"/>
                <w:lang w:eastAsia="ko-KR"/>
              </w:rPr>
            </w:pPr>
            <w:r>
              <w:rPr>
                <w:rFonts w:cs="Arial"/>
                <w:b/>
                <w:bCs/>
                <w:color w:val="000000" w:themeColor="text1"/>
                <w:sz w:val="18"/>
                <w:szCs w:val="18"/>
                <w:lang w:eastAsia="ko-KR"/>
              </w:rPr>
              <w:t xml:space="preserve">                      </w:t>
            </w:r>
            <w:r w:rsidR="002761C3" w:rsidRPr="001B4E29">
              <w:rPr>
                <w:rFonts w:cs="Arial"/>
                <w:b/>
                <w:bCs/>
                <w:color w:val="000000" w:themeColor="text1"/>
                <w:sz w:val="18"/>
                <w:szCs w:val="18"/>
                <w:lang w:eastAsia="ko-KR"/>
              </w:rPr>
              <w:t>Rank</w:t>
            </w:r>
          </w:p>
        </w:tc>
        <w:tc>
          <w:tcPr>
            <w:tcW w:w="2423" w:type="dxa"/>
            <w:shd w:val="clear" w:color="auto" w:fill="CAEDFB" w:themeFill="accent4" w:themeFillTint="33"/>
          </w:tcPr>
          <w:p w14:paraId="5DF89768"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Metric</w:t>
            </w:r>
          </w:p>
        </w:tc>
        <w:tc>
          <w:tcPr>
            <w:tcW w:w="1616" w:type="dxa"/>
            <w:shd w:val="clear" w:color="auto" w:fill="CAEDFB" w:themeFill="accent4" w:themeFillTint="33"/>
          </w:tcPr>
          <w:p w14:paraId="24D56AB1"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Threshold</w:t>
            </w:r>
          </w:p>
        </w:tc>
        <w:tc>
          <w:tcPr>
            <w:tcW w:w="1454" w:type="dxa"/>
            <w:shd w:val="clear" w:color="auto" w:fill="CAEDFB" w:themeFill="accent4" w:themeFillTint="33"/>
          </w:tcPr>
          <w:p w14:paraId="2A6AD015"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F</w:t>
            </w:r>
          </w:p>
        </w:tc>
        <w:tc>
          <w:tcPr>
            <w:tcW w:w="1131" w:type="dxa"/>
            <w:shd w:val="clear" w:color="auto" w:fill="CAEDFB" w:themeFill="accent4" w:themeFillTint="33"/>
          </w:tcPr>
          <w:p w14:paraId="5EBD8FEA"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p</w:t>
            </w:r>
          </w:p>
        </w:tc>
      </w:tr>
      <w:tr w:rsidR="002761C3" w14:paraId="552107DD" w14:textId="77777777" w:rsidTr="001B4E29">
        <w:trPr>
          <w:trHeight w:val="408"/>
        </w:trPr>
        <w:tc>
          <w:tcPr>
            <w:tcW w:w="801" w:type="dxa"/>
            <w:shd w:val="clear" w:color="auto" w:fill="CAEDFB" w:themeFill="accent4" w:themeFillTint="33"/>
          </w:tcPr>
          <w:p w14:paraId="23C44570"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1</w:t>
            </w:r>
          </w:p>
        </w:tc>
        <w:tc>
          <w:tcPr>
            <w:tcW w:w="2423" w:type="dxa"/>
          </w:tcPr>
          <w:p w14:paraId="3BA8AA29"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sz w:val="18"/>
                <w:szCs w:val="18"/>
                <w:lang w:eastAsia="ko-KR"/>
                <w14:ligatures w14:val="standardContextual"/>
              </w:rPr>
              <w:t>Transitivity</w:t>
            </w:r>
          </w:p>
        </w:tc>
        <w:tc>
          <w:tcPr>
            <w:tcW w:w="1616" w:type="dxa"/>
          </w:tcPr>
          <w:p w14:paraId="5094C3E1"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30%</w:t>
            </w:r>
          </w:p>
        </w:tc>
        <w:tc>
          <w:tcPr>
            <w:tcW w:w="1454" w:type="dxa"/>
          </w:tcPr>
          <w:p w14:paraId="762B7889"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2.41</w:t>
            </w:r>
          </w:p>
        </w:tc>
        <w:tc>
          <w:tcPr>
            <w:tcW w:w="1131" w:type="dxa"/>
          </w:tcPr>
          <w:p w14:paraId="7CBC0BE3"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0.105</w:t>
            </w:r>
          </w:p>
        </w:tc>
      </w:tr>
      <w:tr w:rsidR="002761C3" w14:paraId="2FCE9F81" w14:textId="77777777" w:rsidTr="001B4E29">
        <w:trPr>
          <w:trHeight w:val="415"/>
        </w:trPr>
        <w:tc>
          <w:tcPr>
            <w:tcW w:w="801" w:type="dxa"/>
            <w:shd w:val="clear" w:color="auto" w:fill="CAEDFB" w:themeFill="accent4" w:themeFillTint="33"/>
          </w:tcPr>
          <w:p w14:paraId="6F3781A0"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2</w:t>
            </w:r>
          </w:p>
        </w:tc>
        <w:tc>
          <w:tcPr>
            <w:tcW w:w="2423" w:type="dxa"/>
          </w:tcPr>
          <w:p w14:paraId="3F74B6E2"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sz w:val="18"/>
                <w:szCs w:val="18"/>
                <w:lang w:eastAsia="ko-KR"/>
                <w14:ligatures w14:val="standardContextual"/>
              </w:rPr>
              <w:t>Modularity</w:t>
            </w:r>
          </w:p>
        </w:tc>
        <w:tc>
          <w:tcPr>
            <w:tcW w:w="1616" w:type="dxa"/>
          </w:tcPr>
          <w:p w14:paraId="7B98DB2F"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20%</w:t>
            </w:r>
          </w:p>
        </w:tc>
        <w:tc>
          <w:tcPr>
            <w:tcW w:w="1454" w:type="dxa"/>
          </w:tcPr>
          <w:p w14:paraId="321D872C"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2.29</w:t>
            </w:r>
          </w:p>
        </w:tc>
        <w:tc>
          <w:tcPr>
            <w:tcW w:w="1131" w:type="dxa"/>
          </w:tcPr>
          <w:p w14:paraId="31D76872"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0.116</w:t>
            </w:r>
          </w:p>
        </w:tc>
      </w:tr>
      <w:tr w:rsidR="002761C3" w14:paraId="52413685" w14:textId="77777777" w:rsidTr="001B4E29">
        <w:trPr>
          <w:trHeight w:val="408"/>
        </w:trPr>
        <w:tc>
          <w:tcPr>
            <w:tcW w:w="801" w:type="dxa"/>
            <w:shd w:val="clear" w:color="auto" w:fill="CAEDFB" w:themeFill="accent4" w:themeFillTint="33"/>
          </w:tcPr>
          <w:p w14:paraId="24C9D349"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3</w:t>
            </w:r>
          </w:p>
        </w:tc>
        <w:tc>
          <w:tcPr>
            <w:tcW w:w="2423" w:type="dxa"/>
          </w:tcPr>
          <w:p w14:paraId="6DBB4C91"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sz w:val="18"/>
                <w:szCs w:val="18"/>
                <w:lang w:eastAsia="ko-KR"/>
                <w14:ligatures w14:val="standardContextual"/>
              </w:rPr>
              <w:t>Participation</w:t>
            </w:r>
          </w:p>
        </w:tc>
        <w:tc>
          <w:tcPr>
            <w:tcW w:w="1616" w:type="dxa"/>
          </w:tcPr>
          <w:p w14:paraId="45754798"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30%</w:t>
            </w:r>
          </w:p>
        </w:tc>
        <w:tc>
          <w:tcPr>
            <w:tcW w:w="1454" w:type="dxa"/>
          </w:tcPr>
          <w:p w14:paraId="3F4861DE"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2.19</w:t>
            </w:r>
          </w:p>
        </w:tc>
        <w:tc>
          <w:tcPr>
            <w:tcW w:w="1131" w:type="dxa"/>
          </w:tcPr>
          <w:p w14:paraId="56DF5EB5"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0.128</w:t>
            </w:r>
          </w:p>
        </w:tc>
      </w:tr>
      <w:tr w:rsidR="002761C3" w14:paraId="46A32D39" w14:textId="77777777" w:rsidTr="001B4E29">
        <w:trPr>
          <w:trHeight w:val="408"/>
        </w:trPr>
        <w:tc>
          <w:tcPr>
            <w:tcW w:w="801" w:type="dxa"/>
            <w:shd w:val="clear" w:color="auto" w:fill="CAEDFB" w:themeFill="accent4" w:themeFillTint="33"/>
          </w:tcPr>
          <w:p w14:paraId="2AD57452" w14:textId="77777777" w:rsidR="002761C3" w:rsidRPr="001B4E29" w:rsidRDefault="002761C3" w:rsidP="001B4E29">
            <w:pPr>
              <w:spacing w:line="240" w:lineRule="auto"/>
              <w:jc w:val="center"/>
              <w:rPr>
                <w:rFonts w:cs="Arial"/>
                <w:b/>
                <w:bCs/>
                <w:color w:val="000000" w:themeColor="text1"/>
                <w:sz w:val="18"/>
                <w:szCs w:val="18"/>
                <w:lang w:eastAsia="ko-KR"/>
              </w:rPr>
            </w:pPr>
            <w:r w:rsidRPr="001B4E29">
              <w:rPr>
                <w:rFonts w:cs="Arial"/>
                <w:b/>
                <w:bCs/>
                <w:color w:val="000000" w:themeColor="text1"/>
                <w:sz w:val="18"/>
                <w:szCs w:val="18"/>
                <w:lang w:eastAsia="ko-KR"/>
              </w:rPr>
              <w:t>4</w:t>
            </w:r>
          </w:p>
        </w:tc>
        <w:tc>
          <w:tcPr>
            <w:tcW w:w="2423" w:type="dxa"/>
          </w:tcPr>
          <w:p w14:paraId="59DC25C2"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sz w:val="18"/>
                <w:szCs w:val="18"/>
                <w:lang w:eastAsia="ko-KR"/>
                <w14:ligatures w14:val="standardContextual"/>
              </w:rPr>
              <w:t>Participation</w:t>
            </w:r>
          </w:p>
        </w:tc>
        <w:tc>
          <w:tcPr>
            <w:tcW w:w="1616" w:type="dxa"/>
          </w:tcPr>
          <w:p w14:paraId="6DA1779D"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20%</w:t>
            </w:r>
          </w:p>
        </w:tc>
        <w:tc>
          <w:tcPr>
            <w:tcW w:w="1454" w:type="dxa"/>
          </w:tcPr>
          <w:p w14:paraId="6676B0B4"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2.00</w:t>
            </w:r>
          </w:p>
        </w:tc>
        <w:tc>
          <w:tcPr>
            <w:tcW w:w="1131" w:type="dxa"/>
          </w:tcPr>
          <w:p w14:paraId="7265CE2B" w14:textId="77777777" w:rsidR="002761C3" w:rsidRPr="001B4E29" w:rsidRDefault="001B4E29" w:rsidP="001B4E29">
            <w:pPr>
              <w:spacing w:line="240" w:lineRule="auto"/>
              <w:jc w:val="center"/>
              <w:rPr>
                <w:rFonts w:cs="Arial"/>
                <w:color w:val="000000" w:themeColor="text1"/>
                <w:sz w:val="18"/>
                <w:szCs w:val="18"/>
                <w:lang w:eastAsia="ko-KR"/>
              </w:rPr>
            </w:pPr>
            <w:r w:rsidRPr="001B4E29">
              <w:rPr>
                <w:rFonts w:cs="Arial"/>
                <w:color w:val="000000" w:themeColor="text1"/>
                <w:sz w:val="18"/>
                <w:szCs w:val="18"/>
                <w:lang w:eastAsia="ko-KR"/>
              </w:rPr>
              <w:t>0.151</w:t>
            </w:r>
          </w:p>
        </w:tc>
      </w:tr>
      <w:tr w:rsidR="002761C3" w14:paraId="02F90519" w14:textId="77777777" w:rsidTr="001B4E29">
        <w:trPr>
          <w:trHeight w:val="415"/>
        </w:trPr>
        <w:tc>
          <w:tcPr>
            <w:tcW w:w="801" w:type="dxa"/>
            <w:shd w:val="clear" w:color="auto" w:fill="CAEDFB" w:themeFill="accent4" w:themeFillTint="33"/>
          </w:tcPr>
          <w:p w14:paraId="7D0AC93B" w14:textId="77777777" w:rsidR="002761C3" w:rsidRPr="001B4E29" w:rsidRDefault="002761C3" w:rsidP="001B4E29">
            <w:pPr>
              <w:jc w:val="center"/>
              <w:rPr>
                <w:rFonts w:cs="Arial"/>
                <w:b/>
                <w:bCs/>
                <w:color w:val="000000" w:themeColor="text1"/>
                <w:sz w:val="18"/>
                <w:szCs w:val="18"/>
                <w:lang w:eastAsia="ko-KR"/>
              </w:rPr>
            </w:pPr>
            <w:r w:rsidRPr="001B4E29">
              <w:rPr>
                <w:rFonts w:cs="Arial"/>
                <w:b/>
                <w:bCs/>
                <w:color w:val="000000" w:themeColor="text1"/>
                <w:sz w:val="18"/>
                <w:szCs w:val="18"/>
                <w:lang w:eastAsia="ko-KR"/>
              </w:rPr>
              <w:t>5</w:t>
            </w:r>
          </w:p>
        </w:tc>
        <w:tc>
          <w:tcPr>
            <w:tcW w:w="2423" w:type="dxa"/>
          </w:tcPr>
          <w:p w14:paraId="21D6E15C" w14:textId="77777777" w:rsidR="002761C3" w:rsidRPr="001B4E29" w:rsidRDefault="001B4E29" w:rsidP="001B4E29">
            <w:pPr>
              <w:jc w:val="center"/>
              <w:rPr>
                <w:rFonts w:cs="Arial"/>
                <w:color w:val="000000" w:themeColor="text1"/>
                <w:sz w:val="18"/>
                <w:szCs w:val="18"/>
                <w:lang w:eastAsia="ko-KR"/>
              </w:rPr>
            </w:pPr>
            <w:r w:rsidRPr="001B4E29">
              <w:rPr>
                <w:rFonts w:cs="Arial"/>
                <w:color w:val="000000"/>
                <w:sz w:val="18"/>
                <w:szCs w:val="18"/>
                <w:lang w:eastAsia="ko-KR"/>
                <w14:ligatures w14:val="standardContextual"/>
              </w:rPr>
              <w:t>Transitivity</w:t>
            </w:r>
          </w:p>
        </w:tc>
        <w:tc>
          <w:tcPr>
            <w:tcW w:w="1616" w:type="dxa"/>
          </w:tcPr>
          <w:p w14:paraId="4B9042BD" w14:textId="77777777" w:rsidR="002761C3" w:rsidRPr="001B4E29" w:rsidRDefault="001B4E29" w:rsidP="001B4E29">
            <w:pPr>
              <w:jc w:val="center"/>
              <w:rPr>
                <w:rFonts w:cs="Arial"/>
                <w:color w:val="000000" w:themeColor="text1"/>
                <w:sz w:val="18"/>
                <w:szCs w:val="18"/>
                <w:lang w:eastAsia="ko-KR"/>
              </w:rPr>
            </w:pPr>
            <w:r w:rsidRPr="001B4E29">
              <w:rPr>
                <w:rFonts w:cs="Arial"/>
                <w:color w:val="000000" w:themeColor="text1"/>
                <w:sz w:val="18"/>
                <w:szCs w:val="18"/>
                <w:lang w:eastAsia="ko-KR"/>
              </w:rPr>
              <w:t>20%</w:t>
            </w:r>
          </w:p>
        </w:tc>
        <w:tc>
          <w:tcPr>
            <w:tcW w:w="1454" w:type="dxa"/>
          </w:tcPr>
          <w:p w14:paraId="785D2EF7" w14:textId="77777777" w:rsidR="002761C3" w:rsidRPr="001B4E29" w:rsidRDefault="001B4E29" w:rsidP="001B4E29">
            <w:pPr>
              <w:jc w:val="center"/>
              <w:rPr>
                <w:rFonts w:cs="Arial"/>
                <w:color w:val="000000" w:themeColor="text1"/>
                <w:sz w:val="18"/>
                <w:szCs w:val="18"/>
                <w:lang w:eastAsia="ko-KR"/>
              </w:rPr>
            </w:pPr>
            <w:r w:rsidRPr="001B4E29">
              <w:rPr>
                <w:rFonts w:cs="Arial"/>
                <w:color w:val="000000" w:themeColor="text1"/>
                <w:sz w:val="18"/>
                <w:szCs w:val="18"/>
                <w:lang w:eastAsia="ko-KR"/>
              </w:rPr>
              <w:t>1.67</w:t>
            </w:r>
          </w:p>
        </w:tc>
        <w:tc>
          <w:tcPr>
            <w:tcW w:w="1131" w:type="dxa"/>
          </w:tcPr>
          <w:p w14:paraId="29DF9F8F" w14:textId="77777777" w:rsidR="002761C3" w:rsidRPr="001B4E29" w:rsidRDefault="001B4E29" w:rsidP="001B4E29">
            <w:pPr>
              <w:jc w:val="center"/>
              <w:rPr>
                <w:rFonts w:cs="Arial"/>
                <w:color w:val="000000" w:themeColor="text1"/>
                <w:sz w:val="18"/>
                <w:szCs w:val="18"/>
                <w:lang w:eastAsia="ko-KR"/>
              </w:rPr>
            </w:pPr>
            <w:r w:rsidRPr="001B4E29">
              <w:rPr>
                <w:rFonts w:cs="Arial"/>
                <w:color w:val="000000" w:themeColor="text1"/>
                <w:sz w:val="18"/>
                <w:szCs w:val="18"/>
                <w:lang w:eastAsia="ko-KR"/>
              </w:rPr>
              <w:t>0.203</w:t>
            </w:r>
          </w:p>
        </w:tc>
      </w:tr>
    </w:tbl>
    <w:p w14:paraId="264542E3" w14:textId="77777777" w:rsidR="002761C3" w:rsidRPr="002761C3" w:rsidRDefault="002761C3" w:rsidP="002761C3">
      <w:pPr>
        <w:rPr>
          <w:rFonts w:cs="Arial"/>
          <w:color w:val="000000" w:themeColor="text1"/>
          <w:sz w:val="20"/>
          <w:szCs w:val="20"/>
          <w:lang w:eastAsia="ko-KR"/>
        </w:rPr>
      </w:pPr>
    </w:p>
    <w:p w14:paraId="4A23B7C9" w14:textId="77777777" w:rsidR="00C74F3C" w:rsidRPr="00C74F3C" w:rsidRDefault="00C74F3C" w:rsidP="00C74F3C">
      <w:pPr>
        <w:spacing w:line="480" w:lineRule="auto"/>
        <w:rPr>
          <w:rFonts w:cs="Arial"/>
          <w:b/>
          <w:i/>
          <w:iCs/>
          <w:color w:val="002060"/>
          <w:sz w:val="20"/>
          <w:szCs w:val="20"/>
          <w:lang w:eastAsia="ko-KR"/>
        </w:rPr>
      </w:pPr>
      <w:bookmarkStart w:id="0" w:name="supplementary_note_2"/>
      <w:r w:rsidRPr="00C74F3C">
        <w:rPr>
          <w:rFonts w:cs="Arial"/>
          <w:b/>
          <w:i/>
          <w:iCs/>
          <w:color w:val="002060"/>
          <w:sz w:val="20"/>
          <w:szCs w:val="20"/>
          <w:lang w:eastAsia="ko-KR"/>
        </w:rPr>
        <w:t>Supplementary Note 2</w:t>
      </w:r>
      <w:bookmarkEnd w:id="0"/>
    </w:p>
    <w:p w14:paraId="574E8923" w14:textId="77777777" w:rsidR="00ED76E5" w:rsidRPr="00A70E2E" w:rsidRDefault="00C74F3C" w:rsidP="00C74F3C">
      <w:pPr>
        <w:spacing w:line="480" w:lineRule="auto"/>
        <w:rPr>
          <w:rFonts w:cs="Arial"/>
          <w:color w:val="000000" w:themeColor="text1"/>
          <w:sz w:val="18"/>
          <w:szCs w:val="18"/>
          <w:lang w:eastAsia="ko-KR"/>
        </w:rPr>
      </w:pPr>
      <w:r w:rsidRPr="00C74F3C">
        <w:rPr>
          <w:rFonts w:cs="Arial"/>
          <w:b/>
          <w:i/>
          <w:iCs/>
          <w:color w:val="002060"/>
          <w:sz w:val="20"/>
          <w:szCs w:val="20"/>
          <w:lang w:eastAsia="ko-KR"/>
        </w:rPr>
        <w:t>Supplementary Note 2 | Limitations of conventional statistical biomarker discovery and rationale for multi-model ML classification</w:t>
      </w:r>
      <w:r w:rsidR="00A70E2E">
        <w:rPr>
          <w:rFonts w:cs="Arial" w:hint="eastAsia"/>
          <w:b/>
          <w:i/>
          <w:iCs/>
          <w:color w:val="002060"/>
          <w:sz w:val="20"/>
          <w:szCs w:val="20"/>
          <w:lang w:eastAsia="ko-KR"/>
        </w:rPr>
        <w:t xml:space="preserve"> </w:t>
      </w:r>
      <w:r w:rsidR="00A70E2E">
        <w:rPr>
          <w:rFonts w:cs="Arial"/>
          <w:b/>
          <w:i/>
          <w:iCs/>
          <w:color w:val="002060"/>
          <w:sz w:val="20"/>
          <w:szCs w:val="20"/>
          <w:lang w:eastAsia="ko-KR"/>
        </w:rPr>
        <w:br/>
      </w:r>
      <w:r w:rsidR="00ED76E5" w:rsidRPr="00A70E2E">
        <w:rPr>
          <w:rFonts w:cs="Arial"/>
          <w:color w:val="000000" w:themeColor="text1"/>
          <w:szCs w:val="18"/>
          <w:lang w:eastAsia="ko-KR"/>
        </w:rPr>
        <w:t>Conventional univariate and multivariate statistical approaches (Kruskal–Wallis H-test with Bonferroni correction, Dunn's post-hoc pairwise comparisons) were initially applied to the full 16,892-feature space to identify candidate biomarkers through traditional hypothesis testing. This exploratory analysis identified 201 features with nominally significant group differences, which were ranked by −log</w:t>
      </w:r>
      <w:r w:rsidR="00ED76E5" w:rsidRPr="00A70E2E">
        <w:rPr>
          <w:rFonts w:ascii="Cambria Math" w:hAnsi="Cambria Math" w:cs="Cambria Math"/>
          <w:color w:val="000000" w:themeColor="text1"/>
          <w:szCs w:val="18"/>
          <w:lang w:eastAsia="ko-KR"/>
        </w:rPr>
        <w:t>₁₀</w:t>
      </w:r>
      <w:r w:rsidR="00ED76E5" w:rsidRPr="00A70E2E">
        <w:rPr>
          <w:rFonts w:cs="Arial"/>
          <w:color w:val="000000" w:themeColor="text1"/>
          <w:szCs w:val="18"/>
          <w:lang w:eastAsia="ko-KR"/>
        </w:rPr>
        <w:t xml:space="preserve">(p-value) to produce a preliminary </w:t>
      </w:r>
      <w:proofErr w:type="gramStart"/>
      <w:r w:rsidR="00ED76E5" w:rsidRPr="00A70E2E">
        <w:rPr>
          <w:rFonts w:cs="Arial"/>
          <w:color w:val="000000" w:themeColor="text1"/>
          <w:szCs w:val="18"/>
          <w:lang w:eastAsia="ko-KR"/>
        </w:rPr>
        <w:t>Top-10</w:t>
      </w:r>
      <w:proofErr w:type="gramEnd"/>
      <w:r w:rsidR="00ED76E5" w:rsidRPr="00A70E2E">
        <w:rPr>
          <w:rFonts w:cs="Arial"/>
          <w:color w:val="000000" w:themeColor="text1"/>
          <w:szCs w:val="18"/>
          <w:lang w:eastAsia="ko-KR"/>
        </w:rPr>
        <w:t xml:space="preserve"> panel (Supplementary Fig. S4). This statistical ranking was dominated by Statistical (kurtosis) and Spectral-Ratio features</w:t>
      </w:r>
      <w:r w:rsidR="008817D6" w:rsidRPr="00A70E2E">
        <w:rPr>
          <w:rFonts w:cs="Arial"/>
          <w:color w:val="000000" w:themeColor="text1"/>
          <w:szCs w:val="18"/>
          <w:lang w:eastAsia="ko-KR"/>
        </w:rPr>
        <w:t xml:space="preserve"> </w:t>
      </w:r>
      <w:r w:rsidR="00ED76E5" w:rsidRPr="00A70E2E">
        <w:rPr>
          <w:rFonts w:cs="Arial"/>
          <w:color w:val="000000" w:themeColor="text1"/>
          <w:szCs w:val="18"/>
          <w:lang w:eastAsia="ko-KR"/>
        </w:rPr>
        <w:t xml:space="preserve">(α/θ), whereas Information Theory/PTE—which ultimately contributed 7 of the 11 final validated biomarkers including the top-ranked C5 γ </w:t>
      </w:r>
      <w:proofErr w:type="spellStart"/>
      <w:r w:rsidR="00ED76E5" w:rsidRPr="00A70E2E">
        <w:rPr>
          <w:rFonts w:cs="Arial"/>
          <w:color w:val="000000" w:themeColor="text1"/>
          <w:szCs w:val="18"/>
          <w:lang w:eastAsia="ko-KR"/>
        </w:rPr>
        <w:t>hub_score</w:t>
      </w:r>
      <w:proofErr w:type="spellEnd"/>
      <w:r w:rsidR="00ED76E5" w:rsidRPr="00A70E2E">
        <w:rPr>
          <w:rFonts w:cs="Arial"/>
          <w:color w:val="000000" w:themeColor="text1"/>
          <w:szCs w:val="18"/>
          <w:lang w:eastAsia="ko-KR"/>
        </w:rPr>
        <w:t xml:space="preserve"> (Rank 1)—was substantially underrepresented, and Graph Theory features, despite comprising the largest share of nominally significant candidates (42.8%; Supplementary Fig. S4a), produced none of the final biomarkers. </w:t>
      </w:r>
    </w:p>
    <w:p w14:paraId="7AEFEBDD" w14:textId="77777777" w:rsidR="00C74F3C" w:rsidRPr="00A70E2E" w:rsidRDefault="00C74F3C" w:rsidP="00C74F3C">
      <w:pPr>
        <w:spacing w:line="480" w:lineRule="auto"/>
        <w:rPr>
          <w:rFonts w:cs="Arial"/>
          <w:color w:val="000000" w:themeColor="text1"/>
          <w:sz w:val="18"/>
          <w:szCs w:val="18"/>
          <w:lang w:eastAsia="ko-KR"/>
        </w:rPr>
      </w:pPr>
      <w:r w:rsidRPr="00A70E2E">
        <w:rPr>
          <w:rFonts w:cs="Arial"/>
          <w:color w:val="000000" w:themeColor="text1"/>
          <w:szCs w:val="18"/>
          <w:lang w:eastAsia="ko-KR"/>
        </w:rPr>
        <w:t>However, three fundamental limitations of this conventional approach became apparent:</w:t>
      </w:r>
    </w:p>
    <w:p w14:paraId="6138698E" w14:textId="77777777" w:rsidR="00C74F3C" w:rsidRPr="00A70E2E" w:rsidRDefault="00C74F3C" w:rsidP="00C74F3C">
      <w:pPr>
        <w:spacing w:line="480" w:lineRule="auto"/>
        <w:rPr>
          <w:rFonts w:cs="Arial"/>
          <w:color w:val="000000" w:themeColor="text1"/>
          <w:sz w:val="18"/>
          <w:szCs w:val="18"/>
          <w:lang w:eastAsia="ko-KR"/>
        </w:rPr>
      </w:pPr>
      <w:r w:rsidRPr="00A70E2E">
        <w:rPr>
          <w:rFonts w:cs="Arial"/>
          <w:b/>
          <w:color w:val="000000" w:themeColor="text1"/>
          <w:szCs w:val="18"/>
          <w:lang w:eastAsia="ko-KR"/>
        </w:rPr>
        <w:t>First, univariate insensitivity to feature interactions.</w:t>
      </w:r>
      <w:r w:rsidR="009B3840" w:rsidRPr="00A70E2E">
        <w:rPr>
          <w:rFonts w:cs="Arial"/>
          <w:color w:val="000000" w:themeColor="text1"/>
          <w:szCs w:val="18"/>
          <w:lang w:eastAsia="ko-KR"/>
        </w:rPr>
        <w:t xml:space="preserve"> Each statistical test evaluates features independently, ignoring combinatorial patterns across channels, bands, and domains that jointly discriminate AD, MCI, and NC. For example, the Graph Theory domain's </w:t>
      </w:r>
      <w:r w:rsidR="009B3840" w:rsidRPr="00A70E2E">
        <w:rPr>
          <w:rFonts w:cs="Arial"/>
          <w:color w:val="000000" w:themeColor="text1"/>
          <w:szCs w:val="18"/>
          <w:lang w:eastAsia="ko-KR"/>
        </w:rPr>
        <w:lastRenderedPageBreak/>
        <w:t xml:space="preserve">global metrics exhibited ceiling or floor effects with no inter-group variability (Supplementary Fig. S3a), yet its clustering coefficient, when combined with PTE-derived </w:t>
      </w:r>
      <w:proofErr w:type="spellStart"/>
      <w:r w:rsidR="009B3840" w:rsidRPr="00A70E2E">
        <w:rPr>
          <w:rFonts w:cs="Arial"/>
          <w:color w:val="000000" w:themeColor="text1"/>
          <w:szCs w:val="18"/>
          <w:lang w:eastAsia="ko-KR"/>
        </w:rPr>
        <w:t>hub_score</w:t>
      </w:r>
      <w:proofErr w:type="spellEnd"/>
      <w:r w:rsidR="009B3840" w:rsidRPr="00A70E2E">
        <w:rPr>
          <w:rFonts w:cs="Arial"/>
          <w:color w:val="000000" w:themeColor="text1"/>
          <w:szCs w:val="18"/>
          <w:lang w:eastAsia="ko-KR"/>
        </w:rPr>
        <w:t xml:space="preserve"> in a multivariate ML framework, contributed the single highest-ranked biomarker (C5 γ </w:t>
      </w:r>
      <w:proofErr w:type="spellStart"/>
      <w:r w:rsidR="009B3840" w:rsidRPr="00A70E2E">
        <w:rPr>
          <w:rFonts w:cs="Arial"/>
          <w:color w:val="000000" w:themeColor="text1"/>
          <w:szCs w:val="18"/>
          <w:lang w:eastAsia="ko-KR"/>
        </w:rPr>
        <w:t>hub_score</w:t>
      </w:r>
      <w:proofErr w:type="spellEnd"/>
      <w:r w:rsidR="009B3840" w:rsidRPr="00A70E2E">
        <w:rPr>
          <w:rFonts w:cs="Arial"/>
          <w:color w:val="000000" w:themeColor="text1"/>
          <w:szCs w:val="18"/>
          <w:lang w:eastAsia="ko-KR"/>
        </w:rPr>
        <w:t>).</w:t>
      </w:r>
    </w:p>
    <w:p w14:paraId="4C36588F" w14:textId="77777777" w:rsidR="00C74F3C" w:rsidRPr="00A70E2E" w:rsidRDefault="00C74F3C" w:rsidP="00C74F3C">
      <w:pPr>
        <w:spacing w:line="480" w:lineRule="auto"/>
        <w:rPr>
          <w:rFonts w:cs="Arial"/>
          <w:color w:val="000000" w:themeColor="text1"/>
          <w:sz w:val="18"/>
          <w:szCs w:val="18"/>
          <w:lang w:eastAsia="ko-KR"/>
        </w:rPr>
      </w:pPr>
      <w:r w:rsidRPr="00A70E2E">
        <w:rPr>
          <w:rFonts w:cs="Arial"/>
          <w:b/>
          <w:color w:val="000000" w:themeColor="text1"/>
          <w:szCs w:val="18"/>
          <w:lang w:eastAsia="ko-KR"/>
        </w:rPr>
        <w:t>Second, the multiple-comparisons burden.</w:t>
      </w:r>
      <w:r w:rsidRPr="00A70E2E">
        <w:rPr>
          <w:rFonts w:cs="Arial"/>
          <w:color w:val="000000" w:themeColor="text1"/>
          <w:szCs w:val="18"/>
          <w:lang w:eastAsia="ko-KR"/>
        </w:rPr>
        <w:t xml:space="preserve"> Testing 16,892 features under strict Bonferroni correction (α = 0.05/16,892 ≈ 3.0 × 10</w:t>
      </w:r>
      <w:r w:rsidRPr="00A70E2E">
        <w:rPr>
          <w:rFonts w:ascii="Cambria Math" w:hAnsi="Cambria Math" w:cs="Cambria Math"/>
          <w:color w:val="000000" w:themeColor="text1"/>
          <w:szCs w:val="18"/>
          <w:lang w:eastAsia="ko-KR"/>
        </w:rPr>
        <w:t>⁻</w:t>
      </w:r>
      <w:r w:rsidRPr="00A70E2E">
        <w:rPr>
          <w:rFonts w:cs="Arial"/>
          <w:color w:val="000000" w:themeColor="text1"/>
          <w:szCs w:val="18"/>
          <w:lang w:eastAsia="ko-KR"/>
        </w:rPr>
        <w:t>⁶) is overly conservative for an exploratory discovery study, risking false negatives for biologically meaningful signals with moderate effect sizes.</w:t>
      </w:r>
    </w:p>
    <w:p w14:paraId="5BF035F9" w14:textId="77777777" w:rsidR="00C74F3C" w:rsidRPr="00A70E2E" w:rsidRDefault="00C74F3C" w:rsidP="00C74F3C">
      <w:pPr>
        <w:spacing w:line="480" w:lineRule="auto"/>
        <w:rPr>
          <w:rFonts w:cs="Arial"/>
          <w:color w:val="000000" w:themeColor="text1"/>
          <w:sz w:val="18"/>
          <w:szCs w:val="18"/>
          <w:lang w:eastAsia="ko-KR"/>
        </w:rPr>
      </w:pPr>
      <w:r w:rsidRPr="00A70E2E">
        <w:rPr>
          <w:rFonts w:cs="Arial"/>
          <w:b/>
          <w:color w:val="000000" w:themeColor="text1"/>
          <w:szCs w:val="18"/>
          <w:lang w:eastAsia="ko-KR"/>
        </w:rPr>
        <w:t>Third, inability to model non-linear class boundaries.</w:t>
      </w:r>
      <w:r w:rsidRPr="00A70E2E">
        <w:rPr>
          <w:rFonts w:cs="Arial"/>
          <w:color w:val="000000" w:themeColor="text1"/>
          <w:szCs w:val="18"/>
          <w:lang w:eastAsia="ko-KR"/>
        </w:rPr>
        <w:t xml:space="preserve"> The three-class structure (AD/MCI/NC) with overlapping distributions—particularly the non-monotonic VR-reactivity pattern (NC &gt; AD &gt; MCI observed in the Dynamic domain)—requires non-linear decision boundaries that linear statistical tests cannot capture.</w:t>
      </w:r>
    </w:p>
    <w:p w14:paraId="29536B00" w14:textId="77777777" w:rsidR="00D625FE" w:rsidRPr="00A70E2E" w:rsidRDefault="00C74F3C" w:rsidP="00C74F3C">
      <w:pPr>
        <w:spacing w:line="480" w:lineRule="auto"/>
        <w:rPr>
          <w:rFonts w:cs="Arial"/>
          <w:color w:val="000000" w:themeColor="text1"/>
          <w:sz w:val="18"/>
          <w:szCs w:val="18"/>
          <w:lang w:eastAsia="ko-KR"/>
        </w:rPr>
      </w:pPr>
      <w:r>
        <w:t xml:space="preserve">These limitations motivated the transition to a six-model ML consensus pipeline (main text, "Six-model consensus pipeline"), where an SVM–RF composite ensemble with three-stage fold-independent filtration ultimately </w:t>
      </w:r>
      <w:r w:rsidRPr="0045655C">
        <w:rPr>
          <w:color w:val="000000" w:themeColor="text1"/>
        </w:rPr>
        <w:t xml:space="preserve">identified 11 candidate clinical EEG biomarkers with </w:t>
      </w:r>
      <w:r>
        <w:t xml:space="preserve">composite confidence ≥85%. The ML approach preserved the comprehensive feature space generated by the five-domain extraction while overcoming the statistical limitations described above, confirming that the multi-domain architecture served as a necessary foundation for ML-based biomarker discovery. </w:t>
      </w:r>
      <w:r>
        <w:br/>
      </w:r>
      <w:r>
        <w:br/>
        <w:t xml:space="preserve"> From a clinical standpoint, this transition from univariate statistical testing to multi-model ML consensus is essential for diagnostic biomarker development: the clinically most consequential finding—100% MCI recall with zero false negatives—emerges only in the ML pipeline and would have been missed by conventional univariate statistical screening alone.</w:t>
      </w:r>
    </w:p>
    <w:tbl>
      <w:tblPr>
        <w:tblStyle w:val="aa"/>
        <w:tblW w:w="0" w:type="auto"/>
        <w:tblLook w:val="04A0" w:firstRow="1" w:lastRow="0" w:firstColumn="1" w:lastColumn="0" w:noHBand="0" w:noVBand="1"/>
      </w:tblPr>
      <w:tblGrid>
        <w:gridCol w:w="4522"/>
        <w:gridCol w:w="4540"/>
      </w:tblGrid>
      <w:tr w:rsidR="00D625FE" w14:paraId="2F253FFC" w14:textId="77777777" w:rsidTr="00D625FE">
        <w:tc>
          <w:tcPr>
            <w:tcW w:w="9062" w:type="dxa"/>
            <w:gridSpan w:val="2"/>
          </w:tcPr>
          <w:p w14:paraId="003C94CE" w14:textId="77777777" w:rsidR="00D625FE" w:rsidRDefault="00D625FE" w:rsidP="00C74F3C">
            <w:pPr>
              <w:rPr>
                <w:rFonts w:cs="Arial"/>
                <w:sz w:val="20"/>
                <w:szCs w:val="20"/>
                <w:lang w:eastAsia="ko-KR"/>
              </w:rPr>
            </w:pPr>
            <w:r w:rsidRPr="00C74F3C">
              <w:rPr>
                <w:rFonts w:cs="Arial"/>
                <w:noProof/>
                <w:sz w:val="20"/>
                <w:szCs w:val="20"/>
                <w:lang w:eastAsia="ko-KR"/>
              </w:rPr>
              <w:lastRenderedPageBreak/>
              <w:drawing>
                <wp:inline distT="0" distB="0" distL="0" distR="0" wp14:anchorId="51DE6F14" wp14:editId="5D582EA7">
                  <wp:extent cx="5874519" cy="3343385"/>
                  <wp:effectExtent l="0" t="0" r="5715" b="0"/>
                  <wp:docPr id="44192422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63754" name=""/>
                          <pic:cNvPicPr/>
                        </pic:nvPicPr>
                        <pic:blipFill>
                          <a:blip r:embed="rId16"/>
                          <a:stretch>
                            <a:fillRect/>
                          </a:stretch>
                        </pic:blipFill>
                        <pic:spPr>
                          <a:xfrm>
                            <a:off x="0" y="0"/>
                            <a:ext cx="6041034" cy="3438154"/>
                          </a:xfrm>
                          <a:prstGeom prst="rect">
                            <a:avLst/>
                          </a:prstGeom>
                        </pic:spPr>
                      </pic:pic>
                    </a:graphicData>
                  </a:graphic>
                </wp:inline>
              </w:drawing>
            </w:r>
          </w:p>
        </w:tc>
      </w:tr>
      <w:tr w:rsidR="00316458" w14:paraId="02972CA9" w14:textId="77777777" w:rsidTr="00316458">
        <w:trPr>
          <w:trHeight w:val="398"/>
        </w:trPr>
        <w:tc>
          <w:tcPr>
            <w:tcW w:w="9062" w:type="dxa"/>
            <w:gridSpan w:val="2"/>
          </w:tcPr>
          <w:p w14:paraId="43147346" w14:textId="77777777" w:rsidR="00316458" w:rsidRPr="00A03C6F" w:rsidRDefault="00316458" w:rsidP="00C74F3C">
            <w:pPr>
              <w:rPr>
                <w:rFonts w:cs="Arial"/>
                <w:b/>
                <w:bCs/>
                <w:sz w:val="18"/>
                <w:szCs w:val="18"/>
                <w:lang w:eastAsia="ko-KR"/>
              </w:rPr>
            </w:pPr>
            <w:r w:rsidRPr="00A03C6F">
              <w:rPr>
                <w:rFonts w:cs="Arial"/>
                <w:b/>
                <w:bCs/>
                <w:sz w:val="18"/>
                <w:szCs w:val="18"/>
                <w:lang w:eastAsia="ko-KR"/>
              </w:rPr>
              <w:t>Supplementary Fig. S4 | Univariate statistical screening of 201 nominally significant features.</w:t>
            </w:r>
          </w:p>
        </w:tc>
      </w:tr>
      <w:tr w:rsidR="00D625FE" w14:paraId="131EAD10" w14:textId="77777777" w:rsidTr="00D625FE">
        <w:tc>
          <w:tcPr>
            <w:tcW w:w="9062" w:type="dxa"/>
            <w:gridSpan w:val="2"/>
          </w:tcPr>
          <w:p w14:paraId="7C98F5E8" w14:textId="77777777" w:rsidR="00D625FE" w:rsidRPr="00A03C6F" w:rsidRDefault="0049685D" w:rsidP="00C74F3C">
            <w:pPr>
              <w:rPr>
                <w:rFonts w:cs="Arial"/>
                <w:sz w:val="18"/>
                <w:szCs w:val="18"/>
                <w:lang w:eastAsia="ko-KR"/>
              </w:rPr>
            </w:pPr>
            <w:r w:rsidRPr="00A03C6F">
              <w:rPr>
                <w:rFonts w:cs="Arial"/>
                <w:b/>
                <w:bCs/>
                <w:sz w:val="18"/>
                <w:szCs w:val="18"/>
                <w:lang w:eastAsia="ko-KR"/>
              </w:rPr>
              <w:t xml:space="preserve">Supplementary </w:t>
            </w:r>
            <w:r w:rsidR="00D625FE" w:rsidRPr="00A03C6F">
              <w:rPr>
                <w:rFonts w:cs="Arial"/>
                <w:b/>
                <w:bCs/>
                <w:sz w:val="18"/>
                <w:szCs w:val="18"/>
                <w:lang w:eastAsia="ko-KR"/>
              </w:rPr>
              <w:t>Fig. S4a |</w:t>
            </w:r>
            <w:r w:rsidR="00D625FE" w:rsidRPr="00A03C6F">
              <w:rPr>
                <w:rFonts w:cs="Arial"/>
                <w:sz w:val="18"/>
                <w:szCs w:val="18"/>
                <w:lang w:eastAsia="ko-KR"/>
              </w:rPr>
              <w:t xml:space="preserve"> Domain composition of all 201 features passing the uncorrected significance threshold (Kruskal–Wallis, p &lt; 0.05). Graph Theory contributed the largest share (42.8%).</w:t>
            </w:r>
          </w:p>
        </w:tc>
      </w:tr>
      <w:tr w:rsidR="00316458" w14:paraId="6A15C72C" w14:textId="77777777" w:rsidTr="00316458">
        <w:trPr>
          <w:trHeight w:val="3534"/>
        </w:trPr>
        <w:tc>
          <w:tcPr>
            <w:tcW w:w="9062" w:type="dxa"/>
            <w:gridSpan w:val="2"/>
          </w:tcPr>
          <w:p w14:paraId="1AE1F8E2" w14:textId="77777777" w:rsidR="00316458" w:rsidRPr="00C74F3C" w:rsidRDefault="00316458" w:rsidP="00C74F3C">
            <w:pPr>
              <w:rPr>
                <w:rFonts w:cs="Arial"/>
                <w:b/>
                <w:bCs/>
                <w:sz w:val="20"/>
                <w:szCs w:val="20"/>
                <w:lang w:eastAsia="ko-KR"/>
              </w:rPr>
            </w:pPr>
            <w:r w:rsidRPr="00DE2AF3">
              <w:rPr>
                <w:rFonts w:cs="Arial"/>
                <w:noProof/>
                <w:sz w:val="20"/>
                <w:szCs w:val="20"/>
                <w:lang w:eastAsia="ko-KR"/>
              </w:rPr>
              <w:drawing>
                <wp:inline distT="0" distB="0" distL="0" distR="0" wp14:anchorId="2ABCC911" wp14:editId="4A95169F">
                  <wp:extent cx="5622468" cy="2175979"/>
                  <wp:effectExtent l="0" t="0" r="3810" b="0"/>
                  <wp:docPr id="30500033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47305" name=""/>
                          <pic:cNvPicPr/>
                        </pic:nvPicPr>
                        <pic:blipFill>
                          <a:blip r:embed="rId17"/>
                          <a:stretch>
                            <a:fillRect/>
                          </a:stretch>
                        </pic:blipFill>
                        <pic:spPr>
                          <a:xfrm>
                            <a:off x="0" y="0"/>
                            <a:ext cx="5709773" cy="2209767"/>
                          </a:xfrm>
                          <a:prstGeom prst="rect">
                            <a:avLst/>
                          </a:prstGeom>
                        </pic:spPr>
                      </pic:pic>
                    </a:graphicData>
                  </a:graphic>
                </wp:inline>
              </w:drawing>
            </w:r>
          </w:p>
        </w:tc>
      </w:tr>
      <w:tr w:rsidR="00D625FE" w14:paraId="20D0EB96" w14:textId="77777777" w:rsidTr="00316458">
        <w:tc>
          <w:tcPr>
            <w:tcW w:w="4519" w:type="dxa"/>
          </w:tcPr>
          <w:p w14:paraId="6086D15A" w14:textId="77777777" w:rsidR="00D625FE" w:rsidRPr="00A03C6F" w:rsidRDefault="00316458" w:rsidP="00C74F3C">
            <w:pPr>
              <w:rPr>
                <w:rFonts w:cs="Arial"/>
                <w:b/>
                <w:bCs/>
                <w:sz w:val="18"/>
                <w:szCs w:val="18"/>
                <w:lang w:eastAsia="ko-KR"/>
              </w:rPr>
            </w:pPr>
            <w:r w:rsidRPr="00D96FD3">
              <w:rPr>
                <w:b/>
                <w:color w:val="000000" w:themeColor="text1"/>
                <w:sz w:val="18"/>
              </w:rPr>
              <w:t xml:space="preserve">Supplementary Fig. S4b | </w:t>
            </w:r>
            <w:r w:rsidRPr="00D96FD3">
              <w:rPr>
                <w:rFonts w:cs="Arial"/>
                <w:bCs/>
                <w:sz w:val="18"/>
              </w:rPr>
              <w:t xml:space="preserve">Domain composition of the </w:t>
            </w:r>
            <w:proofErr w:type="gramStart"/>
            <w:r w:rsidRPr="00D96FD3">
              <w:rPr>
                <w:rFonts w:cs="Arial"/>
                <w:bCs/>
                <w:sz w:val="18"/>
              </w:rPr>
              <w:t>top-10</w:t>
            </w:r>
            <w:proofErr w:type="gramEnd"/>
            <w:r w:rsidRPr="00D96FD3">
              <w:rPr>
                <w:rFonts w:cs="Arial"/>
                <w:bCs/>
                <w:sz w:val="18"/>
              </w:rPr>
              <w:t xml:space="preserve"> features ranked by −log</w:t>
            </w:r>
            <w:r w:rsidRPr="00D96FD3">
              <w:rPr>
                <w:rFonts w:ascii="Cambria Math" w:hAnsi="Cambria Math" w:cs="Cambria Math"/>
                <w:bCs/>
                <w:sz w:val="18"/>
              </w:rPr>
              <w:t>₁₀</w:t>
            </w:r>
            <w:r w:rsidRPr="00D96FD3">
              <w:rPr>
                <w:rFonts w:cs="Arial"/>
                <w:bCs/>
                <w:sz w:val="18"/>
              </w:rPr>
              <w:t>(p-value). Despite dominating the overall pool, Graph Theory's share dropped to 10%, while Statistical and Spectral-Ratio features captured 60% of the top ranks.</w:t>
            </w:r>
          </w:p>
        </w:tc>
        <w:tc>
          <w:tcPr>
            <w:tcW w:w="4543" w:type="dxa"/>
          </w:tcPr>
          <w:p w14:paraId="2F1A58E4" w14:textId="77777777" w:rsidR="00D625FE" w:rsidRPr="00A03C6F" w:rsidRDefault="00334226" w:rsidP="00C74F3C">
            <w:pPr>
              <w:rPr>
                <w:rFonts w:cs="Arial"/>
                <w:sz w:val="18"/>
                <w:szCs w:val="18"/>
                <w:lang w:eastAsia="ko-KR"/>
              </w:rPr>
            </w:pPr>
            <w:r w:rsidRPr="0045655C">
              <w:rPr>
                <w:b/>
                <w:color w:val="000000" w:themeColor="text1"/>
                <w:sz w:val="18"/>
              </w:rPr>
              <w:t xml:space="preserve">Supplementary Fig. S4c | The </w:t>
            </w:r>
            <w:r>
              <w:rPr>
                <w:b/>
                <w:sz w:val="18"/>
              </w:rPr>
              <w:t>top-10 features ranked by −log₁₀(p-value), coloured by domain. Information Theory/PTE and Dynamic features—which later contributed the highest-ranked ML biomarker (C5 γ hub_score, Rank 1) and clinically informative VR-reactivity patterns (NC &gt; AD &gt; MCI), respectively—are largely absent, illustrating the insensitivity of univariate statistics to non-linear, multi-domain interactions.</w:t>
            </w:r>
          </w:p>
        </w:tc>
      </w:tr>
    </w:tbl>
    <w:p w14:paraId="09EA9B48" w14:textId="77777777" w:rsidR="00C74F3C" w:rsidRPr="00C74F3C" w:rsidRDefault="00C74F3C" w:rsidP="00C74F3C">
      <w:pPr>
        <w:rPr>
          <w:rFonts w:cs="Arial"/>
          <w:sz w:val="20"/>
          <w:szCs w:val="20"/>
          <w:lang w:eastAsia="ko-KR"/>
        </w:rPr>
      </w:pPr>
    </w:p>
    <w:p w14:paraId="0853DF11" w14:textId="77777777" w:rsidR="00CB4C46" w:rsidRPr="00A70E2E" w:rsidRDefault="00CB4C46" w:rsidP="00CB4C46">
      <w:pPr>
        <w:spacing w:line="480" w:lineRule="auto"/>
        <w:rPr>
          <w:rFonts w:cs="Arial"/>
          <w:sz w:val="18"/>
          <w:szCs w:val="18"/>
          <w:lang w:eastAsia="ko-KR"/>
        </w:rPr>
      </w:pPr>
      <w:r w:rsidRPr="00A70E2E">
        <w:rPr>
          <w:rFonts w:cs="Arial"/>
          <w:szCs w:val="18"/>
          <w:lang w:eastAsia="ko-KR"/>
        </w:rPr>
        <w:t xml:space="preserve">Per-domain standalone classification performance under 37-fold LOOCV is </w:t>
      </w:r>
      <w:proofErr w:type="spellStart"/>
      <w:r w:rsidRPr="00A70E2E">
        <w:rPr>
          <w:rFonts w:cs="Arial"/>
          <w:szCs w:val="18"/>
          <w:lang w:eastAsia="ko-KR"/>
        </w:rPr>
        <w:t>summarised</w:t>
      </w:r>
      <w:proofErr w:type="spellEnd"/>
      <w:r w:rsidRPr="00A70E2E">
        <w:rPr>
          <w:rFonts w:cs="Arial"/>
          <w:szCs w:val="18"/>
          <w:lang w:eastAsia="ko-KR"/>
        </w:rPr>
        <w:t xml:space="preserve"> in Supplementary Table S2. Three observations support the five-domain architecture: Domain </w:t>
      </w:r>
      <w:r w:rsidRPr="00A70E2E">
        <w:rPr>
          <w:rFonts w:cs="Arial"/>
          <w:szCs w:val="18"/>
          <w:lang w:eastAsia="ko-KR"/>
        </w:rPr>
        <w:lastRenderedPageBreak/>
        <w:t>complementarity. Info</w:t>
      </w:r>
      <w:r w:rsidR="008817D6" w:rsidRPr="00A70E2E">
        <w:rPr>
          <w:rFonts w:cs="Arial"/>
          <w:szCs w:val="18"/>
          <w:lang w:eastAsia="ko-KR"/>
        </w:rPr>
        <w:t>rmation</w:t>
      </w:r>
      <w:r w:rsidRPr="00A70E2E">
        <w:rPr>
          <w:rFonts w:cs="Arial"/>
          <w:szCs w:val="18"/>
          <w:lang w:eastAsia="ko-KR"/>
        </w:rPr>
        <w:t xml:space="preserve"> Theory/PTE, Statistical, and Dynamic (During−Pre) domains each independently achieved 78.4% three-class accuracy, but through distinct feature subsets (10, 13, and 9 features, respectively), confirming non-redundant discriminative information (see main text Fig. 2c). Efficiency asymmetry. The Dynamic (During−Pre) domain achieved the highest feature density (Acc/N = 8.71) with only 9 features under logistic regression, confirming that VR-driven neural reactivity carries disproportionate discriminative power per feature. </w:t>
      </w:r>
      <w:r w:rsidR="006916D5" w:rsidRPr="00A70E2E">
        <w:rPr>
          <w:rFonts w:cs="Arial"/>
          <w:szCs w:val="18"/>
          <w:lang w:eastAsia="ko-KR"/>
        </w:rPr>
        <w:t xml:space="preserve">Disproportionate biomarker yield. Although Graph Theory contributed 1.5% of the original feature space (252/16,892), it produced 0/11 final validated biomarkers, whereas Information Theory/PTE—comprising 31.8% of the feature space (5,376/16,892)—contributed </w:t>
      </w:r>
      <w:r w:rsidR="00334226" w:rsidRPr="00A70E2E">
        <w:rPr>
          <w:rFonts w:cs="Arial"/>
          <w:szCs w:val="18"/>
          <w:lang w:eastAsia="ko-KR"/>
        </w:rPr>
        <w:t>7</w:t>
      </w:r>
      <w:r w:rsidR="006916D5" w:rsidRPr="00A70E2E">
        <w:rPr>
          <w:rFonts w:cs="Arial"/>
          <w:szCs w:val="18"/>
          <w:lang w:eastAsia="ko-KR"/>
        </w:rPr>
        <w:t xml:space="preserve">/11 biomarkers (including C5 γ </w:t>
      </w:r>
      <w:proofErr w:type="spellStart"/>
      <w:r w:rsidR="006916D5" w:rsidRPr="00A70E2E">
        <w:rPr>
          <w:rFonts w:cs="Arial"/>
          <w:szCs w:val="18"/>
          <w:lang w:eastAsia="ko-KR"/>
        </w:rPr>
        <w:t>hub_score</w:t>
      </w:r>
      <w:proofErr w:type="spellEnd"/>
      <w:r w:rsidR="006916D5" w:rsidRPr="00A70E2E">
        <w:rPr>
          <w:rFonts w:cs="Arial"/>
          <w:szCs w:val="18"/>
          <w:lang w:eastAsia="ko-KR"/>
        </w:rPr>
        <w:t>, Rank 1), demonstrating that PTE-derived directional connectivity features undergo the highest enrichment through multi-stage filtration (main text Fig. 2d).</w:t>
      </w:r>
      <w:r w:rsidRPr="00A70E2E">
        <w:rPr>
          <w:rFonts w:cs="Arial"/>
          <w:szCs w:val="18"/>
          <w:lang w:eastAsia="ko-KR"/>
        </w:rPr>
        <w:t xml:space="preserve"> These results justify the five-domain architecture as a minimum necessary set: each domain contributes a mechanistically distinct neurophysiological signal to the final classifier.</w:t>
      </w:r>
    </w:p>
    <w:p w14:paraId="14A154B6" w14:textId="77777777" w:rsidR="008E484C" w:rsidRPr="00A03C6F" w:rsidRDefault="008E484C">
      <w:pPr>
        <w:rPr>
          <w:rFonts w:cs="Arial"/>
          <w:sz w:val="21"/>
          <w:szCs w:val="21"/>
        </w:rPr>
      </w:pPr>
    </w:p>
    <w:p w14:paraId="0C3B932D" w14:textId="77777777" w:rsidR="008E484C" w:rsidRPr="00D96FD3" w:rsidRDefault="00000000">
      <w:pPr>
        <w:spacing w:line="480" w:lineRule="auto"/>
        <w:rPr>
          <w:rFonts w:cs="Arial"/>
          <w:bCs/>
          <w:iCs/>
          <w:color w:val="000000" w:themeColor="text1"/>
        </w:rPr>
      </w:pPr>
      <w:r w:rsidRPr="00D96FD3">
        <w:rPr>
          <w:b/>
          <w:i/>
          <w:color w:val="074F6A" w:themeColor="accent4" w:themeShade="80"/>
          <w:sz w:val="20"/>
        </w:rPr>
        <w:t xml:space="preserve">Supplementary Note 3 | Clinical Translation Pathway and Regulatory Considerations </w:t>
      </w:r>
      <w:r>
        <w:rPr>
          <w:b/>
          <w:i/>
          <w:sz w:val="20"/>
        </w:rPr>
        <w:br/>
      </w:r>
      <w:r w:rsidRPr="00D96FD3">
        <w:rPr>
          <w:rFonts w:cs="Arial"/>
          <w:bCs/>
          <w:iCs/>
          <w:szCs w:val="18"/>
        </w:rPr>
        <w:t xml:space="preserve">This supplementary note provides additional detail on the clinical translation pathway for the VR-EEG PTE biomarker platform, as relevant to </w:t>
      </w:r>
      <w:r w:rsidRPr="00D96FD3">
        <w:rPr>
          <w:rFonts w:cs="Arial"/>
          <w:bCs/>
          <w:iCs/>
          <w:color w:val="000000" w:themeColor="text1"/>
          <w:szCs w:val="18"/>
        </w:rPr>
        <w:t xml:space="preserve">Scientific Reports readership.  </w:t>
      </w:r>
      <w:r w:rsidRPr="00D96FD3">
        <w:rPr>
          <w:rFonts w:cs="Arial"/>
          <w:bCs/>
          <w:iCs/>
          <w:szCs w:val="18"/>
        </w:rPr>
        <w:t xml:space="preserve">Phase 1 (Current study — Discovery): Internal validation of 11 clinical EEG biomarkers in a single-site cohort (N=37) using 37-fold LOOCV and permutation testing. Establishes proof-of-concept and identifies a parsimonious 11-biomarker panel capturable with ≤16 channels.  Phase 2 (Recommended next step — External validation): Prospective multisite study targeting N≥120 per diagnostic class (AD, MCI, NC), with clinical diagnosis confirmed by ATN biomarker profiling (amyloid-PET or CSF tau). Primary endpoint: replication of ≥80% three-class accuracy and ≥90% MCI recall in an independent held-out cohort. IRB registration and pre-registration on ClinicalTrials.gov recommended.  Phase 3 (Regulatory pathway): The 16-channel dry-electrode VR-EEG configuration qualifies as Software as a Medical Device </w:t>
      </w:r>
      <w:r w:rsidRPr="00D96FD3">
        <w:rPr>
          <w:rFonts w:cs="Arial"/>
          <w:bCs/>
          <w:iCs/>
          <w:szCs w:val="18"/>
        </w:rPr>
        <w:lastRenderedPageBreak/>
        <w:t>(SaMD) under FDA 21 CFR Part 820 and EU MDR Annex IX (Class IIa). TRIPOD+AI and STARD 2015 compliance (documented herein) satisfies preliminary regulatory reporting requirements. The explainability provided by SHAP analysis addresses the FDA's AI/ML Action Plan requirement for transparent, interpretable clinical AI.  Cost-effectiveness note: At approximately $500–2,000 per portable dry-EEG system (amortised over hundreds of tests), the per-test cost is estimated at $5–20, representing a 99.5% reduction versus amyloid-PET ($3,000–7,000). This positions VR-EEG as viable for memory clinic triage in low-and-middle-income countries, where 70% of future AD cases will arise.</w:t>
      </w:r>
    </w:p>
    <w:p w14:paraId="6489DCA5" w14:textId="77777777" w:rsidR="006A2BC4" w:rsidRPr="00A03C6F" w:rsidRDefault="006A2BC4" w:rsidP="006A2BC4">
      <w:pPr>
        <w:keepNext/>
        <w:spacing w:before="280" w:after="80" w:line="480" w:lineRule="auto"/>
        <w:rPr>
          <w:rFonts w:cs="Arial"/>
          <w:b/>
          <w:bCs/>
          <w:i/>
          <w:iCs/>
          <w:color w:val="002060"/>
          <w:sz w:val="20"/>
          <w:szCs w:val="20"/>
        </w:rPr>
      </w:pPr>
      <w:r w:rsidRPr="00A03C6F">
        <w:rPr>
          <w:rFonts w:cs="Arial"/>
          <w:b/>
          <w:bCs/>
          <w:i/>
          <w:color w:val="002060"/>
          <w:sz w:val="20"/>
          <w:szCs w:val="20"/>
        </w:rPr>
        <w:t xml:space="preserve">Supplementary Table S4 | </w:t>
      </w:r>
      <w:proofErr w:type="gramStart"/>
      <w:r w:rsidRPr="00A03C6F">
        <w:rPr>
          <w:rFonts w:cs="Arial"/>
          <w:b/>
          <w:bCs/>
          <w:i/>
          <w:color w:val="002060"/>
          <w:sz w:val="20"/>
          <w:szCs w:val="20"/>
        </w:rPr>
        <w:t>Multi-seed</w:t>
      </w:r>
      <w:proofErr w:type="gramEnd"/>
      <w:r w:rsidRPr="00A03C6F">
        <w:rPr>
          <w:rFonts w:cs="Arial"/>
          <w:b/>
          <w:bCs/>
          <w:i/>
          <w:color w:val="002060"/>
          <w:sz w:val="20"/>
          <w:szCs w:val="20"/>
        </w:rPr>
        <w:t xml:space="preserve"> stability analysis of classification performance</w:t>
      </w:r>
    </w:p>
    <w:p w14:paraId="17E281BB" w14:textId="77777777" w:rsidR="006A2BC4" w:rsidRPr="00A70E2E" w:rsidRDefault="006A2BC4" w:rsidP="006A2BC4">
      <w:pPr>
        <w:spacing w:line="480" w:lineRule="auto"/>
        <w:jc w:val="both"/>
        <w:rPr>
          <w:rFonts w:cs="Arial"/>
          <w:color w:val="000000" w:themeColor="text1"/>
          <w:sz w:val="18"/>
          <w:szCs w:val="18"/>
        </w:rPr>
      </w:pPr>
      <w:r w:rsidRPr="00A70E2E">
        <w:rPr>
          <w:rFonts w:cs="Arial"/>
          <w:color w:val="000000" w:themeColor="text1"/>
          <w:szCs w:val="18"/>
        </w:rPr>
        <w:t>Accuracy for 10 seeds across all six models (1,850 total evaluations).  The near-zero SD for KNN (the optimal classifier) across all 10 random seeds confirms that the 86.5% accuracy and 100% MCI recall are seed-invariant and not artefacts of a specific random initialisation—a critical requirement for clinical diagnostic biomarker stability.</w:t>
      </w:r>
    </w:p>
    <w:tbl>
      <w:tblPr>
        <w:tblStyle w:val="aa"/>
        <w:tblW w:w="0" w:type="auto"/>
        <w:tblLook w:val="04A0" w:firstRow="1" w:lastRow="0" w:firstColumn="1" w:lastColumn="0" w:noHBand="0" w:noVBand="1"/>
      </w:tblPr>
      <w:tblGrid>
        <w:gridCol w:w="1473"/>
        <w:gridCol w:w="1473"/>
        <w:gridCol w:w="1473"/>
        <w:gridCol w:w="1473"/>
        <w:gridCol w:w="1473"/>
        <w:gridCol w:w="1473"/>
      </w:tblGrid>
      <w:tr w:rsidR="006A2BC4" w:rsidRPr="00155498" w14:paraId="408AF0D0" w14:textId="77777777" w:rsidTr="00770F64">
        <w:tc>
          <w:tcPr>
            <w:tcW w:w="1473" w:type="dxa"/>
          </w:tcPr>
          <w:p w14:paraId="6797A9F7" w14:textId="77777777" w:rsidR="006A2BC4" w:rsidRPr="00155498" w:rsidRDefault="006A2BC4" w:rsidP="00770F64">
            <w:pPr>
              <w:rPr>
                <w:rFonts w:cs="Arial"/>
                <w:sz w:val="18"/>
                <w:szCs w:val="18"/>
              </w:rPr>
            </w:pPr>
            <w:r w:rsidRPr="00155498">
              <w:rPr>
                <w:rFonts w:cs="Arial"/>
                <w:b/>
                <w:sz w:val="18"/>
                <w:szCs w:val="18"/>
              </w:rPr>
              <w:t>Model</w:t>
            </w:r>
          </w:p>
        </w:tc>
        <w:tc>
          <w:tcPr>
            <w:tcW w:w="1473" w:type="dxa"/>
          </w:tcPr>
          <w:p w14:paraId="40604A10" w14:textId="77777777" w:rsidR="006A2BC4" w:rsidRPr="00155498" w:rsidRDefault="006A2BC4" w:rsidP="00770F64">
            <w:pPr>
              <w:rPr>
                <w:rFonts w:cs="Arial"/>
                <w:sz w:val="18"/>
                <w:szCs w:val="18"/>
              </w:rPr>
            </w:pPr>
            <w:r w:rsidRPr="00155498">
              <w:rPr>
                <w:rFonts w:cs="Arial"/>
                <w:b/>
                <w:sz w:val="18"/>
                <w:szCs w:val="18"/>
              </w:rPr>
              <w:t>Mean Acc</w:t>
            </w:r>
          </w:p>
        </w:tc>
        <w:tc>
          <w:tcPr>
            <w:tcW w:w="1473" w:type="dxa"/>
          </w:tcPr>
          <w:p w14:paraId="49061FC7" w14:textId="77777777" w:rsidR="006A2BC4" w:rsidRPr="00155498" w:rsidRDefault="006A2BC4" w:rsidP="00770F64">
            <w:pPr>
              <w:rPr>
                <w:rFonts w:cs="Arial"/>
                <w:sz w:val="18"/>
                <w:szCs w:val="18"/>
              </w:rPr>
            </w:pPr>
            <w:r w:rsidRPr="00155498">
              <w:rPr>
                <w:rFonts w:cs="Arial"/>
                <w:b/>
                <w:sz w:val="18"/>
                <w:szCs w:val="18"/>
              </w:rPr>
              <w:t>SD</w:t>
            </w:r>
          </w:p>
        </w:tc>
        <w:tc>
          <w:tcPr>
            <w:tcW w:w="1473" w:type="dxa"/>
          </w:tcPr>
          <w:p w14:paraId="0AFDF894" w14:textId="77777777" w:rsidR="006A2BC4" w:rsidRPr="00155498" w:rsidRDefault="006A2BC4" w:rsidP="00770F64">
            <w:pPr>
              <w:rPr>
                <w:rFonts w:cs="Arial"/>
                <w:sz w:val="18"/>
                <w:szCs w:val="18"/>
              </w:rPr>
            </w:pPr>
            <w:r w:rsidRPr="00155498">
              <w:rPr>
                <w:rFonts w:cs="Arial"/>
                <w:b/>
                <w:sz w:val="18"/>
                <w:szCs w:val="18"/>
              </w:rPr>
              <w:t>Min</w:t>
            </w:r>
          </w:p>
        </w:tc>
        <w:tc>
          <w:tcPr>
            <w:tcW w:w="1473" w:type="dxa"/>
          </w:tcPr>
          <w:p w14:paraId="4C35ECBA" w14:textId="77777777" w:rsidR="006A2BC4" w:rsidRPr="00155498" w:rsidRDefault="006A2BC4" w:rsidP="00770F64">
            <w:pPr>
              <w:rPr>
                <w:rFonts w:cs="Arial"/>
                <w:sz w:val="18"/>
                <w:szCs w:val="18"/>
              </w:rPr>
            </w:pPr>
            <w:r w:rsidRPr="00155498">
              <w:rPr>
                <w:rFonts w:cs="Arial"/>
                <w:b/>
                <w:sz w:val="18"/>
                <w:szCs w:val="18"/>
              </w:rPr>
              <w:t>Max</w:t>
            </w:r>
          </w:p>
        </w:tc>
        <w:tc>
          <w:tcPr>
            <w:tcW w:w="1473" w:type="dxa"/>
          </w:tcPr>
          <w:p w14:paraId="4BC786CB" w14:textId="77777777" w:rsidR="006A2BC4" w:rsidRPr="00155498" w:rsidRDefault="006A2BC4" w:rsidP="00770F64">
            <w:pPr>
              <w:rPr>
                <w:rFonts w:cs="Arial"/>
                <w:sz w:val="18"/>
                <w:szCs w:val="18"/>
              </w:rPr>
            </w:pPr>
            <w:r w:rsidRPr="00155498">
              <w:rPr>
                <w:rFonts w:cs="Arial"/>
                <w:b/>
                <w:sz w:val="18"/>
                <w:szCs w:val="18"/>
              </w:rPr>
              <w:t>Stable?</w:t>
            </w:r>
          </w:p>
        </w:tc>
      </w:tr>
      <w:tr w:rsidR="006A2BC4" w:rsidRPr="00155498" w14:paraId="7E3D748D" w14:textId="77777777" w:rsidTr="00770F64">
        <w:tc>
          <w:tcPr>
            <w:tcW w:w="1473" w:type="dxa"/>
          </w:tcPr>
          <w:p w14:paraId="2D4537F3" w14:textId="77777777" w:rsidR="006A2BC4" w:rsidRPr="00155498" w:rsidRDefault="006A2BC4" w:rsidP="00770F64">
            <w:pPr>
              <w:rPr>
                <w:rFonts w:cs="Arial"/>
                <w:sz w:val="18"/>
                <w:szCs w:val="18"/>
              </w:rPr>
            </w:pPr>
            <w:r w:rsidRPr="00155498">
              <w:rPr>
                <w:rFonts w:cs="Arial"/>
                <w:sz w:val="18"/>
                <w:szCs w:val="18"/>
              </w:rPr>
              <w:t>KNN</w:t>
            </w:r>
          </w:p>
        </w:tc>
        <w:tc>
          <w:tcPr>
            <w:tcW w:w="1473" w:type="dxa"/>
          </w:tcPr>
          <w:p w14:paraId="53803DB1" w14:textId="77777777" w:rsidR="006A2BC4" w:rsidRPr="00155498" w:rsidRDefault="006A2BC4" w:rsidP="00770F64">
            <w:pPr>
              <w:rPr>
                <w:rFonts w:cs="Arial"/>
                <w:sz w:val="18"/>
                <w:szCs w:val="18"/>
              </w:rPr>
            </w:pPr>
            <w:r w:rsidRPr="00155498">
              <w:rPr>
                <w:rFonts w:cs="Arial"/>
                <w:sz w:val="18"/>
                <w:szCs w:val="18"/>
              </w:rPr>
              <w:t>86.5%</w:t>
            </w:r>
          </w:p>
        </w:tc>
        <w:tc>
          <w:tcPr>
            <w:tcW w:w="1473" w:type="dxa"/>
          </w:tcPr>
          <w:p w14:paraId="79CB9606" w14:textId="77777777" w:rsidR="006A2BC4" w:rsidRPr="00155498" w:rsidRDefault="006A2BC4" w:rsidP="00770F64">
            <w:pPr>
              <w:rPr>
                <w:rFonts w:cs="Arial"/>
                <w:sz w:val="18"/>
                <w:szCs w:val="18"/>
              </w:rPr>
            </w:pPr>
            <w:r w:rsidRPr="00155498">
              <w:rPr>
                <w:rFonts w:cs="Arial"/>
                <w:sz w:val="18"/>
                <w:szCs w:val="18"/>
              </w:rPr>
              <w:t>0.000</w:t>
            </w:r>
          </w:p>
        </w:tc>
        <w:tc>
          <w:tcPr>
            <w:tcW w:w="1473" w:type="dxa"/>
          </w:tcPr>
          <w:p w14:paraId="12476582" w14:textId="77777777" w:rsidR="006A2BC4" w:rsidRPr="00155498" w:rsidRDefault="006A2BC4" w:rsidP="00770F64">
            <w:pPr>
              <w:rPr>
                <w:rFonts w:cs="Arial"/>
                <w:sz w:val="18"/>
                <w:szCs w:val="18"/>
              </w:rPr>
            </w:pPr>
            <w:r w:rsidRPr="00155498">
              <w:rPr>
                <w:rFonts w:cs="Arial"/>
                <w:sz w:val="18"/>
                <w:szCs w:val="18"/>
              </w:rPr>
              <w:t>86.5%</w:t>
            </w:r>
          </w:p>
        </w:tc>
        <w:tc>
          <w:tcPr>
            <w:tcW w:w="1473" w:type="dxa"/>
          </w:tcPr>
          <w:p w14:paraId="580DF355" w14:textId="77777777" w:rsidR="006A2BC4" w:rsidRPr="00155498" w:rsidRDefault="006A2BC4" w:rsidP="00770F64">
            <w:pPr>
              <w:rPr>
                <w:rFonts w:cs="Arial"/>
                <w:sz w:val="18"/>
                <w:szCs w:val="18"/>
              </w:rPr>
            </w:pPr>
            <w:r w:rsidRPr="00155498">
              <w:rPr>
                <w:rFonts w:cs="Arial"/>
                <w:sz w:val="18"/>
                <w:szCs w:val="18"/>
              </w:rPr>
              <w:t>86.5%</w:t>
            </w:r>
          </w:p>
        </w:tc>
        <w:tc>
          <w:tcPr>
            <w:tcW w:w="1473" w:type="dxa"/>
          </w:tcPr>
          <w:p w14:paraId="2A3CEC2E" w14:textId="77777777" w:rsidR="006A2BC4" w:rsidRPr="00155498" w:rsidRDefault="006A2BC4" w:rsidP="00770F64">
            <w:pPr>
              <w:rPr>
                <w:rFonts w:cs="Arial"/>
                <w:sz w:val="18"/>
                <w:szCs w:val="18"/>
              </w:rPr>
            </w:pPr>
            <w:r w:rsidRPr="00155498">
              <w:rPr>
                <w:rFonts w:cs="Arial"/>
                <w:sz w:val="18"/>
                <w:szCs w:val="18"/>
              </w:rPr>
              <w:t>Yes</w:t>
            </w:r>
          </w:p>
        </w:tc>
      </w:tr>
      <w:tr w:rsidR="006A2BC4" w:rsidRPr="00155498" w14:paraId="02AD1E05" w14:textId="77777777" w:rsidTr="00770F64">
        <w:tc>
          <w:tcPr>
            <w:tcW w:w="1473" w:type="dxa"/>
          </w:tcPr>
          <w:p w14:paraId="16AD4F3E" w14:textId="77777777" w:rsidR="006A2BC4" w:rsidRPr="00155498" w:rsidRDefault="006A2BC4" w:rsidP="00770F64">
            <w:pPr>
              <w:rPr>
                <w:rFonts w:cs="Arial"/>
                <w:sz w:val="18"/>
                <w:szCs w:val="18"/>
              </w:rPr>
            </w:pPr>
            <w:r w:rsidRPr="00155498">
              <w:rPr>
                <w:rFonts w:cs="Arial"/>
                <w:sz w:val="18"/>
                <w:szCs w:val="18"/>
              </w:rPr>
              <w:t>RF</w:t>
            </w:r>
          </w:p>
        </w:tc>
        <w:tc>
          <w:tcPr>
            <w:tcW w:w="1473" w:type="dxa"/>
          </w:tcPr>
          <w:p w14:paraId="11C5C755" w14:textId="77777777" w:rsidR="006A2BC4" w:rsidRPr="00155498" w:rsidRDefault="006A2BC4" w:rsidP="00770F64">
            <w:pPr>
              <w:rPr>
                <w:rFonts w:cs="Arial"/>
                <w:sz w:val="18"/>
                <w:szCs w:val="18"/>
              </w:rPr>
            </w:pPr>
            <w:r w:rsidRPr="00155498">
              <w:rPr>
                <w:rFonts w:cs="Arial"/>
                <w:sz w:val="18"/>
                <w:szCs w:val="18"/>
              </w:rPr>
              <w:t>85.1%</w:t>
            </w:r>
          </w:p>
        </w:tc>
        <w:tc>
          <w:tcPr>
            <w:tcW w:w="1473" w:type="dxa"/>
          </w:tcPr>
          <w:p w14:paraId="6B7CB821" w14:textId="77777777" w:rsidR="006A2BC4" w:rsidRPr="00155498" w:rsidRDefault="006A2BC4" w:rsidP="00770F64">
            <w:pPr>
              <w:rPr>
                <w:rFonts w:cs="Arial"/>
                <w:sz w:val="18"/>
                <w:szCs w:val="18"/>
              </w:rPr>
            </w:pPr>
            <w:r w:rsidRPr="00155498">
              <w:rPr>
                <w:rFonts w:cs="Arial"/>
                <w:sz w:val="18"/>
                <w:szCs w:val="18"/>
              </w:rPr>
              <w:t>2.2%</w:t>
            </w:r>
          </w:p>
        </w:tc>
        <w:tc>
          <w:tcPr>
            <w:tcW w:w="1473" w:type="dxa"/>
          </w:tcPr>
          <w:p w14:paraId="2AB0C94B" w14:textId="77777777" w:rsidR="006A2BC4" w:rsidRPr="00155498" w:rsidRDefault="006A2BC4" w:rsidP="00770F64">
            <w:pPr>
              <w:rPr>
                <w:rFonts w:cs="Arial"/>
                <w:sz w:val="18"/>
                <w:szCs w:val="18"/>
              </w:rPr>
            </w:pPr>
            <w:r w:rsidRPr="00155498">
              <w:rPr>
                <w:rFonts w:cs="Arial"/>
                <w:sz w:val="18"/>
                <w:szCs w:val="18"/>
              </w:rPr>
              <w:t>81.1%</w:t>
            </w:r>
          </w:p>
        </w:tc>
        <w:tc>
          <w:tcPr>
            <w:tcW w:w="1473" w:type="dxa"/>
          </w:tcPr>
          <w:p w14:paraId="5B270D19" w14:textId="77777777" w:rsidR="006A2BC4" w:rsidRPr="00155498" w:rsidRDefault="006A2BC4" w:rsidP="00770F64">
            <w:pPr>
              <w:rPr>
                <w:rFonts w:cs="Arial"/>
                <w:sz w:val="18"/>
                <w:szCs w:val="18"/>
              </w:rPr>
            </w:pPr>
            <w:r w:rsidRPr="00155498">
              <w:rPr>
                <w:rFonts w:cs="Arial"/>
                <w:sz w:val="18"/>
                <w:szCs w:val="18"/>
              </w:rPr>
              <w:t>86.5%</w:t>
            </w:r>
          </w:p>
        </w:tc>
        <w:tc>
          <w:tcPr>
            <w:tcW w:w="1473" w:type="dxa"/>
          </w:tcPr>
          <w:p w14:paraId="042E6388" w14:textId="77777777" w:rsidR="006A2BC4" w:rsidRPr="00155498" w:rsidRDefault="006A2BC4" w:rsidP="00770F64">
            <w:pPr>
              <w:rPr>
                <w:rFonts w:cs="Arial"/>
                <w:sz w:val="18"/>
                <w:szCs w:val="18"/>
              </w:rPr>
            </w:pPr>
            <w:r w:rsidRPr="00155498">
              <w:rPr>
                <w:rFonts w:cs="Arial"/>
                <w:sz w:val="18"/>
                <w:szCs w:val="18"/>
              </w:rPr>
              <w:t>Yes</w:t>
            </w:r>
          </w:p>
        </w:tc>
      </w:tr>
      <w:tr w:rsidR="006A2BC4" w:rsidRPr="00155498" w14:paraId="0380A29F" w14:textId="77777777" w:rsidTr="00770F64">
        <w:tc>
          <w:tcPr>
            <w:tcW w:w="1473" w:type="dxa"/>
          </w:tcPr>
          <w:p w14:paraId="46654F7A" w14:textId="77777777" w:rsidR="006A2BC4" w:rsidRPr="00155498" w:rsidRDefault="006A2BC4" w:rsidP="00770F64">
            <w:pPr>
              <w:rPr>
                <w:rFonts w:cs="Arial"/>
                <w:sz w:val="18"/>
                <w:szCs w:val="18"/>
              </w:rPr>
            </w:pPr>
            <w:r w:rsidRPr="00155498">
              <w:rPr>
                <w:rFonts w:cs="Arial"/>
                <w:sz w:val="18"/>
                <w:szCs w:val="18"/>
              </w:rPr>
              <w:t>LR</w:t>
            </w:r>
          </w:p>
        </w:tc>
        <w:tc>
          <w:tcPr>
            <w:tcW w:w="1473" w:type="dxa"/>
          </w:tcPr>
          <w:p w14:paraId="37A6D4DD" w14:textId="77777777" w:rsidR="006A2BC4" w:rsidRPr="00155498" w:rsidRDefault="006A2BC4" w:rsidP="00770F64">
            <w:pPr>
              <w:rPr>
                <w:rFonts w:cs="Arial"/>
                <w:sz w:val="18"/>
                <w:szCs w:val="18"/>
              </w:rPr>
            </w:pPr>
            <w:r w:rsidRPr="00155498">
              <w:rPr>
                <w:rFonts w:cs="Arial"/>
                <w:sz w:val="18"/>
                <w:szCs w:val="18"/>
              </w:rPr>
              <w:t>78.4%</w:t>
            </w:r>
          </w:p>
        </w:tc>
        <w:tc>
          <w:tcPr>
            <w:tcW w:w="1473" w:type="dxa"/>
          </w:tcPr>
          <w:p w14:paraId="1640EF17" w14:textId="77777777" w:rsidR="006A2BC4" w:rsidRPr="00155498" w:rsidRDefault="006A2BC4" w:rsidP="00770F64">
            <w:pPr>
              <w:rPr>
                <w:rFonts w:cs="Arial"/>
                <w:sz w:val="18"/>
                <w:szCs w:val="18"/>
              </w:rPr>
            </w:pPr>
            <w:r w:rsidRPr="00155498">
              <w:rPr>
                <w:rFonts w:cs="Arial"/>
                <w:sz w:val="18"/>
                <w:szCs w:val="18"/>
              </w:rPr>
              <w:t>0.000</w:t>
            </w:r>
          </w:p>
        </w:tc>
        <w:tc>
          <w:tcPr>
            <w:tcW w:w="1473" w:type="dxa"/>
          </w:tcPr>
          <w:p w14:paraId="5420FFCC" w14:textId="77777777" w:rsidR="006A2BC4" w:rsidRPr="00155498" w:rsidRDefault="006A2BC4" w:rsidP="00770F64">
            <w:pPr>
              <w:rPr>
                <w:rFonts w:cs="Arial"/>
                <w:sz w:val="18"/>
                <w:szCs w:val="18"/>
              </w:rPr>
            </w:pPr>
            <w:r w:rsidRPr="00155498">
              <w:rPr>
                <w:rFonts w:cs="Arial"/>
                <w:sz w:val="18"/>
                <w:szCs w:val="18"/>
              </w:rPr>
              <w:t>78.4%</w:t>
            </w:r>
          </w:p>
        </w:tc>
        <w:tc>
          <w:tcPr>
            <w:tcW w:w="1473" w:type="dxa"/>
          </w:tcPr>
          <w:p w14:paraId="11022907" w14:textId="77777777" w:rsidR="006A2BC4" w:rsidRPr="00155498" w:rsidRDefault="006A2BC4" w:rsidP="00770F64">
            <w:pPr>
              <w:rPr>
                <w:rFonts w:cs="Arial"/>
                <w:sz w:val="18"/>
                <w:szCs w:val="18"/>
              </w:rPr>
            </w:pPr>
            <w:r w:rsidRPr="00155498">
              <w:rPr>
                <w:rFonts w:cs="Arial"/>
                <w:sz w:val="18"/>
                <w:szCs w:val="18"/>
              </w:rPr>
              <w:t>78.4%</w:t>
            </w:r>
          </w:p>
        </w:tc>
        <w:tc>
          <w:tcPr>
            <w:tcW w:w="1473" w:type="dxa"/>
          </w:tcPr>
          <w:p w14:paraId="1AECA4F2" w14:textId="77777777" w:rsidR="006A2BC4" w:rsidRPr="00155498" w:rsidRDefault="006A2BC4" w:rsidP="00770F64">
            <w:pPr>
              <w:rPr>
                <w:rFonts w:cs="Arial"/>
                <w:sz w:val="18"/>
                <w:szCs w:val="18"/>
              </w:rPr>
            </w:pPr>
            <w:r w:rsidRPr="00155498">
              <w:rPr>
                <w:rFonts w:cs="Arial"/>
                <w:sz w:val="18"/>
                <w:szCs w:val="18"/>
              </w:rPr>
              <w:t>Yes</w:t>
            </w:r>
          </w:p>
        </w:tc>
      </w:tr>
      <w:tr w:rsidR="006A2BC4" w:rsidRPr="00155498" w14:paraId="73680657" w14:textId="77777777" w:rsidTr="00770F64">
        <w:tc>
          <w:tcPr>
            <w:tcW w:w="1473" w:type="dxa"/>
          </w:tcPr>
          <w:p w14:paraId="78EB64E8" w14:textId="77777777" w:rsidR="006A2BC4" w:rsidRPr="00155498" w:rsidRDefault="006A2BC4" w:rsidP="00770F64">
            <w:pPr>
              <w:rPr>
                <w:rFonts w:cs="Arial"/>
                <w:sz w:val="18"/>
                <w:szCs w:val="18"/>
              </w:rPr>
            </w:pPr>
            <w:r w:rsidRPr="00155498">
              <w:rPr>
                <w:rFonts w:cs="Arial"/>
                <w:sz w:val="18"/>
                <w:szCs w:val="18"/>
              </w:rPr>
              <w:t>SVM</w:t>
            </w:r>
          </w:p>
        </w:tc>
        <w:tc>
          <w:tcPr>
            <w:tcW w:w="1473" w:type="dxa"/>
          </w:tcPr>
          <w:p w14:paraId="798B0C7E" w14:textId="77777777" w:rsidR="006A2BC4" w:rsidRPr="00155498" w:rsidRDefault="006A2BC4" w:rsidP="00770F64">
            <w:pPr>
              <w:rPr>
                <w:rFonts w:cs="Arial"/>
                <w:sz w:val="18"/>
                <w:szCs w:val="18"/>
              </w:rPr>
            </w:pPr>
            <w:r w:rsidRPr="00155498">
              <w:rPr>
                <w:rFonts w:cs="Arial"/>
                <w:sz w:val="18"/>
                <w:szCs w:val="18"/>
              </w:rPr>
              <w:t>75.7%</w:t>
            </w:r>
          </w:p>
        </w:tc>
        <w:tc>
          <w:tcPr>
            <w:tcW w:w="1473" w:type="dxa"/>
          </w:tcPr>
          <w:p w14:paraId="666B337C" w14:textId="77777777" w:rsidR="006A2BC4" w:rsidRPr="00155498" w:rsidRDefault="006A2BC4" w:rsidP="00770F64">
            <w:pPr>
              <w:rPr>
                <w:rFonts w:cs="Arial"/>
                <w:sz w:val="18"/>
                <w:szCs w:val="18"/>
              </w:rPr>
            </w:pPr>
            <w:r w:rsidRPr="00155498">
              <w:rPr>
                <w:rFonts w:cs="Arial"/>
                <w:sz w:val="18"/>
                <w:szCs w:val="18"/>
              </w:rPr>
              <w:t>0.000</w:t>
            </w:r>
          </w:p>
        </w:tc>
        <w:tc>
          <w:tcPr>
            <w:tcW w:w="1473" w:type="dxa"/>
          </w:tcPr>
          <w:p w14:paraId="39A303AC" w14:textId="77777777" w:rsidR="006A2BC4" w:rsidRPr="00155498" w:rsidRDefault="006A2BC4" w:rsidP="00770F64">
            <w:pPr>
              <w:rPr>
                <w:rFonts w:cs="Arial"/>
                <w:sz w:val="18"/>
                <w:szCs w:val="18"/>
              </w:rPr>
            </w:pPr>
            <w:r w:rsidRPr="00155498">
              <w:rPr>
                <w:rFonts w:cs="Arial"/>
                <w:sz w:val="18"/>
                <w:szCs w:val="18"/>
              </w:rPr>
              <w:t>75.7%</w:t>
            </w:r>
          </w:p>
        </w:tc>
        <w:tc>
          <w:tcPr>
            <w:tcW w:w="1473" w:type="dxa"/>
          </w:tcPr>
          <w:p w14:paraId="3DD0BF57" w14:textId="77777777" w:rsidR="006A2BC4" w:rsidRPr="00155498" w:rsidRDefault="006A2BC4" w:rsidP="00770F64">
            <w:pPr>
              <w:rPr>
                <w:rFonts w:cs="Arial"/>
                <w:sz w:val="18"/>
                <w:szCs w:val="18"/>
              </w:rPr>
            </w:pPr>
            <w:r w:rsidRPr="00155498">
              <w:rPr>
                <w:rFonts w:cs="Arial"/>
                <w:sz w:val="18"/>
                <w:szCs w:val="18"/>
              </w:rPr>
              <w:t>75.7%</w:t>
            </w:r>
          </w:p>
        </w:tc>
        <w:tc>
          <w:tcPr>
            <w:tcW w:w="1473" w:type="dxa"/>
          </w:tcPr>
          <w:p w14:paraId="0C494EFD" w14:textId="77777777" w:rsidR="006A2BC4" w:rsidRPr="00155498" w:rsidRDefault="006A2BC4" w:rsidP="00770F64">
            <w:pPr>
              <w:rPr>
                <w:rFonts w:cs="Arial"/>
                <w:sz w:val="18"/>
                <w:szCs w:val="18"/>
              </w:rPr>
            </w:pPr>
            <w:r w:rsidRPr="00155498">
              <w:rPr>
                <w:rFonts w:cs="Arial"/>
                <w:sz w:val="18"/>
                <w:szCs w:val="18"/>
              </w:rPr>
              <w:t>Yes</w:t>
            </w:r>
          </w:p>
        </w:tc>
      </w:tr>
      <w:tr w:rsidR="006A2BC4" w:rsidRPr="00155498" w14:paraId="6F97B158" w14:textId="77777777" w:rsidTr="00770F64">
        <w:tc>
          <w:tcPr>
            <w:tcW w:w="1473" w:type="dxa"/>
          </w:tcPr>
          <w:p w14:paraId="78C82DEA" w14:textId="77777777" w:rsidR="006A2BC4" w:rsidRPr="00155498" w:rsidRDefault="006A2BC4" w:rsidP="00770F64">
            <w:pPr>
              <w:rPr>
                <w:rFonts w:cs="Arial"/>
                <w:sz w:val="18"/>
                <w:szCs w:val="18"/>
              </w:rPr>
            </w:pPr>
            <w:r w:rsidRPr="00155498">
              <w:rPr>
                <w:rFonts w:cs="Arial"/>
                <w:sz w:val="18"/>
                <w:szCs w:val="18"/>
              </w:rPr>
              <w:t>XGB</w:t>
            </w:r>
          </w:p>
        </w:tc>
        <w:tc>
          <w:tcPr>
            <w:tcW w:w="1473" w:type="dxa"/>
          </w:tcPr>
          <w:p w14:paraId="32966305" w14:textId="77777777" w:rsidR="006A2BC4" w:rsidRPr="00155498" w:rsidRDefault="006A2BC4" w:rsidP="00770F64">
            <w:pPr>
              <w:rPr>
                <w:rFonts w:cs="Arial"/>
                <w:sz w:val="18"/>
                <w:szCs w:val="18"/>
              </w:rPr>
            </w:pPr>
            <w:r w:rsidRPr="00155498">
              <w:rPr>
                <w:rFonts w:cs="Arial"/>
                <w:sz w:val="18"/>
                <w:szCs w:val="18"/>
              </w:rPr>
              <w:t>73.0%</w:t>
            </w:r>
          </w:p>
        </w:tc>
        <w:tc>
          <w:tcPr>
            <w:tcW w:w="1473" w:type="dxa"/>
          </w:tcPr>
          <w:p w14:paraId="4E6177C7" w14:textId="77777777" w:rsidR="006A2BC4" w:rsidRPr="00155498" w:rsidRDefault="006A2BC4" w:rsidP="00770F64">
            <w:pPr>
              <w:rPr>
                <w:rFonts w:cs="Arial"/>
                <w:sz w:val="18"/>
                <w:szCs w:val="18"/>
              </w:rPr>
            </w:pPr>
            <w:r w:rsidRPr="00155498">
              <w:rPr>
                <w:rFonts w:cs="Arial"/>
                <w:sz w:val="18"/>
                <w:szCs w:val="18"/>
              </w:rPr>
              <w:t>0.000</w:t>
            </w:r>
          </w:p>
        </w:tc>
        <w:tc>
          <w:tcPr>
            <w:tcW w:w="1473" w:type="dxa"/>
          </w:tcPr>
          <w:p w14:paraId="0C3CF9A5" w14:textId="77777777" w:rsidR="006A2BC4" w:rsidRPr="00155498" w:rsidRDefault="006A2BC4" w:rsidP="00770F64">
            <w:pPr>
              <w:rPr>
                <w:rFonts w:cs="Arial"/>
                <w:sz w:val="18"/>
                <w:szCs w:val="18"/>
              </w:rPr>
            </w:pPr>
            <w:r w:rsidRPr="00155498">
              <w:rPr>
                <w:rFonts w:cs="Arial"/>
                <w:sz w:val="18"/>
                <w:szCs w:val="18"/>
              </w:rPr>
              <w:t>73.0%</w:t>
            </w:r>
          </w:p>
        </w:tc>
        <w:tc>
          <w:tcPr>
            <w:tcW w:w="1473" w:type="dxa"/>
          </w:tcPr>
          <w:p w14:paraId="1A41D515" w14:textId="77777777" w:rsidR="006A2BC4" w:rsidRPr="00155498" w:rsidRDefault="006A2BC4" w:rsidP="00770F64">
            <w:pPr>
              <w:rPr>
                <w:rFonts w:cs="Arial"/>
                <w:sz w:val="18"/>
                <w:szCs w:val="18"/>
              </w:rPr>
            </w:pPr>
            <w:r w:rsidRPr="00155498">
              <w:rPr>
                <w:rFonts w:cs="Arial"/>
                <w:sz w:val="18"/>
                <w:szCs w:val="18"/>
              </w:rPr>
              <w:t>73.0%</w:t>
            </w:r>
          </w:p>
        </w:tc>
        <w:tc>
          <w:tcPr>
            <w:tcW w:w="1473" w:type="dxa"/>
          </w:tcPr>
          <w:p w14:paraId="6A984B90" w14:textId="77777777" w:rsidR="006A2BC4" w:rsidRPr="00155498" w:rsidRDefault="006A2BC4" w:rsidP="00770F64">
            <w:pPr>
              <w:rPr>
                <w:rFonts w:cs="Arial"/>
                <w:sz w:val="18"/>
                <w:szCs w:val="18"/>
              </w:rPr>
            </w:pPr>
            <w:r w:rsidRPr="00155498">
              <w:rPr>
                <w:rFonts w:cs="Arial"/>
                <w:sz w:val="18"/>
                <w:szCs w:val="18"/>
              </w:rPr>
              <w:t>Yes</w:t>
            </w:r>
          </w:p>
        </w:tc>
      </w:tr>
    </w:tbl>
    <w:p w14:paraId="297B7B99" w14:textId="77777777" w:rsidR="00F75D37" w:rsidRPr="00D96FD3" w:rsidRDefault="00000000">
      <w:pPr>
        <w:spacing w:line="480" w:lineRule="auto"/>
        <w:rPr>
          <w:rFonts w:cs="Arial"/>
          <w:color w:val="000000" w:themeColor="text1"/>
          <w:sz w:val="18"/>
          <w:szCs w:val="18"/>
        </w:rPr>
      </w:pPr>
      <w:r w:rsidRPr="00D96FD3">
        <w:rPr>
          <w:rFonts w:cs="Arial"/>
          <w:i/>
          <w:color w:val="000000" w:themeColor="text1"/>
          <w:szCs w:val="18"/>
        </w:rPr>
        <w:t>† NN-GPU (neural network with GPU acceleration) was included in the six-model consensus pipeline (main text, Table 2) but is excluded from this seed-stability table because neural network training with stochastic gradient descent is inherently stochastic; seed-dependent weight initialisation produces non-zero SD by design. Stability for the deterministic classifiers (KNN, RF, LR, SVM, XGB) is the clinically relevant metric for reproducibility assessment.</w:t>
      </w:r>
    </w:p>
    <w:p w14:paraId="01417560" w14:textId="77777777" w:rsidR="006A2BC4" w:rsidRPr="00155498" w:rsidRDefault="006A2BC4" w:rsidP="006A2BC4">
      <w:pPr>
        <w:keepNext/>
        <w:spacing w:before="280" w:after="80"/>
        <w:rPr>
          <w:rFonts w:cs="Arial"/>
          <w:b/>
          <w:color w:val="1A1A6E"/>
          <w:sz w:val="18"/>
          <w:szCs w:val="18"/>
        </w:rPr>
      </w:pPr>
    </w:p>
    <w:p w14:paraId="4740A0B7" w14:textId="77777777" w:rsidR="00862E75" w:rsidRPr="00D96FD3" w:rsidRDefault="00862E75" w:rsidP="00862E75">
      <w:pPr>
        <w:spacing w:line="480" w:lineRule="auto"/>
        <w:jc w:val="both"/>
        <w:rPr>
          <w:rFonts w:cs="Arial"/>
          <w:b/>
          <w:bCs/>
          <w:i/>
          <w:color w:val="074F6A" w:themeColor="accent4" w:themeShade="80"/>
          <w:sz w:val="20"/>
          <w:szCs w:val="20"/>
        </w:rPr>
      </w:pPr>
      <w:r w:rsidRPr="00D96FD3">
        <w:rPr>
          <w:rFonts w:cs="Arial"/>
          <w:b/>
          <w:i/>
          <w:color w:val="074F6A" w:themeColor="accent4" w:themeShade="80"/>
          <w:sz w:val="20"/>
        </w:rPr>
        <w:t>Supplementary Table S5 | Pairwise Dunn's post-hoc significance matrix for 10 candidate clinical EEG biomarkers with clinical diagnostic utility classification.</w:t>
      </w:r>
    </w:p>
    <w:p w14:paraId="15627935" w14:textId="77777777" w:rsidR="00862E75" w:rsidRPr="00A70E2E" w:rsidRDefault="00A17386" w:rsidP="00A17386">
      <w:pPr>
        <w:spacing w:line="480" w:lineRule="auto"/>
        <w:jc w:val="both"/>
        <w:rPr>
          <w:rFonts w:cs="Arial"/>
          <w:color w:val="000000" w:themeColor="text1"/>
          <w:sz w:val="18"/>
          <w:szCs w:val="18"/>
        </w:rPr>
      </w:pPr>
      <w:r w:rsidRPr="00A70E2E">
        <w:rPr>
          <w:rFonts w:cs="Arial"/>
          <w:color w:val="000000" w:themeColor="text1"/>
          <w:szCs w:val="18"/>
        </w:rPr>
        <w:lastRenderedPageBreak/>
        <w:t xml:space="preserve">Bonferroni-corrected p-values from Dunn's pairwise post-hoc tests following Kruskal–Wallis H-tests for all 10 validated biomarkers × 3 group comparisons (AD, n = 13; MCI, n = 13; NC, n = 11). P8 (Rank 6; E23, Delta net_flow) was excluded after SHAP collinearity filtering (r = 0.91 with E20/P6; see Supplementary Fig. S2). </w:t>
      </w:r>
      <w:r w:rsidRPr="00A70E2E">
        <w:rPr>
          <w:rFonts w:cs="Segoe UI Symbol"/>
          <w:color w:val="000000" w:themeColor="text1"/>
          <w:szCs w:val="18"/>
        </w:rPr>
        <w:t>✓</w:t>
      </w:r>
      <w:r w:rsidRPr="00A70E2E">
        <w:rPr>
          <w:rFonts w:cs="Arial"/>
          <w:color w:val="000000" w:themeColor="text1"/>
          <w:szCs w:val="18"/>
        </w:rPr>
        <w:t xml:space="preserve"> = p &lt; 0.05; — = n.s. The 'Clinical Type' column classifies each biomarker by its primary diagnostic utility: NC-MCI discrimination (early screening for prodromal dementia), MCI-AD discrimination (disease progression monitoring), or both—directly mapping to two distinct clinical use cases.</w:t>
      </w:r>
    </w:p>
    <w:tbl>
      <w:tblPr>
        <w:tblStyle w:val="aa"/>
        <w:tblW w:w="9351" w:type="dxa"/>
        <w:tblLayout w:type="fixed"/>
        <w:tblLook w:val="04A0" w:firstRow="1" w:lastRow="0" w:firstColumn="1" w:lastColumn="0" w:noHBand="0" w:noVBand="1"/>
      </w:tblPr>
      <w:tblGrid>
        <w:gridCol w:w="421"/>
        <w:gridCol w:w="1275"/>
        <w:gridCol w:w="1276"/>
        <w:gridCol w:w="1186"/>
        <w:gridCol w:w="1507"/>
        <w:gridCol w:w="1276"/>
        <w:gridCol w:w="1276"/>
        <w:gridCol w:w="1134"/>
      </w:tblGrid>
      <w:tr w:rsidR="008D6BEF" w:rsidRPr="008D6BEF" w14:paraId="4CD39996" w14:textId="77777777" w:rsidTr="002617CB">
        <w:trPr>
          <w:trHeight w:val="667"/>
        </w:trPr>
        <w:tc>
          <w:tcPr>
            <w:tcW w:w="421" w:type="dxa"/>
            <w:shd w:val="clear" w:color="auto" w:fill="CAEDFB" w:themeFill="accent4" w:themeFillTint="33"/>
            <w:hideMark/>
          </w:tcPr>
          <w:p w14:paraId="7DD09455"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Rank</w:t>
            </w:r>
          </w:p>
        </w:tc>
        <w:tc>
          <w:tcPr>
            <w:tcW w:w="1275" w:type="dxa"/>
            <w:shd w:val="clear" w:color="auto" w:fill="CAEDFB" w:themeFill="accent4" w:themeFillTint="33"/>
            <w:hideMark/>
          </w:tcPr>
          <w:p w14:paraId="45D775EB"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Biomarker</w:t>
            </w:r>
          </w:p>
        </w:tc>
        <w:tc>
          <w:tcPr>
            <w:tcW w:w="1276" w:type="dxa"/>
            <w:shd w:val="clear" w:color="auto" w:fill="CAEDFB" w:themeFill="accent4" w:themeFillTint="33"/>
            <w:hideMark/>
          </w:tcPr>
          <w:p w14:paraId="75D38791"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Domain</w:t>
            </w:r>
          </w:p>
        </w:tc>
        <w:tc>
          <w:tcPr>
            <w:tcW w:w="1186" w:type="dxa"/>
            <w:shd w:val="clear" w:color="auto" w:fill="CAEDFB" w:themeFill="accent4" w:themeFillTint="33"/>
            <w:hideMark/>
          </w:tcPr>
          <w:p w14:paraId="4F04C5A7"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NC vs. MCI</w:t>
            </w:r>
            <w:r w:rsidRPr="008D6BEF">
              <w:rPr>
                <w:rFonts w:cs="Arial"/>
                <w:b/>
                <w:bCs/>
                <w:sz w:val="18"/>
                <w:szCs w:val="18"/>
                <w:lang w:eastAsia="ko-KR"/>
              </w:rPr>
              <w:br/>
              <w:t>(early screening)</w:t>
            </w:r>
          </w:p>
        </w:tc>
        <w:tc>
          <w:tcPr>
            <w:tcW w:w="1507" w:type="dxa"/>
            <w:shd w:val="clear" w:color="auto" w:fill="CAEDFB" w:themeFill="accent4" w:themeFillTint="33"/>
            <w:hideMark/>
          </w:tcPr>
          <w:p w14:paraId="051F7ACD"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MCI vs. AD</w:t>
            </w:r>
            <w:r w:rsidRPr="008D6BEF">
              <w:rPr>
                <w:rFonts w:cs="Arial"/>
                <w:b/>
                <w:bCs/>
                <w:sz w:val="18"/>
                <w:szCs w:val="18"/>
                <w:lang w:eastAsia="ko-KR"/>
              </w:rPr>
              <w:br/>
              <w:t>(progression)</w:t>
            </w:r>
          </w:p>
        </w:tc>
        <w:tc>
          <w:tcPr>
            <w:tcW w:w="1276" w:type="dxa"/>
            <w:shd w:val="clear" w:color="auto" w:fill="CAEDFB" w:themeFill="accent4" w:themeFillTint="33"/>
            <w:hideMark/>
          </w:tcPr>
          <w:p w14:paraId="23B6C9DD"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NC vs. AD</w:t>
            </w:r>
            <w:r w:rsidRPr="008D6BEF">
              <w:rPr>
                <w:rFonts w:cs="Arial"/>
                <w:b/>
                <w:bCs/>
                <w:sz w:val="18"/>
                <w:szCs w:val="18"/>
                <w:lang w:eastAsia="ko-KR"/>
              </w:rPr>
              <w:br/>
              <w:t>(diagnosis)</w:t>
            </w:r>
          </w:p>
        </w:tc>
        <w:tc>
          <w:tcPr>
            <w:tcW w:w="1276" w:type="dxa"/>
            <w:shd w:val="clear" w:color="auto" w:fill="CAEDFB" w:themeFill="accent4" w:themeFillTint="33"/>
            <w:hideMark/>
          </w:tcPr>
          <w:p w14:paraId="366AF063"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Direction Pattern</w:t>
            </w:r>
          </w:p>
        </w:tc>
        <w:tc>
          <w:tcPr>
            <w:tcW w:w="1134" w:type="dxa"/>
            <w:shd w:val="clear" w:color="auto" w:fill="CAEDFB" w:themeFill="accent4" w:themeFillTint="33"/>
            <w:hideMark/>
          </w:tcPr>
          <w:p w14:paraId="3F94DC48"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Clinical Type</w:t>
            </w:r>
          </w:p>
        </w:tc>
      </w:tr>
      <w:tr w:rsidR="008D6BEF" w:rsidRPr="008D6BEF" w14:paraId="2E1B0932" w14:textId="77777777" w:rsidTr="002617CB">
        <w:trPr>
          <w:trHeight w:val="514"/>
        </w:trPr>
        <w:tc>
          <w:tcPr>
            <w:tcW w:w="421" w:type="dxa"/>
            <w:shd w:val="clear" w:color="auto" w:fill="CAEDFB" w:themeFill="accent4" w:themeFillTint="33"/>
            <w:hideMark/>
          </w:tcPr>
          <w:p w14:paraId="6CB7EAC1" w14:textId="77777777" w:rsidR="008D6BEF" w:rsidRPr="008D6BEF" w:rsidRDefault="008D6BEF" w:rsidP="008D6BEF">
            <w:pPr>
              <w:jc w:val="both"/>
              <w:rPr>
                <w:rFonts w:cs="Arial"/>
                <w:sz w:val="18"/>
                <w:szCs w:val="18"/>
                <w:lang w:eastAsia="ko-KR"/>
              </w:rPr>
            </w:pPr>
            <w:r w:rsidRPr="008D6BEF">
              <w:rPr>
                <w:rFonts w:cs="Arial"/>
                <w:sz w:val="18"/>
                <w:szCs w:val="18"/>
                <w:lang w:eastAsia="ko-KR"/>
              </w:rPr>
              <w:t>1</w:t>
            </w:r>
          </w:p>
        </w:tc>
        <w:tc>
          <w:tcPr>
            <w:tcW w:w="1275" w:type="dxa"/>
            <w:hideMark/>
          </w:tcPr>
          <w:p w14:paraId="66B5D117" w14:textId="77777777" w:rsidR="008D6BEF" w:rsidRPr="008D6BEF" w:rsidRDefault="008D6BEF" w:rsidP="008D6BEF">
            <w:pPr>
              <w:jc w:val="both"/>
              <w:rPr>
                <w:rFonts w:cs="Arial"/>
                <w:sz w:val="18"/>
                <w:szCs w:val="18"/>
                <w:lang w:eastAsia="ko-KR"/>
              </w:rPr>
            </w:pPr>
            <w:r w:rsidRPr="008D6BEF">
              <w:rPr>
                <w:rFonts w:cs="Arial"/>
                <w:sz w:val="18"/>
                <w:szCs w:val="18"/>
                <w:lang w:eastAsia="ko-KR"/>
              </w:rPr>
              <w:t>C5 Gamma hub score</w:t>
            </w:r>
          </w:p>
        </w:tc>
        <w:tc>
          <w:tcPr>
            <w:tcW w:w="1276" w:type="dxa"/>
            <w:hideMark/>
          </w:tcPr>
          <w:p w14:paraId="68235D9C"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2FCB05FC"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(0.0000)</w:t>
            </w:r>
          </w:p>
        </w:tc>
        <w:tc>
          <w:tcPr>
            <w:tcW w:w="1507" w:type="dxa"/>
            <w:hideMark/>
          </w:tcPr>
          <w:p w14:paraId="1AB165FF"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(0.0479)</w:t>
            </w:r>
          </w:p>
        </w:tc>
        <w:tc>
          <w:tcPr>
            <w:tcW w:w="1276" w:type="dxa"/>
            <w:hideMark/>
          </w:tcPr>
          <w:p w14:paraId="22A2AC20" w14:textId="77777777" w:rsidR="008D6BEF" w:rsidRPr="008D6BEF" w:rsidRDefault="008D6BEF" w:rsidP="008D6BEF">
            <w:pPr>
              <w:jc w:val="both"/>
              <w:rPr>
                <w:rFonts w:cs="Arial"/>
                <w:sz w:val="18"/>
                <w:szCs w:val="18"/>
                <w:lang w:eastAsia="ko-KR"/>
              </w:rPr>
            </w:pPr>
            <w:r w:rsidRPr="008D6BEF">
              <w:rPr>
                <w:rFonts w:cs="Arial"/>
                <w:sz w:val="18"/>
                <w:szCs w:val="18"/>
                <w:lang w:eastAsia="ko-KR"/>
              </w:rPr>
              <w:t>— (0.061)</w:t>
            </w:r>
          </w:p>
        </w:tc>
        <w:tc>
          <w:tcPr>
            <w:tcW w:w="1276" w:type="dxa"/>
            <w:hideMark/>
          </w:tcPr>
          <w:p w14:paraId="55B1FBD9" w14:textId="77777777" w:rsidR="008D6BEF" w:rsidRPr="008D6BEF" w:rsidRDefault="008D6BEF" w:rsidP="008D6BEF">
            <w:pPr>
              <w:jc w:val="both"/>
              <w:rPr>
                <w:rFonts w:cs="Arial"/>
                <w:sz w:val="18"/>
                <w:szCs w:val="18"/>
                <w:lang w:eastAsia="ko-KR"/>
              </w:rPr>
            </w:pPr>
            <w:r w:rsidRPr="008D6BEF">
              <w:rPr>
                <w:rFonts w:cs="Arial"/>
                <w:sz w:val="18"/>
                <w:szCs w:val="18"/>
                <w:lang w:eastAsia="ko-KR"/>
              </w:rPr>
              <w:t>MCI&gt;NC / MCI&gt;AD / AD&gt;NC</w:t>
            </w:r>
          </w:p>
        </w:tc>
        <w:tc>
          <w:tcPr>
            <w:tcW w:w="1134" w:type="dxa"/>
            <w:hideMark/>
          </w:tcPr>
          <w:p w14:paraId="2817A4D3"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 + MCI-AD</w:t>
            </w:r>
          </w:p>
        </w:tc>
      </w:tr>
      <w:tr w:rsidR="008D6BEF" w:rsidRPr="008D6BEF" w14:paraId="0FFFFB77" w14:textId="77777777" w:rsidTr="002617CB">
        <w:trPr>
          <w:trHeight w:val="340"/>
        </w:trPr>
        <w:tc>
          <w:tcPr>
            <w:tcW w:w="421" w:type="dxa"/>
            <w:shd w:val="clear" w:color="auto" w:fill="CAEDFB" w:themeFill="accent4" w:themeFillTint="33"/>
            <w:hideMark/>
          </w:tcPr>
          <w:p w14:paraId="5E3C9522" w14:textId="77777777" w:rsidR="008D6BEF" w:rsidRPr="008D6BEF" w:rsidRDefault="008D6BEF" w:rsidP="008D6BEF">
            <w:pPr>
              <w:jc w:val="both"/>
              <w:rPr>
                <w:rFonts w:cs="Arial"/>
                <w:sz w:val="18"/>
                <w:szCs w:val="18"/>
                <w:lang w:eastAsia="ko-KR"/>
              </w:rPr>
            </w:pPr>
            <w:r w:rsidRPr="008D6BEF">
              <w:rPr>
                <w:rFonts w:cs="Arial"/>
                <w:sz w:val="18"/>
                <w:szCs w:val="18"/>
                <w:lang w:eastAsia="ko-KR"/>
              </w:rPr>
              <w:t>2</w:t>
            </w:r>
          </w:p>
        </w:tc>
        <w:tc>
          <w:tcPr>
            <w:tcW w:w="1275" w:type="dxa"/>
            <w:hideMark/>
          </w:tcPr>
          <w:p w14:paraId="55322E9D" w14:textId="77777777" w:rsidR="008D6BEF" w:rsidRPr="008D6BEF" w:rsidRDefault="008D6BEF" w:rsidP="008D6BEF">
            <w:pPr>
              <w:jc w:val="both"/>
              <w:rPr>
                <w:rFonts w:cs="Arial"/>
                <w:sz w:val="18"/>
                <w:szCs w:val="18"/>
                <w:lang w:eastAsia="ko-KR"/>
              </w:rPr>
            </w:pPr>
            <w:r w:rsidRPr="008D6BEF">
              <w:rPr>
                <w:rFonts w:cs="Arial"/>
                <w:sz w:val="18"/>
                <w:szCs w:val="18"/>
                <w:lang w:eastAsia="ko-KR"/>
              </w:rPr>
              <w:t>P5 Alpha net flow</w:t>
            </w:r>
          </w:p>
        </w:tc>
        <w:tc>
          <w:tcPr>
            <w:tcW w:w="1276" w:type="dxa"/>
            <w:hideMark/>
          </w:tcPr>
          <w:p w14:paraId="01332125"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218B2F55" w14:textId="77777777" w:rsidR="008D6BEF" w:rsidRPr="008D6BEF" w:rsidRDefault="008D6BEF" w:rsidP="008D6BEF">
            <w:pPr>
              <w:jc w:val="both"/>
              <w:rPr>
                <w:rFonts w:cs="Arial"/>
                <w:sz w:val="18"/>
                <w:szCs w:val="18"/>
                <w:lang w:eastAsia="ko-KR"/>
              </w:rPr>
            </w:pPr>
            <w:r w:rsidRPr="008D6BEF">
              <w:rPr>
                <w:rFonts w:cs="Arial"/>
                <w:sz w:val="18"/>
                <w:szCs w:val="18"/>
                <w:lang w:eastAsia="ko-KR"/>
              </w:rPr>
              <w:t>— (1.000)</w:t>
            </w:r>
          </w:p>
        </w:tc>
        <w:tc>
          <w:tcPr>
            <w:tcW w:w="1507" w:type="dxa"/>
            <w:hideMark/>
          </w:tcPr>
          <w:p w14:paraId="73A38DC5"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(0.0119)</w:t>
            </w:r>
          </w:p>
        </w:tc>
        <w:tc>
          <w:tcPr>
            <w:tcW w:w="1276" w:type="dxa"/>
            <w:hideMark/>
          </w:tcPr>
          <w:p w14:paraId="6482A541"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(0.0007)</w:t>
            </w:r>
          </w:p>
        </w:tc>
        <w:tc>
          <w:tcPr>
            <w:tcW w:w="1276" w:type="dxa"/>
            <w:hideMark/>
          </w:tcPr>
          <w:p w14:paraId="030A993E" w14:textId="77777777" w:rsidR="008D6BEF" w:rsidRPr="008D6BEF" w:rsidRDefault="008D6BEF" w:rsidP="008D6BEF">
            <w:pPr>
              <w:jc w:val="both"/>
              <w:rPr>
                <w:rFonts w:cs="Arial"/>
                <w:sz w:val="18"/>
                <w:szCs w:val="18"/>
                <w:lang w:eastAsia="ko-KR"/>
              </w:rPr>
            </w:pPr>
            <w:r w:rsidRPr="008D6BEF">
              <w:rPr>
                <w:rFonts w:cs="Arial"/>
                <w:sz w:val="18"/>
                <w:szCs w:val="18"/>
                <w:lang w:eastAsia="ko-KR"/>
              </w:rPr>
              <w:t>MCI&gt;NC / AD&gt;MCI / AD&gt;NC</w:t>
            </w:r>
          </w:p>
        </w:tc>
        <w:tc>
          <w:tcPr>
            <w:tcW w:w="1134" w:type="dxa"/>
            <w:hideMark/>
          </w:tcPr>
          <w:p w14:paraId="48A57ED8" w14:textId="77777777" w:rsidR="008D6BEF" w:rsidRPr="008D6BEF" w:rsidRDefault="008D6BEF" w:rsidP="008D6BEF">
            <w:pPr>
              <w:jc w:val="both"/>
              <w:rPr>
                <w:rFonts w:cs="Arial"/>
                <w:sz w:val="18"/>
                <w:szCs w:val="18"/>
                <w:lang w:eastAsia="ko-KR"/>
              </w:rPr>
            </w:pPr>
            <w:r w:rsidRPr="008D6BEF">
              <w:rPr>
                <w:rFonts w:cs="Arial"/>
                <w:sz w:val="18"/>
                <w:szCs w:val="18"/>
                <w:lang w:eastAsia="ko-KR"/>
              </w:rPr>
              <w:t>MCI-AD + NC-AD</w:t>
            </w:r>
          </w:p>
        </w:tc>
      </w:tr>
      <w:tr w:rsidR="008D6BEF" w:rsidRPr="008D6BEF" w14:paraId="099DEC78" w14:textId="77777777" w:rsidTr="002617CB">
        <w:trPr>
          <w:trHeight w:val="340"/>
        </w:trPr>
        <w:tc>
          <w:tcPr>
            <w:tcW w:w="421" w:type="dxa"/>
            <w:shd w:val="clear" w:color="auto" w:fill="CAEDFB" w:themeFill="accent4" w:themeFillTint="33"/>
            <w:hideMark/>
          </w:tcPr>
          <w:p w14:paraId="6A5ECA49" w14:textId="77777777" w:rsidR="008D6BEF" w:rsidRPr="008D6BEF" w:rsidRDefault="008D6BEF" w:rsidP="008D6BEF">
            <w:pPr>
              <w:jc w:val="both"/>
              <w:rPr>
                <w:rFonts w:cs="Arial"/>
                <w:sz w:val="18"/>
                <w:szCs w:val="18"/>
                <w:lang w:eastAsia="ko-KR"/>
              </w:rPr>
            </w:pPr>
            <w:r w:rsidRPr="008D6BEF">
              <w:rPr>
                <w:rFonts w:cs="Arial"/>
                <w:sz w:val="18"/>
                <w:szCs w:val="18"/>
                <w:lang w:eastAsia="ko-KR"/>
              </w:rPr>
              <w:t>3</w:t>
            </w:r>
          </w:p>
        </w:tc>
        <w:tc>
          <w:tcPr>
            <w:tcW w:w="1275" w:type="dxa"/>
            <w:hideMark/>
          </w:tcPr>
          <w:p w14:paraId="51834C5A"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PO3 Gamma mean </w:t>
            </w:r>
            <w:proofErr w:type="spellStart"/>
            <w:r w:rsidRPr="008D6BEF">
              <w:rPr>
                <w:rFonts w:cs="Arial"/>
                <w:sz w:val="18"/>
                <w:szCs w:val="18"/>
                <w:lang w:eastAsia="ko-KR"/>
              </w:rPr>
              <w:t>pte</w:t>
            </w:r>
            <w:proofErr w:type="spellEnd"/>
          </w:p>
        </w:tc>
        <w:tc>
          <w:tcPr>
            <w:tcW w:w="1276" w:type="dxa"/>
            <w:hideMark/>
          </w:tcPr>
          <w:p w14:paraId="3514FFDF"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01A8EC6D"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(0.0284)</w:t>
            </w:r>
          </w:p>
        </w:tc>
        <w:tc>
          <w:tcPr>
            <w:tcW w:w="1507" w:type="dxa"/>
            <w:hideMark/>
          </w:tcPr>
          <w:p w14:paraId="4882BFFA"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(0.0003)</w:t>
            </w:r>
          </w:p>
        </w:tc>
        <w:tc>
          <w:tcPr>
            <w:tcW w:w="1276" w:type="dxa"/>
            <w:hideMark/>
          </w:tcPr>
          <w:p w14:paraId="5B0BC45E" w14:textId="77777777" w:rsidR="008D6BEF" w:rsidRPr="008D6BEF" w:rsidRDefault="008D6BEF" w:rsidP="008D6BEF">
            <w:pPr>
              <w:jc w:val="both"/>
              <w:rPr>
                <w:rFonts w:cs="Arial"/>
                <w:sz w:val="18"/>
                <w:szCs w:val="18"/>
                <w:lang w:eastAsia="ko-KR"/>
              </w:rPr>
            </w:pPr>
            <w:r w:rsidRPr="008D6BEF">
              <w:rPr>
                <w:rFonts w:cs="Arial"/>
                <w:sz w:val="18"/>
                <w:szCs w:val="18"/>
                <w:lang w:eastAsia="ko-KR"/>
              </w:rPr>
              <w:t>— (0.769)</w:t>
            </w:r>
          </w:p>
        </w:tc>
        <w:tc>
          <w:tcPr>
            <w:tcW w:w="1276" w:type="dxa"/>
            <w:hideMark/>
          </w:tcPr>
          <w:p w14:paraId="6D793AB0" w14:textId="77777777" w:rsidR="008D6BEF" w:rsidRPr="008D6BEF" w:rsidRDefault="008D6BEF" w:rsidP="008D6BEF">
            <w:pPr>
              <w:jc w:val="both"/>
              <w:rPr>
                <w:rFonts w:cs="Arial"/>
                <w:sz w:val="18"/>
                <w:szCs w:val="18"/>
                <w:lang w:eastAsia="ko-KR"/>
              </w:rPr>
            </w:pPr>
            <w:r w:rsidRPr="008D6BEF">
              <w:rPr>
                <w:rFonts w:cs="Arial"/>
                <w:sz w:val="18"/>
                <w:szCs w:val="18"/>
                <w:lang w:eastAsia="ko-KR"/>
              </w:rPr>
              <w:t>NC&gt;MCI / AD&gt;MCI / AD&gt;NC</w:t>
            </w:r>
          </w:p>
        </w:tc>
        <w:tc>
          <w:tcPr>
            <w:tcW w:w="1134" w:type="dxa"/>
            <w:hideMark/>
          </w:tcPr>
          <w:p w14:paraId="5ECD6B65"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 + MCI-AD</w:t>
            </w:r>
          </w:p>
        </w:tc>
      </w:tr>
      <w:tr w:rsidR="008D6BEF" w:rsidRPr="008D6BEF" w14:paraId="1F6DC987" w14:textId="77777777" w:rsidTr="002617CB">
        <w:trPr>
          <w:trHeight w:val="340"/>
        </w:trPr>
        <w:tc>
          <w:tcPr>
            <w:tcW w:w="421" w:type="dxa"/>
            <w:shd w:val="clear" w:color="auto" w:fill="CAEDFB" w:themeFill="accent4" w:themeFillTint="33"/>
            <w:hideMark/>
          </w:tcPr>
          <w:p w14:paraId="0A8564DB" w14:textId="77777777" w:rsidR="008D6BEF" w:rsidRPr="008D6BEF" w:rsidRDefault="008D6BEF" w:rsidP="008D6BEF">
            <w:pPr>
              <w:jc w:val="both"/>
              <w:rPr>
                <w:rFonts w:cs="Arial"/>
                <w:sz w:val="18"/>
                <w:szCs w:val="18"/>
                <w:lang w:eastAsia="ko-KR"/>
              </w:rPr>
            </w:pPr>
            <w:r w:rsidRPr="008D6BEF">
              <w:rPr>
                <w:rFonts w:cs="Arial"/>
                <w:sz w:val="18"/>
                <w:szCs w:val="18"/>
                <w:lang w:eastAsia="ko-KR"/>
              </w:rPr>
              <w:t>4</w:t>
            </w:r>
          </w:p>
        </w:tc>
        <w:tc>
          <w:tcPr>
            <w:tcW w:w="1275" w:type="dxa"/>
            <w:hideMark/>
          </w:tcPr>
          <w:p w14:paraId="3A7ACDF2" w14:textId="77777777" w:rsidR="008D6BEF" w:rsidRPr="008D6BEF" w:rsidRDefault="008D6BEF" w:rsidP="008D6BEF">
            <w:pPr>
              <w:jc w:val="both"/>
              <w:rPr>
                <w:rFonts w:cs="Arial"/>
                <w:sz w:val="18"/>
                <w:szCs w:val="18"/>
                <w:lang w:eastAsia="ko-KR"/>
              </w:rPr>
            </w:pPr>
            <w:r w:rsidRPr="008D6BEF">
              <w:rPr>
                <w:rFonts w:cs="Arial"/>
                <w:sz w:val="18"/>
                <w:szCs w:val="18"/>
                <w:lang w:eastAsia="ko-KR"/>
              </w:rPr>
              <w:t>PO8 Beta net flow</w:t>
            </w:r>
          </w:p>
        </w:tc>
        <w:tc>
          <w:tcPr>
            <w:tcW w:w="1276" w:type="dxa"/>
            <w:hideMark/>
          </w:tcPr>
          <w:p w14:paraId="143B9316"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4C86621F"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(0.0137)</w:t>
            </w:r>
          </w:p>
        </w:tc>
        <w:tc>
          <w:tcPr>
            <w:tcW w:w="1507" w:type="dxa"/>
            <w:hideMark/>
          </w:tcPr>
          <w:p w14:paraId="5A6F22C4" w14:textId="77777777" w:rsidR="008D6BEF" w:rsidRPr="008D6BEF" w:rsidRDefault="008D6BEF" w:rsidP="008D6BEF">
            <w:pPr>
              <w:jc w:val="both"/>
              <w:rPr>
                <w:rFonts w:cs="Arial"/>
                <w:sz w:val="18"/>
                <w:szCs w:val="18"/>
                <w:lang w:eastAsia="ko-KR"/>
              </w:rPr>
            </w:pPr>
            <w:r w:rsidRPr="008D6BEF">
              <w:rPr>
                <w:rFonts w:cs="Arial"/>
                <w:sz w:val="18"/>
                <w:szCs w:val="18"/>
                <w:lang w:eastAsia="ko-KR"/>
              </w:rPr>
              <w:t>— (0.050)</w:t>
            </w:r>
          </w:p>
        </w:tc>
        <w:tc>
          <w:tcPr>
            <w:tcW w:w="1276" w:type="dxa"/>
            <w:hideMark/>
          </w:tcPr>
          <w:p w14:paraId="74959B6E" w14:textId="77777777" w:rsidR="008D6BEF" w:rsidRPr="008D6BEF" w:rsidRDefault="008D6BEF" w:rsidP="008D6BEF">
            <w:pPr>
              <w:jc w:val="both"/>
              <w:rPr>
                <w:rFonts w:cs="Arial"/>
                <w:sz w:val="18"/>
                <w:szCs w:val="18"/>
                <w:lang w:eastAsia="ko-KR"/>
              </w:rPr>
            </w:pPr>
            <w:r w:rsidRPr="008D6BEF">
              <w:rPr>
                <w:rFonts w:cs="Arial"/>
                <w:sz w:val="18"/>
                <w:szCs w:val="18"/>
                <w:lang w:eastAsia="ko-KR"/>
              </w:rPr>
              <w:t>— (1.000)</w:t>
            </w:r>
          </w:p>
        </w:tc>
        <w:tc>
          <w:tcPr>
            <w:tcW w:w="1276" w:type="dxa"/>
            <w:hideMark/>
          </w:tcPr>
          <w:p w14:paraId="2A78D02F" w14:textId="77777777" w:rsidR="008D6BEF" w:rsidRPr="008D6BEF" w:rsidRDefault="008D6BEF" w:rsidP="008D6BEF">
            <w:pPr>
              <w:jc w:val="both"/>
              <w:rPr>
                <w:rFonts w:cs="Arial"/>
                <w:sz w:val="18"/>
                <w:szCs w:val="18"/>
                <w:lang w:eastAsia="ko-KR"/>
              </w:rPr>
            </w:pPr>
            <w:r w:rsidRPr="008D6BEF">
              <w:rPr>
                <w:rFonts w:cs="Arial"/>
                <w:sz w:val="18"/>
                <w:szCs w:val="18"/>
                <w:lang w:eastAsia="ko-KR"/>
              </w:rPr>
              <w:t>NC&gt;MCI / AD&gt;MCI / NC&gt;AD</w:t>
            </w:r>
          </w:p>
        </w:tc>
        <w:tc>
          <w:tcPr>
            <w:tcW w:w="1134" w:type="dxa"/>
            <w:hideMark/>
          </w:tcPr>
          <w:p w14:paraId="77D77343"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w:t>
            </w:r>
          </w:p>
        </w:tc>
      </w:tr>
      <w:tr w:rsidR="008D6BEF" w:rsidRPr="008D6BEF" w14:paraId="5A82B6AD" w14:textId="77777777" w:rsidTr="002617CB">
        <w:trPr>
          <w:trHeight w:val="340"/>
        </w:trPr>
        <w:tc>
          <w:tcPr>
            <w:tcW w:w="421" w:type="dxa"/>
            <w:shd w:val="clear" w:color="auto" w:fill="CAEDFB" w:themeFill="accent4" w:themeFillTint="33"/>
            <w:hideMark/>
          </w:tcPr>
          <w:p w14:paraId="51D90101" w14:textId="77777777" w:rsidR="008D6BEF" w:rsidRPr="008D6BEF" w:rsidRDefault="008D6BEF" w:rsidP="008D6BEF">
            <w:pPr>
              <w:jc w:val="both"/>
              <w:rPr>
                <w:rFonts w:cs="Arial"/>
                <w:sz w:val="18"/>
                <w:szCs w:val="18"/>
                <w:lang w:eastAsia="ko-KR"/>
              </w:rPr>
            </w:pPr>
            <w:r w:rsidRPr="008D6BEF">
              <w:rPr>
                <w:rFonts w:cs="Arial"/>
                <w:sz w:val="18"/>
                <w:szCs w:val="18"/>
                <w:lang w:eastAsia="ko-KR"/>
              </w:rPr>
              <w:t>5</w:t>
            </w:r>
          </w:p>
        </w:tc>
        <w:tc>
          <w:tcPr>
            <w:tcW w:w="1275" w:type="dxa"/>
            <w:hideMark/>
          </w:tcPr>
          <w:p w14:paraId="0D086FB7"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Fp2 </w:t>
            </w:r>
            <w:proofErr w:type="spellStart"/>
            <w:r w:rsidRPr="008D6BEF">
              <w:rPr>
                <w:rFonts w:cs="Arial"/>
                <w:sz w:val="18"/>
                <w:szCs w:val="18"/>
                <w:lang w:eastAsia="ko-KR"/>
              </w:rPr>
              <w:t>HighBeta</w:t>
            </w:r>
            <w:proofErr w:type="spellEnd"/>
            <w:r w:rsidRPr="008D6BEF">
              <w:rPr>
                <w:rFonts w:cs="Arial"/>
                <w:sz w:val="18"/>
                <w:szCs w:val="18"/>
                <w:lang w:eastAsia="ko-KR"/>
              </w:rPr>
              <w:t xml:space="preserve"> </w:t>
            </w:r>
            <w:proofErr w:type="spellStart"/>
            <w:r w:rsidRPr="008D6BEF">
              <w:rPr>
                <w:rFonts w:cs="Arial"/>
                <w:sz w:val="18"/>
                <w:szCs w:val="18"/>
                <w:lang w:eastAsia="ko-KR"/>
              </w:rPr>
              <w:t>kurt</w:t>
            </w:r>
            <w:proofErr w:type="spellEnd"/>
          </w:p>
        </w:tc>
        <w:tc>
          <w:tcPr>
            <w:tcW w:w="1276" w:type="dxa"/>
            <w:hideMark/>
          </w:tcPr>
          <w:p w14:paraId="17B2659F" w14:textId="77777777" w:rsidR="008D6BEF" w:rsidRPr="008D6BEF" w:rsidRDefault="008D6BEF" w:rsidP="008D6BEF">
            <w:pPr>
              <w:jc w:val="both"/>
              <w:rPr>
                <w:rFonts w:cs="Arial"/>
                <w:sz w:val="18"/>
                <w:szCs w:val="18"/>
                <w:lang w:eastAsia="ko-KR"/>
              </w:rPr>
            </w:pPr>
            <w:r w:rsidRPr="008D6BEF">
              <w:rPr>
                <w:rFonts w:cs="Arial"/>
                <w:sz w:val="18"/>
                <w:szCs w:val="18"/>
                <w:lang w:eastAsia="ko-KR"/>
              </w:rPr>
              <w:t>Statistical</w:t>
            </w:r>
          </w:p>
        </w:tc>
        <w:tc>
          <w:tcPr>
            <w:tcW w:w="1186" w:type="dxa"/>
            <w:hideMark/>
          </w:tcPr>
          <w:p w14:paraId="31F149B2" w14:textId="77777777" w:rsidR="008D6BEF" w:rsidRPr="008D6BEF" w:rsidRDefault="008D6BEF" w:rsidP="008D6BEF">
            <w:pPr>
              <w:jc w:val="both"/>
              <w:rPr>
                <w:rFonts w:cs="Arial"/>
                <w:sz w:val="18"/>
                <w:szCs w:val="18"/>
                <w:lang w:eastAsia="ko-KR"/>
              </w:rPr>
            </w:pPr>
            <w:r w:rsidRPr="008D6BEF">
              <w:rPr>
                <w:rFonts w:cs="Arial"/>
                <w:sz w:val="18"/>
                <w:szCs w:val="18"/>
                <w:lang w:eastAsia="ko-KR"/>
              </w:rPr>
              <w:t>— (0.604)</w:t>
            </w:r>
          </w:p>
        </w:tc>
        <w:tc>
          <w:tcPr>
            <w:tcW w:w="1507" w:type="dxa"/>
            <w:hideMark/>
          </w:tcPr>
          <w:p w14:paraId="10A50FB4"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(0.0016)</w:t>
            </w:r>
          </w:p>
        </w:tc>
        <w:tc>
          <w:tcPr>
            <w:tcW w:w="1276" w:type="dxa"/>
            <w:hideMark/>
          </w:tcPr>
          <w:p w14:paraId="27581E4B" w14:textId="77777777" w:rsidR="008D6BEF" w:rsidRPr="008D6BEF" w:rsidRDefault="008D6BEF" w:rsidP="008D6BEF">
            <w:pPr>
              <w:jc w:val="both"/>
              <w:rPr>
                <w:rFonts w:cs="Arial"/>
                <w:sz w:val="18"/>
                <w:szCs w:val="18"/>
                <w:lang w:eastAsia="ko-KR"/>
              </w:rPr>
            </w:pPr>
            <w:r w:rsidRPr="008D6BEF">
              <w:rPr>
                <w:rFonts w:cs="Arial"/>
                <w:sz w:val="18"/>
                <w:szCs w:val="18"/>
                <w:lang w:eastAsia="ko-KR"/>
              </w:rPr>
              <w:t>— (0.125)</w:t>
            </w:r>
          </w:p>
        </w:tc>
        <w:tc>
          <w:tcPr>
            <w:tcW w:w="1276" w:type="dxa"/>
            <w:hideMark/>
          </w:tcPr>
          <w:p w14:paraId="7A8EFC08" w14:textId="77777777" w:rsidR="008D6BEF" w:rsidRPr="008D6BEF" w:rsidRDefault="008D6BEF" w:rsidP="008D6BEF">
            <w:pPr>
              <w:jc w:val="both"/>
              <w:rPr>
                <w:rFonts w:cs="Arial"/>
                <w:sz w:val="18"/>
                <w:szCs w:val="18"/>
                <w:lang w:eastAsia="ko-KR"/>
              </w:rPr>
            </w:pPr>
            <w:r w:rsidRPr="008D6BEF">
              <w:rPr>
                <w:rFonts w:cs="Arial"/>
                <w:sz w:val="18"/>
                <w:szCs w:val="18"/>
                <w:lang w:eastAsia="ko-KR"/>
              </w:rPr>
              <w:t>MCI&gt;NC / MCI&gt;AD / NC&gt;AD</w:t>
            </w:r>
          </w:p>
        </w:tc>
        <w:tc>
          <w:tcPr>
            <w:tcW w:w="1134" w:type="dxa"/>
            <w:hideMark/>
          </w:tcPr>
          <w:p w14:paraId="5A67C879" w14:textId="77777777" w:rsidR="008D6BEF" w:rsidRPr="008D6BEF" w:rsidRDefault="008D6BEF" w:rsidP="008D6BEF">
            <w:pPr>
              <w:jc w:val="both"/>
              <w:rPr>
                <w:rFonts w:cs="Arial"/>
                <w:sz w:val="18"/>
                <w:szCs w:val="18"/>
                <w:lang w:eastAsia="ko-KR"/>
              </w:rPr>
            </w:pPr>
            <w:r w:rsidRPr="008D6BEF">
              <w:rPr>
                <w:rFonts w:cs="Arial"/>
                <w:sz w:val="18"/>
                <w:szCs w:val="18"/>
                <w:lang w:eastAsia="ko-KR"/>
              </w:rPr>
              <w:t>MCI-AD</w:t>
            </w:r>
          </w:p>
        </w:tc>
      </w:tr>
      <w:tr w:rsidR="008D6BEF" w:rsidRPr="008D6BEF" w14:paraId="12EE6E68" w14:textId="77777777" w:rsidTr="002617CB">
        <w:trPr>
          <w:trHeight w:val="340"/>
        </w:trPr>
        <w:tc>
          <w:tcPr>
            <w:tcW w:w="421" w:type="dxa"/>
            <w:shd w:val="clear" w:color="auto" w:fill="CAEDFB" w:themeFill="accent4" w:themeFillTint="33"/>
            <w:hideMark/>
          </w:tcPr>
          <w:p w14:paraId="63A6FA30" w14:textId="77777777" w:rsidR="008D6BEF" w:rsidRPr="008D6BEF" w:rsidRDefault="008D6BEF" w:rsidP="008D6BEF">
            <w:pPr>
              <w:jc w:val="both"/>
              <w:rPr>
                <w:rFonts w:cs="Arial"/>
                <w:sz w:val="18"/>
                <w:szCs w:val="18"/>
                <w:lang w:eastAsia="ko-KR"/>
              </w:rPr>
            </w:pPr>
            <w:r w:rsidRPr="008D6BEF">
              <w:rPr>
                <w:rFonts w:cs="Arial"/>
                <w:sz w:val="18"/>
                <w:szCs w:val="18"/>
                <w:lang w:eastAsia="ko-KR"/>
              </w:rPr>
              <w:t>7</w:t>
            </w:r>
          </w:p>
        </w:tc>
        <w:tc>
          <w:tcPr>
            <w:tcW w:w="1275" w:type="dxa"/>
            <w:hideMark/>
          </w:tcPr>
          <w:p w14:paraId="17D9007F" w14:textId="77777777" w:rsidR="008D6BEF" w:rsidRPr="008D6BEF" w:rsidRDefault="008D6BEF" w:rsidP="008D6BEF">
            <w:pPr>
              <w:jc w:val="both"/>
              <w:rPr>
                <w:rFonts w:cs="Arial"/>
                <w:sz w:val="18"/>
                <w:szCs w:val="18"/>
                <w:lang w:eastAsia="ko-KR"/>
              </w:rPr>
            </w:pPr>
            <w:r w:rsidRPr="008D6BEF">
              <w:rPr>
                <w:rFonts w:cs="Arial"/>
                <w:sz w:val="18"/>
                <w:szCs w:val="18"/>
                <w:lang w:eastAsia="ko-KR"/>
              </w:rPr>
              <w:t>FC6 Delta hub score</w:t>
            </w:r>
          </w:p>
        </w:tc>
        <w:tc>
          <w:tcPr>
            <w:tcW w:w="1276" w:type="dxa"/>
            <w:hideMark/>
          </w:tcPr>
          <w:p w14:paraId="7AF4C1AE"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1AB71D3C"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(0.0479)</w:t>
            </w:r>
          </w:p>
        </w:tc>
        <w:tc>
          <w:tcPr>
            <w:tcW w:w="1507" w:type="dxa"/>
            <w:hideMark/>
          </w:tcPr>
          <w:p w14:paraId="7DE9455C"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(0.0197)</w:t>
            </w:r>
          </w:p>
        </w:tc>
        <w:tc>
          <w:tcPr>
            <w:tcW w:w="1276" w:type="dxa"/>
            <w:hideMark/>
          </w:tcPr>
          <w:p w14:paraId="7916CDF5" w14:textId="77777777" w:rsidR="008D6BEF" w:rsidRPr="008D6BEF" w:rsidRDefault="008D6BEF" w:rsidP="008D6BEF">
            <w:pPr>
              <w:jc w:val="both"/>
              <w:rPr>
                <w:rFonts w:cs="Arial"/>
                <w:sz w:val="18"/>
                <w:szCs w:val="18"/>
                <w:lang w:eastAsia="ko-KR"/>
              </w:rPr>
            </w:pPr>
            <w:r w:rsidRPr="008D6BEF">
              <w:rPr>
                <w:rFonts w:cs="Arial"/>
                <w:sz w:val="18"/>
                <w:szCs w:val="18"/>
                <w:lang w:eastAsia="ko-KR"/>
              </w:rPr>
              <w:t>— (1.000)</w:t>
            </w:r>
          </w:p>
        </w:tc>
        <w:tc>
          <w:tcPr>
            <w:tcW w:w="1276" w:type="dxa"/>
            <w:hideMark/>
          </w:tcPr>
          <w:p w14:paraId="7AE833A6" w14:textId="77777777" w:rsidR="008D6BEF" w:rsidRPr="008D6BEF" w:rsidRDefault="008D6BEF" w:rsidP="008D6BEF">
            <w:pPr>
              <w:jc w:val="both"/>
              <w:rPr>
                <w:rFonts w:cs="Arial"/>
                <w:sz w:val="18"/>
                <w:szCs w:val="18"/>
                <w:lang w:eastAsia="ko-KR"/>
              </w:rPr>
            </w:pPr>
            <w:r w:rsidRPr="008D6BEF">
              <w:rPr>
                <w:rFonts w:cs="Arial"/>
                <w:sz w:val="18"/>
                <w:szCs w:val="18"/>
                <w:lang w:eastAsia="ko-KR"/>
              </w:rPr>
              <w:t>NC&gt;MCI / AD&gt;MCI / NC&gt;AD</w:t>
            </w:r>
          </w:p>
        </w:tc>
        <w:tc>
          <w:tcPr>
            <w:tcW w:w="1134" w:type="dxa"/>
            <w:hideMark/>
          </w:tcPr>
          <w:p w14:paraId="39126D0D"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 + MCI-AD</w:t>
            </w:r>
          </w:p>
        </w:tc>
      </w:tr>
      <w:tr w:rsidR="008D6BEF" w:rsidRPr="008D6BEF" w14:paraId="1FF76354" w14:textId="77777777" w:rsidTr="002617CB">
        <w:trPr>
          <w:trHeight w:val="340"/>
        </w:trPr>
        <w:tc>
          <w:tcPr>
            <w:tcW w:w="421" w:type="dxa"/>
            <w:shd w:val="clear" w:color="auto" w:fill="CAEDFB" w:themeFill="accent4" w:themeFillTint="33"/>
            <w:hideMark/>
          </w:tcPr>
          <w:p w14:paraId="600E47B9" w14:textId="77777777" w:rsidR="008D6BEF" w:rsidRPr="008D6BEF" w:rsidRDefault="008D6BEF" w:rsidP="008D6BEF">
            <w:pPr>
              <w:jc w:val="both"/>
              <w:rPr>
                <w:rFonts w:cs="Arial"/>
                <w:sz w:val="18"/>
                <w:szCs w:val="18"/>
                <w:lang w:eastAsia="ko-KR"/>
              </w:rPr>
            </w:pPr>
            <w:r w:rsidRPr="008D6BEF">
              <w:rPr>
                <w:rFonts w:cs="Arial"/>
                <w:sz w:val="18"/>
                <w:szCs w:val="18"/>
                <w:lang w:eastAsia="ko-KR"/>
              </w:rPr>
              <w:t>8</w:t>
            </w:r>
          </w:p>
        </w:tc>
        <w:tc>
          <w:tcPr>
            <w:tcW w:w="1275" w:type="dxa"/>
            <w:hideMark/>
          </w:tcPr>
          <w:p w14:paraId="1EE26A09"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FC2 </w:t>
            </w:r>
            <w:proofErr w:type="spellStart"/>
            <w:r w:rsidRPr="008D6BEF">
              <w:rPr>
                <w:rFonts w:cs="Arial"/>
                <w:sz w:val="18"/>
                <w:szCs w:val="18"/>
                <w:lang w:eastAsia="ko-KR"/>
              </w:rPr>
              <w:t>BandRatio</w:t>
            </w:r>
            <w:proofErr w:type="spellEnd"/>
            <w:r w:rsidRPr="008D6BEF">
              <w:rPr>
                <w:rFonts w:cs="Arial"/>
                <w:sz w:val="18"/>
                <w:szCs w:val="18"/>
                <w:lang w:eastAsia="ko-KR"/>
              </w:rPr>
              <w:t xml:space="preserve"> alpha theta</w:t>
            </w:r>
          </w:p>
        </w:tc>
        <w:tc>
          <w:tcPr>
            <w:tcW w:w="1276" w:type="dxa"/>
            <w:hideMark/>
          </w:tcPr>
          <w:p w14:paraId="6F0AAF56" w14:textId="77777777" w:rsidR="008D6BEF" w:rsidRPr="008D6BEF" w:rsidRDefault="008D6BEF" w:rsidP="008D6BEF">
            <w:pPr>
              <w:jc w:val="both"/>
              <w:rPr>
                <w:rFonts w:cs="Arial"/>
                <w:sz w:val="18"/>
                <w:szCs w:val="18"/>
                <w:lang w:eastAsia="ko-KR"/>
              </w:rPr>
            </w:pPr>
            <w:r w:rsidRPr="008D6BEF">
              <w:rPr>
                <w:rFonts w:cs="Arial"/>
                <w:sz w:val="18"/>
                <w:szCs w:val="18"/>
                <w:lang w:eastAsia="ko-KR"/>
              </w:rPr>
              <w:t>Spectral-Ratio</w:t>
            </w:r>
          </w:p>
        </w:tc>
        <w:tc>
          <w:tcPr>
            <w:tcW w:w="1186" w:type="dxa"/>
            <w:hideMark/>
          </w:tcPr>
          <w:p w14:paraId="07F56ECE"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(0.0045)</w:t>
            </w:r>
          </w:p>
        </w:tc>
        <w:tc>
          <w:tcPr>
            <w:tcW w:w="1507" w:type="dxa"/>
            <w:hideMark/>
          </w:tcPr>
          <w:p w14:paraId="6DA89259" w14:textId="77777777" w:rsidR="008D6BEF" w:rsidRPr="008D6BEF" w:rsidRDefault="008D6BEF" w:rsidP="008D6BEF">
            <w:pPr>
              <w:jc w:val="both"/>
              <w:rPr>
                <w:rFonts w:cs="Arial"/>
                <w:sz w:val="18"/>
                <w:szCs w:val="18"/>
                <w:lang w:eastAsia="ko-KR"/>
              </w:rPr>
            </w:pPr>
            <w:r w:rsidRPr="008D6BEF">
              <w:rPr>
                <w:rFonts w:cs="Arial"/>
                <w:sz w:val="18"/>
                <w:szCs w:val="18"/>
                <w:lang w:eastAsia="ko-KR"/>
              </w:rPr>
              <w:t>— (0.674)</w:t>
            </w:r>
          </w:p>
        </w:tc>
        <w:tc>
          <w:tcPr>
            <w:tcW w:w="1276" w:type="dxa"/>
            <w:hideMark/>
          </w:tcPr>
          <w:p w14:paraId="77036567" w14:textId="77777777" w:rsidR="008D6BEF" w:rsidRPr="008D6BEF" w:rsidRDefault="008D6BEF" w:rsidP="008D6BEF">
            <w:pPr>
              <w:jc w:val="both"/>
              <w:rPr>
                <w:rFonts w:cs="Arial"/>
                <w:sz w:val="18"/>
                <w:szCs w:val="18"/>
                <w:lang w:eastAsia="ko-KR"/>
              </w:rPr>
            </w:pPr>
            <w:r w:rsidRPr="008D6BEF">
              <w:rPr>
                <w:rFonts w:cs="Arial"/>
                <w:sz w:val="18"/>
                <w:szCs w:val="18"/>
                <w:lang w:eastAsia="ko-KR"/>
              </w:rPr>
              <w:t>— (0.132)</w:t>
            </w:r>
          </w:p>
        </w:tc>
        <w:tc>
          <w:tcPr>
            <w:tcW w:w="1276" w:type="dxa"/>
            <w:hideMark/>
          </w:tcPr>
          <w:p w14:paraId="58561109" w14:textId="77777777" w:rsidR="008D6BEF" w:rsidRPr="008D6BEF" w:rsidRDefault="008D6BEF" w:rsidP="008D6BEF">
            <w:pPr>
              <w:jc w:val="both"/>
              <w:rPr>
                <w:rFonts w:cs="Arial"/>
                <w:sz w:val="18"/>
                <w:szCs w:val="18"/>
                <w:lang w:eastAsia="ko-KR"/>
              </w:rPr>
            </w:pPr>
            <w:r w:rsidRPr="008D6BEF">
              <w:rPr>
                <w:rFonts w:cs="Arial"/>
                <w:sz w:val="18"/>
                <w:szCs w:val="18"/>
                <w:lang w:eastAsia="ko-KR"/>
              </w:rPr>
              <w:t>MCI&gt;NC / MCI&gt;AD / AD&gt;NC</w:t>
            </w:r>
          </w:p>
        </w:tc>
        <w:tc>
          <w:tcPr>
            <w:tcW w:w="1134" w:type="dxa"/>
            <w:hideMark/>
          </w:tcPr>
          <w:p w14:paraId="78D86068"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w:t>
            </w:r>
          </w:p>
        </w:tc>
      </w:tr>
      <w:tr w:rsidR="008D6BEF" w:rsidRPr="008D6BEF" w14:paraId="020AAE59" w14:textId="77777777" w:rsidTr="002617CB">
        <w:trPr>
          <w:trHeight w:val="340"/>
        </w:trPr>
        <w:tc>
          <w:tcPr>
            <w:tcW w:w="421" w:type="dxa"/>
            <w:shd w:val="clear" w:color="auto" w:fill="CAEDFB" w:themeFill="accent4" w:themeFillTint="33"/>
            <w:hideMark/>
          </w:tcPr>
          <w:p w14:paraId="70AA566B" w14:textId="77777777" w:rsidR="008D6BEF" w:rsidRPr="008D6BEF" w:rsidRDefault="008D6BEF" w:rsidP="008D6BEF">
            <w:pPr>
              <w:jc w:val="both"/>
              <w:rPr>
                <w:rFonts w:cs="Arial"/>
                <w:sz w:val="18"/>
                <w:szCs w:val="18"/>
                <w:lang w:eastAsia="ko-KR"/>
              </w:rPr>
            </w:pPr>
            <w:r w:rsidRPr="008D6BEF">
              <w:rPr>
                <w:rFonts w:cs="Arial"/>
                <w:sz w:val="18"/>
                <w:szCs w:val="18"/>
                <w:lang w:eastAsia="ko-KR"/>
              </w:rPr>
              <w:t>9</w:t>
            </w:r>
          </w:p>
        </w:tc>
        <w:tc>
          <w:tcPr>
            <w:tcW w:w="1275" w:type="dxa"/>
            <w:hideMark/>
          </w:tcPr>
          <w:p w14:paraId="51C23CF5"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P6 Delta </w:t>
            </w:r>
            <w:proofErr w:type="spellStart"/>
            <w:r w:rsidRPr="008D6BEF">
              <w:rPr>
                <w:rFonts w:cs="Arial"/>
                <w:sz w:val="18"/>
                <w:szCs w:val="18"/>
                <w:lang w:eastAsia="ko-KR"/>
              </w:rPr>
              <w:t>kurt</w:t>
            </w:r>
            <w:proofErr w:type="spellEnd"/>
          </w:p>
        </w:tc>
        <w:tc>
          <w:tcPr>
            <w:tcW w:w="1276" w:type="dxa"/>
            <w:hideMark/>
          </w:tcPr>
          <w:p w14:paraId="23A96709" w14:textId="77777777" w:rsidR="008D6BEF" w:rsidRPr="008D6BEF" w:rsidRDefault="008D6BEF" w:rsidP="008D6BEF">
            <w:pPr>
              <w:jc w:val="both"/>
              <w:rPr>
                <w:rFonts w:cs="Arial"/>
                <w:sz w:val="18"/>
                <w:szCs w:val="18"/>
                <w:lang w:eastAsia="ko-KR"/>
              </w:rPr>
            </w:pPr>
            <w:r w:rsidRPr="008D6BEF">
              <w:rPr>
                <w:rFonts w:cs="Arial"/>
                <w:sz w:val="18"/>
                <w:szCs w:val="18"/>
                <w:lang w:eastAsia="ko-KR"/>
              </w:rPr>
              <w:t>Statistical</w:t>
            </w:r>
          </w:p>
        </w:tc>
        <w:tc>
          <w:tcPr>
            <w:tcW w:w="1186" w:type="dxa"/>
            <w:hideMark/>
          </w:tcPr>
          <w:p w14:paraId="34E28A8E"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(0.0023)</w:t>
            </w:r>
          </w:p>
        </w:tc>
        <w:tc>
          <w:tcPr>
            <w:tcW w:w="1507" w:type="dxa"/>
            <w:hideMark/>
          </w:tcPr>
          <w:p w14:paraId="71EA2B98"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(0.0177)</w:t>
            </w:r>
          </w:p>
        </w:tc>
        <w:tc>
          <w:tcPr>
            <w:tcW w:w="1276" w:type="dxa"/>
            <w:hideMark/>
          </w:tcPr>
          <w:p w14:paraId="3F976765" w14:textId="77777777" w:rsidR="008D6BEF" w:rsidRPr="008D6BEF" w:rsidRDefault="008D6BEF" w:rsidP="008D6BEF">
            <w:pPr>
              <w:jc w:val="both"/>
              <w:rPr>
                <w:rFonts w:cs="Arial"/>
                <w:sz w:val="18"/>
                <w:szCs w:val="18"/>
                <w:lang w:eastAsia="ko-KR"/>
              </w:rPr>
            </w:pPr>
            <w:r w:rsidRPr="008D6BEF">
              <w:rPr>
                <w:rFonts w:cs="Arial"/>
                <w:sz w:val="18"/>
                <w:szCs w:val="18"/>
                <w:lang w:eastAsia="ko-KR"/>
              </w:rPr>
              <w:t>— (1.000)</w:t>
            </w:r>
          </w:p>
        </w:tc>
        <w:tc>
          <w:tcPr>
            <w:tcW w:w="1276" w:type="dxa"/>
            <w:hideMark/>
          </w:tcPr>
          <w:p w14:paraId="2E666D3A" w14:textId="77777777" w:rsidR="008D6BEF" w:rsidRPr="008D6BEF" w:rsidRDefault="008D6BEF" w:rsidP="008D6BEF">
            <w:pPr>
              <w:jc w:val="both"/>
              <w:rPr>
                <w:rFonts w:cs="Arial"/>
                <w:sz w:val="18"/>
                <w:szCs w:val="18"/>
                <w:lang w:eastAsia="ko-KR"/>
              </w:rPr>
            </w:pPr>
            <w:r w:rsidRPr="008D6BEF">
              <w:rPr>
                <w:rFonts w:cs="Arial"/>
                <w:sz w:val="18"/>
                <w:szCs w:val="18"/>
                <w:lang w:eastAsia="ko-KR"/>
              </w:rPr>
              <w:t>MCI&gt;NC / MCI&gt;AD / AD&gt;NC</w:t>
            </w:r>
          </w:p>
        </w:tc>
        <w:tc>
          <w:tcPr>
            <w:tcW w:w="1134" w:type="dxa"/>
            <w:hideMark/>
          </w:tcPr>
          <w:p w14:paraId="2A791440"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 + MCI-AD</w:t>
            </w:r>
          </w:p>
        </w:tc>
      </w:tr>
      <w:tr w:rsidR="008D6BEF" w:rsidRPr="008D6BEF" w14:paraId="3FB7F58A" w14:textId="77777777" w:rsidTr="002617CB">
        <w:trPr>
          <w:trHeight w:val="340"/>
        </w:trPr>
        <w:tc>
          <w:tcPr>
            <w:tcW w:w="421" w:type="dxa"/>
            <w:shd w:val="clear" w:color="auto" w:fill="CAEDFB" w:themeFill="accent4" w:themeFillTint="33"/>
            <w:hideMark/>
          </w:tcPr>
          <w:p w14:paraId="6ECF50AA" w14:textId="77777777" w:rsidR="008D6BEF" w:rsidRPr="008D6BEF" w:rsidRDefault="008D6BEF" w:rsidP="008D6BEF">
            <w:pPr>
              <w:jc w:val="both"/>
              <w:rPr>
                <w:rFonts w:cs="Arial"/>
                <w:sz w:val="18"/>
                <w:szCs w:val="18"/>
                <w:lang w:eastAsia="ko-KR"/>
              </w:rPr>
            </w:pPr>
            <w:r w:rsidRPr="008D6BEF">
              <w:rPr>
                <w:rFonts w:cs="Arial"/>
                <w:sz w:val="18"/>
                <w:szCs w:val="18"/>
                <w:lang w:eastAsia="ko-KR"/>
              </w:rPr>
              <w:t>10</w:t>
            </w:r>
          </w:p>
        </w:tc>
        <w:tc>
          <w:tcPr>
            <w:tcW w:w="1275" w:type="dxa"/>
            <w:hideMark/>
          </w:tcPr>
          <w:p w14:paraId="22567CC7"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T8 Gamma mean </w:t>
            </w:r>
            <w:proofErr w:type="spellStart"/>
            <w:r w:rsidRPr="008D6BEF">
              <w:rPr>
                <w:rFonts w:cs="Arial"/>
                <w:sz w:val="18"/>
                <w:szCs w:val="18"/>
                <w:lang w:eastAsia="ko-KR"/>
              </w:rPr>
              <w:t>pte</w:t>
            </w:r>
            <w:proofErr w:type="spellEnd"/>
          </w:p>
        </w:tc>
        <w:tc>
          <w:tcPr>
            <w:tcW w:w="1276" w:type="dxa"/>
            <w:hideMark/>
          </w:tcPr>
          <w:p w14:paraId="6AFDA1CD"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1F352891"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(0.0020)</w:t>
            </w:r>
          </w:p>
        </w:tc>
        <w:tc>
          <w:tcPr>
            <w:tcW w:w="1507" w:type="dxa"/>
            <w:hideMark/>
          </w:tcPr>
          <w:p w14:paraId="5561F627" w14:textId="77777777" w:rsidR="008D6BEF" w:rsidRPr="008D6BEF" w:rsidRDefault="008D6BEF" w:rsidP="008D6BEF">
            <w:pPr>
              <w:jc w:val="both"/>
              <w:rPr>
                <w:rFonts w:cs="Arial"/>
                <w:sz w:val="18"/>
                <w:szCs w:val="18"/>
                <w:lang w:eastAsia="ko-KR"/>
              </w:rPr>
            </w:pPr>
            <w:r w:rsidRPr="008D6BEF">
              <w:rPr>
                <w:rFonts w:cs="Arial"/>
                <w:sz w:val="18"/>
                <w:szCs w:val="18"/>
                <w:lang w:eastAsia="ko-KR"/>
              </w:rPr>
              <w:t>— (0.246)</w:t>
            </w:r>
          </w:p>
        </w:tc>
        <w:tc>
          <w:tcPr>
            <w:tcW w:w="1276" w:type="dxa"/>
            <w:hideMark/>
          </w:tcPr>
          <w:p w14:paraId="2A2D07D7" w14:textId="77777777" w:rsidR="008D6BEF" w:rsidRPr="008D6BEF" w:rsidRDefault="008D6BEF" w:rsidP="008D6BEF">
            <w:pPr>
              <w:jc w:val="both"/>
              <w:rPr>
                <w:rFonts w:cs="Arial"/>
                <w:sz w:val="18"/>
                <w:szCs w:val="18"/>
                <w:lang w:eastAsia="ko-KR"/>
              </w:rPr>
            </w:pPr>
            <w:r w:rsidRPr="008D6BEF">
              <w:rPr>
                <w:rFonts w:cs="Arial"/>
                <w:sz w:val="18"/>
                <w:szCs w:val="18"/>
                <w:lang w:eastAsia="ko-KR"/>
              </w:rPr>
              <w:t>— (0.248)</w:t>
            </w:r>
          </w:p>
        </w:tc>
        <w:tc>
          <w:tcPr>
            <w:tcW w:w="1276" w:type="dxa"/>
            <w:hideMark/>
          </w:tcPr>
          <w:p w14:paraId="1C929C7F" w14:textId="77777777" w:rsidR="008D6BEF" w:rsidRPr="008D6BEF" w:rsidRDefault="008D6BEF" w:rsidP="008D6BEF">
            <w:pPr>
              <w:jc w:val="both"/>
              <w:rPr>
                <w:rFonts w:cs="Arial"/>
                <w:sz w:val="18"/>
                <w:szCs w:val="18"/>
                <w:lang w:eastAsia="ko-KR"/>
              </w:rPr>
            </w:pPr>
            <w:r w:rsidRPr="008D6BEF">
              <w:rPr>
                <w:rFonts w:cs="Arial"/>
                <w:sz w:val="18"/>
                <w:szCs w:val="18"/>
                <w:lang w:eastAsia="ko-KR"/>
              </w:rPr>
              <w:t>NC&gt;MCI / AD&gt;MCI / AD&gt;NC</w:t>
            </w:r>
          </w:p>
        </w:tc>
        <w:tc>
          <w:tcPr>
            <w:tcW w:w="1134" w:type="dxa"/>
            <w:hideMark/>
          </w:tcPr>
          <w:p w14:paraId="3F8A825D" w14:textId="77777777" w:rsidR="008D6BEF" w:rsidRPr="008D6BEF" w:rsidRDefault="008D6BEF" w:rsidP="008D6BEF">
            <w:pPr>
              <w:jc w:val="both"/>
              <w:rPr>
                <w:rFonts w:cs="Arial"/>
                <w:sz w:val="18"/>
                <w:szCs w:val="18"/>
                <w:lang w:eastAsia="ko-KR"/>
              </w:rPr>
            </w:pPr>
            <w:r w:rsidRPr="008D6BEF">
              <w:rPr>
                <w:rFonts w:cs="Arial"/>
                <w:sz w:val="18"/>
                <w:szCs w:val="18"/>
                <w:lang w:eastAsia="ko-KR"/>
              </w:rPr>
              <w:t>NC-MCI</w:t>
            </w:r>
          </w:p>
        </w:tc>
      </w:tr>
      <w:tr w:rsidR="008D6BEF" w:rsidRPr="008D6BEF" w14:paraId="3794F06D" w14:textId="77777777" w:rsidTr="002617CB">
        <w:trPr>
          <w:trHeight w:val="340"/>
        </w:trPr>
        <w:tc>
          <w:tcPr>
            <w:tcW w:w="421" w:type="dxa"/>
            <w:shd w:val="clear" w:color="auto" w:fill="CAEDFB" w:themeFill="accent4" w:themeFillTint="33"/>
            <w:hideMark/>
          </w:tcPr>
          <w:p w14:paraId="0F537B1D" w14:textId="77777777" w:rsidR="008D6BEF" w:rsidRPr="008D6BEF" w:rsidRDefault="008D6BEF" w:rsidP="008D6BEF">
            <w:pPr>
              <w:jc w:val="both"/>
              <w:rPr>
                <w:rFonts w:cs="Arial"/>
                <w:sz w:val="18"/>
                <w:szCs w:val="18"/>
                <w:lang w:eastAsia="ko-KR"/>
              </w:rPr>
            </w:pPr>
            <w:r w:rsidRPr="008D6BEF">
              <w:rPr>
                <w:rFonts w:cs="Arial"/>
                <w:sz w:val="18"/>
                <w:szCs w:val="18"/>
                <w:lang w:eastAsia="ko-KR"/>
              </w:rPr>
              <w:lastRenderedPageBreak/>
              <w:t>11</w:t>
            </w:r>
          </w:p>
        </w:tc>
        <w:tc>
          <w:tcPr>
            <w:tcW w:w="1275" w:type="dxa"/>
            <w:hideMark/>
          </w:tcPr>
          <w:p w14:paraId="10A6C20F" w14:textId="77777777" w:rsidR="008D6BEF" w:rsidRPr="008D6BEF" w:rsidRDefault="008D6BEF" w:rsidP="008D6BEF">
            <w:pPr>
              <w:jc w:val="both"/>
              <w:rPr>
                <w:rFonts w:cs="Arial"/>
                <w:sz w:val="18"/>
                <w:szCs w:val="18"/>
                <w:lang w:eastAsia="ko-KR"/>
              </w:rPr>
            </w:pPr>
            <w:r w:rsidRPr="008D6BEF">
              <w:rPr>
                <w:rFonts w:cs="Arial"/>
                <w:sz w:val="18"/>
                <w:szCs w:val="18"/>
                <w:lang w:eastAsia="ko-KR"/>
              </w:rPr>
              <w:t>CP1 Delta hub score</w:t>
            </w:r>
          </w:p>
        </w:tc>
        <w:tc>
          <w:tcPr>
            <w:tcW w:w="1276" w:type="dxa"/>
            <w:hideMark/>
          </w:tcPr>
          <w:p w14:paraId="686F679A" w14:textId="77777777" w:rsidR="008D6BEF" w:rsidRPr="008D6BEF" w:rsidRDefault="008D6BEF" w:rsidP="008D6BEF">
            <w:pPr>
              <w:jc w:val="both"/>
              <w:rPr>
                <w:rFonts w:cs="Arial"/>
                <w:sz w:val="18"/>
                <w:szCs w:val="18"/>
                <w:lang w:eastAsia="ko-KR"/>
              </w:rPr>
            </w:pPr>
            <w:r w:rsidRPr="008D6BEF">
              <w:rPr>
                <w:rFonts w:cs="Arial"/>
                <w:sz w:val="18"/>
                <w:szCs w:val="18"/>
                <w:lang w:eastAsia="ko-KR"/>
              </w:rPr>
              <w:t>Info</w:t>
            </w:r>
            <w:r w:rsidR="008817D6">
              <w:rPr>
                <w:rFonts w:cs="Arial"/>
                <w:sz w:val="18"/>
                <w:szCs w:val="18"/>
                <w:lang w:eastAsia="ko-KR"/>
              </w:rPr>
              <w:t>rmation</w:t>
            </w:r>
            <w:r w:rsidRPr="008D6BEF">
              <w:rPr>
                <w:rFonts w:cs="Arial"/>
                <w:sz w:val="18"/>
                <w:szCs w:val="18"/>
                <w:lang w:eastAsia="ko-KR"/>
              </w:rPr>
              <w:t xml:space="preserve"> Theory/PTE</w:t>
            </w:r>
          </w:p>
        </w:tc>
        <w:tc>
          <w:tcPr>
            <w:tcW w:w="1186" w:type="dxa"/>
            <w:hideMark/>
          </w:tcPr>
          <w:p w14:paraId="14E67AF4" w14:textId="77777777" w:rsidR="008D6BEF" w:rsidRPr="008D6BEF" w:rsidRDefault="008D6BEF" w:rsidP="008D6BEF">
            <w:pPr>
              <w:jc w:val="both"/>
              <w:rPr>
                <w:rFonts w:cs="Arial"/>
                <w:sz w:val="18"/>
                <w:szCs w:val="18"/>
                <w:lang w:eastAsia="ko-KR"/>
              </w:rPr>
            </w:pPr>
            <w:r w:rsidRPr="008D6BEF">
              <w:rPr>
                <w:rFonts w:cs="Arial"/>
                <w:sz w:val="18"/>
                <w:szCs w:val="18"/>
                <w:lang w:eastAsia="ko-KR"/>
              </w:rPr>
              <w:t>— (0.137)</w:t>
            </w:r>
          </w:p>
        </w:tc>
        <w:tc>
          <w:tcPr>
            <w:tcW w:w="1507" w:type="dxa"/>
            <w:hideMark/>
          </w:tcPr>
          <w:p w14:paraId="6907ADB7" w14:textId="77777777" w:rsidR="008D6BEF" w:rsidRPr="008D6BEF" w:rsidRDefault="008D6BEF" w:rsidP="008D6BEF">
            <w:pPr>
              <w:jc w:val="both"/>
              <w:rPr>
                <w:rFonts w:cs="Arial"/>
                <w:b/>
                <w:bCs/>
                <w:sz w:val="18"/>
                <w:szCs w:val="18"/>
                <w:lang w:eastAsia="ko-KR"/>
              </w:rPr>
            </w:pPr>
            <w:r w:rsidRPr="008D6BEF">
              <w:rPr>
                <w:rFonts w:cs="Segoe UI Symbol"/>
                <w:b/>
                <w:bCs/>
                <w:sz w:val="18"/>
                <w:szCs w:val="18"/>
                <w:lang w:eastAsia="ko-KR"/>
              </w:rPr>
              <w:t>✓</w:t>
            </w:r>
            <w:r w:rsidRPr="008D6BEF">
              <w:rPr>
                <w:rFonts w:cs="Arial"/>
                <w:b/>
                <w:bCs/>
                <w:sz w:val="18"/>
                <w:szCs w:val="18"/>
                <w:lang w:eastAsia="ko-KR"/>
              </w:rPr>
              <w:t xml:space="preserve"> (0.0001)</w:t>
            </w:r>
          </w:p>
        </w:tc>
        <w:tc>
          <w:tcPr>
            <w:tcW w:w="1276" w:type="dxa"/>
            <w:hideMark/>
          </w:tcPr>
          <w:p w14:paraId="66A045D5" w14:textId="77777777" w:rsidR="008D6BEF" w:rsidRPr="008D6BEF" w:rsidRDefault="008D6BEF" w:rsidP="008D6BEF">
            <w:pPr>
              <w:jc w:val="both"/>
              <w:rPr>
                <w:rFonts w:cs="Arial"/>
                <w:sz w:val="18"/>
                <w:szCs w:val="18"/>
                <w:lang w:eastAsia="ko-KR"/>
              </w:rPr>
            </w:pPr>
            <w:r w:rsidRPr="008D6BEF">
              <w:rPr>
                <w:rFonts w:cs="Arial"/>
                <w:sz w:val="18"/>
                <w:szCs w:val="18"/>
                <w:lang w:eastAsia="ko-KR"/>
              </w:rPr>
              <w:t>— (0.157)</w:t>
            </w:r>
          </w:p>
        </w:tc>
        <w:tc>
          <w:tcPr>
            <w:tcW w:w="1276" w:type="dxa"/>
            <w:hideMark/>
          </w:tcPr>
          <w:p w14:paraId="2DA3DBFD" w14:textId="77777777" w:rsidR="008D6BEF" w:rsidRPr="008D6BEF" w:rsidRDefault="008D6BEF" w:rsidP="008D6BEF">
            <w:pPr>
              <w:jc w:val="both"/>
              <w:rPr>
                <w:rFonts w:cs="Arial"/>
                <w:sz w:val="18"/>
                <w:szCs w:val="18"/>
                <w:lang w:eastAsia="ko-KR"/>
              </w:rPr>
            </w:pPr>
            <w:r w:rsidRPr="008D6BEF">
              <w:rPr>
                <w:rFonts w:cs="Arial"/>
                <w:sz w:val="18"/>
                <w:szCs w:val="18"/>
                <w:lang w:eastAsia="ko-KR"/>
              </w:rPr>
              <w:t>NC&gt;MCI / AD&gt;MCI / AD&gt;NC</w:t>
            </w:r>
          </w:p>
        </w:tc>
        <w:tc>
          <w:tcPr>
            <w:tcW w:w="1134" w:type="dxa"/>
            <w:hideMark/>
          </w:tcPr>
          <w:p w14:paraId="023B4A10" w14:textId="77777777" w:rsidR="008D6BEF" w:rsidRPr="008D6BEF" w:rsidRDefault="008D6BEF" w:rsidP="008D6BEF">
            <w:pPr>
              <w:jc w:val="both"/>
              <w:rPr>
                <w:rFonts w:cs="Arial"/>
                <w:sz w:val="18"/>
                <w:szCs w:val="18"/>
                <w:lang w:eastAsia="ko-KR"/>
              </w:rPr>
            </w:pPr>
            <w:r w:rsidRPr="008D6BEF">
              <w:rPr>
                <w:rFonts w:cs="Arial"/>
                <w:sz w:val="18"/>
                <w:szCs w:val="18"/>
                <w:lang w:eastAsia="ko-KR"/>
              </w:rPr>
              <w:t>MCI-AD</w:t>
            </w:r>
          </w:p>
        </w:tc>
      </w:tr>
      <w:tr w:rsidR="008D6BEF" w:rsidRPr="008D6BEF" w14:paraId="3075EAE8" w14:textId="77777777" w:rsidTr="002617CB">
        <w:trPr>
          <w:trHeight w:val="57"/>
        </w:trPr>
        <w:tc>
          <w:tcPr>
            <w:tcW w:w="2972" w:type="dxa"/>
            <w:gridSpan w:val="3"/>
            <w:shd w:val="clear" w:color="auto" w:fill="CAEDFB" w:themeFill="accent4" w:themeFillTint="33"/>
            <w:noWrap/>
            <w:hideMark/>
          </w:tcPr>
          <w:p w14:paraId="67D84A4F"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Total significant (of 10)</w:t>
            </w:r>
          </w:p>
        </w:tc>
        <w:tc>
          <w:tcPr>
            <w:tcW w:w="1186" w:type="dxa"/>
            <w:shd w:val="clear" w:color="auto" w:fill="CAEDFB" w:themeFill="accent4" w:themeFillTint="33"/>
            <w:hideMark/>
          </w:tcPr>
          <w:p w14:paraId="6FA798D4"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7/10</w:t>
            </w:r>
          </w:p>
        </w:tc>
        <w:tc>
          <w:tcPr>
            <w:tcW w:w="1507" w:type="dxa"/>
            <w:shd w:val="clear" w:color="auto" w:fill="CAEDFB" w:themeFill="accent4" w:themeFillTint="33"/>
            <w:hideMark/>
          </w:tcPr>
          <w:p w14:paraId="0B9EFEF2"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7/10</w:t>
            </w:r>
          </w:p>
        </w:tc>
        <w:tc>
          <w:tcPr>
            <w:tcW w:w="1276" w:type="dxa"/>
            <w:shd w:val="clear" w:color="auto" w:fill="CAEDFB" w:themeFill="accent4" w:themeFillTint="33"/>
            <w:hideMark/>
          </w:tcPr>
          <w:p w14:paraId="6DA73C0A" w14:textId="77777777" w:rsidR="008D6BEF" w:rsidRPr="008D6BEF" w:rsidRDefault="008D6BEF" w:rsidP="008D6BEF">
            <w:pPr>
              <w:jc w:val="both"/>
              <w:rPr>
                <w:rFonts w:cs="Arial"/>
                <w:b/>
                <w:bCs/>
                <w:sz w:val="18"/>
                <w:szCs w:val="18"/>
                <w:lang w:eastAsia="ko-KR"/>
              </w:rPr>
            </w:pPr>
            <w:r w:rsidRPr="008D6BEF">
              <w:rPr>
                <w:rFonts w:cs="Arial"/>
                <w:b/>
                <w:bCs/>
                <w:sz w:val="18"/>
                <w:szCs w:val="18"/>
                <w:lang w:eastAsia="ko-KR"/>
              </w:rPr>
              <w:t>1/10</w:t>
            </w:r>
          </w:p>
        </w:tc>
        <w:tc>
          <w:tcPr>
            <w:tcW w:w="1276" w:type="dxa"/>
            <w:shd w:val="clear" w:color="auto" w:fill="CAEDFB" w:themeFill="accent4" w:themeFillTint="33"/>
            <w:noWrap/>
            <w:hideMark/>
          </w:tcPr>
          <w:p w14:paraId="43B73954"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　</w:t>
            </w:r>
          </w:p>
        </w:tc>
        <w:tc>
          <w:tcPr>
            <w:tcW w:w="1134" w:type="dxa"/>
            <w:shd w:val="clear" w:color="auto" w:fill="CAEDFB" w:themeFill="accent4" w:themeFillTint="33"/>
            <w:noWrap/>
            <w:hideMark/>
          </w:tcPr>
          <w:p w14:paraId="671F225B" w14:textId="77777777" w:rsidR="008D6BEF" w:rsidRPr="008D6BEF" w:rsidRDefault="008D6BEF" w:rsidP="008D6BEF">
            <w:pPr>
              <w:jc w:val="both"/>
              <w:rPr>
                <w:rFonts w:cs="Arial"/>
                <w:sz w:val="18"/>
                <w:szCs w:val="18"/>
                <w:lang w:eastAsia="ko-KR"/>
              </w:rPr>
            </w:pPr>
            <w:r w:rsidRPr="008D6BEF">
              <w:rPr>
                <w:rFonts w:cs="Arial"/>
                <w:sz w:val="18"/>
                <w:szCs w:val="18"/>
                <w:lang w:eastAsia="ko-KR"/>
              </w:rPr>
              <w:t xml:space="preserve">　</w:t>
            </w:r>
          </w:p>
        </w:tc>
      </w:tr>
    </w:tbl>
    <w:p w14:paraId="36C184B3" w14:textId="77777777" w:rsidR="008D6BEF" w:rsidRDefault="008D6BEF" w:rsidP="00862E75">
      <w:pPr>
        <w:jc w:val="both"/>
        <w:rPr>
          <w:rFonts w:cs="Arial"/>
          <w:sz w:val="20"/>
          <w:szCs w:val="20"/>
          <w:lang w:eastAsia="ko-KR"/>
        </w:rPr>
      </w:pPr>
    </w:p>
    <w:p w14:paraId="390C8644" w14:textId="77777777" w:rsidR="00431BE7" w:rsidRDefault="006A2BC4" w:rsidP="006A2BC4">
      <w:pPr>
        <w:rPr>
          <w:rFonts w:cs="Arial"/>
          <w:color w:val="000000" w:themeColor="text1"/>
          <w:sz w:val="20"/>
          <w:szCs w:val="20"/>
          <w:lang w:eastAsia="ko-KR"/>
        </w:rPr>
      </w:pPr>
      <w:r w:rsidRPr="005E5541">
        <w:rPr>
          <w:noProof/>
          <w:color w:val="EE0000"/>
          <w:sz w:val="24"/>
        </w:rPr>
        <w:drawing>
          <wp:inline distT="0" distB="0" distL="0" distR="0" wp14:anchorId="472457F4" wp14:editId="49F91D25">
            <wp:extent cx="5549968" cy="5790387"/>
            <wp:effectExtent l="0" t="0" r="0" b="1270"/>
            <wp:docPr id="23088630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86306" name="그림 23088630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1339" cy="5854416"/>
                    </a:xfrm>
                    <a:prstGeom prst="rect">
                      <a:avLst/>
                    </a:prstGeom>
                  </pic:spPr>
                </pic:pic>
              </a:graphicData>
            </a:graphic>
          </wp:inline>
        </w:drawing>
      </w:r>
    </w:p>
    <w:p w14:paraId="3087C43B" w14:textId="77777777" w:rsidR="00431BE7" w:rsidRPr="00A03C6F" w:rsidRDefault="00431BE7" w:rsidP="006A2BC4">
      <w:pPr>
        <w:spacing w:line="480" w:lineRule="auto"/>
        <w:rPr>
          <w:rFonts w:cs="Arial"/>
          <w:iCs/>
          <w:color w:val="000000" w:themeColor="text1"/>
          <w:sz w:val="18"/>
          <w:szCs w:val="18"/>
          <w:lang w:eastAsia="ko-KR"/>
        </w:rPr>
      </w:pPr>
      <w:r w:rsidRPr="00A03C6F">
        <w:rPr>
          <w:rFonts w:cs="Arial"/>
          <w:b/>
          <w:bCs/>
          <w:iCs/>
          <w:color w:val="000000" w:themeColor="text1"/>
          <w:szCs w:val="18"/>
        </w:rPr>
        <w:t>Supplementary Figure S2 |</w:t>
      </w:r>
      <w:r w:rsidRPr="00A03C6F">
        <w:rPr>
          <w:rFonts w:cs="Arial"/>
          <w:iCs/>
          <w:color w:val="000000" w:themeColor="text1"/>
          <w:szCs w:val="18"/>
        </w:rPr>
        <w:t xml:space="preserve"> Rationale for SHAP collinearity-based biomarker reduction from 11 to 10 features. EEG topography illustrating the spatial proximity of E23/P8 and E20/P6 in the right parietal region (r = 0.91, p &lt; 0.001). E23/P8 was excluded from the SHAP interpretability panel to eliminate multicollinearity, while its independent effect size (η² = 0.376) is retained in Table 3 of the main text for transparency.</w:t>
      </w:r>
    </w:p>
    <w:p w14:paraId="637FE9FE" w14:textId="77777777" w:rsidR="006A2BC4" w:rsidRPr="00CF5324" w:rsidRDefault="006A2BC4" w:rsidP="006A2BC4">
      <w:pPr>
        <w:widowControl w:val="0"/>
        <w:wordWrap w:val="0"/>
        <w:autoSpaceDE w:val="0"/>
        <w:autoSpaceDN w:val="0"/>
        <w:spacing w:after="160" w:line="480" w:lineRule="auto"/>
        <w:jc w:val="both"/>
        <w:rPr>
          <w:rFonts w:cs="Arial"/>
          <w:b/>
          <w:bCs/>
          <w:i/>
          <w:iCs/>
          <w:color w:val="002060"/>
          <w:sz w:val="24"/>
          <w:szCs w:val="24"/>
        </w:rPr>
      </w:pPr>
      <w:r w:rsidRPr="00CF5324">
        <w:rPr>
          <w:rFonts w:cs="Arial"/>
          <w:b/>
          <w:bCs/>
          <w:i/>
          <w:iCs/>
          <w:color w:val="002060"/>
          <w:sz w:val="24"/>
          <w:szCs w:val="24"/>
        </w:rPr>
        <w:lastRenderedPageBreak/>
        <w:t>Rationale for Biomarker Reduction</w:t>
      </w:r>
    </w:p>
    <w:p w14:paraId="3D4097F4" w14:textId="77777777" w:rsidR="006A2BC4" w:rsidRPr="00CF5324" w:rsidRDefault="006A2BC4" w:rsidP="006A2BC4">
      <w:pPr>
        <w:widowControl w:val="0"/>
        <w:wordWrap w:val="0"/>
        <w:autoSpaceDE w:val="0"/>
        <w:autoSpaceDN w:val="0"/>
        <w:spacing w:after="160" w:line="480" w:lineRule="auto"/>
        <w:jc w:val="both"/>
        <w:rPr>
          <w:rFonts w:cs="Arial"/>
          <w:color w:val="000000" w:themeColor="text1"/>
          <w:sz w:val="21"/>
          <w:szCs w:val="21"/>
        </w:rPr>
      </w:pPr>
      <w:r w:rsidRPr="00CF5324">
        <w:rPr>
          <w:rFonts w:cs="Arial"/>
          <w:color w:val="000000" w:themeColor="text1"/>
          <w:sz w:val="21"/>
          <w:szCs w:val="21"/>
        </w:rPr>
        <w:t xml:space="preserve">In </w:t>
      </w:r>
      <w:proofErr w:type="spellStart"/>
      <w:r w:rsidRPr="00CF5324">
        <w:rPr>
          <w:rFonts w:cs="Arial"/>
          <w:color w:val="000000" w:themeColor="text1"/>
          <w:sz w:val="21"/>
          <w:szCs w:val="21"/>
        </w:rPr>
        <w:t>SHapley</w:t>
      </w:r>
      <w:proofErr w:type="spellEnd"/>
      <w:r w:rsidRPr="00CF5324">
        <w:rPr>
          <w:rFonts w:cs="Arial"/>
          <w:color w:val="000000" w:themeColor="text1"/>
          <w:sz w:val="21"/>
          <w:szCs w:val="21"/>
        </w:rPr>
        <w:t xml:space="preserve"> Additive </w:t>
      </w:r>
      <w:proofErr w:type="spellStart"/>
      <w:r w:rsidRPr="00CF5324">
        <w:rPr>
          <w:rFonts w:cs="Arial"/>
          <w:color w:val="000000" w:themeColor="text1"/>
          <w:sz w:val="21"/>
          <w:szCs w:val="21"/>
        </w:rPr>
        <w:t>exPlanations</w:t>
      </w:r>
      <w:proofErr w:type="spellEnd"/>
      <w:r w:rsidRPr="00CF5324">
        <w:rPr>
          <w:rFonts w:cs="Arial"/>
          <w:color w:val="000000" w:themeColor="text1"/>
          <w:sz w:val="21"/>
          <w:szCs w:val="21"/>
        </w:rPr>
        <w:t xml:space="preserve"> (SHAP) analysis, high multicollinearity between variables can lead to the dispersion of importance scores, potentially distorting model interpretation. As illustrated in the EEG topography map, E23 (P8) and E20 (P6) are physically adjacent in the right parietal region, resulting in highly redundant neural signals (</w:t>
      </w:r>
      <m:oMath>
        <m:r>
          <w:rPr>
            <w:rFonts w:ascii="Cambria Math" w:hAnsi="Cambria Math" w:cs="Arial"/>
            <w:color w:val="000000" w:themeColor="text1"/>
            <w:sz w:val="21"/>
            <w:szCs w:val="21"/>
          </w:rPr>
          <m:t>r=0.91</m:t>
        </m:r>
      </m:oMath>
      <w:r w:rsidRPr="00CF5324">
        <w:rPr>
          <w:rFonts w:cs="Arial"/>
          <w:color w:val="000000" w:themeColor="text1"/>
          <w:sz w:val="21"/>
          <w:szCs w:val="21"/>
        </w:rPr>
        <w:t>). Consequently, to enhance the reliability of the SHAP panels, E23 (P8) was pruned from the visualization, reducing the total number of visualized biomarkers to 10.</w:t>
      </w:r>
    </w:p>
    <w:p w14:paraId="72124DF2" w14:textId="77777777" w:rsidR="006A2BC4" w:rsidRPr="00CF5324" w:rsidRDefault="006A2BC4" w:rsidP="006A2BC4">
      <w:pPr>
        <w:widowControl w:val="0"/>
        <w:wordWrap w:val="0"/>
        <w:autoSpaceDE w:val="0"/>
        <w:autoSpaceDN w:val="0"/>
        <w:spacing w:after="160" w:line="480" w:lineRule="auto"/>
        <w:jc w:val="both"/>
        <w:rPr>
          <w:rFonts w:cs="Arial"/>
          <w:b/>
          <w:bCs/>
          <w:i/>
          <w:iCs/>
          <w:color w:val="002060"/>
          <w:sz w:val="24"/>
          <w:szCs w:val="24"/>
        </w:rPr>
      </w:pPr>
      <w:r w:rsidRPr="00CF5324">
        <w:rPr>
          <w:rFonts w:cs="Arial"/>
          <w:b/>
          <w:bCs/>
          <w:i/>
          <w:iCs/>
          <w:color w:val="002060"/>
          <w:sz w:val="24"/>
          <w:szCs w:val="24"/>
        </w:rPr>
        <w:t>Retention of Statistical Results</w:t>
      </w:r>
    </w:p>
    <w:p w14:paraId="434522BE" w14:textId="77777777" w:rsidR="006A2BC4" w:rsidRPr="00CF5324" w:rsidRDefault="006A2BC4" w:rsidP="006A2BC4">
      <w:pPr>
        <w:widowControl w:val="0"/>
        <w:wordWrap w:val="0"/>
        <w:autoSpaceDE w:val="0"/>
        <w:autoSpaceDN w:val="0"/>
        <w:spacing w:after="160" w:line="480" w:lineRule="auto"/>
        <w:jc w:val="both"/>
        <w:rPr>
          <w:rFonts w:cs="Arial"/>
          <w:color w:val="000000" w:themeColor="text1"/>
          <w:sz w:val="21"/>
          <w:szCs w:val="21"/>
        </w:rPr>
      </w:pPr>
      <w:r w:rsidRPr="00CF5324">
        <w:rPr>
          <w:rFonts w:cs="Arial"/>
          <w:color w:val="000000" w:themeColor="text1"/>
          <w:sz w:val="21"/>
          <w:szCs w:val="21"/>
        </w:rPr>
        <w:t>Although E23 (P8) was omitted from the visualization panels to avoid redundancy, its independent effect size (</w:t>
      </w:r>
      <m:oMath>
        <m:sSup>
          <m:sSupPr>
            <m:ctrlPr>
              <w:rPr>
                <w:rFonts w:ascii="Cambria Math" w:hAnsi="Cambria Math" w:cs="Arial"/>
                <w:color w:val="000000" w:themeColor="text1"/>
                <w:sz w:val="21"/>
                <w:szCs w:val="21"/>
              </w:rPr>
            </m:ctrlPr>
          </m:sSupPr>
          <m:e>
            <m:r>
              <w:rPr>
                <w:rFonts w:ascii="Cambria Math" w:hAnsi="Cambria Math" w:cs="Arial"/>
                <w:color w:val="000000" w:themeColor="text1"/>
                <w:sz w:val="21"/>
                <w:szCs w:val="21"/>
              </w:rPr>
              <m:t>η</m:t>
            </m:r>
          </m:e>
          <m:sup>
            <m:r>
              <w:rPr>
                <w:rFonts w:ascii="Cambria Math" w:hAnsi="Cambria Math" w:cs="Arial"/>
                <w:color w:val="000000" w:themeColor="text1"/>
                <w:sz w:val="21"/>
                <w:szCs w:val="21"/>
              </w:rPr>
              <m:t>2</m:t>
            </m:r>
          </m:sup>
        </m:sSup>
        <m:r>
          <w:rPr>
            <w:rFonts w:ascii="Cambria Math" w:hAnsi="Cambria Math" w:cs="Arial"/>
            <w:color w:val="000000" w:themeColor="text1"/>
            <w:sz w:val="21"/>
            <w:szCs w:val="21"/>
          </w:rPr>
          <m:t>=0.376</m:t>
        </m:r>
      </m:oMath>
      <w:r w:rsidRPr="00CF5324">
        <w:rPr>
          <w:rFonts w:cs="Arial"/>
          <w:color w:val="000000" w:themeColor="text1"/>
          <w:sz w:val="21"/>
          <w:szCs w:val="21"/>
        </w:rPr>
        <w:t xml:space="preserve">) remains a statistically significant measure of </w:t>
      </w:r>
      <w:r w:rsidR="00A12EEE" w:rsidRPr="00CF5324">
        <w:rPr>
          <w:rFonts w:cs="Arial"/>
          <w:color w:val="000000" w:themeColor="text1"/>
          <w:sz w:val="21"/>
          <w:szCs w:val="21"/>
          <w:lang w:eastAsia="ko-KR"/>
        </w:rPr>
        <w:t xml:space="preserve">group-level separation. </w:t>
      </w:r>
      <w:r w:rsidRPr="00CF5324">
        <w:rPr>
          <w:rFonts w:cs="Arial"/>
          <w:color w:val="000000" w:themeColor="text1"/>
          <w:sz w:val="21"/>
          <w:szCs w:val="21"/>
        </w:rPr>
        <w:t>To ensure data integrity and academic transparency, the manuscript explicitly states that the statistical values of E23 (P8) were retained without omission in Table 3.</w:t>
      </w:r>
    </w:p>
    <w:p w14:paraId="4E52A72B" w14:textId="77777777" w:rsidR="006A2BC4" w:rsidRPr="00CF5324" w:rsidRDefault="006A2BC4" w:rsidP="006A2BC4">
      <w:pPr>
        <w:widowControl w:val="0"/>
        <w:wordWrap w:val="0"/>
        <w:autoSpaceDE w:val="0"/>
        <w:autoSpaceDN w:val="0"/>
        <w:spacing w:after="160" w:line="480" w:lineRule="auto"/>
        <w:jc w:val="both"/>
        <w:rPr>
          <w:rFonts w:cs="Arial"/>
          <w:b/>
          <w:bCs/>
          <w:i/>
          <w:iCs/>
          <w:color w:val="002060"/>
          <w:sz w:val="24"/>
          <w:szCs w:val="24"/>
        </w:rPr>
      </w:pPr>
      <w:r w:rsidRPr="00CF5324">
        <w:rPr>
          <w:rFonts w:cs="Arial"/>
          <w:b/>
          <w:bCs/>
          <w:i/>
          <w:iCs/>
          <w:color w:val="002060"/>
          <w:sz w:val="24"/>
          <w:szCs w:val="24"/>
        </w:rPr>
        <w:t>Comparison of Parietal Electrodes</w:t>
      </w:r>
    </w:p>
    <w:p w14:paraId="53E3F5C9" w14:textId="77777777" w:rsidR="006A2BC4" w:rsidRPr="00CF5324" w:rsidRDefault="006A2BC4" w:rsidP="006A2BC4">
      <w:pPr>
        <w:widowControl w:val="0"/>
        <w:wordWrap w:val="0"/>
        <w:autoSpaceDE w:val="0"/>
        <w:autoSpaceDN w:val="0"/>
        <w:spacing w:after="160" w:line="480" w:lineRule="auto"/>
        <w:jc w:val="both"/>
        <w:rPr>
          <w:rFonts w:cs="Arial"/>
          <w:color w:val="000000" w:themeColor="text1"/>
          <w:sz w:val="21"/>
          <w:szCs w:val="21"/>
        </w:rPr>
      </w:pPr>
      <w:r w:rsidRPr="00CF5324">
        <w:rPr>
          <w:rFonts w:cs="Arial"/>
          <w:color w:val="000000" w:themeColor="text1"/>
          <w:sz w:val="21"/>
          <w:szCs w:val="21"/>
        </w:rPr>
        <w:t>While E20 (P6) and E23 (P8) share a high correlation due to spatial proximity, they were handled distinctly in the reporting of the analytical results. The following table compares how the two electrodes were differentially processed to avoid multicollinearity in the SHAP visualization and statistical tables.</w:t>
      </w:r>
    </w:p>
    <w:p w14:paraId="6B58FFB3" w14:textId="77777777" w:rsidR="008E484C" w:rsidRDefault="008E484C"/>
    <w:p w14:paraId="50567481" w14:textId="77777777" w:rsidR="000C3AB4" w:rsidRPr="000C3AB4" w:rsidRDefault="00000000" w:rsidP="000C3AB4">
      <w:pPr>
        <w:spacing w:line="480" w:lineRule="auto"/>
        <w:rPr>
          <w:rFonts w:cs="Arial"/>
          <w:sz w:val="21"/>
          <w:szCs w:val="21"/>
        </w:rPr>
      </w:pPr>
      <w:r>
        <w:rPr>
          <w:b/>
          <w:i/>
          <w:sz w:val="20"/>
        </w:rPr>
        <w:t>Supplementary Table S6 | STARD 2015 Checklist for Reporting of Diagnostic Accuracy Studies</w:t>
      </w:r>
      <w:r>
        <w:rPr>
          <w:b/>
          <w:i/>
          <w:sz w:val="20"/>
        </w:rPr>
        <w:br/>
      </w:r>
      <w:r>
        <w:rPr>
          <w:b/>
          <w:i/>
          <w:sz w:val="20"/>
        </w:rPr>
        <w:br/>
        <w:t xml:space="preserve">This study reports the development and internal validation of EEG-based clinical biomarkers for discrimination of AD, MCI, and NC. In accordance </w:t>
      </w:r>
      <w:r w:rsidRPr="0045655C">
        <w:rPr>
          <w:b/>
          <w:i/>
          <w:color w:val="000000" w:themeColor="text1"/>
          <w:sz w:val="20"/>
        </w:rPr>
        <w:t xml:space="preserve">with Scientific Reports requirements for </w:t>
      </w:r>
      <w:r>
        <w:rPr>
          <w:b/>
          <w:i/>
          <w:sz w:val="20"/>
        </w:rPr>
        <w:t>diagnostic accuracy studies (Bossuyt et al., BMJ 2015;351:h5527), the STARD 2015 checklist is provided below. Items not applicable to this discovery-phase study are marked N/A with justification.</w:t>
      </w:r>
    </w:p>
    <w:tbl>
      <w:tblPr>
        <w:tblStyle w:val="aa"/>
        <w:tblW w:w="0" w:type="auto"/>
        <w:tblLook w:val="04A0" w:firstRow="1" w:lastRow="0" w:firstColumn="1" w:lastColumn="0" w:noHBand="0" w:noVBand="1"/>
      </w:tblPr>
      <w:tblGrid>
        <w:gridCol w:w="551"/>
        <w:gridCol w:w="1069"/>
        <w:gridCol w:w="1332"/>
        <w:gridCol w:w="1631"/>
        <w:gridCol w:w="4479"/>
      </w:tblGrid>
      <w:tr w:rsidR="000C3AB4" w14:paraId="261E4075" w14:textId="77777777" w:rsidTr="000C3AB4">
        <w:trPr>
          <w:trHeight w:val="583"/>
        </w:trPr>
        <w:tc>
          <w:tcPr>
            <w:tcW w:w="631" w:type="dxa"/>
            <w:shd w:val="clear" w:color="auto" w:fill="1F3864"/>
          </w:tcPr>
          <w:p w14:paraId="1FC06A15" w14:textId="77777777" w:rsidR="000C3AB4" w:rsidRPr="000C3AB4" w:rsidRDefault="000C3AB4" w:rsidP="00316F8D">
            <w:pPr>
              <w:jc w:val="center"/>
              <w:rPr>
                <w:rFonts w:cs="Arial"/>
                <w:sz w:val="18"/>
                <w:szCs w:val="18"/>
              </w:rPr>
            </w:pPr>
            <w:r w:rsidRPr="000C3AB4">
              <w:rPr>
                <w:rFonts w:cs="Arial"/>
                <w:b/>
                <w:color w:val="FFFFFF"/>
                <w:sz w:val="18"/>
                <w:szCs w:val="18"/>
              </w:rPr>
              <w:lastRenderedPageBreak/>
              <w:t>Item</w:t>
            </w:r>
            <w:r w:rsidRPr="000C3AB4">
              <w:rPr>
                <w:rFonts w:cs="Arial"/>
                <w:b/>
                <w:color w:val="FFFFFF"/>
                <w:sz w:val="18"/>
                <w:szCs w:val="18"/>
              </w:rPr>
              <w:br/>
              <w:t>#</w:t>
            </w:r>
          </w:p>
        </w:tc>
        <w:tc>
          <w:tcPr>
            <w:tcW w:w="1411" w:type="dxa"/>
            <w:shd w:val="clear" w:color="auto" w:fill="1F3864"/>
          </w:tcPr>
          <w:p w14:paraId="33B26CB7" w14:textId="77777777" w:rsidR="000C3AB4" w:rsidRPr="000C3AB4" w:rsidRDefault="000C3AB4" w:rsidP="00316F8D">
            <w:pPr>
              <w:jc w:val="center"/>
              <w:rPr>
                <w:rFonts w:cs="Arial"/>
                <w:sz w:val="18"/>
                <w:szCs w:val="18"/>
              </w:rPr>
            </w:pPr>
            <w:r w:rsidRPr="000C3AB4">
              <w:rPr>
                <w:rFonts w:cs="Arial"/>
                <w:b/>
                <w:color w:val="FFFFFF"/>
                <w:sz w:val="18"/>
                <w:szCs w:val="18"/>
              </w:rPr>
              <w:t>STARD</w:t>
            </w:r>
            <w:r w:rsidRPr="000C3AB4">
              <w:rPr>
                <w:rFonts w:cs="Arial"/>
                <w:b/>
                <w:color w:val="FFFFFF"/>
                <w:sz w:val="18"/>
                <w:szCs w:val="18"/>
              </w:rPr>
              <w:br/>
              <w:t>Section</w:t>
            </w:r>
          </w:p>
        </w:tc>
        <w:tc>
          <w:tcPr>
            <w:tcW w:w="2095" w:type="dxa"/>
            <w:shd w:val="clear" w:color="auto" w:fill="1F3864"/>
          </w:tcPr>
          <w:p w14:paraId="5F016E16" w14:textId="77777777" w:rsidR="000C3AB4" w:rsidRPr="000C3AB4" w:rsidRDefault="000C3AB4" w:rsidP="00316F8D">
            <w:pPr>
              <w:jc w:val="center"/>
              <w:rPr>
                <w:rFonts w:cs="Arial"/>
                <w:sz w:val="18"/>
                <w:szCs w:val="18"/>
              </w:rPr>
            </w:pPr>
            <w:r w:rsidRPr="000C3AB4">
              <w:rPr>
                <w:rFonts w:cs="Arial"/>
                <w:b/>
                <w:color w:val="FFFFFF"/>
                <w:sz w:val="18"/>
                <w:szCs w:val="18"/>
              </w:rPr>
              <w:t>Description</w:t>
            </w:r>
            <w:r w:rsidRPr="000C3AB4">
              <w:rPr>
                <w:rFonts w:cs="Arial"/>
                <w:b/>
                <w:color w:val="FFFFFF"/>
                <w:sz w:val="18"/>
                <w:szCs w:val="18"/>
              </w:rPr>
              <w:br/>
              <w:t>(what must be reported)</w:t>
            </w:r>
          </w:p>
        </w:tc>
        <w:tc>
          <w:tcPr>
            <w:tcW w:w="2271" w:type="dxa"/>
            <w:shd w:val="clear" w:color="auto" w:fill="1F3864"/>
          </w:tcPr>
          <w:p w14:paraId="54E93861" w14:textId="77777777" w:rsidR="000C3AB4" w:rsidRPr="000C3AB4" w:rsidRDefault="000C3AB4" w:rsidP="00316F8D">
            <w:pPr>
              <w:jc w:val="center"/>
              <w:rPr>
                <w:rFonts w:cs="Arial"/>
                <w:sz w:val="18"/>
                <w:szCs w:val="18"/>
              </w:rPr>
            </w:pPr>
            <w:r>
              <w:rPr>
                <w:b/>
                <w:sz w:val="18"/>
              </w:rPr>
              <w:t>Location in</w:t>
            </w:r>
            <w:r>
              <w:rPr>
                <w:b/>
                <w:sz w:val="18"/>
              </w:rPr>
              <w:br/>
              <w:t>Manuscript (</w:t>
            </w:r>
            <w:r w:rsidRPr="00557FD5">
              <w:rPr>
                <w:b/>
                <w:color w:val="FFFFFF" w:themeColor="background1"/>
                <w:sz w:val="18"/>
              </w:rPr>
              <w:t>v7.8</w:t>
            </w:r>
            <w:r>
              <w:rPr>
                <w:b/>
                <w:sz w:val="18"/>
              </w:rPr>
              <w:t>)</w:t>
            </w:r>
          </w:p>
        </w:tc>
        <w:tc>
          <w:tcPr>
            <w:tcW w:w="2654" w:type="dxa"/>
            <w:shd w:val="clear" w:color="auto" w:fill="1F3864"/>
          </w:tcPr>
          <w:p w14:paraId="1224BAC8" w14:textId="77777777" w:rsidR="000C3AB4" w:rsidRPr="000C3AB4" w:rsidRDefault="000C3AB4" w:rsidP="00316F8D">
            <w:pPr>
              <w:jc w:val="center"/>
              <w:rPr>
                <w:rFonts w:cs="Arial"/>
                <w:sz w:val="18"/>
                <w:szCs w:val="18"/>
              </w:rPr>
            </w:pPr>
            <w:r w:rsidRPr="000C3AB4">
              <w:rPr>
                <w:rFonts w:cs="Arial"/>
                <w:b/>
                <w:color w:val="FFFFFF"/>
                <w:sz w:val="18"/>
                <w:szCs w:val="18"/>
              </w:rPr>
              <w:t>Notes / Justification</w:t>
            </w:r>
          </w:p>
        </w:tc>
      </w:tr>
      <w:tr w:rsidR="000C3AB4" w14:paraId="2CB6683F" w14:textId="77777777" w:rsidTr="000C3AB4">
        <w:trPr>
          <w:trHeight w:val="1079"/>
        </w:trPr>
        <w:tc>
          <w:tcPr>
            <w:tcW w:w="631" w:type="dxa"/>
            <w:shd w:val="clear" w:color="auto" w:fill="EBF3FB"/>
            <w:vAlign w:val="center"/>
          </w:tcPr>
          <w:p w14:paraId="719B8C03" w14:textId="77777777" w:rsidR="000C3AB4" w:rsidRPr="000C3AB4" w:rsidRDefault="000C3AB4" w:rsidP="00316F8D">
            <w:pPr>
              <w:jc w:val="center"/>
              <w:rPr>
                <w:rFonts w:cs="Arial"/>
                <w:sz w:val="18"/>
                <w:szCs w:val="18"/>
              </w:rPr>
            </w:pPr>
            <w:r w:rsidRPr="000C3AB4">
              <w:rPr>
                <w:rFonts w:cs="Arial"/>
                <w:b/>
                <w:color w:val="000000"/>
                <w:sz w:val="18"/>
                <w:szCs w:val="18"/>
              </w:rPr>
              <w:t>1</w:t>
            </w:r>
          </w:p>
        </w:tc>
        <w:tc>
          <w:tcPr>
            <w:tcW w:w="1411" w:type="dxa"/>
            <w:shd w:val="clear" w:color="auto" w:fill="EBF3FB"/>
            <w:vAlign w:val="center"/>
          </w:tcPr>
          <w:p w14:paraId="7757422D" w14:textId="77777777" w:rsidR="000C3AB4" w:rsidRPr="000C3AB4" w:rsidRDefault="000C3AB4" w:rsidP="00316F8D">
            <w:pPr>
              <w:rPr>
                <w:rFonts w:cs="Arial"/>
                <w:sz w:val="18"/>
                <w:szCs w:val="18"/>
              </w:rPr>
            </w:pPr>
            <w:r w:rsidRPr="000C3AB4">
              <w:rPr>
                <w:rFonts w:cs="Arial"/>
                <w:color w:val="000000"/>
                <w:sz w:val="18"/>
                <w:szCs w:val="18"/>
              </w:rPr>
              <w:t>Title / Abstract</w:t>
            </w:r>
          </w:p>
        </w:tc>
        <w:tc>
          <w:tcPr>
            <w:tcW w:w="2095" w:type="dxa"/>
            <w:shd w:val="clear" w:color="auto" w:fill="EBF3FB"/>
            <w:vAlign w:val="center"/>
          </w:tcPr>
          <w:p w14:paraId="6992B88C" w14:textId="77777777" w:rsidR="000C3AB4" w:rsidRPr="000C3AB4" w:rsidRDefault="000C3AB4" w:rsidP="00316F8D">
            <w:pPr>
              <w:rPr>
                <w:rFonts w:cs="Arial"/>
                <w:sz w:val="18"/>
                <w:szCs w:val="18"/>
              </w:rPr>
            </w:pPr>
            <w:r w:rsidRPr="000C3AB4">
              <w:rPr>
                <w:rFonts w:cs="Arial"/>
                <w:color w:val="000000"/>
                <w:sz w:val="18"/>
                <w:szCs w:val="18"/>
              </w:rPr>
              <w:t>Identification as a diagnostic accuracy study</w:t>
            </w:r>
          </w:p>
        </w:tc>
        <w:tc>
          <w:tcPr>
            <w:tcW w:w="2271" w:type="dxa"/>
            <w:shd w:val="clear" w:color="auto" w:fill="EBF3FB"/>
            <w:vAlign w:val="center"/>
          </w:tcPr>
          <w:p w14:paraId="3CBECAF8" w14:textId="77777777" w:rsidR="000C3AB4" w:rsidRPr="000C3AB4" w:rsidRDefault="000C3AB4" w:rsidP="00316F8D">
            <w:pPr>
              <w:rPr>
                <w:rFonts w:cs="Arial"/>
                <w:sz w:val="18"/>
                <w:szCs w:val="18"/>
              </w:rPr>
            </w:pPr>
            <w:r w:rsidRPr="000C3AB4">
              <w:rPr>
                <w:rFonts w:cs="Arial"/>
                <w:color w:val="000000"/>
                <w:sz w:val="18"/>
                <w:szCs w:val="18"/>
              </w:rPr>
              <w:t>Title; Abstract — Background paragraph</w:t>
            </w:r>
          </w:p>
        </w:tc>
        <w:tc>
          <w:tcPr>
            <w:tcW w:w="2654" w:type="dxa"/>
            <w:shd w:val="clear" w:color="auto" w:fill="EBF3FB"/>
            <w:vAlign w:val="center"/>
          </w:tcPr>
          <w:p w14:paraId="7E7D6C73" w14:textId="77777777" w:rsidR="000C3AB4" w:rsidRPr="000C3AB4" w:rsidRDefault="000C3AB4" w:rsidP="00316F8D">
            <w:pPr>
              <w:rPr>
                <w:rFonts w:cs="Arial"/>
                <w:sz w:val="18"/>
                <w:szCs w:val="18"/>
              </w:rPr>
            </w:pPr>
            <w:r w:rsidRPr="000C3AB4">
              <w:rPr>
                <w:rFonts w:cs="Arial"/>
                <w:color w:val="000000"/>
                <w:sz w:val="18"/>
                <w:szCs w:val="18"/>
              </w:rPr>
              <w:t>Title contains 'EEG Biomarkers'; Abstract (Background) states 'clinical discrimination of AD, MCI, and NC'</w:t>
            </w:r>
          </w:p>
        </w:tc>
      </w:tr>
      <w:tr w:rsidR="000C3AB4" w14:paraId="75E8523A" w14:textId="77777777" w:rsidTr="000C3AB4">
        <w:trPr>
          <w:trHeight w:val="673"/>
        </w:trPr>
        <w:tc>
          <w:tcPr>
            <w:tcW w:w="631" w:type="dxa"/>
            <w:shd w:val="clear" w:color="auto" w:fill="FFFFFF"/>
            <w:vAlign w:val="center"/>
          </w:tcPr>
          <w:p w14:paraId="6CCA0516" w14:textId="77777777" w:rsidR="000C3AB4" w:rsidRPr="000C3AB4" w:rsidRDefault="000C3AB4" w:rsidP="00316F8D">
            <w:pPr>
              <w:jc w:val="center"/>
              <w:rPr>
                <w:rFonts w:cs="Arial"/>
                <w:sz w:val="18"/>
                <w:szCs w:val="18"/>
              </w:rPr>
            </w:pPr>
            <w:r w:rsidRPr="000C3AB4">
              <w:rPr>
                <w:rFonts w:cs="Arial"/>
                <w:b/>
                <w:color w:val="000000"/>
                <w:sz w:val="18"/>
                <w:szCs w:val="18"/>
              </w:rPr>
              <w:t>2</w:t>
            </w:r>
          </w:p>
        </w:tc>
        <w:tc>
          <w:tcPr>
            <w:tcW w:w="1411" w:type="dxa"/>
            <w:shd w:val="clear" w:color="auto" w:fill="FFFFFF"/>
            <w:vAlign w:val="center"/>
          </w:tcPr>
          <w:p w14:paraId="1D3212C8" w14:textId="77777777" w:rsidR="000C3AB4" w:rsidRPr="000C3AB4" w:rsidRDefault="000C3AB4" w:rsidP="00316F8D">
            <w:pPr>
              <w:rPr>
                <w:rFonts w:cs="Arial"/>
                <w:sz w:val="18"/>
                <w:szCs w:val="18"/>
              </w:rPr>
            </w:pPr>
            <w:r w:rsidRPr="000C3AB4">
              <w:rPr>
                <w:rFonts w:cs="Arial"/>
                <w:color w:val="000000"/>
                <w:sz w:val="18"/>
                <w:szCs w:val="18"/>
              </w:rPr>
              <w:t>Abstract</w:t>
            </w:r>
          </w:p>
        </w:tc>
        <w:tc>
          <w:tcPr>
            <w:tcW w:w="2095" w:type="dxa"/>
            <w:shd w:val="clear" w:color="auto" w:fill="FFFFFF"/>
            <w:vAlign w:val="center"/>
          </w:tcPr>
          <w:p w14:paraId="25074AD0" w14:textId="77777777" w:rsidR="000C3AB4" w:rsidRPr="000C3AB4" w:rsidRDefault="000C3AB4" w:rsidP="00316F8D">
            <w:pPr>
              <w:rPr>
                <w:rFonts w:cs="Arial"/>
                <w:sz w:val="18"/>
                <w:szCs w:val="18"/>
              </w:rPr>
            </w:pPr>
            <w:r w:rsidRPr="000C3AB4">
              <w:rPr>
                <w:rFonts w:cs="Arial"/>
                <w:color w:val="000000"/>
                <w:sz w:val="18"/>
                <w:szCs w:val="18"/>
              </w:rPr>
              <w:t>Structured summary of study design, methods, results, and conclusions</w:t>
            </w:r>
          </w:p>
        </w:tc>
        <w:tc>
          <w:tcPr>
            <w:tcW w:w="2271" w:type="dxa"/>
            <w:shd w:val="clear" w:color="auto" w:fill="FFFFFF"/>
            <w:vAlign w:val="center"/>
          </w:tcPr>
          <w:p w14:paraId="23CDE455" w14:textId="77777777" w:rsidR="000C3AB4" w:rsidRPr="000C3AB4" w:rsidRDefault="000C3AB4" w:rsidP="00316F8D">
            <w:pPr>
              <w:rPr>
                <w:rFonts w:cs="Arial"/>
                <w:sz w:val="18"/>
                <w:szCs w:val="18"/>
              </w:rPr>
            </w:pPr>
            <w:r w:rsidRPr="000C3AB4">
              <w:rPr>
                <w:rFonts w:cs="Arial"/>
                <w:color w:val="000000"/>
                <w:sz w:val="18"/>
                <w:szCs w:val="18"/>
              </w:rPr>
              <w:t>Abstract (Background / Methods / Results / Conclusions)</w:t>
            </w:r>
          </w:p>
        </w:tc>
        <w:tc>
          <w:tcPr>
            <w:tcW w:w="2654" w:type="dxa"/>
            <w:shd w:val="clear" w:color="auto" w:fill="FFFFFF"/>
            <w:vAlign w:val="center"/>
          </w:tcPr>
          <w:p w14:paraId="2CBD5165" w14:textId="77777777" w:rsidR="000C3AB4" w:rsidRPr="000C3AB4" w:rsidRDefault="000C3AB4" w:rsidP="00316F8D">
            <w:pPr>
              <w:rPr>
                <w:rFonts w:cs="Arial"/>
                <w:sz w:val="18"/>
                <w:szCs w:val="18"/>
              </w:rPr>
            </w:pPr>
            <w:r>
              <w:rPr>
                <w:sz w:val="18"/>
              </w:rPr>
              <w:t xml:space="preserve">Revised to </w:t>
            </w:r>
            <w:r w:rsidRPr="0045655C">
              <w:rPr>
                <w:color w:val="000000" w:themeColor="text1"/>
                <w:sz w:val="18"/>
              </w:rPr>
              <w:t>structured 4-section format per Scientific Reports guidelines</w:t>
            </w:r>
          </w:p>
        </w:tc>
      </w:tr>
      <w:tr w:rsidR="000C3AB4" w14:paraId="2AE9F7F4" w14:textId="77777777" w:rsidTr="000C3AB4">
        <w:trPr>
          <w:trHeight w:val="510"/>
        </w:trPr>
        <w:tc>
          <w:tcPr>
            <w:tcW w:w="631" w:type="dxa"/>
            <w:shd w:val="clear" w:color="auto" w:fill="EBF3FB"/>
            <w:vAlign w:val="center"/>
          </w:tcPr>
          <w:p w14:paraId="6CA7604C" w14:textId="77777777" w:rsidR="000C3AB4" w:rsidRPr="000C3AB4" w:rsidRDefault="000C3AB4" w:rsidP="00316F8D">
            <w:pPr>
              <w:jc w:val="center"/>
              <w:rPr>
                <w:rFonts w:cs="Arial"/>
                <w:sz w:val="18"/>
                <w:szCs w:val="18"/>
              </w:rPr>
            </w:pPr>
            <w:r w:rsidRPr="000C3AB4">
              <w:rPr>
                <w:rFonts w:cs="Arial"/>
                <w:b/>
                <w:color w:val="000000"/>
                <w:sz w:val="18"/>
                <w:szCs w:val="18"/>
              </w:rPr>
              <w:t>3</w:t>
            </w:r>
          </w:p>
        </w:tc>
        <w:tc>
          <w:tcPr>
            <w:tcW w:w="1411" w:type="dxa"/>
            <w:shd w:val="clear" w:color="auto" w:fill="EBF3FB"/>
            <w:vAlign w:val="center"/>
          </w:tcPr>
          <w:p w14:paraId="6C262CBB" w14:textId="77777777" w:rsidR="000C3AB4" w:rsidRPr="000C3AB4" w:rsidRDefault="000C3AB4" w:rsidP="00316F8D">
            <w:pPr>
              <w:rPr>
                <w:rFonts w:cs="Arial"/>
                <w:sz w:val="18"/>
                <w:szCs w:val="18"/>
              </w:rPr>
            </w:pPr>
            <w:r w:rsidRPr="000C3AB4">
              <w:rPr>
                <w:rFonts w:cs="Arial"/>
                <w:color w:val="000000"/>
                <w:sz w:val="18"/>
                <w:szCs w:val="18"/>
              </w:rPr>
              <w:t>Introduction</w:t>
            </w:r>
          </w:p>
        </w:tc>
        <w:tc>
          <w:tcPr>
            <w:tcW w:w="2095" w:type="dxa"/>
            <w:shd w:val="clear" w:color="auto" w:fill="EBF3FB"/>
            <w:vAlign w:val="center"/>
          </w:tcPr>
          <w:p w14:paraId="0F8EFC25" w14:textId="77777777" w:rsidR="000C3AB4" w:rsidRPr="000C3AB4" w:rsidRDefault="000C3AB4" w:rsidP="00316F8D">
            <w:pPr>
              <w:rPr>
                <w:rFonts w:cs="Arial"/>
                <w:sz w:val="18"/>
                <w:szCs w:val="18"/>
              </w:rPr>
            </w:pPr>
            <w:r w:rsidRPr="000C3AB4">
              <w:rPr>
                <w:rFonts w:cs="Arial"/>
                <w:color w:val="000000"/>
                <w:sz w:val="18"/>
                <w:szCs w:val="18"/>
              </w:rPr>
              <w:t>Scientific and clinical background; study rationale</w:t>
            </w:r>
          </w:p>
        </w:tc>
        <w:tc>
          <w:tcPr>
            <w:tcW w:w="2271" w:type="dxa"/>
            <w:shd w:val="clear" w:color="auto" w:fill="EBF3FB"/>
            <w:vAlign w:val="center"/>
          </w:tcPr>
          <w:p w14:paraId="7B6BD4CE" w14:textId="77777777" w:rsidR="000C3AB4" w:rsidRPr="000C3AB4" w:rsidRDefault="000C3AB4" w:rsidP="00316F8D">
            <w:pPr>
              <w:rPr>
                <w:rFonts w:cs="Arial"/>
                <w:sz w:val="18"/>
                <w:szCs w:val="18"/>
              </w:rPr>
            </w:pPr>
            <w:r w:rsidRPr="000C3AB4">
              <w:rPr>
                <w:rFonts w:cs="Arial"/>
                <w:color w:val="000000"/>
                <w:sz w:val="18"/>
                <w:szCs w:val="18"/>
              </w:rPr>
              <w:t>Introduction ¶1–2</w:t>
            </w:r>
          </w:p>
        </w:tc>
        <w:tc>
          <w:tcPr>
            <w:tcW w:w="2654" w:type="dxa"/>
            <w:shd w:val="clear" w:color="auto" w:fill="EBF3FB"/>
            <w:vAlign w:val="center"/>
          </w:tcPr>
          <w:p w14:paraId="72CFD9F8" w14:textId="77777777" w:rsidR="000C3AB4" w:rsidRPr="000C3AB4" w:rsidRDefault="000C3AB4" w:rsidP="00316F8D">
            <w:pPr>
              <w:rPr>
                <w:rFonts w:cs="Arial"/>
                <w:sz w:val="18"/>
                <w:szCs w:val="18"/>
              </w:rPr>
            </w:pPr>
            <w:r w:rsidRPr="000C3AB4">
              <w:rPr>
                <w:rFonts w:cs="Arial"/>
                <w:color w:val="000000"/>
                <w:sz w:val="18"/>
                <w:szCs w:val="18"/>
              </w:rPr>
              <w:t xml:space="preserve">¶1 covers global AD burden and </w:t>
            </w:r>
            <w:proofErr w:type="spellStart"/>
            <w:r w:rsidRPr="000C3AB4">
              <w:rPr>
                <w:rFonts w:cs="Arial"/>
                <w:color w:val="000000"/>
                <w:sz w:val="18"/>
                <w:szCs w:val="18"/>
              </w:rPr>
              <w:t>lecanemab</w:t>
            </w:r>
            <w:proofErr w:type="spellEnd"/>
            <w:r w:rsidRPr="000C3AB4">
              <w:rPr>
                <w:rFonts w:cs="Arial"/>
                <w:color w:val="000000"/>
                <w:sz w:val="18"/>
                <w:szCs w:val="18"/>
              </w:rPr>
              <w:t xml:space="preserve">/donanemab approval; ¶2 covers </w:t>
            </w:r>
            <w:proofErr w:type="spellStart"/>
            <w:r w:rsidRPr="000C3AB4">
              <w:rPr>
                <w:rFonts w:cs="Arial"/>
                <w:color w:val="000000"/>
                <w:sz w:val="18"/>
                <w:szCs w:val="18"/>
              </w:rPr>
              <w:t>qEEG</w:t>
            </w:r>
            <w:proofErr w:type="spellEnd"/>
            <w:r w:rsidRPr="000C3AB4">
              <w:rPr>
                <w:rFonts w:cs="Arial"/>
                <w:color w:val="000000"/>
                <w:sz w:val="18"/>
                <w:szCs w:val="18"/>
              </w:rPr>
              <w:t xml:space="preserve"> rationale and limitations</w:t>
            </w:r>
          </w:p>
        </w:tc>
      </w:tr>
      <w:tr w:rsidR="000C3AB4" w14:paraId="590B6A83" w14:textId="77777777" w:rsidTr="000C3AB4">
        <w:trPr>
          <w:trHeight w:val="510"/>
        </w:trPr>
        <w:tc>
          <w:tcPr>
            <w:tcW w:w="631" w:type="dxa"/>
            <w:shd w:val="clear" w:color="auto" w:fill="FFFFFF"/>
            <w:vAlign w:val="center"/>
          </w:tcPr>
          <w:p w14:paraId="6CDA2507" w14:textId="77777777" w:rsidR="000C3AB4" w:rsidRPr="000C3AB4" w:rsidRDefault="000C3AB4" w:rsidP="00316F8D">
            <w:pPr>
              <w:jc w:val="center"/>
              <w:rPr>
                <w:rFonts w:cs="Arial"/>
                <w:sz w:val="18"/>
                <w:szCs w:val="18"/>
              </w:rPr>
            </w:pPr>
            <w:r w:rsidRPr="000C3AB4">
              <w:rPr>
                <w:rFonts w:cs="Arial"/>
                <w:b/>
                <w:color w:val="000000"/>
                <w:sz w:val="18"/>
                <w:szCs w:val="18"/>
              </w:rPr>
              <w:t>4</w:t>
            </w:r>
          </w:p>
        </w:tc>
        <w:tc>
          <w:tcPr>
            <w:tcW w:w="1411" w:type="dxa"/>
            <w:shd w:val="clear" w:color="auto" w:fill="FFFFFF"/>
            <w:vAlign w:val="center"/>
          </w:tcPr>
          <w:p w14:paraId="07CB7223" w14:textId="77777777" w:rsidR="000C3AB4" w:rsidRPr="000C3AB4" w:rsidRDefault="000C3AB4" w:rsidP="00316F8D">
            <w:pPr>
              <w:rPr>
                <w:rFonts w:cs="Arial"/>
                <w:sz w:val="18"/>
                <w:szCs w:val="18"/>
              </w:rPr>
            </w:pPr>
            <w:r w:rsidRPr="000C3AB4">
              <w:rPr>
                <w:rFonts w:cs="Arial"/>
                <w:color w:val="000000"/>
                <w:sz w:val="18"/>
                <w:szCs w:val="18"/>
              </w:rPr>
              <w:t>Introduction</w:t>
            </w:r>
          </w:p>
        </w:tc>
        <w:tc>
          <w:tcPr>
            <w:tcW w:w="2095" w:type="dxa"/>
            <w:shd w:val="clear" w:color="auto" w:fill="FFFFFF"/>
            <w:vAlign w:val="center"/>
          </w:tcPr>
          <w:p w14:paraId="22E64E1B" w14:textId="77777777" w:rsidR="000C3AB4" w:rsidRPr="000C3AB4" w:rsidRDefault="000C3AB4" w:rsidP="00316F8D">
            <w:pPr>
              <w:rPr>
                <w:rFonts w:cs="Arial"/>
                <w:sz w:val="18"/>
                <w:szCs w:val="18"/>
              </w:rPr>
            </w:pPr>
            <w:r w:rsidRPr="000C3AB4">
              <w:rPr>
                <w:rFonts w:cs="Arial"/>
                <w:color w:val="000000"/>
                <w:sz w:val="18"/>
                <w:szCs w:val="18"/>
              </w:rPr>
              <w:t>Study objectives or questions</w:t>
            </w:r>
          </w:p>
        </w:tc>
        <w:tc>
          <w:tcPr>
            <w:tcW w:w="2271" w:type="dxa"/>
            <w:shd w:val="clear" w:color="auto" w:fill="FFFFFF"/>
            <w:vAlign w:val="center"/>
          </w:tcPr>
          <w:p w14:paraId="784F2DC8" w14:textId="77777777" w:rsidR="000C3AB4" w:rsidRPr="000C3AB4" w:rsidRDefault="000C3AB4" w:rsidP="00316F8D">
            <w:pPr>
              <w:rPr>
                <w:rFonts w:cs="Arial"/>
                <w:sz w:val="18"/>
                <w:szCs w:val="18"/>
              </w:rPr>
            </w:pPr>
            <w:r w:rsidRPr="000C3AB4">
              <w:rPr>
                <w:rFonts w:cs="Arial"/>
                <w:color w:val="000000"/>
                <w:sz w:val="18"/>
                <w:szCs w:val="18"/>
              </w:rPr>
              <w:t>Introduction ¶5 (four clinically motivated objectives)</w:t>
            </w:r>
          </w:p>
        </w:tc>
        <w:tc>
          <w:tcPr>
            <w:tcW w:w="2654" w:type="dxa"/>
            <w:shd w:val="clear" w:color="auto" w:fill="FFFFFF"/>
            <w:vAlign w:val="center"/>
          </w:tcPr>
          <w:p w14:paraId="109C58E8" w14:textId="77777777" w:rsidR="000C3AB4" w:rsidRPr="000C3AB4" w:rsidRDefault="000C3AB4" w:rsidP="00316F8D">
            <w:pPr>
              <w:rPr>
                <w:rFonts w:cs="Arial"/>
                <w:sz w:val="18"/>
                <w:szCs w:val="18"/>
              </w:rPr>
            </w:pPr>
            <w:r w:rsidRPr="000C3AB4">
              <w:rPr>
                <w:rFonts w:cs="Arial"/>
                <w:color w:val="000000"/>
                <w:sz w:val="18"/>
                <w:szCs w:val="18"/>
              </w:rPr>
              <w:t>Four explicit objectives listed: biomarker development, ML consensus, SHAP interpretability, clinical translation</w:t>
            </w:r>
          </w:p>
        </w:tc>
      </w:tr>
      <w:tr w:rsidR="000C3AB4" w14:paraId="28DC0761" w14:textId="77777777" w:rsidTr="000C3AB4">
        <w:trPr>
          <w:trHeight w:val="510"/>
        </w:trPr>
        <w:tc>
          <w:tcPr>
            <w:tcW w:w="631" w:type="dxa"/>
            <w:shd w:val="clear" w:color="auto" w:fill="EBF3FB"/>
            <w:vAlign w:val="center"/>
          </w:tcPr>
          <w:p w14:paraId="26020034" w14:textId="77777777" w:rsidR="000C3AB4" w:rsidRPr="000C3AB4" w:rsidRDefault="000C3AB4" w:rsidP="00316F8D">
            <w:pPr>
              <w:jc w:val="center"/>
              <w:rPr>
                <w:rFonts w:cs="Arial"/>
                <w:sz w:val="18"/>
                <w:szCs w:val="18"/>
              </w:rPr>
            </w:pPr>
            <w:r w:rsidRPr="000C3AB4">
              <w:rPr>
                <w:rFonts w:cs="Arial"/>
                <w:b/>
                <w:color w:val="000000"/>
                <w:sz w:val="18"/>
                <w:szCs w:val="18"/>
              </w:rPr>
              <w:t>5</w:t>
            </w:r>
          </w:p>
        </w:tc>
        <w:tc>
          <w:tcPr>
            <w:tcW w:w="1411" w:type="dxa"/>
            <w:shd w:val="clear" w:color="auto" w:fill="EBF3FB"/>
            <w:vAlign w:val="center"/>
          </w:tcPr>
          <w:p w14:paraId="35CE91D9" w14:textId="77777777" w:rsidR="000C3AB4" w:rsidRPr="000C3AB4" w:rsidRDefault="000C3AB4" w:rsidP="00316F8D">
            <w:pPr>
              <w:rPr>
                <w:rFonts w:cs="Arial"/>
                <w:sz w:val="18"/>
                <w:szCs w:val="18"/>
              </w:rPr>
            </w:pPr>
            <w:r w:rsidRPr="000C3AB4">
              <w:rPr>
                <w:rFonts w:cs="Arial"/>
                <w:color w:val="000000"/>
                <w:sz w:val="18"/>
                <w:szCs w:val="18"/>
              </w:rPr>
              <w:t>Methods — Participants</w:t>
            </w:r>
          </w:p>
        </w:tc>
        <w:tc>
          <w:tcPr>
            <w:tcW w:w="2095" w:type="dxa"/>
            <w:shd w:val="clear" w:color="auto" w:fill="EBF3FB"/>
            <w:vAlign w:val="center"/>
          </w:tcPr>
          <w:p w14:paraId="50BE0C32" w14:textId="77777777" w:rsidR="000C3AB4" w:rsidRPr="000C3AB4" w:rsidRDefault="000C3AB4" w:rsidP="00316F8D">
            <w:pPr>
              <w:rPr>
                <w:rFonts w:cs="Arial"/>
                <w:sz w:val="18"/>
                <w:szCs w:val="18"/>
              </w:rPr>
            </w:pPr>
            <w:r w:rsidRPr="000C3AB4">
              <w:rPr>
                <w:rFonts w:cs="Arial"/>
                <w:color w:val="000000"/>
                <w:sz w:val="18"/>
                <w:szCs w:val="18"/>
              </w:rPr>
              <w:t>Eligibility criteria</w:t>
            </w:r>
          </w:p>
        </w:tc>
        <w:tc>
          <w:tcPr>
            <w:tcW w:w="2271" w:type="dxa"/>
            <w:shd w:val="clear" w:color="auto" w:fill="EBF3FB"/>
            <w:vAlign w:val="center"/>
          </w:tcPr>
          <w:p w14:paraId="25E6B641" w14:textId="77777777" w:rsidR="000C3AB4" w:rsidRPr="000C3AB4" w:rsidRDefault="000C3AB4" w:rsidP="00316F8D">
            <w:pPr>
              <w:rPr>
                <w:rFonts w:cs="Arial"/>
                <w:sz w:val="18"/>
                <w:szCs w:val="18"/>
              </w:rPr>
            </w:pPr>
            <w:r w:rsidRPr="000C3AB4">
              <w:rPr>
                <w:rFonts w:cs="Arial"/>
                <w:color w:val="000000"/>
                <w:sz w:val="18"/>
                <w:szCs w:val="18"/>
              </w:rPr>
              <w:t>Methods: Study design, ethics, and participants</w:t>
            </w:r>
          </w:p>
        </w:tc>
        <w:tc>
          <w:tcPr>
            <w:tcW w:w="2654" w:type="dxa"/>
            <w:shd w:val="clear" w:color="auto" w:fill="EBF3FB"/>
            <w:vAlign w:val="center"/>
          </w:tcPr>
          <w:p w14:paraId="1EEA9828" w14:textId="77777777" w:rsidR="000C3AB4" w:rsidRPr="000C3AB4" w:rsidRDefault="000C3AB4" w:rsidP="00316F8D">
            <w:pPr>
              <w:rPr>
                <w:rFonts w:cs="Arial"/>
                <w:sz w:val="18"/>
                <w:szCs w:val="18"/>
              </w:rPr>
            </w:pPr>
            <w:r w:rsidRPr="000C3AB4">
              <w:rPr>
                <w:rFonts w:cs="Arial"/>
                <w:color w:val="000000"/>
                <w:sz w:val="18"/>
                <w:szCs w:val="18"/>
              </w:rPr>
              <w:t>NINCDS-ADRDA (AD), Petersen (MCI), CDR/MMSE cut-offs; exclusion criteria listed explicitly</w:t>
            </w:r>
          </w:p>
        </w:tc>
      </w:tr>
      <w:tr w:rsidR="000C3AB4" w14:paraId="7A419EDB" w14:textId="77777777" w:rsidTr="000C3AB4">
        <w:trPr>
          <w:trHeight w:val="510"/>
        </w:trPr>
        <w:tc>
          <w:tcPr>
            <w:tcW w:w="631" w:type="dxa"/>
            <w:shd w:val="clear" w:color="auto" w:fill="FFFFFF"/>
            <w:vAlign w:val="center"/>
          </w:tcPr>
          <w:p w14:paraId="1C13EDB5" w14:textId="77777777" w:rsidR="000C3AB4" w:rsidRPr="000C3AB4" w:rsidRDefault="000C3AB4" w:rsidP="00316F8D">
            <w:pPr>
              <w:jc w:val="center"/>
              <w:rPr>
                <w:rFonts w:cs="Arial"/>
                <w:sz w:val="18"/>
                <w:szCs w:val="18"/>
              </w:rPr>
            </w:pPr>
            <w:r w:rsidRPr="000C3AB4">
              <w:rPr>
                <w:rFonts w:cs="Arial"/>
                <w:b/>
                <w:color w:val="000000"/>
                <w:sz w:val="18"/>
                <w:szCs w:val="18"/>
              </w:rPr>
              <w:t>6</w:t>
            </w:r>
          </w:p>
        </w:tc>
        <w:tc>
          <w:tcPr>
            <w:tcW w:w="1411" w:type="dxa"/>
            <w:shd w:val="clear" w:color="auto" w:fill="FFFFFF"/>
            <w:vAlign w:val="center"/>
          </w:tcPr>
          <w:p w14:paraId="4392E796" w14:textId="77777777" w:rsidR="000C3AB4" w:rsidRPr="000C3AB4" w:rsidRDefault="000C3AB4" w:rsidP="00316F8D">
            <w:pPr>
              <w:rPr>
                <w:rFonts w:cs="Arial"/>
                <w:sz w:val="18"/>
                <w:szCs w:val="18"/>
              </w:rPr>
            </w:pPr>
            <w:r w:rsidRPr="000C3AB4">
              <w:rPr>
                <w:rFonts w:cs="Arial"/>
                <w:color w:val="000000"/>
                <w:sz w:val="18"/>
                <w:szCs w:val="18"/>
              </w:rPr>
              <w:t>Methods — Participants</w:t>
            </w:r>
          </w:p>
        </w:tc>
        <w:tc>
          <w:tcPr>
            <w:tcW w:w="2095" w:type="dxa"/>
            <w:shd w:val="clear" w:color="auto" w:fill="FFFFFF"/>
            <w:vAlign w:val="center"/>
          </w:tcPr>
          <w:p w14:paraId="75CB2D1F" w14:textId="77777777" w:rsidR="000C3AB4" w:rsidRPr="000C3AB4" w:rsidRDefault="000C3AB4" w:rsidP="00316F8D">
            <w:pPr>
              <w:rPr>
                <w:rFonts w:cs="Arial"/>
                <w:sz w:val="18"/>
                <w:szCs w:val="18"/>
              </w:rPr>
            </w:pPr>
            <w:r w:rsidRPr="000C3AB4">
              <w:rPr>
                <w:rFonts w:cs="Arial"/>
                <w:color w:val="000000"/>
                <w:sz w:val="18"/>
                <w:szCs w:val="18"/>
              </w:rPr>
              <w:t>Recruitment setting, locations, and dates</w:t>
            </w:r>
          </w:p>
        </w:tc>
        <w:tc>
          <w:tcPr>
            <w:tcW w:w="2271" w:type="dxa"/>
            <w:shd w:val="clear" w:color="auto" w:fill="FFFFFF"/>
            <w:vAlign w:val="center"/>
          </w:tcPr>
          <w:p w14:paraId="0E8EF0FB" w14:textId="77777777" w:rsidR="000C3AB4" w:rsidRPr="000C3AB4" w:rsidRDefault="000C3AB4" w:rsidP="00316F8D">
            <w:pPr>
              <w:rPr>
                <w:rFonts w:cs="Arial"/>
                <w:sz w:val="18"/>
                <w:szCs w:val="18"/>
              </w:rPr>
            </w:pPr>
            <w:r w:rsidRPr="000C3AB4">
              <w:rPr>
                <w:rFonts w:cs="Arial"/>
                <w:color w:val="000000"/>
                <w:sz w:val="18"/>
                <w:szCs w:val="18"/>
              </w:rPr>
              <w:t>Methods: Study design, ethics, and participants</w:t>
            </w:r>
          </w:p>
        </w:tc>
        <w:tc>
          <w:tcPr>
            <w:tcW w:w="2654" w:type="dxa"/>
            <w:shd w:val="clear" w:color="auto" w:fill="FFFFFF"/>
            <w:vAlign w:val="center"/>
          </w:tcPr>
          <w:p w14:paraId="1CBF8442" w14:textId="77777777" w:rsidR="000C3AB4" w:rsidRPr="000C3AB4" w:rsidRDefault="000C3AB4" w:rsidP="00316F8D">
            <w:pPr>
              <w:rPr>
                <w:rFonts w:cs="Arial"/>
                <w:sz w:val="18"/>
                <w:szCs w:val="18"/>
              </w:rPr>
            </w:pPr>
            <w:proofErr w:type="spellStart"/>
            <w:r w:rsidRPr="000C3AB4">
              <w:rPr>
                <w:rFonts w:cs="Arial"/>
                <w:color w:val="000000"/>
                <w:sz w:val="18"/>
                <w:szCs w:val="18"/>
              </w:rPr>
              <w:t>Chuncheon</w:t>
            </w:r>
            <w:proofErr w:type="spellEnd"/>
            <w:r w:rsidRPr="000C3AB4">
              <w:rPr>
                <w:rFonts w:cs="Arial"/>
                <w:color w:val="000000"/>
                <w:sz w:val="18"/>
                <w:szCs w:val="18"/>
              </w:rPr>
              <w:t xml:space="preserve"> Sacred Heart Hospital, </w:t>
            </w:r>
            <w:proofErr w:type="spellStart"/>
            <w:r w:rsidRPr="000C3AB4">
              <w:rPr>
                <w:rFonts w:cs="Arial"/>
                <w:color w:val="000000"/>
                <w:sz w:val="18"/>
                <w:szCs w:val="18"/>
              </w:rPr>
              <w:t>Hallym</w:t>
            </w:r>
            <w:proofErr w:type="spellEnd"/>
            <w:r w:rsidRPr="000C3AB4">
              <w:rPr>
                <w:rFonts w:cs="Arial"/>
                <w:color w:val="000000"/>
                <w:sz w:val="18"/>
                <w:szCs w:val="18"/>
              </w:rPr>
              <w:t xml:space="preserve"> University College of Medicine; IRB No. 7001546-202300614-HRSB-005-01</w:t>
            </w:r>
          </w:p>
        </w:tc>
      </w:tr>
      <w:tr w:rsidR="000C3AB4" w14:paraId="4D6B25F2" w14:textId="77777777" w:rsidTr="000C3AB4">
        <w:trPr>
          <w:trHeight w:val="510"/>
        </w:trPr>
        <w:tc>
          <w:tcPr>
            <w:tcW w:w="631" w:type="dxa"/>
            <w:shd w:val="clear" w:color="auto" w:fill="EBF3FB"/>
            <w:vAlign w:val="center"/>
          </w:tcPr>
          <w:p w14:paraId="42783151" w14:textId="77777777" w:rsidR="000C3AB4" w:rsidRPr="000C3AB4" w:rsidRDefault="000C3AB4" w:rsidP="00316F8D">
            <w:pPr>
              <w:jc w:val="center"/>
              <w:rPr>
                <w:rFonts w:cs="Arial"/>
                <w:sz w:val="18"/>
                <w:szCs w:val="18"/>
              </w:rPr>
            </w:pPr>
            <w:r w:rsidRPr="000C3AB4">
              <w:rPr>
                <w:rFonts w:cs="Arial"/>
                <w:b/>
                <w:color w:val="000000"/>
                <w:sz w:val="18"/>
                <w:szCs w:val="18"/>
              </w:rPr>
              <w:t>7</w:t>
            </w:r>
          </w:p>
        </w:tc>
        <w:tc>
          <w:tcPr>
            <w:tcW w:w="1411" w:type="dxa"/>
            <w:shd w:val="clear" w:color="auto" w:fill="EBF3FB"/>
            <w:vAlign w:val="center"/>
          </w:tcPr>
          <w:p w14:paraId="1808D0B6" w14:textId="77777777" w:rsidR="000C3AB4" w:rsidRPr="000C3AB4" w:rsidRDefault="000C3AB4" w:rsidP="00316F8D">
            <w:pPr>
              <w:rPr>
                <w:rFonts w:cs="Arial"/>
                <w:sz w:val="18"/>
                <w:szCs w:val="18"/>
              </w:rPr>
            </w:pPr>
            <w:r w:rsidRPr="000C3AB4">
              <w:rPr>
                <w:rFonts w:cs="Arial"/>
                <w:color w:val="000000"/>
                <w:sz w:val="18"/>
                <w:szCs w:val="18"/>
              </w:rPr>
              <w:t>Methods — Test methods</w:t>
            </w:r>
          </w:p>
        </w:tc>
        <w:tc>
          <w:tcPr>
            <w:tcW w:w="2095" w:type="dxa"/>
            <w:shd w:val="clear" w:color="auto" w:fill="EBF3FB"/>
            <w:vAlign w:val="center"/>
          </w:tcPr>
          <w:p w14:paraId="253B9941" w14:textId="77777777" w:rsidR="000C3AB4" w:rsidRPr="000C3AB4" w:rsidRDefault="000C3AB4" w:rsidP="00316F8D">
            <w:pPr>
              <w:rPr>
                <w:rFonts w:cs="Arial"/>
                <w:sz w:val="18"/>
                <w:szCs w:val="18"/>
              </w:rPr>
            </w:pPr>
            <w:r w:rsidRPr="000C3AB4">
              <w:rPr>
                <w:rFonts w:cs="Arial"/>
                <w:color w:val="000000"/>
                <w:sz w:val="18"/>
                <w:szCs w:val="18"/>
              </w:rPr>
              <w:t>Index test description (VR-EEG PTE): how and when performed</w:t>
            </w:r>
          </w:p>
        </w:tc>
        <w:tc>
          <w:tcPr>
            <w:tcW w:w="2271" w:type="dxa"/>
            <w:shd w:val="clear" w:color="auto" w:fill="EBF3FB"/>
            <w:vAlign w:val="center"/>
          </w:tcPr>
          <w:p w14:paraId="7A7322DC" w14:textId="77777777" w:rsidR="000C3AB4" w:rsidRPr="000C3AB4" w:rsidRDefault="000C3AB4" w:rsidP="00316F8D">
            <w:pPr>
              <w:rPr>
                <w:rFonts w:cs="Arial"/>
                <w:sz w:val="18"/>
                <w:szCs w:val="18"/>
              </w:rPr>
            </w:pPr>
            <w:r w:rsidRPr="000C3AB4">
              <w:rPr>
                <w:rFonts w:cs="Arial"/>
                <w:color w:val="000000"/>
                <w:sz w:val="18"/>
                <w:szCs w:val="18"/>
              </w:rPr>
              <w:t>Methods: VR paradigm and EEG acquisition; Phase Transfer Entropy computation</w:t>
            </w:r>
          </w:p>
        </w:tc>
        <w:tc>
          <w:tcPr>
            <w:tcW w:w="2654" w:type="dxa"/>
            <w:shd w:val="clear" w:color="auto" w:fill="EBF3FB"/>
            <w:vAlign w:val="center"/>
          </w:tcPr>
          <w:p w14:paraId="2E0D405E" w14:textId="77777777" w:rsidR="000C3AB4" w:rsidRPr="000C3AB4" w:rsidRDefault="000C3AB4" w:rsidP="00316F8D">
            <w:pPr>
              <w:rPr>
                <w:rFonts w:cs="Arial"/>
                <w:sz w:val="18"/>
                <w:szCs w:val="18"/>
              </w:rPr>
            </w:pPr>
            <w:r w:rsidRPr="000C3AB4">
              <w:rPr>
                <w:rFonts w:cs="Arial"/>
                <w:color w:val="000000"/>
                <w:sz w:val="18"/>
                <w:szCs w:val="18"/>
              </w:rPr>
              <w:t xml:space="preserve">PTE computed per </w:t>
            </w:r>
            <w:proofErr w:type="spellStart"/>
            <w:r w:rsidRPr="000C3AB4">
              <w:rPr>
                <w:rFonts w:cs="Arial"/>
                <w:color w:val="000000"/>
                <w:sz w:val="18"/>
                <w:szCs w:val="18"/>
              </w:rPr>
              <w:t>Lobier</w:t>
            </w:r>
            <w:proofErr w:type="spellEnd"/>
            <w:r w:rsidRPr="000C3AB4">
              <w:rPr>
                <w:rFonts w:cs="Arial"/>
                <w:color w:val="000000"/>
                <w:sz w:val="18"/>
                <w:szCs w:val="18"/>
              </w:rPr>
              <w:t xml:space="preserve"> et al. 2014; Hilbert-transform; KSG estimator k=3; prediction delay 10 </w:t>
            </w:r>
            <w:proofErr w:type="spellStart"/>
            <w:r w:rsidRPr="000C3AB4">
              <w:rPr>
                <w:rFonts w:cs="Arial"/>
                <w:color w:val="000000"/>
                <w:sz w:val="18"/>
                <w:szCs w:val="18"/>
              </w:rPr>
              <w:t>ms</w:t>
            </w:r>
            <w:proofErr w:type="spellEnd"/>
          </w:p>
        </w:tc>
      </w:tr>
      <w:tr w:rsidR="000C3AB4" w14:paraId="6FDCB341" w14:textId="77777777" w:rsidTr="000C3AB4">
        <w:trPr>
          <w:trHeight w:val="510"/>
        </w:trPr>
        <w:tc>
          <w:tcPr>
            <w:tcW w:w="631" w:type="dxa"/>
            <w:shd w:val="clear" w:color="auto" w:fill="FFFFFF"/>
            <w:vAlign w:val="center"/>
          </w:tcPr>
          <w:p w14:paraId="229B9FEA" w14:textId="77777777" w:rsidR="000C3AB4" w:rsidRPr="000C3AB4" w:rsidRDefault="000C3AB4" w:rsidP="00316F8D">
            <w:pPr>
              <w:jc w:val="center"/>
              <w:rPr>
                <w:rFonts w:cs="Arial"/>
                <w:sz w:val="18"/>
                <w:szCs w:val="18"/>
              </w:rPr>
            </w:pPr>
            <w:r w:rsidRPr="000C3AB4">
              <w:rPr>
                <w:rFonts w:cs="Arial"/>
                <w:b/>
                <w:color w:val="000000"/>
                <w:sz w:val="18"/>
                <w:szCs w:val="18"/>
              </w:rPr>
              <w:t>8</w:t>
            </w:r>
          </w:p>
        </w:tc>
        <w:tc>
          <w:tcPr>
            <w:tcW w:w="1411" w:type="dxa"/>
            <w:shd w:val="clear" w:color="auto" w:fill="FFFFFF"/>
            <w:vAlign w:val="center"/>
          </w:tcPr>
          <w:p w14:paraId="4752962B" w14:textId="77777777" w:rsidR="000C3AB4" w:rsidRPr="000C3AB4" w:rsidRDefault="000C3AB4" w:rsidP="00316F8D">
            <w:pPr>
              <w:rPr>
                <w:rFonts w:cs="Arial"/>
                <w:sz w:val="18"/>
                <w:szCs w:val="18"/>
              </w:rPr>
            </w:pPr>
            <w:r w:rsidRPr="000C3AB4">
              <w:rPr>
                <w:rFonts w:cs="Arial"/>
                <w:color w:val="000000"/>
                <w:sz w:val="18"/>
                <w:szCs w:val="18"/>
              </w:rPr>
              <w:t>Methods — Test methods</w:t>
            </w:r>
          </w:p>
        </w:tc>
        <w:tc>
          <w:tcPr>
            <w:tcW w:w="2095" w:type="dxa"/>
            <w:shd w:val="clear" w:color="auto" w:fill="FFFFFF"/>
            <w:vAlign w:val="center"/>
          </w:tcPr>
          <w:p w14:paraId="4657D85F" w14:textId="77777777" w:rsidR="000C3AB4" w:rsidRPr="000C3AB4" w:rsidRDefault="000C3AB4" w:rsidP="00316F8D">
            <w:pPr>
              <w:rPr>
                <w:rFonts w:cs="Arial"/>
                <w:sz w:val="18"/>
                <w:szCs w:val="18"/>
              </w:rPr>
            </w:pPr>
            <w:r w:rsidRPr="000C3AB4">
              <w:rPr>
                <w:rFonts w:cs="Arial"/>
                <w:color w:val="000000"/>
                <w:sz w:val="18"/>
                <w:szCs w:val="18"/>
              </w:rPr>
              <w:t>Rationale for thresholds or cut-off values</w:t>
            </w:r>
          </w:p>
        </w:tc>
        <w:tc>
          <w:tcPr>
            <w:tcW w:w="2271" w:type="dxa"/>
            <w:shd w:val="clear" w:color="auto" w:fill="FFFFFF"/>
            <w:vAlign w:val="center"/>
          </w:tcPr>
          <w:p w14:paraId="33148BCE" w14:textId="77777777" w:rsidR="000C3AB4" w:rsidRPr="000C3AB4" w:rsidRDefault="000C3AB4" w:rsidP="00316F8D">
            <w:pPr>
              <w:rPr>
                <w:rFonts w:cs="Arial"/>
                <w:sz w:val="18"/>
                <w:szCs w:val="18"/>
              </w:rPr>
            </w:pPr>
            <w:r w:rsidRPr="000C3AB4">
              <w:rPr>
                <w:rFonts w:cs="Arial"/>
                <w:color w:val="000000"/>
                <w:sz w:val="18"/>
                <w:szCs w:val="18"/>
              </w:rPr>
              <w:t>Methods: Machine learning and statistical validation</w:t>
            </w:r>
          </w:p>
        </w:tc>
        <w:tc>
          <w:tcPr>
            <w:tcW w:w="2654" w:type="dxa"/>
            <w:shd w:val="clear" w:color="auto" w:fill="FFFFFF"/>
            <w:vAlign w:val="center"/>
          </w:tcPr>
          <w:p w14:paraId="364428C4" w14:textId="77777777" w:rsidR="000C3AB4" w:rsidRPr="000C3AB4" w:rsidRDefault="000C3AB4" w:rsidP="00316F8D">
            <w:pPr>
              <w:rPr>
                <w:rFonts w:cs="Arial"/>
                <w:sz w:val="18"/>
                <w:szCs w:val="18"/>
              </w:rPr>
            </w:pPr>
            <w:r w:rsidRPr="000C3AB4">
              <w:rPr>
                <w:rFonts w:cs="Arial"/>
                <w:color w:val="000000"/>
                <w:sz w:val="18"/>
                <w:szCs w:val="18"/>
              </w:rPr>
              <w:t>Composite confidence threshold ≥85% defined a priori; all hyperparameters fixed before LOOCV</w:t>
            </w:r>
          </w:p>
        </w:tc>
      </w:tr>
      <w:tr w:rsidR="000C3AB4" w14:paraId="2C41A40E" w14:textId="77777777" w:rsidTr="000C3AB4">
        <w:trPr>
          <w:trHeight w:val="510"/>
        </w:trPr>
        <w:tc>
          <w:tcPr>
            <w:tcW w:w="631" w:type="dxa"/>
            <w:shd w:val="clear" w:color="auto" w:fill="EBF3FB"/>
            <w:vAlign w:val="center"/>
          </w:tcPr>
          <w:p w14:paraId="00D5AC78" w14:textId="77777777" w:rsidR="000C3AB4" w:rsidRPr="000C3AB4" w:rsidRDefault="000C3AB4" w:rsidP="00316F8D">
            <w:pPr>
              <w:jc w:val="center"/>
              <w:rPr>
                <w:rFonts w:cs="Arial"/>
                <w:sz w:val="18"/>
                <w:szCs w:val="18"/>
              </w:rPr>
            </w:pPr>
            <w:r w:rsidRPr="000C3AB4">
              <w:rPr>
                <w:rFonts w:cs="Arial"/>
                <w:b/>
                <w:color w:val="000000"/>
                <w:sz w:val="18"/>
                <w:szCs w:val="18"/>
              </w:rPr>
              <w:t>9</w:t>
            </w:r>
          </w:p>
        </w:tc>
        <w:tc>
          <w:tcPr>
            <w:tcW w:w="1411" w:type="dxa"/>
            <w:shd w:val="clear" w:color="auto" w:fill="EBF3FB"/>
            <w:vAlign w:val="center"/>
          </w:tcPr>
          <w:p w14:paraId="204621A1" w14:textId="77777777" w:rsidR="000C3AB4" w:rsidRPr="000C3AB4" w:rsidRDefault="000C3AB4" w:rsidP="00316F8D">
            <w:pPr>
              <w:rPr>
                <w:rFonts w:cs="Arial"/>
                <w:sz w:val="18"/>
                <w:szCs w:val="18"/>
              </w:rPr>
            </w:pPr>
            <w:r w:rsidRPr="000C3AB4">
              <w:rPr>
                <w:rFonts w:cs="Arial"/>
                <w:color w:val="000000"/>
                <w:sz w:val="18"/>
                <w:szCs w:val="18"/>
              </w:rPr>
              <w:t>Methods — Reference standard</w:t>
            </w:r>
          </w:p>
        </w:tc>
        <w:tc>
          <w:tcPr>
            <w:tcW w:w="2095" w:type="dxa"/>
            <w:shd w:val="clear" w:color="auto" w:fill="EBF3FB"/>
            <w:vAlign w:val="center"/>
          </w:tcPr>
          <w:p w14:paraId="3D84F382" w14:textId="77777777" w:rsidR="000C3AB4" w:rsidRPr="000C3AB4" w:rsidRDefault="000C3AB4" w:rsidP="00316F8D">
            <w:pPr>
              <w:rPr>
                <w:rFonts w:cs="Arial"/>
                <w:sz w:val="18"/>
                <w:szCs w:val="18"/>
              </w:rPr>
            </w:pPr>
            <w:r w:rsidRPr="000C3AB4">
              <w:rPr>
                <w:rFonts w:cs="Arial"/>
                <w:color w:val="000000"/>
                <w:sz w:val="18"/>
                <w:szCs w:val="18"/>
              </w:rPr>
              <w:t>Reference standard and rationale</w:t>
            </w:r>
          </w:p>
        </w:tc>
        <w:tc>
          <w:tcPr>
            <w:tcW w:w="2271" w:type="dxa"/>
            <w:shd w:val="clear" w:color="auto" w:fill="EBF3FB"/>
            <w:vAlign w:val="center"/>
          </w:tcPr>
          <w:p w14:paraId="307E9549" w14:textId="77777777" w:rsidR="000C3AB4" w:rsidRPr="000C3AB4" w:rsidRDefault="000C3AB4" w:rsidP="00316F8D">
            <w:pPr>
              <w:rPr>
                <w:rFonts w:cs="Arial"/>
                <w:sz w:val="18"/>
                <w:szCs w:val="18"/>
              </w:rPr>
            </w:pPr>
            <w:r w:rsidRPr="000C3AB4">
              <w:rPr>
                <w:rFonts w:cs="Arial"/>
                <w:color w:val="000000"/>
                <w:sz w:val="18"/>
                <w:szCs w:val="18"/>
              </w:rPr>
              <w:t>Methods: Participants; Table 1</w:t>
            </w:r>
          </w:p>
        </w:tc>
        <w:tc>
          <w:tcPr>
            <w:tcW w:w="2654" w:type="dxa"/>
            <w:shd w:val="clear" w:color="auto" w:fill="EBF3FB"/>
            <w:vAlign w:val="center"/>
          </w:tcPr>
          <w:p w14:paraId="0331E598" w14:textId="77777777" w:rsidR="000C3AB4" w:rsidRPr="000C3AB4" w:rsidRDefault="000C3AB4" w:rsidP="00316F8D">
            <w:pPr>
              <w:rPr>
                <w:rFonts w:cs="Arial"/>
                <w:sz w:val="18"/>
                <w:szCs w:val="18"/>
              </w:rPr>
            </w:pPr>
            <w:r w:rsidRPr="000C3AB4">
              <w:rPr>
                <w:rFonts w:cs="Arial"/>
                <w:color w:val="000000"/>
                <w:sz w:val="18"/>
                <w:szCs w:val="18"/>
              </w:rPr>
              <w:t>Clinical diagnosis by certified neuropsychiatrist; MMSE, CDR-SB, and NIA-AA ATN framework used where CSF available</w:t>
            </w:r>
          </w:p>
        </w:tc>
      </w:tr>
      <w:tr w:rsidR="000C3AB4" w14:paraId="4DD52328" w14:textId="77777777" w:rsidTr="000C3AB4">
        <w:trPr>
          <w:trHeight w:val="510"/>
        </w:trPr>
        <w:tc>
          <w:tcPr>
            <w:tcW w:w="631" w:type="dxa"/>
            <w:shd w:val="clear" w:color="auto" w:fill="FFFFFF"/>
            <w:vAlign w:val="center"/>
          </w:tcPr>
          <w:p w14:paraId="6D3F6A87" w14:textId="77777777" w:rsidR="000C3AB4" w:rsidRPr="000C3AB4" w:rsidRDefault="000C3AB4" w:rsidP="00316F8D">
            <w:pPr>
              <w:jc w:val="center"/>
              <w:rPr>
                <w:rFonts w:cs="Arial"/>
                <w:sz w:val="18"/>
                <w:szCs w:val="18"/>
              </w:rPr>
            </w:pPr>
            <w:r w:rsidRPr="000C3AB4">
              <w:rPr>
                <w:rFonts w:cs="Arial"/>
                <w:b/>
                <w:color w:val="000000"/>
                <w:sz w:val="18"/>
                <w:szCs w:val="18"/>
              </w:rPr>
              <w:t>10</w:t>
            </w:r>
          </w:p>
        </w:tc>
        <w:tc>
          <w:tcPr>
            <w:tcW w:w="1411" w:type="dxa"/>
            <w:shd w:val="clear" w:color="auto" w:fill="FFFFFF"/>
            <w:vAlign w:val="center"/>
          </w:tcPr>
          <w:p w14:paraId="34E6ABCA" w14:textId="77777777" w:rsidR="000C3AB4" w:rsidRPr="000C3AB4" w:rsidRDefault="000C3AB4" w:rsidP="00316F8D">
            <w:pPr>
              <w:rPr>
                <w:rFonts w:cs="Arial"/>
                <w:sz w:val="18"/>
                <w:szCs w:val="18"/>
              </w:rPr>
            </w:pPr>
            <w:r w:rsidRPr="000C3AB4">
              <w:rPr>
                <w:rFonts w:cs="Arial"/>
                <w:color w:val="000000"/>
                <w:sz w:val="18"/>
                <w:szCs w:val="18"/>
              </w:rPr>
              <w:t>Methods</w:t>
            </w:r>
          </w:p>
        </w:tc>
        <w:tc>
          <w:tcPr>
            <w:tcW w:w="2095" w:type="dxa"/>
            <w:shd w:val="clear" w:color="auto" w:fill="FFFFFF"/>
            <w:vAlign w:val="center"/>
          </w:tcPr>
          <w:p w14:paraId="105929B2" w14:textId="77777777" w:rsidR="000C3AB4" w:rsidRPr="000C3AB4" w:rsidRDefault="000C3AB4" w:rsidP="00316F8D">
            <w:pPr>
              <w:rPr>
                <w:rFonts w:cs="Arial"/>
                <w:sz w:val="18"/>
                <w:szCs w:val="18"/>
              </w:rPr>
            </w:pPr>
            <w:r w:rsidRPr="000C3AB4">
              <w:rPr>
                <w:rFonts w:cs="Arial"/>
                <w:color w:val="000000"/>
                <w:sz w:val="18"/>
                <w:szCs w:val="18"/>
              </w:rPr>
              <w:t>Sample size (intended and achieved)</w:t>
            </w:r>
          </w:p>
        </w:tc>
        <w:tc>
          <w:tcPr>
            <w:tcW w:w="2271" w:type="dxa"/>
            <w:shd w:val="clear" w:color="auto" w:fill="FFFFFF"/>
            <w:vAlign w:val="center"/>
          </w:tcPr>
          <w:p w14:paraId="47A145D0" w14:textId="77777777" w:rsidR="000C3AB4" w:rsidRPr="000C3AB4" w:rsidRDefault="000C3AB4" w:rsidP="00316F8D">
            <w:pPr>
              <w:rPr>
                <w:rFonts w:cs="Arial"/>
                <w:sz w:val="18"/>
                <w:szCs w:val="18"/>
              </w:rPr>
            </w:pPr>
            <w:r w:rsidRPr="000C3AB4">
              <w:rPr>
                <w:rFonts w:cs="Arial"/>
                <w:color w:val="000000"/>
                <w:sz w:val="18"/>
                <w:szCs w:val="18"/>
              </w:rPr>
              <w:t xml:space="preserve">Methods: Participants (N=37 final cohort); </w:t>
            </w:r>
            <w:r w:rsidRPr="000C3AB4">
              <w:rPr>
                <w:rFonts w:cs="Arial"/>
                <w:color w:val="000000"/>
                <w:sz w:val="18"/>
                <w:szCs w:val="18"/>
              </w:rPr>
              <w:lastRenderedPageBreak/>
              <w:t>Discussion: Limitations ¶5(</w:t>
            </w:r>
            <w:proofErr w:type="spellStart"/>
            <w:r w:rsidRPr="000C3AB4">
              <w:rPr>
                <w:rFonts w:cs="Arial"/>
                <w:color w:val="000000"/>
                <w:sz w:val="18"/>
                <w:szCs w:val="18"/>
              </w:rPr>
              <w:t>i</w:t>
            </w:r>
            <w:proofErr w:type="spellEnd"/>
            <w:r w:rsidRPr="000C3AB4">
              <w:rPr>
                <w:rFonts w:cs="Arial"/>
                <w:color w:val="000000"/>
                <w:sz w:val="18"/>
                <w:szCs w:val="18"/>
              </w:rPr>
              <w:t>)</w:t>
            </w:r>
          </w:p>
        </w:tc>
        <w:tc>
          <w:tcPr>
            <w:tcW w:w="2654" w:type="dxa"/>
            <w:shd w:val="clear" w:color="auto" w:fill="FFFFFF"/>
            <w:vAlign w:val="center"/>
          </w:tcPr>
          <w:p w14:paraId="11002697" w14:textId="77777777" w:rsidR="000C3AB4" w:rsidRPr="000C3AB4" w:rsidRDefault="000C3AB4" w:rsidP="00316F8D">
            <w:pPr>
              <w:rPr>
                <w:rFonts w:cs="Arial"/>
                <w:sz w:val="18"/>
                <w:szCs w:val="18"/>
              </w:rPr>
            </w:pPr>
            <w:r w:rsidRPr="000C3AB4">
              <w:rPr>
                <w:rFonts w:cs="Arial"/>
                <w:color w:val="000000"/>
                <w:sz w:val="18"/>
                <w:szCs w:val="18"/>
              </w:rPr>
              <w:lastRenderedPageBreak/>
              <w:t xml:space="preserve">72 recruited → 60 completed </w:t>
            </w:r>
            <w:proofErr w:type="gramStart"/>
            <w:r w:rsidRPr="000C3AB4">
              <w:rPr>
                <w:rFonts w:cs="Arial"/>
                <w:color w:val="000000"/>
                <w:sz w:val="18"/>
                <w:szCs w:val="18"/>
              </w:rPr>
              <w:t>protocol</w:t>
            </w:r>
            <w:proofErr w:type="gramEnd"/>
            <w:r w:rsidRPr="000C3AB4">
              <w:rPr>
                <w:rFonts w:cs="Arial"/>
                <w:color w:val="000000"/>
                <w:sz w:val="18"/>
                <w:szCs w:val="18"/>
              </w:rPr>
              <w:t xml:space="preserve"> → 37 met all QC criteria; 38.3% exclusion rate; N=37 discussed as limitation</w:t>
            </w:r>
          </w:p>
        </w:tc>
      </w:tr>
      <w:tr w:rsidR="000C3AB4" w14:paraId="4D95B43F" w14:textId="77777777" w:rsidTr="000C3AB4">
        <w:trPr>
          <w:trHeight w:val="510"/>
        </w:trPr>
        <w:tc>
          <w:tcPr>
            <w:tcW w:w="631" w:type="dxa"/>
            <w:shd w:val="clear" w:color="auto" w:fill="EBF3FB"/>
            <w:vAlign w:val="center"/>
          </w:tcPr>
          <w:p w14:paraId="04B28722" w14:textId="77777777" w:rsidR="000C3AB4" w:rsidRPr="000C3AB4" w:rsidRDefault="000C3AB4" w:rsidP="00316F8D">
            <w:pPr>
              <w:jc w:val="center"/>
              <w:rPr>
                <w:rFonts w:cs="Arial"/>
                <w:sz w:val="18"/>
                <w:szCs w:val="18"/>
              </w:rPr>
            </w:pPr>
            <w:r w:rsidRPr="000C3AB4">
              <w:rPr>
                <w:rFonts w:cs="Arial"/>
                <w:b/>
                <w:color w:val="000000"/>
                <w:sz w:val="18"/>
                <w:szCs w:val="18"/>
              </w:rPr>
              <w:t>11</w:t>
            </w:r>
          </w:p>
        </w:tc>
        <w:tc>
          <w:tcPr>
            <w:tcW w:w="1411" w:type="dxa"/>
            <w:shd w:val="clear" w:color="auto" w:fill="EBF3FB"/>
            <w:vAlign w:val="center"/>
          </w:tcPr>
          <w:p w14:paraId="4FF6CF69" w14:textId="77777777" w:rsidR="000C3AB4" w:rsidRPr="000C3AB4" w:rsidRDefault="000C3AB4" w:rsidP="00316F8D">
            <w:pPr>
              <w:rPr>
                <w:rFonts w:cs="Arial"/>
                <w:sz w:val="18"/>
                <w:szCs w:val="18"/>
              </w:rPr>
            </w:pPr>
            <w:r w:rsidRPr="000C3AB4">
              <w:rPr>
                <w:rFonts w:cs="Arial"/>
                <w:color w:val="000000"/>
                <w:sz w:val="18"/>
                <w:szCs w:val="18"/>
              </w:rPr>
              <w:t>Methods</w:t>
            </w:r>
          </w:p>
        </w:tc>
        <w:tc>
          <w:tcPr>
            <w:tcW w:w="2095" w:type="dxa"/>
            <w:shd w:val="clear" w:color="auto" w:fill="EBF3FB"/>
            <w:vAlign w:val="center"/>
          </w:tcPr>
          <w:p w14:paraId="4A7FC17E" w14:textId="77777777" w:rsidR="000C3AB4" w:rsidRPr="000C3AB4" w:rsidRDefault="000C3AB4" w:rsidP="00316F8D">
            <w:pPr>
              <w:rPr>
                <w:rFonts w:cs="Arial"/>
                <w:sz w:val="18"/>
                <w:szCs w:val="18"/>
              </w:rPr>
            </w:pPr>
            <w:r w:rsidRPr="000C3AB4">
              <w:rPr>
                <w:rFonts w:cs="Arial"/>
                <w:color w:val="000000"/>
                <w:sz w:val="18"/>
                <w:szCs w:val="18"/>
              </w:rPr>
              <w:t>Handling of missing data</w:t>
            </w:r>
          </w:p>
        </w:tc>
        <w:tc>
          <w:tcPr>
            <w:tcW w:w="2271" w:type="dxa"/>
            <w:shd w:val="clear" w:color="auto" w:fill="EBF3FB"/>
            <w:vAlign w:val="center"/>
          </w:tcPr>
          <w:p w14:paraId="222ECA27" w14:textId="77777777" w:rsidR="000C3AB4" w:rsidRPr="000C3AB4" w:rsidRDefault="000C3AB4" w:rsidP="00316F8D">
            <w:pPr>
              <w:rPr>
                <w:rFonts w:cs="Arial"/>
                <w:sz w:val="18"/>
                <w:szCs w:val="18"/>
              </w:rPr>
            </w:pPr>
            <w:r w:rsidRPr="000C3AB4">
              <w:rPr>
                <w:rFonts w:cs="Arial"/>
                <w:color w:val="000000"/>
                <w:sz w:val="18"/>
                <w:szCs w:val="18"/>
              </w:rPr>
              <w:t>Methods: EEG acquisition and preprocessing</w:t>
            </w:r>
          </w:p>
        </w:tc>
        <w:tc>
          <w:tcPr>
            <w:tcW w:w="2654" w:type="dxa"/>
            <w:shd w:val="clear" w:color="auto" w:fill="EBF3FB"/>
            <w:vAlign w:val="center"/>
          </w:tcPr>
          <w:p w14:paraId="780E09AA" w14:textId="77777777" w:rsidR="000C3AB4" w:rsidRPr="000C3AB4" w:rsidRDefault="000C3AB4" w:rsidP="00316F8D">
            <w:pPr>
              <w:rPr>
                <w:rFonts w:cs="Arial"/>
                <w:sz w:val="18"/>
                <w:szCs w:val="18"/>
              </w:rPr>
            </w:pPr>
            <w:proofErr w:type="spellStart"/>
            <w:r w:rsidRPr="000C3AB4">
              <w:rPr>
                <w:rFonts w:cs="Arial"/>
                <w:color w:val="000000"/>
                <w:sz w:val="18"/>
                <w:szCs w:val="18"/>
              </w:rPr>
              <w:t>AutoReject</w:t>
            </w:r>
            <w:proofErr w:type="spellEnd"/>
            <w:r w:rsidRPr="000C3AB4">
              <w:rPr>
                <w:rFonts w:cs="Arial"/>
                <w:color w:val="000000"/>
                <w:sz w:val="18"/>
                <w:szCs w:val="18"/>
              </w:rPr>
              <w:t xml:space="preserve"> adaptive epoch rejection; participants with &lt;100 usable epochs or impedance &gt;50 </w:t>
            </w:r>
            <w:proofErr w:type="spellStart"/>
            <w:r w:rsidRPr="000C3AB4">
              <w:rPr>
                <w:rFonts w:cs="Arial"/>
                <w:color w:val="000000"/>
                <w:sz w:val="18"/>
                <w:szCs w:val="18"/>
              </w:rPr>
              <w:t>kΩ</w:t>
            </w:r>
            <w:proofErr w:type="spellEnd"/>
            <w:r w:rsidRPr="000C3AB4">
              <w:rPr>
                <w:rFonts w:cs="Arial"/>
                <w:color w:val="000000"/>
                <w:sz w:val="18"/>
                <w:szCs w:val="18"/>
              </w:rPr>
              <w:t xml:space="preserve"> excluded</w:t>
            </w:r>
          </w:p>
        </w:tc>
      </w:tr>
      <w:tr w:rsidR="000C3AB4" w14:paraId="26451490" w14:textId="77777777" w:rsidTr="000C3AB4">
        <w:trPr>
          <w:trHeight w:val="510"/>
        </w:trPr>
        <w:tc>
          <w:tcPr>
            <w:tcW w:w="631" w:type="dxa"/>
            <w:shd w:val="clear" w:color="auto" w:fill="FFFFFF"/>
            <w:vAlign w:val="center"/>
          </w:tcPr>
          <w:p w14:paraId="0330A789" w14:textId="77777777" w:rsidR="000C3AB4" w:rsidRPr="000C3AB4" w:rsidRDefault="000C3AB4" w:rsidP="00316F8D">
            <w:pPr>
              <w:jc w:val="center"/>
              <w:rPr>
                <w:rFonts w:cs="Arial"/>
                <w:sz w:val="18"/>
                <w:szCs w:val="18"/>
              </w:rPr>
            </w:pPr>
            <w:r w:rsidRPr="000C3AB4">
              <w:rPr>
                <w:rFonts w:cs="Arial"/>
                <w:b/>
                <w:color w:val="000000"/>
                <w:sz w:val="18"/>
                <w:szCs w:val="18"/>
              </w:rPr>
              <w:t>12</w:t>
            </w:r>
          </w:p>
        </w:tc>
        <w:tc>
          <w:tcPr>
            <w:tcW w:w="1411" w:type="dxa"/>
            <w:shd w:val="clear" w:color="auto" w:fill="FFFFFF"/>
            <w:vAlign w:val="center"/>
          </w:tcPr>
          <w:p w14:paraId="7C97F3A7" w14:textId="77777777" w:rsidR="000C3AB4" w:rsidRPr="000C3AB4" w:rsidRDefault="000C3AB4" w:rsidP="00316F8D">
            <w:pPr>
              <w:rPr>
                <w:rFonts w:cs="Arial"/>
                <w:sz w:val="18"/>
                <w:szCs w:val="18"/>
              </w:rPr>
            </w:pPr>
            <w:r w:rsidRPr="000C3AB4">
              <w:rPr>
                <w:rFonts w:cs="Arial"/>
                <w:color w:val="000000"/>
                <w:sz w:val="18"/>
                <w:szCs w:val="18"/>
              </w:rPr>
              <w:t>Methods — Statistical</w:t>
            </w:r>
          </w:p>
        </w:tc>
        <w:tc>
          <w:tcPr>
            <w:tcW w:w="2095" w:type="dxa"/>
            <w:shd w:val="clear" w:color="auto" w:fill="FFFFFF"/>
            <w:vAlign w:val="center"/>
          </w:tcPr>
          <w:p w14:paraId="6C6B5969" w14:textId="77777777" w:rsidR="000C3AB4" w:rsidRPr="000C3AB4" w:rsidRDefault="000C3AB4" w:rsidP="00316F8D">
            <w:pPr>
              <w:rPr>
                <w:rFonts w:cs="Arial"/>
                <w:sz w:val="18"/>
                <w:szCs w:val="18"/>
              </w:rPr>
            </w:pPr>
            <w:r w:rsidRPr="000C3AB4">
              <w:rPr>
                <w:rFonts w:cs="Arial"/>
                <w:color w:val="000000"/>
                <w:sz w:val="18"/>
                <w:szCs w:val="18"/>
              </w:rPr>
              <w:t>Statistical methods for estimating diagnostic accuracy</w:t>
            </w:r>
          </w:p>
        </w:tc>
        <w:tc>
          <w:tcPr>
            <w:tcW w:w="2271" w:type="dxa"/>
            <w:shd w:val="clear" w:color="auto" w:fill="FFFFFF"/>
            <w:vAlign w:val="center"/>
          </w:tcPr>
          <w:p w14:paraId="6D51F8C5" w14:textId="77777777" w:rsidR="000C3AB4" w:rsidRPr="000C3AB4" w:rsidRDefault="000C3AB4" w:rsidP="00316F8D">
            <w:pPr>
              <w:rPr>
                <w:rFonts w:cs="Arial"/>
                <w:sz w:val="18"/>
                <w:szCs w:val="18"/>
              </w:rPr>
            </w:pPr>
            <w:r w:rsidRPr="000C3AB4">
              <w:rPr>
                <w:rFonts w:cs="Arial"/>
                <w:color w:val="000000"/>
                <w:sz w:val="18"/>
                <w:szCs w:val="18"/>
              </w:rPr>
              <w:t>Methods: Machine learning and statistical validation</w:t>
            </w:r>
          </w:p>
        </w:tc>
        <w:tc>
          <w:tcPr>
            <w:tcW w:w="2654" w:type="dxa"/>
            <w:shd w:val="clear" w:color="auto" w:fill="FFFFFF"/>
            <w:vAlign w:val="center"/>
          </w:tcPr>
          <w:p w14:paraId="7CC17F7F" w14:textId="77777777" w:rsidR="000C3AB4" w:rsidRPr="000C3AB4" w:rsidRDefault="000C3AB4" w:rsidP="00316F8D">
            <w:pPr>
              <w:rPr>
                <w:rFonts w:cs="Arial"/>
                <w:sz w:val="18"/>
                <w:szCs w:val="18"/>
              </w:rPr>
            </w:pPr>
            <w:r w:rsidRPr="000C3AB4">
              <w:rPr>
                <w:rFonts w:cs="Arial"/>
                <w:color w:val="000000"/>
                <w:sz w:val="18"/>
                <w:szCs w:val="18"/>
              </w:rPr>
              <w:t>37-fold LOOCV; permutation testing (n=500); bootstrap 95% CI (n=500, Fig. 3a); multi-seed stability (10 seeds)</w:t>
            </w:r>
          </w:p>
        </w:tc>
      </w:tr>
      <w:tr w:rsidR="000C3AB4" w14:paraId="13C007B2" w14:textId="77777777" w:rsidTr="000C3AB4">
        <w:trPr>
          <w:trHeight w:val="510"/>
        </w:trPr>
        <w:tc>
          <w:tcPr>
            <w:tcW w:w="631" w:type="dxa"/>
            <w:shd w:val="clear" w:color="auto" w:fill="EBF3FB"/>
            <w:vAlign w:val="center"/>
          </w:tcPr>
          <w:p w14:paraId="4332A1AB" w14:textId="77777777" w:rsidR="000C3AB4" w:rsidRPr="000C3AB4" w:rsidRDefault="000C3AB4" w:rsidP="00316F8D">
            <w:pPr>
              <w:jc w:val="center"/>
              <w:rPr>
                <w:rFonts w:cs="Arial"/>
                <w:sz w:val="18"/>
                <w:szCs w:val="18"/>
              </w:rPr>
            </w:pPr>
            <w:r w:rsidRPr="000C3AB4">
              <w:rPr>
                <w:rFonts w:cs="Arial"/>
                <w:b/>
                <w:color w:val="000000"/>
                <w:sz w:val="18"/>
                <w:szCs w:val="18"/>
              </w:rPr>
              <w:t>13</w:t>
            </w:r>
          </w:p>
        </w:tc>
        <w:tc>
          <w:tcPr>
            <w:tcW w:w="1411" w:type="dxa"/>
            <w:shd w:val="clear" w:color="auto" w:fill="EBF3FB"/>
            <w:vAlign w:val="center"/>
          </w:tcPr>
          <w:p w14:paraId="0870F04C" w14:textId="77777777" w:rsidR="000C3AB4" w:rsidRPr="000C3AB4" w:rsidRDefault="000C3AB4" w:rsidP="00316F8D">
            <w:pPr>
              <w:rPr>
                <w:rFonts w:cs="Arial"/>
                <w:sz w:val="18"/>
                <w:szCs w:val="18"/>
              </w:rPr>
            </w:pPr>
            <w:r w:rsidRPr="000C3AB4">
              <w:rPr>
                <w:rFonts w:cs="Arial"/>
                <w:color w:val="000000"/>
                <w:sz w:val="18"/>
                <w:szCs w:val="18"/>
              </w:rPr>
              <w:t>Results — Participants</w:t>
            </w:r>
          </w:p>
        </w:tc>
        <w:tc>
          <w:tcPr>
            <w:tcW w:w="2095" w:type="dxa"/>
            <w:shd w:val="clear" w:color="auto" w:fill="EBF3FB"/>
            <w:vAlign w:val="center"/>
          </w:tcPr>
          <w:p w14:paraId="6FBF388C" w14:textId="77777777" w:rsidR="000C3AB4" w:rsidRPr="000C3AB4" w:rsidRDefault="000C3AB4" w:rsidP="00316F8D">
            <w:pPr>
              <w:rPr>
                <w:rFonts w:cs="Arial"/>
                <w:sz w:val="18"/>
                <w:szCs w:val="18"/>
              </w:rPr>
            </w:pPr>
            <w:r w:rsidRPr="000C3AB4">
              <w:rPr>
                <w:rFonts w:cs="Arial"/>
                <w:color w:val="000000"/>
                <w:sz w:val="18"/>
                <w:szCs w:val="18"/>
              </w:rPr>
              <w:t>Flow of participants through the study</w:t>
            </w:r>
          </w:p>
        </w:tc>
        <w:tc>
          <w:tcPr>
            <w:tcW w:w="2271" w:type="dxa"/>
            <w:shd w:val="clear" w:color="auto" w:fill="EBF3FB"/>
            <w:vAlign w:val="center"/>
          </w:tcPr>
          <w:p w14:paraId="15E941C2" w14:textId="77777777" w:rsidR="000C3AB4" w:rsidRPr="000C3AB4" w:rsidRDefault="000C3AB4" w:rsidP="00316F8D">
            <w:pPr>
              <w:rPr>
                <w:rFonts w:cs="Arial"/>
                <w:sz w:val="18"/>
                <w:szCs w:val="18"/>
              </w:rPr>
            </w:pPr>
            <w:r w:rsidRPr="000C3AB4">
              <w:rPr>
                <w:rFonts w:cs="Arial"/>
                <w:color w:val="000000"/>
                <w:sz w:val="18"/>
                <w:szCs w:val="18"/>
              </w:rPr>
              <w:t>Results ¶1; Fig. 1 (end-to-end pipeline diagram)</w:t>
            </w:r>
          </w:p>
        </w:tc>
        <w:tc>
          <w:tcPr>
            <w:tcW w:w="2654" w:type="dxa"/>
            <w:shd w:val="clear" w:color="auto" w:fill="EBF3FB"/>
            <w:vAlign w:val="center"/>
          </w:tcPr>
          <w:p w14:paraId="308C5C5C" w14:textId="77777777" w:rsidR="000C3AB4" w:rsidRPr="000C3AB4" w:rsidRDefault="000C3AB4" w:rsidP="00316F8D">
            <w:pPr>
              <w:rPr>
                <w:rFonts w:cs="Arial"/>
                <w:sz w:val="18"/>
                <w:szCs w:val="18"/>
              </w:rPr>
            </w:pPr>
            <w:r w:rsidRPr="000C3AB4">
              <w:rPr>
                <w:rFonts w:cs="Arial"/>
                <w:color w:val="000000"/>
                <w:sz w:val="18"/>
                <w:szCs w:val="18"/>
              </w:rPr>
              <w:t>Fig. 1 shows 72→60→37 flow with explicit exclusion reasons at each stage</w:t>
            </w:r>
          </w:p>
        </w:tc>
      </w:tr>
      <w:tr w:rsidR="000C3AB4" w14:paraId="689A2630" w14:textId="77777777" w:rsidTr="000C3AB4">
        <w:trPr>
          <w:trHeight w:val="510"/>
        </w:trPr>
        <w:tc>
          <w:tcPr>
            <w:tcW w:w="631" w:type="dxa"/>
            <w:shd w:val="clear" w:color="auto" w:fill="FFFFFF"/>
            <w:vAlign w:val="center"/>
          </w:tcPr>
          <w:p w14:paraId="48F3FC13" w14:textId="77777777" w:rsidR="000C3AB4" w:rsidRPr="000C3AB4" w:rsidRDefault="000C3AB4" w:rsidP="00316F8D">
            <w:pPr>
              <w:jc w:val="center"/>
              <w:rPr>
                <w:rFonts w:cs="Arial"/>
                <w:sz w:val="18"/>
                <w:szCs w:val="18"/>
              </w:rPr>
            </w:pPr>
            <w:r w:rsidRPr="000C3AB4">
              <w:rPr>
                <w:rFonts w:cs="Arial"/>
                <w:b/>
                <w:color w:val="000000"/>
                <w:sz w:val="18"/>
                <w:szCs w:val="18"/>
              </w:rPr>
              <w:t>14</w:t>
            </w:r>
          </w:p>
        </w:tc>
        <w:tc>
          <w:tcPr>
            <w:tcW w:w="1411" w:type="dxa"/>
            <w:shd w:val="clear" w:color="auto" w:fill="FFFFFF"/>
            <w:vAlign w:val="center"/>
          </w:tcPr>
          <w:p w14:paraId="531A3885" w14:textId="77777777" w:rsidR="000C3AB4" w:rsidRPr="000C3AB4" w:rsidRDefault="000C3AB4" w:rsidP="00316F8D">
            <w:pPr>
              <w:rPr>
                <w:rFonts w:cs="Arial"/>
                <w:sz w:val="18"/>
                <w:szCs w:val="18"/>
              </w:rPr>
            </w:pPr>
            <w:r w:rsidRPr="000C3AB4">
              <w:rPr>
                <w:rFonts w:cs="Arial"/>
                <w:color w:val="000000"/>
                <w:sz w:val="18"/>
                <w:szCs w:val="18"/>
              </w:rPr>
              <w:t>Results — Participants</w:t>
            </w:r>
          </w:p>
        </w:tc>
        <w:tc>
          <w:tcPr>
            <w:tcW w:w="2095" w:type="dxa"/>
            <w:shd w:val="clear" w:color="auto" w:fill="FFFFFF"/>
            <w:vAlign w:val="center"/>
          </w:tcPr>
          <w:p w14:paraId="2FF73B6E" w14:textId="77777777" w:rsidR="000C3AB4" w:rsidRPr="000C3AB4" w:rsidRDefault="000C3AB4" w:rsidP="00316F8D">
            <w:pPr>
              <w:rPr>
                <w:rFonts w:cs="Arial"/>
                <w:sz w:val="18"/>
                <w:szCs w:val="18"/>
              </w:rPr>
            </w:pPr>
            <w:r w:rsidRPr="000C3AB4">
              <w:rPr>
                <w:rFonts w:cs="Arial"/>
                <w:color w:val="000000"/>
                <w:sz w:val="18"/>
                <w:szCs w:val="18"/>
              </w:rPr>
              <w:t>Demographic and clinical characteristics</w:t>
            </w:r>
          </w:p>
        </w:tc>
        <w:tc>
          <w:tcPr>
            <w:tcW w:w="2271" w:type="dxa"/>
            <w:shd w:val="clear" w:color="auto" w:fill="FFFFFF"/>
            <w:vAlign w:val="center"/>
          </w:tcPr>
          <w:p w14:paraId="3AAFC121" w14:textId="77777777" w:rsidR="000C3AB4" w:rsidRPr="000C3AB4" w:rsidRDefault="000C3AB4" w:rsidP="00316F8D">
            <w:pPr>
              <w:rPr>
                <w:rFonts w:cs="Arial"/>
                <w:sz w:val="18"/>
                <w:szCs w:val="18"/>
              </w:rPr>
            </w:pPr>
            <w:r w:rsidRPr="000C3AB4">
              <w:rPr>
                <w:rFonts w:cs="Arial"/>
                <w:color w:val="000000"/>
                <w:sz w:val="18"/>
                <w:szCs w:val="18"/>
              </w:rPr>
              <w:t>Table 1</w:t>
            </w:r>
          </w:p>
        </w:tc>
        <w:tc>
          <w:tcPr>
            <w:tcW w:w="2654" w:type="dxa"/>
            <w:shd w:val="clear" w:color="auto" w:fill="FFFFFF"/>
            <w:vAlign w:val="center"/>
          </w:tcPr>
          <w:p w14:paraId="0390E47C" w14:textId="77777777" w:rsidR="000C3AB4" w:rsidRPr="000C3AB4" w:rsidRDefault="000C3AB4" w:rsidP="00316F8D">
            <w:pPr>
              <w:rPr>
                <w:rFonts w:cs="Arial"/>
                <w:sz w:val="18"/>
                <w:szCs w:val="18"/>
              </w:rPr>
            </w:pPr>
            <w:r w:rsidRPr="000C3AB4">
              <w:rPr>
                <w:rFonts w:cs="Arial"/>
                <w:color w:val="000000"/>
                <w:sz w:val="18"/>
                <w:szCs w:val="18"/>
              </w:rPr>
              <w:t>Age, sex, education, MMSE, CDR-SB, epoch rejection rate, SSQ score per group (AD/MCI/NC)</w:t>
            </w:r>
          </w:p>
        </w:tc>
      </w:tr>
      <w:tr w:rsidR="000C3AB4" w14:paraId="391F8542" w14:textId="77777777" w:rsidTr="000C3AB4">
        <w:trPr>
          <w:trHeight w:val="510"/>
        </w:trPr>
        <w:tc>
          <w:tcPr>
            <w:tcW w:w="631" w:type="dxa"/>
            <w:shd w:val="clear" w:color="auto" w:fill="EBF3FB"/>
            <w:vAlign w:val="center"/>
          </w:tcPr>
          <w:p w14:paraId="7CB7E1AA" w14:textId="77777777" w:rsidR="000C3AB4" w:rsidRPr="000C3AB4" w:rsidRDefault="000C3AB4" w:rsidP="00316F8D">
            <w:pPr>
              <w:jc w:val="center"/>
              <w:rPr>
                <w:rFonts w:cs="Arial"/>
                <w:sz w:val="18"/>
                <w:szCs w:val="18"/>
              </w:rPr>
            </w:pPr>
            <w:r w:rsidRPr="000C3AB4">
              <w:rPr>
                <w:rFonts w:cs="Arial"/>
                <w:b/>
                <w:color w:val="000000"/>
                <w:sz w:val="18"/>
                <w:szCs w:val="18"/>
              </w:rPr>
              <w:t>15</w:t>
            </w:r>
          </w:p>
        </w:tc>
        <w:tc>
          <w:tcPr>
            <w:tcW w:w="1411" w:type="dxa"/>
            <w:shd w:val="clear" w:color="auto" w:fill="EBF3FB"/>
            <w:vAlign w:val="center"/>
          </w:tcPr>
          <w:p w14:paraId="35593BFB" w14:textId="77777777" w:rsidR="000C3AB4" w:rsidRPr="000C3AB4" w:rsidRDefault="000C3AB4" w:rsidP="00316F8D">
            <w:pPr>
              <w:rPr>
                <w:rFonts w:cs="Arial"/>
                <w:sz w:val="18"/>
                <w:szCs w:val="18"/>
              </w:rPr>
            </w:pPr>
            <w:r w:rsidRPr="000C3AB4">
              <w:rPr>
                <w:rFonts w:cs="Arial"/>
                <w:color w:val="000000"/>
                <w:sz w:val="18"/>
                <w:szCs w:val="18"/>
              </w:rPr>
              <w:t>Results — Test results</w:t>
            </w:r>
          </w:p>
        </w:tc>
        <w:tc>
          <w:tcPr>
            <w:tcW w:w="2095" w:type="dxa"/>
            <w:shd w:val="clear" w:color="auto" w:fill="EBF3FB"/>
            <w:vAlign w:val="center"/>
          </w:tcPr>
          <w:p w14:paraId="3B5EE460" w14:textId="77777777" w:rsidR="000C3AB4" w:rsidRPr="000C3AB4" w:rsidRDefault="000C3AB4" w:rsidP="00316F8D">
            <w:pPr>
              <w:rPr>
                <w:rFonts w:cs="Arial"/>
                <w:sz w:val="18"/>
                <w:szCs w:val="18"/>
              </w:rPr>
            </w:pPr>
            <w:r w:rsidRPr="000C3AB4">
              <w:rPr>
                <w:rFonts w:cs="Arial"/>
                <w:color w:val="000000"/>
                <w:sz w:val="18"/>
                <w:szCs w:val="18"/>
              </w:rPr>
              <w:t>Distribution of index test results</w:t>
            </w:r>
          </w:p>
        </w:tc>
        <w:tc>
          <w:tcPr>
            <w:tcW w:w="2271" w:type="dxa"/>
            <w:shd w:val="clear" w:color="auto" w:fill="EBF3FB"/>
            <w:vAlign w:val="center"/>
          </w:tcPr>
          <w:p w14:paraId="426C08B2" w14:textId="77777777" w:rsidR="000C3AB4" w:rsidRPr="000C3AB4" w:rsidRDefault="000C3AB4" w:rsidP="00316F8D">
            <w:pPr>
              <w:rPr>
                <w:rFonts w:cs="Arial"/>
                <w:sz w:val="18"/>
                <w:szCs w:val="18"/>
              </w:rPr>
            </w:pPr>
            <w:r w:rsidRPr="000C3AB4">
              <w:rPr>
                <w:rFonts w:cs="Arial"/>
                <w:color w:val="000000"/>
                <w:sz w:val="18"/>
                <w:szCs w:val="18"/>
              </w:rPr>
              <w:t>Table 2; Fig. 3</w:t>
            </w:r>
          </w:p>
        </w:tc>
        <w:tc>
          <w:tcPr>
            <w:tcW w:w="2654" w:type="dxa"/>
            <w:shd w:val="clear" w:color="auto" w:fill="EBF3FB"/>
            <w:vAlign w:val="center"/>
          </w:tcPr>
          <w:p w14:paraId="45967BFD" w14:textId="77777777" w:rsidR="000C3AB4" w:rsidRPr="000C3AB4" w:rsidRDefault="000C3AB4" w:rsidP="00316F8D">
            <w:pPr>
              <w:rPr>
                <w:rFonts w:cs="Arial"/>
                <w:sz w:val="18"/>
                <w:szCs w:val="18"/>
              </w:rPr>
            </w:pPr>
            <w:r w:rsidRPr="000C3AB4">
              <w:rPr>
                <w:rFonts w:cs="Arial"/>
                <w:color w:val="000000"/>
                <w:sz w:val="18"/>
                <w:szCs w:val="18"/>
              </w:rPr>
              <w:t>Accuracy, F1-macro, F1-weighted, Precision-macro, Recall-macro for all 6 models; permutation null shown in Fig. 3c</w:t>
            </w:r>
          </w:p>
        </w:tc>
      </w:tr>
      <w:tr w:rsidR="000C3AB4" w14:paraId="2BE6A326" w14:textId="77777777" w:rsidTr="000C3AB4">
        <w:trPr>
          <w:trHeight w:val="510"/>
        </w:trPr>
        <w:tc>
          <w:tcPr>
            <w:tcW w:w="631" w:type="dxa"/>
            <w:shd w:val="clear" w:color="auto" w:fill="FFFFFF"/>
            <w:vAlign w:val="center"/>
          </w:tcPr>
          <w:p w14:paraId="0948017B" w14:textId="77777777" w:rsidR="000C3AB4" w:rsidRPr="000C3AB4" w:rsidRDefault="000C3AB4" w:rsidP="00316F8D">
            <w:pPr>
              <w:jc w:val="center"/>
              <w:rPr>
                <w:rFonts w:cs="Arial"/>
                <w:sz w:val="18"/>
                <w:szCs w:val="18"/>
              </w:rPr>
            </w:pPr>
            <w:r w:rsidRPr="000C3AB4">
              <w:rPr>
                <w:rFonts w:cs="Arial"/>
                <w:b/>
                <w:color w:val="000000"/>
                <w:sz w:val="18"/>
                <w:szCs w:val="18"/>
              </w:rPr>
              <w:t>16</w:t>
            </w:r>
          </w:p>
        </w:tc>
        <w:tc>
          <w:tcPr>
            <w:tcW w:w="1411" w:type="dxa"/>
            <w:shd w:val="clear" w:color="auto" w:fill="FFFFFF"/>
            <w:vAlign w:val="center"/>
          </w:tcPr>
          <w:p w14:paraId="2A6D909F" w14:textId="77777777" w:rsidR="000C3AB4" w:rsidRPr="000C3AB4" w:rsidRDefault="000C3AB4" w:rsidP="00316F8D">
            <w:pPr>
              <w:rPr>
                <w:rFonts w:cs="Arial"/>
                <w:sz w:val="18"/>
                <w:szCs w:val="18"/>
              </w:rPr>
            </w:pPr>
            <w:r w:rsidRPr="000C3AB4">
              <w:rPr>
                <w:rFonts w:cs="Arial"/>
                <w:color w:val="000000"/>
                <w:sz w:val="18"/>
                <w:szCs w:val="18"/>
              </w:rPr>
              <w:t>Results</w:t>
            </w:r>
          </w:p>
        </w:tc>
        <w:tc>
          <w:tcPr>
            <w:tcW w:w="2095" w:type="dxa"/>
            <w:shd w:val="clear" w:color="auto" w:fill="FFFFFF"/>
            <w:vAlign w:val="center"/>
          </w:tcPr>
          <w:p w14:paraId="4851DB6F" w14:textId="77777777" w:rsidR="000C3AB4" w:rsidRPr="000C3AB4" w:rsidRDefault="000C3AB4" w:rsidP="00316F8D">
            <w:pPr>
              <w:rPr>
                <w:rFonts w:cs="Arial"/>
                <w:sz w:val="18"/>
                <w:szCs w:val="18"/>
              </w:rPr>
            </w:pPr>
            <w:r w:rsidRPr="000C3AB4">
              <w:rPr>
                <w:rFonts w:cs="Arial"/>
                <w:color w:val="000000"/>
                <w:sz w:val="18"/>
                <w:szCs w:val="18"/>
              </w:rPr>
              <w:t>Cross-tabulation of index test results by reference standard</w:t>
            </w:r>
          </w:p>
        </w:tc>
        <w:tc>
          <w:tcPr>
            <w:tcW w:w="2271" w:type="dxa"/>
            <w:shd w:val="clear" w:color="auto" w:fill="FFFFFF"/>
            <w:vAlign w:val="center"/>
          </w:tcPr>
          <w:p w14:paraId="075C0998" w14:textId="77777777" w:rsidR="000C3AB4" w:rsidRPr="000C3AB4" w:rsidRDefault="000C3AB4" w:rsidP="00316F8D">
            <w:pPr>
              <w:rPr>
                <w:rFonts w:cs="Arial"/>
                <w:sz w:val="18"/>
                <w:szCs w:val="18"/>
              </w:rPr>
            </w:pPr>
            <w:r w:rsidRPr="000C3AB4">
              <w:rPr>
                <w:rFonts w:cs="Arial"/>
                <w:color w:val="000000"/>
                <w:sz w:val="18"/>
                <w:szCs w:val="18"/>
              </w:rPr>
              <w:t>Table 2 (confusion matrix data); Fig. 3b</w:t>
            </w:r>
          </w:p>
        </w:tc>
        <w:tc>
          <w:tcPr>
            <w:tcW w:w="2654" w:type="dxa"/>
            <w:shd w:val="clear" w:color="auto" w:fill="FFFFFF"/>
            <w:vAlign w:val="center"/>
          </w:tcPr>
          <w:p w14:paraId="70E8BEA5" w14:textId="77777777" w:rsidR="000C3AB4" w:rsidRPr="000C3AB4" w:rsidRDefault="000C3AB4" w:rsidP="00316F8D">
            <w:pPr>
              <w:rPr>
                <w:rFonts w:cs="Arial"/>
                <w:sz w:val="18"/>
                <w:szCs w:val="18"/>
              </w:rPr>
            </w:pPr>
            <w:r w:rsidRPr="000C3AB4">
              <w:rPr>
                <w:rFonts w:cs="Arial"/>
                <w:color w:val="000000"/>
                <w:sz w:val="18"/>
                <w:szCs w:val="18"/>
              </w:rPr>
              <w:t>Fig. 3b shows per-class Precision/Recall/F1 for optimal KNN; MCI recall = 100% (zero false negatives) explicitly stated</w:t>
            </w:r>
          </w:p>
        </w:tc>
      </w:tr>
      <w:tr w:rsidR="000C3AB4" w14:paraId="30546016" w14:textId="77777777" w:rsidTr="000C3AB4">
        <w:trPr>
          <w:trHeight w:val="510"/>
        </w:trPr>
        <w:tc>
          <w:tcPr>
            <w:tcW w:w="631" w:type="dxa"/>
            <w:shd w:val="clear" w:color="auto" w:fill="EBF3FB"/>
            <w:vAlign w:val="center"/>
          </w:tcPr>
          <w:p w14:paraId="4A0DAF29" w14:textId="77777777" w:rsidR="000C3AB4" w:rsidRPr="000C3AB4" w:rsidRDefault="000C3AB4" w:rsidP="00316F8D">
            <w:pPr>
              <w:jc w:val="center"/>
              <w:rPr>
                <w:rFonts w:cs="Arial"/>
                <w:sz w:val="18"/>
                <w:szCs w:val="18"/>
              </w:rPr>
            </w:pPr>
            <w:r w:rsidRPr="000C3AB4">
              <w:rPr>
                <w:rFonts w:cs="Arial"/>
                <w:b/>
                <w:color w:val="000000"/>
                <w:sz w:val="18"/>
                <w:szCs w:val="18"/>
              </w:rPr>
              <w:t>17</w:t>
            </w:r>
          </w:p>
        </w:tc>
        <w:tc>
          <w:tcPr>
            <w:tcW w:w="1411" w:type="dxa"/>
            <w:shd w:val="clear" w:color="auto" w:fill="EBF3FB"/>
            <w:vAlign w:val="center"/>
          </w:tcPr>
          <w:p w14:paraId="0A05A73E" w14:textId="77777777" w:rsidR="000C3AB4" w:rsidRPr="000C3AB4" w:rsidRDefault="000C3AB4" w:rsidP="00316F8D">
            <w:pPr>
              <w:rPr>
                <w:rFonts w:cs="Arial"/>
                <w:sz w:val="18"/>
                <w:szCs w:val="18"/>
              </w:rPr>
            </w:pPr>
            <w:r w:rsidRPr="000C3AB4">
              <w:rPr>
                <w:rFonts w:cs="Arial"/>
                <w:color w:val="000000"/>
                <w:sz w:val="18"/>
                <w:szCs w:val="18"/>
              </w:rPr>
              <w:t>Results</w:t>
            </w:r>
          </w:p>
        </w:tc>
        <w:tc>
          <w:tcPr>
            <w:tcW w:w="2095" w:type="dxa"/>
            <w:shd w:val="clear" w:color="auto" w:fill="EBF3FB"/>
            <w:vAlign w:val="center"/>
          </w:tcPr>
          <w:p w14:paraId="15EDA5DB" w14:textId="77777777" w:rsidR="000C3AB4" w:rsidRPr="000C3AB4" w:rsidRDefault="000C3AB4" w:rsidP="00316F8D">
            <w:pPr>
              <w:rPr>
                <w:rFonts w:cs="Arial"/>
                <w:sz w:val="18"/>
                <w:szCs w:val="18"/>
              </w:rPr>
            </w:pPr>
            <w:r w:rsidRPr="000C3AB4">
              <w:rPr>
                <w:rFonts w:cs="Arial"/>
                <w:color w:val="000000"/>
                <w:sz w:val="18"/>
                <w:szCs w:val="18"/>
              </w:rPr>
              <w:t>Estimates of diagnostic accuracy with 95% CI</w:t>
            </w:r>
          </w:p>
        </w:tc>
        <w:tc>
          <w:tcPr>
            <w:tcW w:w="2271" w:type="dxa"/>
            <w:shd w:val="clear" w:color="auto" w:fill="EBF3FB"/>
            <w:vAlign w:val="center"/>
          </w:tcPr>
          <w:p w14:paraId="59007C1A" w14:textId="77777777" w:rsidR="000C3AB4" w:rsidRPr="000C3AB4" w:rsidRDefault="000C3AB4" w:rsidP="00316F8D">
            <w:pPr>
              <w:rPr>
                <w:rFonts w:cs="Arial"/>
                <w:sz w:val="18"/>
                <w:szCs w:val="18"/>
              </w:rPr>
            </w:pPr>
            <w:r w:rsidRPr="000C3AB4">
              <w:rPr>
                <w:rFonts w:cs="Arial"/>
                <w:color w:val="000000"/>
                <w:sz w:val="18"/>
                <w:szCs w:val="18"/>
              </w:rPr>
              <w:t>Results: 86.5% three-class accuracy; Fig. 3a (bootstrap 95% CI error bars)</w:t>
            </w:r>
          </w:p>
        </w:tc>
        <w:tc>
          <w:tcPr>
            <w:tcW w:w="2654" w:type="dxa"/>
            <w:shd w:val="clear" w:color="auto" w:fill="EBF3FB"/>
            <w:vAlign w:val="center"/>
          </w:tcPr>
          <w:p w14:paraId="02A5DE78" w14:textId="77777777" w:rsidR="000C3AB4" w:rsidRPr="000C3AB4" w:rsidRDefault="000C3AB4" w:rsidP="00316F8D">
            <w:pPr>
              <w:rPr>
                <w:rFonts w:cs="Arial"/>
                <w:sz w:val="18"/>
                <w:szCs w:val="18"/>
              </w:rPr>
            </w:pPr>
            <w:r w:rsidRPr="000C3AB4">
              <w:rPr>
                <w:rFonts w:cs="Arial"/>
                <w:color w:val="000000"/>
                <w:sz w:val="18"/>
                <w:szCs w:val="18"/>
              </w:rPr>
              <w:t>Per-class metrics (precision/recall/F1) reported in lieu of binary sensitivity/specificity given 3-class LOOCV design (STARD item 24 rationale stated in Methods: Reporting compliance)</w:t>
            </w:r>
          </w:p>
        </w:tc>
      </w:tr>
      <w:tr w:rsidR="000C3AB4" w14:paraId="135493FE" w14:textId="77777777" w:rsidTr="000C3AB4">
        <w:trPr>
          <w:trHeight w:val="510"/>
        </w:trPr>
        <w:tc>
          <w:tcPr>
            <w:tcW w:w="631" w:type="dxa"/>
            <w:shd w:val="clear" w:color="auto" w:fill="FFFFFF"/>
            <w:vAlign w:val="center"/>
          </w:tcPr>
          <w:p w14:paraId="2FF6F234" w14:textId="77777777" w:rsidR="000C3AB4" w:rsidRPr="000C3AB4" w:rsidRDefault="000C3AB4" w:rsidP="00316F8D">
            <w:pPr>
              <w:jc w:val="center"/>
              <w:rPr>
                <w:rFonts w:cs="Arial"/>
                <w:sz w:val="18"/>
                <w:szCs w:val="18"/>
              </w:rPr>
            </w:pPr>
            <w:r w:rsidRPr="000C3AB4">
              <w:rPr>
                <w:rFonts w:cs="Arial"/>
                <w:b/>
                <w:color w:val="000000"/>
                <w:sz w:val="18"/>
                <w:szCs w:val="18"/>
              </w:rPr>
              <w:t>18</w:t>
            </w:r>
          </w:p>
        </w:tc>
        <w:tc>
          <w:tcPr>
            <w:tcW w:w="1411" w:type="dxa"/>
            <w:shd w:val="clear" w:color="auto" w:fill="FFFFFF"/>
            <w:vAlign w:val="center"/>
          </w:tcPr>
          <w:p w14:paraId="2FB686F0" w14:textId="77777777" w:rsidR="000C3AB4" w:rsidRPr="000C3AB4" w:rsidRDefault="000C3AB4" w:rsidP="00316F8D">
            <w:pPr>
              <w:rPr>
                <w:rFonts w:cs="Arial"/>
                <w:sz w:val="18"/>
                <w:szCs w:val="18"/>
              </w:rPr>
            </w:pPr>
            <w:r w:rsidRPr="000C3AB4">
              <w:rPr>
                <w:rFonts w:cs="Arial"/>
                <w:color w:val="000000"/>
                <w:sz w:val="18"/>
                <w:szCs w:val="18"/>
              </w:rPr>
              <w:t>Results</w:t>
            </w:r>
          </w:p>
        </w:tc>
        <w:tc>
          <w:tcPr>
            <w:tcW w:w="2095" w:type="dxa"/>
            <w:shd w:val="clear" w:color="auto" w:fill="FFFFFF"/>
            <w:vAlign w:val="center"/>
          </w:tcPr>
          <w:p w14:paraId="08637B0F" w14:textId="77777777" w:rsidR="000C3AB4" w:rsidRPr="000C3AB4" w:rsidRDefault="000C3AB4" w:rsidP="00316F8D">
            <w:pPr>
              <w:rPr>
                <w:rFonts w:cs="Arial"/>
                <w:sz w:val="18"/>
                <w:szCs w:val="18"/>
              </w:rPr>
            </w:pPr>
            <w:r w:rsidRPr="000C3AB4">
              <w:rPr>
                <w:rFonts w:cs="Arial"/>
                <w:color w:val="000000"/>
                <w:sz w:val="18"/>
                <w:szCs w:val="18"/>
              </w:rPr>
              <w:t>Adverse events from the index test</w:t>
            </w:r>
          </w:p>
        </w:tc>
        <w:tc>
          <w:tcPr>
            <w:tcW w:w="2271" w:type="dxa"/>
            <w:shd w:val="clear" w:color="auto" w:fill="FFFFFF"/>
            <w:vAlign w:val="center"/>
          </w:tcPr>
          <w:p w14:paraId="6B74A811" w14:textId="77777777" w:rsidR="000C3AB4" w:rsidRPr="000C3AB4" w:rsidRDefault="000C3AB4" w:rsidP="00316F8D">
            <w:pPr>
              <w:rPr>
                <w:rFonts w:cs="Arial"/>
                <w:sz w:val="18"/>
                <w:szCs w:val="18"/>
              </w:rPr>
            </w:pPr>
            <w:r w:rsidRPr="000C3AB4">
              <w:rPr>
                <w:rFonts w:cs="Arial"/>
                <w:color w:val="000000"/>
                <w:sz w:val="18"/>
                <w:szCs w:val="18"/>
              </w:rPr>
              <w:t>Results ¶1; Methods: VR paradigm</w:t>
            </w:r>
          </w:p>
        </w:tc>
        <w:tc>
          <w:tcPr>
            <w:tcW w:w="2654" w:type="dxa"/>
            <w:shd w:val="clear" w:color="auto" w:fill="FFFFFF"/>
            <w:vAlign w:val="center"/>
          </w:tcPr>
          <w:p w14:paraId="75608829" w14:textId="77777777" w:rsidR="000C3AB4" w:rsidRPr="000C3AB4" w:rsidRDefault="000C3AB4" w:rsidP="00316F8D">
            <w:pPr>
              <w:rPr>
                <w:rFonts w:cs="Arial"/>
                <w:sz w:val="18"/>
                <w:szCs w:val="18"/>
              </w:rPr>
            </w:pPr>
            <w:r w:rsidRPr="000C3AB4">
              <w:rPr>
                <w:rFonts w:cs="Arial"/>
                <w:color w:val="000000"/>
                <w:sz w:val="18"/>
                <w:szCs w:val="18"/>
              </w:rPr>
              <w:t>N/A — non-invasive EEG; no adverse events. Simulator Sickness Questionnaire (SSQ) monitored; SSQ &gt;20 triggered exclusion (n=12)</w:t>
            </w:r>
          </w:p>
        </w:tc>
      </w:tr>
      <w:tr w:rsidR="000C3AB4" w14:paraId="7F9170CD" w14:textId="77777777" w:rsidTr="000C3AB4">
        <w:trPr>
          <w:trHeight w:val="510"/>
        </w:trPr>
        <w:tc>
          <w:tcPr>
            <w:tcW w:w="631" w:type="dxa"/>
            <w:shd w:val="clear" w:color="auto" w:fill="EBF3FB"/>
            <w:vAlign w:val="center"/>
          </w:tcPr>
          <w:p w14:paraId="2EBE3DEF" w14:textId="77777777" w:rsidR="000C3AB4" w:rsidRPr="000C3AB4" w:rsidRDefault="000C3AB4" w:rsidP="00316F8D">
            <w:pPr>
              <w:jc w:val="center"/>
              <w:rPr>
                <w:rFonts w:cs="Arial"/>
                <w:sz w:val="18"/>
                <w:szCs w:val="18"/>
              </w:rPr>
            </w:pPr>
            <w:r w:rsidRPr="000C3AB4">
              <w:rPr>
                <w:rFonts w:cs="Arial"/>
                <w:b/>
                <w:color w:val="000000"/>
                <w:sz w:val="18"/>
                <w:szCs w:val="18"/>
              </w:rPr>
              <w:t>19</w:t>
            </w:r>
          </w:p>
        </w:tc>
        <w:tc>
          <w:tcPr>
            <w:tcW w:w="1411" w:type="dxa"/>
            <w:shd w:val="clear" w:color="auto" w:fill="EBF3FB"/>
            <w:vAlign w:val="center"/>
          </w:tcPr>
          <w:p w14:paraId="535AB850" w14:textId="77777777" w:rsidR="000C3AB4" w:rsidRPr="000C3AB4" w:rsidRDefault="000C3AB4" w:rsidP="00316F8D">
            <w:pPr>
              <w:rPr>
                <w:rFonts w:cs="Arial"/>
                <w:sz w:val="18"/>
                <w:szCs w:val="18"/>
              </w:rPr>
            </w:pPr>
            <w:r w:rsidRPr="000C3AB4">
              <w:rPr>
                <w:rFonts w:cs="Arial"/>
                <w:color w:val="000000"/>
                <w:sz w:val="18"/>
                <w:szCs w:val="18"/>
              </w:rPr>
              <w:t>Discussion</w:t>
            </w:r>
          </w:p>
        </w:tc>
        <w:tc>
          <w:tcPr>
            <w:tcW w:w="2095" w:type="dxa"/>
            <w:shd w:val="clear" w:color="auto" w:fill="EBF3FB"/>
            <w:vAlign w:val="center"/>
          </w:tcPr>
          <w:p w14:paraId="5A5DC1A2" w14:textId="77777777" w:rsidR="000C3AB4" w:rsidRPr="000C3AB4" w:rsidRDefault="000C3AB4" w:rsidP="00316F8D">
            <w:pPr>
              <w:rPr>
                <w:rFonts w:cs="Arial"/>
                <w:sz w:val="18"/>
                <w:szCs w:val="18"/>
              </w:rPr>
            </w:pPr>
            <w:r w:rsidRPr="000C3AB4">
              <w:rPr>
                <w:rFonts w:cs="Arial"/>
                <w:color w:val="000000"/>
                <w:sz w:val="18"/>
                <w:szCs w:val="18"/>
              </w:rPr>
              <w:t>Limitations (operational and statistical)</w:t>
            </w:r>
          </w:p>
        </w:tc>
        <w:tc>
          <w:tcPr>
            <w:tcW w:w="2271" w:type="dxa"/>
            <w:shd w:val="clear" w:color="auto" w:fill="EBF3FB"/>
            <w:vAlign w:val="center"/>
          </w:tcPr>
          <w:p w14:paraId="59DA4542" w14:textId="77777777" w:rsidR="000C3AB4" w:rsidRPr="000C3AB4" w:rsidRDefault="000C3AB4" w:rsidP="00316F8D">
            <w:pPr>
              <w:rPr>
                <w:rFonts w:cs="Arial"/>
                <w:sz w:val="18"/>
                <w:szCs w:val="18"/>
              </w:rPr>
            </w:pPr>
            <w:r w:rsidRPr="000C3AB4">
              <w:rPr>
                <w:rFonts w:cs="Arial"/>
                <w:color w:val="000000"/>
                <w:sz w:val="18"/>
                <w:szCs w:val="18"/>
              </w:rPr>
              <w:t>Discussion: Limitations (five enumerated points)</w:t>
            </w:r>
          </w:p>
        </w:tc>
        <w:tc>
          <w:tcPr>
            <w:tcW w:w="2654" w:type="dxa"/>
            <w:shd w:val="clear" w:color="auto" w:fill="EBF3FB"/>
            <w:vAlign w:val="center"/>
          </w:tcPr>
          <w:p w14:paraId="259FD3EA" w14:textId="77777777" w:rsidR="000C3AB4" w:rsidRPr="000C3AB4" w:rsidRDefault="000C3AB4" w:rsidP="00316F8D">
            <w:pPr>
              <w:rPr>
                <w:rFonts w:cs="Arial"/>
                <w:sz w:val="18"/>
                <w:szCs w:val="18"/>
              </w:rPr>
            </w:pPr>
            <w:proofErr w:type="spellStart"/>
            <w:r w:rsidRPr="000C3AB4">
              <w:rPr>
                <w:rFonts w:cs="Arial"/>
                <w:color w:val="000000"/>
                <w:sz w:val="18"/>
                <w:szCs w:val="18"/>
              </w:rPr>
              <w:t>i</w:t>
            </w:r>
            <w:proofErr w:type="spellEnd"/>
            <w:r w:rsidRPr="000C3AB4">
              <w:rPr>
                <w:rFonts w:cs="Arial"/>
                <w:color w:val="000000"/>
                <w:sz w:val="18"/>
                <w:szCs w:val="18"/>
              </w:rPr>
              <w:t>) N=37 single-site; ii) VR intolerance 20%; iii) no external validation; iv) gel-electrode acquisition; v) no longitudinal follow-up</w:t>
            </w:r>
          </w:p>
        </w:tc>
      </w:tr>
      <w:tr w:rsidR="000C3AB4" w14:paraId="192969B1" w14:textId="77777777" w:rsidTr="000C3AB4">
        <w:trPr>
          <w:trHeight w:val="510"/>
        </w:trPr>
        <w:tc>
          <w:tcPr>
            <w:tcW w:w="631" w:type="dxa"/>
            <w:shd w:val="clear" w:color="auto" w:fill="FFFFFF"/>
            <w:vAlign w:val="center"/>
          </w:tcPr>
          <w:p w14:paraId="09A15C8A" w14:textId="77777777" w:rsidR="000C3AB4" w:rsidRPr="000C3AB4" w:rsidRDefault="000C3AB4" w:rsidP="00316F8D">
            <w:pPr>
              <w:jc w:val="center"/>
              <w:rPr>
                <w:rFonts w:cs="Arial"/>
                <w:sz w:val="18"/>
                <w:szCs w:val="18"/>
              </w:rPr>
            </w:pPr>
            <w:r w:rsidRPr="000C3AB4">
              <w:rPr>
                <w:rFonts w:cs="Arial"/>
                <w:b/>
                <w:color w:val="000000"/>
                <w:sz w:val="18"/>
                <w:szCs w:val="18"/>
              </w:rPr>
              <w:t>20</w:t>
            </w:r>
          </w:p>
        </w:tc>
        <w:tc>
          <w:tcPr>
            <w:tcW w:w="1411" w:type="dxa"/>
            <w:shd w:val="clear" w:color="auto" w:fill="FFFFFF"/>
            <w:vAlign w:val="center"/>
          </w:tcPr>
          <w:p w14:paraId="0E67DB8C" w14:textId="77777777" w:rsidR="000C3AB4" w:rsidRPr="000C3AB4" w:rsidRDefault="000C3AB4" w:rsidP="00316F8D">
            <w:pPr>
              <w:rPr>
                <w:rFonts w:cs="Arial"/>
                <w:sz w:val="18"/>
                <w:szCs w:val="18"/>
              </w:rPr>
            </w:pPr>
            <w:r w:rsidRPr="000C3AB4">
              <w:rPr>
                <w:rFonts w:cs="Arial"/>
                <w:color w:val="000000"/>
                <w:sz w:val="18"/>
                <w:szCs w:val="18"/>
              </w:rPr>
              <w:t>Discussion</w:t>
            </w:r>
          </w:p>
        </w:tc>
        <w:tc>
          <w:tcPr>
            <w:tcW w:w="2095" w:type="dxa"/>
            <w:shd w:val="clear" w:color="auto" w:fill="FFFFFF"/>
            <w:vAlign w:val="center"/>
          </w:tcPr>
          <w:p w14:paraId="415E534A" w14:textId="77777777" w:rsidR="000C3AB4" w:rsidRPr="000C3AB4" w:rsidRDefault="000C3AB4" w:rsidP="00316F8D">
            <w:pPr>
              <w:rPr>
                <w:rFonts w:cs="Arial"/>
                <w:sz w:val="18"/>
                <w:szCs w:val="18"/>
              </w:rPr>
            </w:pPr>
            <w:proofErr w:type="spellStart"/>
            <w:r w:rsidRPr="000C3AB4">
              <w:rPr>
                <w:rFonts w:cs="Arial"/>
                <w:color w:val="000000"/>
                <w:sz w:val="18"/>
                <w:szCs w:val="18"/>
              </w:rPr>
              <w:t>Generalisability</w:t>
            </w:r>
            <w:proofErr w:type="spellEnd"/>
            <w:r w:rsidRPr="000C3AB4">
              <w:rPr>
                <w:rFonts w:cs="Arial"/>
                <w:color w:val="000000"/>
                <w:sz w:val="18"/>
                <w:szCs w:val="18"/>
              </w:rPr>
              <w:t xml:space="preserve"> / applicability of study findings</w:t>
            </w:r>
          </w:p>
        </w:tc>
        <w:tc>
          <w:tcPr>
            <w:tcW w:w="2271" w:type="dxa"/>
            <w:shd w:val="clear" w:color="auto" w:fill="FFFFFF"/>
            <w:vAlign w:val="center"/>
          </w:tcPr>
          <w:p w14:paraId="5AAE1805" w14:textId="77777777" w:rsidR="000C3AB4" w:rsidRPr="000C3AB4" w:rsidRDefault="000C3AB4" w:rsidP="00316F8D">
            <w:pPr>
              <w:rPr>
                <w:rFonts w:cs="Arial"/>
                <w:sz w:val="18"/>
                <w:szCs w:val="18"/>
              </w:rPr>
            </w:pPr>
            <w:r w:rsidRPr="000C3AB4">
              <w:rPr>
                <w:rFonts w:cs="Arial"/>
                <w:color w:val="000000"/>
                <w:sz w:val="18"/>
                <w:szCs w:val="18"/>
              </w:rPr>
              <w:t>Discussion: Limitations ¶5(</w:t>
            </w:r>
            <w:proofErr w:type="spellStart"/>
            <w:r w:rsidRPr="000C3AB4">
              <w:rPr>
                <w:rFonts w:cs="Arial"/>
                <w:color w:val="000000"/>
                <w:sz w:val="18"/>
                <w:szCs w:val="18"/>
              </w:rPr>
              <w:t>i</w:t>
            </w:r>
            <w:proofErr w:type="spellEnd"/>
            <w:r w:rsidRPr="000C3AB4">
              <w:rPr>
                <w:rFonts w:cs="Arial"/>
                <w:color w:val="000000"/>
                <w:sz w:val="18"/>
                <w:szCs w:val="18"/>
              </w:rPr>
              <w:t>); Clinical Implications section</w:t>
            </w:r>
          </w:p>
        </w:tc>
        <w:tc>
          <w:tcPr>
            <w:tcW w:w="2654" w:type="dxa"/>
            <w:shd w:val="clear" w:color="auto" w:fill="FFFFFF"/>
            <w:vAlign w:val="center"/>
          </w:tcPr>
          <w:p w14:paraId="63DC655C" w14:textId="77777777" w:rsidR="000C3AB4" w:rsidRPr="000C3AB4" w:rsidRDefault="000C3AB4" w:rsidP="00316F8D">
            <w:pPr>
              <w:rPr>
                <w:rFonts w:cs="Arial"/>
                <w:sz w:val="18"/>
                <w:szCs w:val="18"/>
              </w:rPr>
            </w:pPr>
            <w:r w:rsidRPr="000C3AB4">
              <w:rPr>
                <w:rFonts w:cs="Arial"/>
                <w:color w:val="000000"/>
                <w:sz w:val="18"/>
                <w:szCs w:val="18"/>
              </w:rPr>
              <w:t>External validation in N≥120/class prospective multisite cohort stated as next step; low-LMIC deployment pathway discussed</w:t>
            </w:r>
          </w:p>
        </w:tc>
      </w:tr>
      <w:tr w:rsidR="000C3AB4" w14:paraId="61505EF6" w14:textId="77777777" w:rsidTr="000C3AB4">
        <w:trPr>
          <w:trHeight w:val="510"/>
        </w:trPr>
        <w:tc>
          <w:tcPr>
            <w:tcW w:w="631" w:type="dxa"/>
            <w:shd w:val="clear" w:color="auto" w:fill="EBF3FB"/>
            <w:vAlign w:val="center"/>
          </w:tcPr>
          <w:p w14:paraId="64C87B06" w14:textId="77777777" w:rsidR="000C3AB4" w:rsidRPr="000C3AB4" w:rsidRDefault="000C3AB4" w:rsidP="00316F8D">
            <w:pPr>
              <w:jc w:val="center"/>
              <w:rPr>
                <w:rFonts w:cs="Arial"/>
                <w:sz w:val="18"/>
                <w:szCs w:val="18"/>
              </w:rPr>
            </w:pPr>
            <w:r w:rsidRPr="000C3AB4">
              <w:rPr>
                <w:rFonts w:cs="Arial"/>
                <w:b/>
                <w:color w:val="000000"/>
                <w:sz w:val="18"/>
                <w:szCs w:val="18"/>
              </w:rPr>
              <w:t>21</w:t>
            </w:r>
          </w:p>
        </w:tc>
        <w:tc>
          <w:tcPr>
            <w:tcW w:w="1411" w:type="dxa"/>
            <w:shd w:val="clear" w:color="auto" w:fill="EBF3FB"/>
            <w:vAlign w:val="center"/>
          </w:tcPr>
          <w:p w14:paraId="7A247935" w14:textId="77777777" w:rsidR="000C3AB4" w:rsidRPr="000C3AB4" w:rsidRDefault="000C3AB4" w:rsidP="00316F8D">
            <w:pPr>
              <w:rPr>
                <w:rFonts w:cs="Arial"/>
                <w:sz w:val="18"/>
                <w:szCs w:val="18"/>
              </w:rPr>
            </w:pPr>
            <w:r w:rsidRPr="000C3AB4">
              <w:rPr>
                <w:rFonts w:cs="Arial"/>
                <w:color w:val="000000"/>
                <w:sz w:val="18"/>
                <w:szCs w:val="18"/>
              </w:rPr>
              <w:t>Other</w:t>
            </w:r>
          </w:p>
        </w:tc>
        <w:tc>
          <w:tcPr>
            <w:tcW w:w="2095" w:type="dxa"/>
            <w:shd w:val="clear" w:color="auto" w:fill="EBF3FB"/>
            <w:vAlign w:val="center"/>
          </w:tcPr>
          <w:p w14:paraId="644AD2E6" w14:textId="77777777" w:rsidR="000C3AB4" w:rsidRPr="000C3AB4" w:rsidRDefault="000C3AB4" w:rsidP="00316F8D">
            <w:pPr>
              <w:rPr>
                <w:rFonts w:cs="Arial"/>
                <w:sz w:val="18"/>
                <w:szCs w:val="18"/>
              </w:rPr>
            </w:pPr>
            <w:r w:rsidRPr="000C3AB4">
              <w:rPr>
                <w:rFonts w:cs="Arial"/>
                <w:color w:val="000000"/>
                <w:sz w:val="18"/>
                <w:szCs w:val="18"/>
              </w:rPr>
              <w:t>Registration number and registry name</w:t>
            </w:r>
          </w:p>
        </w:tc>
        <w:tc>
          <w:tcPr>
            <w:tcW w:w="2271" w:type="dxa"/>
            <w:shd w:val="clear" w:color="auto" w:fill="EBF3FB"/>
            <w:vAlign w:val="center"/>
          </w:tcPr>
          <w:p w14:paraId="2589A9EF" w14:textId="77777777" w:rsidR="000C3AB4" w:rsidRPr="000C3AB4" w:rsidRDefault="000C3AB4" w:rsidP="00316F8D">
            <w:pPr>
              <w:rPr>
                <w:rFonts w:cs="Arial"/>
                <w:sz w:val="18"/>
                <w:szCs w:val="18"/>
              </w:rPr>
            </w:pPr>
            <w:r w:rsidRPr="000C3AB4">
              <w:rPr>
                <w:rFonts w:cs="Arial"/>
                <w:color w:val="000000"/>
                <w:sz w:val="18"/>
                <w:szCs w:val="18"/>
              </w:rPr>
              <w:t>N/A — discovery-phase biomarker study</w:t>
            </w:r>
          </w:p>
        </w:tc>
        <w:tc>
          <w:tcPr>
            <w:tcW w:w="2654" w:type="dxa"/>
            <w:shd w:val="clear" w:color="auto" w:fill="EBF3FB"/>
            <w:vAlign w:val="center"/>
          </w:tcPr>
          <w:p w14:paraId="2D48EA47" w14:textId="77777777" w:rsidR="000C3AB4" w:rsidRPr="000C3AB4" w:rsidRDefault="000C3AB4" w:rsidP="00316F8D">
            <w:pPr>
              <w:rPr>
                <w:rFonts w:cs="Arial"/>
                <w:sz w:val="18"/>
                <w:szCs w:val="18"/>
              </w:rPr>
            </w:pPr>
            <w:r w:rsidRPr="000C3AB4">
              <w:rPr>
                <w:rFonts w:cs="Arial"/>
                <w:color w:val="000000"/>
                <w:sz w:val="18"/>
                <w:szCs w:val="18"/>
              </w:rPr>
              <w:t>Prospective pre-registration on ClinicalTrials.gov recommended for Phase 2 external validation study</w:t>
            </w:r>
          </w:p>
        </w:tc>
      </w:tr>
      <w:tr w:rsidR="000C3AB4" w14:paraId="5C35DBB9" w14:textId="77777777" w:rsidTr="000C3AB4">
        <w:trPr>
          <w:trHeight w:val="510"/>
        </w:trPr>
        <w:tc>
          <w:tcPr>
            <w:tcW w:w="631" w:type="dxa"/>
            <w:shd w:val="clear" w:color="auto" w:fill="FFFFFF"/>
            <w:vAlign w:val="center"/>
          </w:tcPr>
          <w:p w14:paraId="6357F3E8" w14:textId="77777777" w:rsidR="000C3AB4" w:rsidRPr="000C3AB4" w:rsidRDefault="000C3AB4" w:rsidP="00316F8D">
            <w:pPr>
              <w:jc w:val="center"/>
              <w:rPr>
                <w:rFonts w:cs="Arial"/>
                <w:sz w:val="18"/>
                <w:szCs w:val="18"/>
              </w:rPr>
            </w:pPr>
            <w:r w:rsidRPr="000C3AB4">
              <w:rPr>
                <w:rFonts w:cs="Arial"/>
                <w:b/>
                <w:color w:val="000000"/>
                <w:sz w:val="18"/>
                <w:szCs w:val="18"/>
              </w:rPr>
              <w:lastRenderedPageBreak/>
              <w:t>22</w:t>
            </w:r>
          </w:p>
        </w:tc>
        <w:tc>
          <w:tcPr>
            <w:tcW w:w="1411" w:type="dxa"/>
            <w:shd w:val="clear" w:color="auto" w:fill="FFFFFF"/>
            <w:vAlign w:val="center"/>
          </w:tcPr>
          <w:p w14:paraId="403504BE" w14:textId="77777777" w:rsidR="000C3AB4" w:rsidRPr="000C3AB4" w:rsidRDefault="000C3AB4" w:rsidP="00316F8D">
            <w:pPr>
              <w:rPr>
                <w:rFonts w:cs="Arial"/>
                <w:sz w:val="18"/>
                <w:szCs w:val="18"/>
              </w:rPr>
            </w:pPr>
            <w:r w:rsidRPr="000C3AB4">
              <w:rPr>
                <w:rFonts w:cs="Arial"/>
                <w:color w:val="000000"/>
                <w:sz w:val="18"/>
                <w:szCs w:val="18"/>
              </w:rPr>
              <w:t>Other</w:t>
            </w:r>
          </w:p>
        </w:tc>
        <w:tc>
          <w:tcPr>
            <w:tcW w:w="2095" w:type="dxa"/>
            <w:shd w:val="clear" w:color="auto" w:fill="FFFFFF"/>
            <w:vAlign w:val="center"/>
          </w:tcPr>
          <w:p w14:paraId="4D03B15C" w14:textId="77777777" w:rsidR="000C3AB4" w:rsidRPr="000C3AB4" w:rsidRDefault="000C3AB4" w:rsidP="00316F8D">
            <w:pPr>
              <w:rPr>
                <w:rFonts w:cs="Arial"/>
                <w:sz w:val="18"/>
                <w:szCs w:val="18"/>
              </w:rPr>
            </w:pPr>
            <w:r w:rsidRPr="000C3AB4">
              <w:rPr>
                <w:rFonts w:cs="Arial"/>
                <w:color w:val="000000"/>
                <w:sz w:val="18"/>
                <w:szCs w:val="18"/>
              </w:rPr>
              <w:t>Where the study protocol can be accessed</w:t>
            </w:r>
          </w:p>
        </w:tc>
        <w:tc>
          <w:tcPr>
            <w:tcW w:w="2271" w:type="dxa"/>
            <w:shd w:val="clear" w:color="auto" w:fill="FFFFFF"/>
            <w:vAlign w:val="center"/>
          </w:tcPr>
          <w:p w14:paraId="21B7E313" w14:textId="77777777" w:rsidR="000C3AB4" w:rsidRPr="000C3AB4" w:rsidRDefault="000C3AB4" w:rsidP="00316F8D">
            <w:pPr>
              <w:rPr>
                <w:rFonts w:cs="Arial"/>
                <w:sz w:val="18"/>
                <w:szCs w:val="18"/>
              </w:rPr>
            </w:pPr>
            <w:r w:rsidRPr="000C3AB4">
              <w:rPr>
                <w:rFonts w:cs="Arial"/>
                <w:color w:val="000000"/>
                <w:sz w:val="18"/>
                <w:szCs w:val="18"/>
              </w:rPr>
              <w:t>Code Availability statement; Methods section</w:t>
            </w:r>
          </w:p>
        </w:tc>
        <w:tc>
          <w:tcPr>
            <w:tcW w:w="2654" w:type="dxa"/>
            <w:shd w:val="clear" w:color="auto" w:fill="FFFFFF"/>
            <w:vAlign w:val="center"/>
          </w:tcPr>
          <w:p w14:paraId="268F22C6" w14:textId="77777777" w:rsidR="000C3AB4" w:rsidRPr="000C3AB4" w:rsidRDefault="000C3AB4" w:rsidP="00316F8D">
            <w:pPr>
              <w:rPr>
                <w:rFonts w:cs="Arial"/>
                <w:sz w:val="18"/>
                <w:szCs w:val="18"/>
              </w:rPr>
            </w:pPr>
            <w:r>
              <w:rPr>
                <w:sz w:val="18"/>
              </w:rPr>
              <w:t xml:space="preserve">Full pipeline code deposited at </w:t>
            </w:r>
            <w:r w:rsidR="00557FD5" w:rsidRPr="00557FD5">
              <w:rPr>
                <w:color w:val="000000" w:themeColor="text1"/>
                <w:sz w:val="18"/>
              </w:rPr>
              <w:t xml:space="preserve">(https://github.com/eunjungpark98004/EEG_project3_data) </w:t>
            </w:r>
            <w:r>
              <w:rPr>
                <w:sz w:val="18"/>
              </w:rPr>
              <w:t>(MIT license); preprocessing, PTE, ML, SHAP scripts included</w:t>
            </w:r>
          </w:p>
        </w:tc>
      </w:tr>
      <w:tr w:rsidR="000C3AB4" w14:paraId="39DE6A25" w14:textId="77777777" w:rsidTr="000C3AB4">
        <w:trPr>
          <w:trHeight w:val="510"/>
        </w:trPr>
        <w:tc>
          <w:tcPr>
            <w:tcW w:w="631" w:type="dxa"/>
            <w:shd w:val="clear" w:color="auto" w:fill="EBF3FB"/>
            <w:vAlign w:val="center"/>
          </w:tcPr>
          <w:p w14:paraId="193B2139" w14:textId="77777777" w:rsidR="000C3AB4" w:rsidRPr="000C3AB4" w:rsidRDefault="000C3AB4" w:rsidP="00316F8D">
            <w:pPr>
              <w:jc w:val="center"/>
              <w:rPr>
                <w:rFonts w:cs="Arial"/>
                <w:sz w:val="18"/>
                <w:szCs w:val="18"/>
              </w:rPr>
            </w:pPr>
            <w:r w:rsidRPr="000C3AB4">
              <w:rPr>
                <w:rFonts w:cs="Arial"/>
                <w:b/>
                <w:color w:val="000000"/>
                <w:sz w:val="18"/>
                <w:szCs w:val="18"/>
              </w:rPr>
              <w:t>23</w:t>
            </w:r>
          </w:p>
        </w:tc>
        <w:tc>
          <w:tcPr>
            <w:tcW w:w="1411" w:type="dxa"/>
            <w:shd w:val="clear" w:color="auto" w:fill="EBF3FB"/>
            <w:vAlign w:val="center"/>
          </w:tcPr>
          <w:p w14:paraId="0C765975" w14:textId="77777777" w:rsidR="000C3AB4" w:rsidRPr="000C3AB4" w:rsidRDefault="000C3AB4" w:rsidP="00316F8D">
            <w:pPr>
              <w:rPr>
                <w:rFonts w:cs="Arial"/>
                <w:sz w:val="18"/>
                <w:szCs w:val="18"/>
              </w:rPr>
            </w:pPr>
            <w:r w:rsidRPr="000C3AB4">
              <w:rPr>
                <w:rFonts w:cs="Arial"/>
                <w:color w:val="000000"/>
                <w:sz w:val="18"/>
                <w:szCs w:val="18"/>
              </w:rPr>
              <w:t>Other</w:t>
            </w:r>
          </w:p>
        </w:tc>
        <w:tc>
          <w:tcPr>
            <w:tcW w:w="2095" w:type="dxa"/>
            <w:shd w:val="clear" w:color="auto" w:fill="EBF3FB"/>
            <w:vAlign w:val="center"/>
          </w:tcPr>
          <w:p w14:paraId="33529780" w14:textId="77777777" w:rsidR="000C3AB4" w:rsidRPr="000C3AB4" w:rsidRDefault="000C3AB4" w:rsidP="00316F8D">
            <w:pPr>
              <w:rPr>
                <w:rFonts w:cs="Arial"/>
                <w:sz w:val="18"/>
                <w:szCs w:val="18"/>
              </w:rPr>
            </w:pPr>
            <w:r w:rsidRPr="000C3AB4">
              <w:rPr>
                <w:rFonts w:cs="Arial"/>
                <w:color w:val="000000"/>
                <w:sz w:val="18"/>
                <w:szCs w:val="18"/>
              </w:rPr>
              <w:t>Sources of funding and role of funders</w:t>
            </w:r>
          </w:p>
        </w:tc>
        <w:tc>
          <w:tcPr>
            <w:tcW w:w="2271" w:type="dxa"/>
            <w:shd w:val="clear" w:color="auto" w:fill="EBF3FB"/>
            <w:vAlign w:val="center"/>
          </w:tcPr>
          <w:p w14:paraId="028AD39C" w14:textId="77777777" w:rsidR="000C3AB4" w:rsidRPr="000C3AB4" w:rsidRDefault="000C3AB4" w:rsidP="00316F8D">
            <w:pPr>
              <w:rPr>
                <w:rFonts w:cs="Arial"/>
                <w:sz w:val="18"/>
                <w:szCs w:val="18"/>
              </w:rPr>
            </w:pPr>
            <w:r w:rsidRPr="000C3AB4">
              <w:rPr>
                <w:rFonts w:cs="Arial"/>
                <w:color w:val="000000"/>
                <w:sz w:val="18"/>
                <w:szCs w:val="18"/>
              </w:rPr>
              <w:t>Acknowledgements</w:t>
            </w:r>
          </w:p>
        </w:tc>
        <w:tc>
          <w:tcPr>
            <w:tcW w:w="2654" w:type="dxa"/>
            <w:shd w:val="clear" w:color="auto" w:fill="EBF3FB"/>
            <w:vAlign w:val="center"/>
          </w:tcPr>
          <w:p w14:paraId="22E4AD70" w14:textId="77777777" w:rsidR="000C3AB4" w:rsidRPr="000C3AB4" w:rsidRDefault="000C3AB4" w:rsidP="00316F8D">
            <w:pPr>
              <w:rPr>
                <w:rFonts w:cs="Arial"/>
                <w:sz w:val="18"/>
                <w:szCs w:val="18"/>
              </w:rPr>
            </w:pPr>
            <w:r w:rsidRPr="000C3AB4">
              <w:rPr>
                <w:rFonts w:cs="Arial"/>
                <w:color w:val="000000"/>
                <w:sz w:val="18"/>
                <w:szCs w:val="18"/>
              </w:rPr>
              <w:t xml:space="preserve">NRF Korea (RS-2018-NR031063); MIST (RS-2023-00302751, RS-2024-00343686); </w:t>
            </w:r>
            <w:proofErr w:type="spellStart"/>
            <w:r w:rsidRPr="000C3AB4">
              <w:rPr>
                <w:rFonts w:cs="Arial"/>
                <w:color w:val="000000"/>
                <w:sz w:val="18"/>
                <w:szCs w:val="18"/>
              </w:rPr>
              <w:t>Kwangwoon</w:t>
            </w:r>
            <w:proofErr w:type="spellEnd"/>
            <w:r w:rsidRPr="000C3AB4">
              <w:rPr>
                <w:rFonts w:cs="Arial"/>
                <w:color w:val="000000"/>
                <w:sz w:val="18"/>
                <w:szCs w:val="18"/>
              </w:rPr>
              <w:t xml:space="preserve"> University Research Grant 2024</w:t>
            </w:r>
          </w:p>
        </w:tc>
      </w:tr>
    </w:tbl>
    <w:p w14:paraId="249AF0B9" w14:textId="77777777" w:rsidR="000C3AB4" w:rsidRPr="000C3AB4" w:rsidRDefault="000C3AB4" w:rsidP="000C3AB4">
      <w:pPr>
        <w:spacing w:line="480" w:lineRule="auto"/>
        <w:rPr>
          <w:rFonts w:cs="Arial"/>
          <w:sz w:val="18"/>
          <w:szCs w:val="18"/>
        </w:rPr>
      </w:pPr>
      <w:r w:rsidRPr="000C3AB4">
        <w:rPr>
          <w:rFonts w:cs="Arial"/>
          <w:i/>
          <w:color w:val="505050"/>
          <w:szCs w:val="18"/>
        </w:rPr>
        <w:t xml:space="preserve">Abbreviations: AD, Alzheimer's disease; MCI, mild cognitive impairment; NC, normal cognition; LOOCV, leave-one-out cross-validation; PTE, Phase Transfer Entropy; VR, virtual reality; EEG, electroencephalography; SHAP, </w:t>
      </w:r>
      <w:proofErr w:type="spellStart"/>
      <w:r w:rsidRPr="000C3AB4">
        <w:rPr>
          <w:rFonts w:cs="Arial"/>
          <w:i/>
          <w:color w:val="505050"/>
          <w:szCs w:val="18"/>
        </w:rPr>
        <w:t>SHapley</w:t>
      </w:r>
      <w:proofErr w:type="spellEnd"/>
      <w:r w:rsidRPr="000C3AB4">
        <w:rPr>
          <w:rFonts w:cs="Arial"/>
          <w:i/>
          <w:color w:val="505050"/>
          <w:szCs w:val="18"/>
        </w:rPr>
        <w:t xml:space="preserve"> Additive </w:t>
      </w:r>
      <w:proofErr w:type="spellStart"/>
      <w:r w:rsidRPr="000C3AB4">
        <w:rPr>
          <w:rFonts w:cs="Arial"/>
          <w:i/>
          <w:color w:val="505050"/>
          <w:szCs w:val="18"/>
        </w:rPr>
        <w:t>exPlanations</w:t>
      </w:r>
      <w:proofErr w:type="spellEnd"/>
      <w:r w:rsidRPr="000C3AB4">
        <w:rPr>
          <w:rFonts w:cs="Arial"/>
          <w:i/>
          <w:color w:val="505050"/>
          <w:szCs w:val="18"/>
        </w:rPr>
        <w:t>; SSQ, Simulator Sickness Questionnaire; QC, quality control; CI, confidence interval; IRB, Institutional Review Board; ATN, amyloid–tau–neurodegeneration biomarker framework; NIA-AA, National Institute on Aging – Alzheimer's Association. N/A, not applicable.</w:t>
      </w:r>
      <w:r w:rsidRPr="000C3AB4">
        <w:rPr>
          <w:rFonts w:cs="Arial"/>
          <w:i/>
          <w:color w:val="505050"/>
          <w:szCs w:val="18"/>
        </w:rPr>
        <w:br/>
        <w:t>Reference: Bossuyt PM et al. STARD 2015: an updated list of essential items for reporting diagnostic accuracy studies. BMJ. 2015;351:h5527. https://doi.org/10.1136/bmj.h5527</w:t>
      </w:r>
    </w:p>
    <w:p w14:paraId="6711B688" w14:textId="77777777" w:rsidR="008E484C" w:rsidRPr="000C3AB4" w:rsidRDefault="008E484C">
      <w:pPr>
        <w:rPr>
          <w:rFonts w:cs="Arial"/>
          <w:color w:val="002060"/>
          <w:sz w:val="20"/>
          <w:szCs w:val="20"/>
        </w:rPr>
      </w:pPr>
    </w:p>
    <w:p w14:paraId="2D946AA1" w14:textId="77777777" w:rsidR="001F52D6" w:rsidRPr="00CF5324" w:rsidRDefault="001F52D6" w:rsidP="001F52D6">
      <w:pPr>
        <w:keepNext/>
        <w:spacing w:before="280" w:after="80" w:line="480" w:lineRule="auto"/>
        <w:rPr>
          <w:rFonts w:cs="Arial"/>
          <w:b/>
          <w:bCs/>
          <w:i/>
          <w:color w:val="002060"/>
          <w:sz w:val="20"/>
          <w:szCs w:val="20"/>
        </w:rPr>
      </w:pPr>
      <w:r w:rsidRPr="00CF5324">
        <w:rPr>
          <w:rFonts w:cs="Arial"/>
          <w:b/>
          <w:bCs/>
          <w:i/>
          <w:color w:val="002060"/>
          <w:sz w:val="20"/>
          <w:szCs w:val="20"/>
        </w:rPr>
        <w:t>Supplementary Table S7 | SHAP Cross-Correlation Between P6 and P8 (collinearity evidence)</w:t>
      </w:r>
    </w:p>
    <w:tbl>
      <w:tblPr>
        <w:tblW w:w="966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66"/>
        <w:gridCol w:w="3192"/>
        <w:gridCol w:w="4007"/>
      </w:tblGrid>
      <w:tr w:rsidR="006A2BC4" w:rsidRPr="00EB24A1" w14:paraId="377CB1BD" w14:textId="77777777" w:rsidTr="00770F64">
        <w:trPr>
          <w:trHeight w:val="196"/>
          <w:tblHeader/>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31CB798E" w14:textId="77777777" w:rsidR="006A2BC4" w:rsidRPr="00EB24A1" w:rsidRDefault="006A2BC4" w:rsidP="00770F64">
            <w:pPr>
              <w:widowControl w:val="0"/>
              <w:wordWrap w:val="0"/>
              <w:autoSpaceDE w:val="0"/>
              <w:autoSpaceDN w:val="0"/>
              <w:spacing w:after="160"/>
              <w:jc w:val="both"/>
              <w:rPr>
                <w:rFonts w:cs="Arial"/>
                <w:b/>
                <w:bCs/>
                <w:color w:val="000000" w:themeColor="text1"/>
                <w:sz w:val="18"/>
                <w:szCs w:val="18"/>
              </w:rPr>
            </w:pPr>
            <w:r w:rsidRPr="00EB24A1">
              <w:rPr>
                <w:rFonts w:cs="Arial"/>
                <w:b/>
                <w:bCs/>
                <w:color w:val="000000" w:themeColor="text1"/>
                <w:sz w:val="18"/>
                <w:szCs w:val="18"/>
              </w:rPr>
              <w:t>Feature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14:paraId="660318F8" w14:textId="77777777" w:rsidR="006A2BC4" w:rsidRPr="00EB24A1" w:rsidRDefault="006A2BC4" w:rsidP="00770F64">
            <w:pPr>
              <w:widowControl w:val="0"/>
              <w:wordWrap w:val="0"/>
              <w:autoSpaceDE w:val="0"/>
              <w:autoSpaceDN w:val="0"/>
              <w:spacing w:after="160"/>
              <w:jc w:val="both"/>
              <w:rPr>
                <w:rFonts w:cs="Arial"/>
                <w:b/>
                <w:bCs/>
                <w:color w:val="000000" w:themeColor="text1"/>
                <w:sz w:val="18"/>
                <w:szCs w:val="18"/>
              </w:rPr>
            </w:pPr>
            <w:r w:rsidRPr="00EB24A1">
              <w:rPr>
                <w:rFonts w:cs="Arial"/>
                <w:b/>
                <w:bCs/>
                <w:color w:val="000000" w:themeColor="text1"/>
                <w:sz w:val="18"/>
                <w:szCs w:val="18"/>
              </w:rPr>
              <w:t>E20 / P6</w:t>
            </w:r>
          </w:p>
        </w:tc>
        <w:tc>
          <w:tcPr>
            <w:tcW w:w="0" w:type="auto"/>
            <w:tcBorders>
              <w:top w:val="single" w:sz="2" w:space="0" w:color="auto"/>
              <w:left w:val="single" w:sz="2" w:space="0" w:color="auto"/>
              <w:bottom w:val="single" w:sz="6" w:space="0" w:color="auto"/>
              <w:right w:val="single" w:sz="2" w:space="0" w:color="auto"/>
            </w:tcBorders>
            <w:tcMar>
              <w:top w:w="120" w:type="dxa"/>
              <w:left w:w="120" w:type="dxa"/>
              <w:bottom w:w="120" w:type="dxa"/>
              <w:right w:w="120" w:type="dxa"/>
            </w:tcMar>
            <w:vAlign w:val="bottom"/>
            <w:hideMark/>
          </w:tcPr>
          <w:p w14:paraId="1FE1E0E0" w14:textId="77777777" w:rsidR="006A2BC4" w:rsidRPr="00EB24A1" w:rsidRDefault="006A2BC4" w:rsidP="00770F64">
            <w:pPr>
              <w:widowControl w:val="0"/>
              <w:wordWrap w:val="0"/>
              <w:autoSpaceDE w:val="0"/>
              <w:autoSpaceDN w:val="0"/>
              <w:spacing w:after="160"/>
              <w:jc w:val="both"/>
              <w:rPr>
                <w:rFonts w:cs="Arial"/>
                <w:b/>
                <w:bCs/>
                <w:color w:val="000000" w:themeColor="text1"/>
                <w:sz w:val="18"/>
                <w:szCs w:val="18"/>
              </w:rPr>
            </w:pPr>
            <w:r w:rsidRPr="00EB24A1">
              <w:rPr>
                <w:rFonts w:cs="Arial"/>
                <w:b/>
                <w:bCs/>
                <w:color w:val="000000" w:themeColor="text1"/>
                <w:sz w:val="18"/>
                <w:szCs w:val="18"/>
              </w:rPr>
              <w:t>E23 / P8</w:t>
            </w:r>
          </w:p>
        </w:tc>
      </w:tr>
      <w:tr w:rsidR="006A2BC4" w:rsidRPr="00EB24A1" w14:paraId="7FBB4E23" w14:textId="77777777" w:rsidTr="00770F64">
        <w:trPr>
          <w:trHeight w:val="202"/>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5BB7AA0"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b/>
                <w:bCs/>
                <w:color w:val="000000" w:themeColor="text1"/>
                <w:sz w:val="18"/>
                <w:szCs w:val="18"/>
              </w:rPr>
              <w:t>Measurement Location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45C133B"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color w:val="000000" w:themeColor="text1"/>
                <w:sz w:val="18"/>
                <w:szCs w:val="18"/>
              </w:rPr>
              <w:t>Right Parietal (relatively medial)</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vAlign w:val="bottom"/>
            <w:hideMark/>
          </w:tcPr>
          <w:p w14:paraId="1B5AA6BD"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color w:val="000000" w:themeColor="text1"/>
                <w:sz w:val="18"/>
                <w:szCs w:val="18"/>
              </w:rPr>
              <w:t>Right Temporo-Parietal (relatively lateral)</w:t>
            </w:r>
          </w:p>
        </w:tc>
      </w:tr>
      <w:tr w:rsidR="006A2BC4" w:rsidRPr="00EB24A1" w14:paraId="12BAC6C1" w14:textId="77777777" w:rsidTr="00770F64">
        <w:trPr>
          <w:trHeight w:val="140"/>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B19EBB"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b/>
                <w:bCs/>
                <w:color w:val="000000" w:themeColor="text1"/>
                <w:sz w:val="18"/>
                <w:szCs w:val="18"/>
              </w:rPr>
              <w:t>SHAP Panel</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C235C19"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color w:val="000000" w:themeColor="text1"/>
                <w:sz w:val="18"/>
                <w:szCs w:val="18"/>
              </w:rPr>
              <w:t>Visually Retained</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vAlign w:val="bottom"/>
            <w:hideMark/>
          </w:tcPr>
          <w:p w14:paraId="23912811"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color w:val="000000" w:themeColor="text1"/>
                <w:sz w:val="18"/>
                <w:szCs w:val="18"/>
              </w:rPr>
              <w:t>Excluded via Pruning (Omitted)</w:t>
            </w:r>
          </w:p>
        </w:tc>
      </w:tr>
      <w:tr w:rsidR="006A2BC4" w:rsidRPr="00EB24A1" w14:paraId="31FB669C" w14:textId="77777777" w:rsidTr="00770F64">
        <w:trPr>
          <w:trHeight w:val="113"/>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267A4E5"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b/>
                <w:bCs/>
                <w:color w:val="000000" w:themeColor="text1"/>
                <w:sz w:val="18"/>
                <w:szCs w:val="18"/>
              </w:rPr>
              <w:t>Effect Size (</w:t>
            </w:r>
            <m:oMath>
              <m:sSup>
                <m:sSupPr>
                  <m:ctrlPr>
                    <w:rPr>
                      <w:rFonts w:ascii="Cambria Math" w:hAnsi="Cambria Math" w:cs="Arial"/>
                      <w:color w:val="000000" w:themeColor="text1"/>
                      <w:sz w:val="18"/>
                      <w:szCs w:val="18"/>
                    </w:rPr>
                  </m:ctrlPr>
                </m:sSupPr>
                <m:e>
                  <m:r>
                    <w:rPr>
                      <w:rFonts w:ascii="Cambria Math" w:hAnsi="Cambria Math" w:cs="Arial"/>
                      <w:color w:val="000000" w:themeColor="text1"/>
                      <w:sz w:val="18"/>
                      <w:szCs w:val="18"/>
                    </w:rPr>
                    <m:t>η</m:t>
                  </m:r>
                </m:e>
                <m:sup>
                  <m:r>
                    <w:rPr>
                      <w:rFonts w:ascii="Cambria Math" w:hAnsi="Cambria Math" w:cs="Arial"/>
                      <w:color w:val="000000" w:themeColor="text1"/>
                      <w:sz w:val="18"/>
                      <w:szCs w:val="18"/>
                    </w:rPr>
                    <m:t>2</m:t>
                  </m:r>
                </m:sup>
              </m:sSup>
            </m:oMath>
            <w:r w:rsidRPr="00EB24A1">
              <w:rPr>
                <w:rFonts w:cs="Arial"/>
                <w:b/>
                <w:bCs/>
                <w:color w:val="000000" w:themeColor="text1"/>
                <w:sz w:val="18"/>
                <w:szCs w:val="18"/>
              </w:rPr>
              <w:t>)</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D2DA34E"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color w:val="000000" w:themeColor="text1"/>
                <w:sz w:val="18"/>
                <w:szCs w:val="18"/>
              </w:rPr>
              <w:t>Reflected in main text</w:t>
            </w:r>
          </w:p>
        </w:tc>
        <w:tc>
          <w:tcPr>
            <w:tcW w:w="0" w:type="auto"/>
            <w:tcBorders>
              <w:top w:val="single" w:sz="2" w:space="0" w:color="auto"/>
              <w:left w:val="single" w:sz="2" w:space="0" w:color="auto"/>
              <w:bottom w:val="single" w:sz="6" w:space="0" w:color="auto"/>
              <w:right w:val="single" w:sz="2" w:space="0" w:color="auto"/>
            </w:tcBorders>
            <w:tcMar>
              <w:top w:w="137" w:type="dxa"/>
              <w:left w:w="120" w:type="dxa"/>
              <w:bottom w:w="137" w:type="dxa"/>
              <w:right w:w="120" w:type="dxa"/>
            </w:tcMar>
            <w:vAlign w:val="bottom"/>
            <w:hideMark/>
          </w:tcPr>
          <w:p w14:paraId="5ADED76D"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m:oMath>
              <m:r>
                <w:rPr>
                  <w:rFonts w:ascii="Cambria Math" w:hAnsi="Cambria Math" w:cs="Arial"/>
                  <w:color w:val="000000" w:themeColor="text1"/>
                  <w:sz w:val="18"/>
                  <w:szCs w:val="18"/>
                </w:rPr>
                <m:t>0.376</m:t>
              </m:r>
            </m:oMath>
            <w:r w:rsidRPr="00EB24A1">
              <w:rPr>
                <w:rFonts w:cs="Arial"/>
                <w:color w:val="000000" w:themeColor="text1"/>
                <w:sz w:val="18"/>
                <w:szCs w:val="18"/>
              </w:rPr>
              <w:t> (Specified separately in Table 3)</w:t>
            </w:r>
          </w:p>
        </w:tc>
      </w:tr>
      <w:tr w:rsidR="006A2BC4" w:rsidRPr="00EB24A1" w14:paraId="4BAB76E1" w14:textId="77777777" w:rsidTr="00770F64">
        <w:trPr>
          <w:trHeight w:val="46"/>
        </w:trPr>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149C4BBC"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w:r w:rsidRPr="00EB24A1">
              <w:rPr>
                <w:rFonts w:cs="Arial"/>
                <w:b/>
                <w:bCs/>
                <w:color w:val="000000" w:themeColor="text1"/>
                <w:sz w:val="18"/>
                <w:szCs w:val="18"/>
              </w:rPr>
              <w:t>Cross-Correlation</w:t>
            </w:r>
          </w:p>
        </w:tc>
        <w:tc>
          <w:tcPr>
            <w:tcW w:w="0" w:type="auto"/>
            <w:tcBorders>
              <w:top w:val="single" w:sz="2" w:space="0" w:color="auto"/>
              <w:left w:val="single" w:sz="2" w:space="0" w:color="auto"/>
              <w:bottom w:val="single" w:sz="2" w:space="0" w:color="auto"/>
              <w:right w:val="single" w:sz="6" w:space="0" w:color="auto"/>
            </w:tcBorders>
            <w:tcMar>
              <w:top w:w="137" w:type="dxa"/>
              <w:left w:w="120" w:type="dxa"/>
              <w:bottom w:w="137" w:type="dxa"/>
              <w:right w:w="120" w:type="dxa"/>
            </w:tcMar>
            <w:vAlign w:val="bottom"/>
            <w:hideMark/>
          </w:tcPr>
          <w:p w14:paraId="4B1235B3"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m:oMathPara>
              <m:oMath>
                <m:r>
                  <w:rPr>
                    <w:rFonts w:ascii="Cambria Math" w:hAnsi="Cambria Math" w:cs="Arial"/>
                    <w:color w:val="000000" w:themeColor="text1"/>
                    <w:sz w:val="18"/>
                    <w:szCs w:val="18"/>
                  </w:rPr>
                  <m:t>r=0.91</m:t>
                </m:r>
              </m:oMath>
            </m:oMathPara>
          </w:p>
        </w:tc>
        <w:tc>
          <w:tcPr>
            <w:tcW w:w="0" w:type="auto"/>
            <w:tcBorders>
              <w:top w:val="single" w:sz="2" w:space="0" w:color="auto"/>
              <w:left w:val="single" w:sz="2" w:space="0" w:color="auto"/>
              <w:bottom w:val="single" w:sz="2" w:space="0" w:color="auto"/>
              <w:right w:val="single" w:sz="2" w:space="0" w:color="auto"/>
            </w:tcBorders>
            <w:tcMar>
              <w:top w:w="137" w:type="dxa"/>
              <w:left w:w="120" w:type="dxa"/>
              <w:bottom w:w="137" w:type="dxa"/>
              <w:right w:w="120" w:type="dxa"/>
            </w:tcMar>
            <w:vAlign w:val="bottom"/>
            <w:hideMark/>
          </w:tcPr>
          <w:p w14:paraId="14A2FC08" w14:textId="77777777" w:rsidR="006A2BC4" w:rsidRPr="00EB24A1" w:rsidRDefault="006A2BC4" w:rsidP="00770F64">
            <w:pPr>
              <w:widowControl w:val="0"/>
              <w:wordWrap w:val="0"/>
              <w:autoSpaceDE w:val="0"/>
              <w:autoSpaceDN w:val="0"/>
              <w:spacing w:after="160"/>
              <w:jc w:val="both"/>
              <w:rPr>
                <w:rFonts w:cs="Arial"/>
                <w:color w:val="000000" w:themeColor="text1"/>
                <w:sz w:val="18"/>
                <w:szCs w:val="18"/>
              </w:rPr>
            </w:pPr>
            <m:oMathPara>
              <m:oMath>
                <m:r>
                  <w:rPr>
                    <w:rFonts w:ascii="Cambria Math" w:hAnsi="Cambria Math" w:cs="Arial"/>
                    <w:color w:val="000000" w:themeColor="text1"/>
                    <w:sz w:val="18"/>
                    <w:szCs w:val="18"/>
                  </w:rPr>
                  <m:t>r=0.91</m:t>
                </m:r>
              </m:oMath>
            </m:oMathPara>
          </w:p>
        </w:tc>
      </w:tr>
    </w:tbl>
    <w:p w14:paraId="0BFC6384" w14:textId="77777777" w:rsidR="006A2BC4" w:rsidRPr="00CF5324" w:rsidRDefault="006A2BC4" w:rsidP="006A2BC4">
      <w:pPr>
        <w:widowControl w:val="0"/>
        <w:numPr>
          <w:ilvl w:val="0"/>
          <w:numId w:val="1"/>
        </w:numPr>
        <w:wordWrap w:val="0"/>
        <w:autoSpaceDE w:val="0"/>
        <w:autoSpaceDN w:val="0"/>
        <w:spacing w:after="160" w:line="480" w:lineRule="auto"/>
        <w:jc w:val="both"/>
        <w:rPr>
          <w:rFonts w:cs="Arial"/>
          <w:color w:val="000000" w:themeColor="text1"/>
          <w:sz w:val="18"/>
          <w:szCs w:val="18"/>
        </w:rPr>
      </w:pPr>
      <w:r w:rsidRPr="00CF5324">
        <w:rPr>
          <w:rFonts w:cs="Arial"/>
          <w:b/>
          <w:bCs/>
          <w:color w:val="000000" w:themeColor="text1"/>
          <w:szCs w:val="18"/>
        </w:rPr>
        <w:t>E20 (P6)</w:t>
      </w:r>
      <w:r w:rsidRPr="00CF5324">
        <w:rPr>
          <w:rFonts w:cs="Arial"/>
          <w:color w:val="000000" w:themeColor="text1"/>
          <w:szCs w:val="18"/>
        </w:rPr>
        <w:t>: Located in the Right Lateral Parietal region, this electrode is associated with spatial processing and navigation (BA 39/40). This electrode was visually retained in the SHAP panels.</w:t>
      </w:r>
    </w:p>
    <w:p w14:paraId="6C828742" w14:textId="77777777" w:rsidR="006A2BC4" w:rsidRPr="00CF5324" w:rsidRDefault="006A2BC4" w:rsidP="006A2BC4">
      <w:pPr>
        <w:widowControl w:val="0"/>
        <w:numPr>
          <w:ilvl w:val="0"/>
          <w:numId w:val="1"/>
        </w:numPr>
        <w:wordWrap w:val="0"/>
        <w:autoSpaceDE w:val="0"/>
        <w:autoSpaceDN w:val="0"/>
        <w:spacing w:after="160" w:line="480" w:lineRule="auto"/>
        <w:jc w:val="both"/>
        <w:rPr>
          <w:rFonts w:cs="Arial"/>
          <w:color w:val="000000" w:themeColor="text1"/>
          <w:sz w:val="18"/>
          <w:szCs w:val="18"/>
        </w:rPr>
      </w:pPr>
      <w:r w:rsidRPr="00CF5324">
        <w:rPr>
          <w:rFonts w:cs="Arial"/>
          <w:b/>
          <w:bCs/>
          <w:color w:val="000000" w:themeColor="text1"/>
          <w:szCs w:val="18"/>
        </w:rPr>
        <w:t>E23 (P8)</w:t>
      </w:r>
      <w:r w:rsidRPr="00CF5324">
        <w:rPr>
          <w:rFonts w:cs="Arial"/>
          <w:color w:val="000000" w:themeColor="text1"/>
          <w:szCs w:val="18"/>
        </w:rPr>
        <w:t>: Located in the Right Posterior Temporal/Parietal region, this electrode is associated with face and object recognition (BA 37/39).</w:t>
      </w:r>
    </w:p>
    <w:p w14:paraId="668BD3AE" w14:textId="77777777" w:rsidR="006A2BC4" w:rsidRPr="00CF5324" w:rsidRDefault="006A2BC4" w:rsidP="006A2BC4">
      <w:pPr>
        <w:widowControl w:val="0"/>
        <w:wordWrap w:val="0"/>
        <w:autoSpaceDE w:val="0"/>
        <w:autoSpaceDN w:val="0"/>
        <w:spacing w:after="160" w:line="480" w:lineRule="auto"/>
        <w:jc w:val="both"/>
        <w:rPr>
          <w:rFonts w:cs="Arial"/>
          <w:color w:val="000000" w:themeColor="text1"/>
          <w:sz w:val="21"/>
          <w:szCs w:val="21"/>
        </w:rPr>
      </w:pPr>
      <w:r w:rsidRPr="00CF5324">
        <w:rPr>
          <w:rFonts w:cs="Arial"/>
          <w:color w:val="000000" w:themeColor="text1"/>
          <w:sz w:val="21"/>
          <w:szCs w:val="21"/>
        </w:rPr>
        <w:lastRenderedPageBreak/>
        <w:t>Due to their physical proximity, the EEG signals from these two electrodes are strongly coupled (</w:t>
      </w:r>
      <m:oMath>
        <m:r>
          <w:rPr>
            <w:rFonts w:ascii="Cambria Math" w:hAnsi="Cambria Math" w:cs="Arial"/>
            <w:color w:val="000000" w:themeColor="text1"/>
            <w:sz w:val="21"/>
            <w:szCs w:val="21"/>
          </w:rPr>
          <m:t>r=0.91</m:t>
        </m:r>
      </m:oMath>
      <w:r w:rsidRPr="00CF5324">
        <w:rPr>
          <w:rFonts w:cs="Arial"/>
          <w:color w:val="000000" w:themeColor="text1"/>
          <w:sz w:val="21"/>
          <w:szCs w:val="21"/>
        </w:rPr>
        <w:t>). Therefore, the rationale for omitting the relatively posterior E23 (P8) from the visualization to eliminate multicollinearity is clearly justified.</w:t>
      </w:r>
    </w:p>
    <w:p w14:paraId="1D4498D9" w14:textId="77777777" w:rsidR="006A2BC4" w:rsidRDefault="006A2BC4" w:rsidP="006A2BC4">
      <w:pPr>
        <w:spacing w:after="40"/>
        <w:ind w:left="340" w:hanging="340"/>
      </w:pPr>
    </w:p>
    <w:p w14:paraId="6BA8801E" w14:textId="77777777" w:rsidR="006A2BC4" w:rsidRPr="006A2BC4" w:rsidRDefault="006A2BC4">
      <w:pPr>
        <w:rPr>
          <w:rFonts w:cs="Arial"/>
          <w:sz w:val="20"/>
          <w:szCs w:val="20"/>
        </w:rPr>
      </w:pPr>
    </w:p>
    <w:sectPr w:rsidR="006A2BC4" w:rsidRPr="006A2BC4" w:rsidSect="00833E4B">
      <w:footerReference w:type="default" r:id="rId19"/>
      <w:pgSz w:w="11906" w:h="16838"/>
      <w:pgMar w:top="1417" w:right="1417" w:bottom="1417" w:left="1417" w:header="720" w:footer="720" w:gutter="0"/>
      <w:lnNumType w:countBy="5"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61028" w14:textId="77777777" w:rsidR="00E93767" w:rsidRDefault="00E93767">
      <w:pPr>
        <w:spacing w:after="0" w:line="240" w:lineRule="auto"/>
      </w:pPr>
      <w:r>
        <w:separator/>
      </w:r>
    </w:p>
  </w:endnote>
  <w:endnote w:type="continuationSeparator" w:id="0">
    <w:p w14:paraId="300098A9" w14:textId="77777777" w:rsidR="00E93767" w:rsidRDefault="00E93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9A54" w14:textId="77777777" w:rsidR="00621D7B" w:rsidRDefault="00000000">
    <w:pPr>
      <w:jc w:val="center"/>
    </w:pPr>
    <w:r>
      <w:rPr>
        <w:sz w:val="20"/>
      </w:rPr>
      <w:t xml:space="preserve">Page </w:t>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46AB9" w14:textId="77777777" w:rsidR="00E93767" w:rsidRDefault="00E93767">
      <w:pPr>
        <w:spacing w:after="0" w:line="240" w:lineRule="auto"/>
      </w:pPr>
      <w:r>
        <w:separator/>
      </w:r>
    </w:p>
  </w:footnote>
  <w:footnote w:type="continuationSeparator" w:id="0">
    <w:p w14:paraId="53520C39" w14:textId="77777777" w:rsidR="00E93767" w:rsidRDefault="00E937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35D86"/>
    <w:multiLevelType w:val="multilevel"/>
    <w:tmpl w:val="67FE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7253623"/>
    <w:multiLevelType w:val="multilevel"/>
    <w:tmpl w:val="346C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AA265C"/>
    <w:multiLevelType w:val="hybridMultilevel"/>
    <w:tmpl w:val="9BFEF214"/>
    <w:lvl w:ilvl="0" w:tplc="9F0C21EA">
      <w:start w:val="1"/>
      <w:numFmt w:val="bullet"/>
      <w:lvlText w:val=""/>
      <w:lvlJc w:val="left"/>
      <w:pPr>
        <w:tabs>
          <w:tab w:val="num" w:pos="900"/>
        </w:tabs>
        <w:ind w:left="540" w:hanging="360"/>
      </w:pPr>
      <w:rPr>
        <w:rFonts w:ascii="Symbol" w:hAnsi="Symbol" w:hint="default"/>
      </w:rPr>
    </w:lvl>
    <w:lvl w:ilvl="1" w:tplc="84B0FBB0">
      <w:numFmt w:val="decimal"/>
      <w:lvlText w:val=""/>
      <w:lvlJc w:val="left"/>
    </w:lvl>
    <w:lvl w:ilvl="2" w:tplc="2CE82DCE">
      <w:numFmt w:val="decimal"/>
      <w:lvlText w:val=""/>
      <w:lvlJc w:val="left"/>
    </w:lvl>
    <w:lvl w:ilvl="3" w:tplc="8B58310E">
      <w:numFmt w:val="decimal"/>
      <w:lvlText w:val=""/>
      <w:lvlJc w:val="left"/>
    </w:lvl>
    <w:lvl w:ilvl="4" w:tplc="730AACF4">
      <w:numFmt w:val="decimal"/>
      <w:lvlText w:val=""/>
      <w:lvlJc w:val="left"/>
    </w:lvl>
    <w:lvl w:ilvl="5" w:tplc="A3A46778">
      <w:numFmt w:val="decimal"/>
      <w:lvlText w:val=""/>
      <w:lvlJc w:val="left"/>
    </w:lvl>
    <w:lvl w:ilvl="6" w:tplc="F558C2FE">
      <w:numFmt w:val="decimal"/>
      <w:lvlText w:val=""/>
      <w:lvlJc w:val="left"/>
    </w:lvl>
    <w:lvl w:ilvl="7" w:tplc="FDD45108">
      <w:numFmt w:val="decimal"/>
      <w:lvlText w:val=""/>
      <w:lvlJc w:val="left"/>
    </w:lvl>
    <w:lvl w:ilvl="8" w:tplc="34A4E7D8">
      <w:numFmt w:val="decimal"/>
      <w:lvlText w:val=""/>
      <w:lvlJc w:val="left"/>
    </w:lvl>
  </w:abstractNum>
  <w:abstractNum w:abstractNumId="3" w15:restartNumberingAfterBreak="0">
    <w:nsid w:val="70F24B0C"/>
    <w:multiLevelType w:val="hybridMultilevel"/>
    <w:tmpl w:val="974CBA0A"/>
    <w:lvl w:ilvl="0" w:tplc="9F2E1A48">
      <w:start w:val="1"/>
      <w:numFmt w:val="decimal"/>
      <w:lvlText w:val="%1."/>
      <w:lvlJc w:val="left"/>
      <w:pPr>
        <w:tabs>
          <w:tab w:val="num" w:pos="900"/>
        </w:tabs>
        <w:ind w:left="540" w:hanging="360"/>
      </w:pPr>
    </w:lvl>
    <w:lvl w:ilvl="1" w:tplc="BA2239FE">
      <w:numFmt w:val="decimal"/>
      <w:lvlText w:val=""/>
      <w:lvlJc w:val="left"/>
    </w:lvl>
    <w:lvl w:ilvl="2" w:tplc="439E5F5A">
      <w:numFmt w:val="decimal"/>
      <w:lvlText w:val=""/>
      <w:lvlJc w:val="left"/>
    </w:lvl>
    <w:lvl w:ilvl="3" w:tplc="6FBA9BAA">
      <w:numFmt w:val="decimal"/>
      <w:lvlText w:val=""/>
      <w:lvlJc w:val="left"/>
    </w:lvl>
    <w:lvl w:ilvl="4" w:tplc="5BB80440">
      <w:numFmt w:val="decimal"/>
      <w:lvlText w:val=""/>
      <w:lvlJc w:val="left"/>
    </w:lvl>
    <w:lvl w:ilvl="5" w:tplc="4F9C73C8">
      <w:numFmt w:val="decimal"/>
      <w:lvlText w:val=""/>
      <w:lvlJc w:val="left"/>
    </w:lvl>
    <w:lvl w:ilvl="6" w:tplc="53D6BE34">
      <w:numFmt w:val="decimal"/>
      <w:lvlText w:val=""/>
      <w:lvlJc w:val="left"/>
    </w:lvl>
    <w:lvl w:ilvl="7" w:tplc="68306A4C">
      <w:numFmt w:val="decimal"/>
      <w:lvlText w:val=""/>
      <w:lvlJc w:val="left"/>
    </w:lvl>
    <w:lvl w:ilvl="8" w:tplc="59B85808">
      <w:numFmt w:val="decimal"/>
      <w:lvlText w:val=""/>
      <w:lvlJc w:val="left"/>
    </w:lvl>
  </w:abstractNum>
  <w:num w:numId="1" w16cid:durableId="1746144273">
    <w:abstractNumId w:val="0"/>
  </w:num>
  <w:num w:numId="2" w16cid:durableId="2125877734">
    <w:abstractNumId w:val="1"/>
  </w:num>
  <w:num w:numId="3" w16cid:durableId="1206869256">
    <w:abstractNumId w:val="2"/>
  </w:num>
  <w:num w:numId="4" w16cid:durableId="1992177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BC4"/>
    <w:rsid w:val="000A4A26"/>
    <w:rsid w:val="000B3C97"/>
    <w:rsid w:val="000C1BFD"/>
    <w:rsid w:val="000C3AB4"/>
    <w:rsid w:val="00124752"/>
    <w:rsid w:val="001B4E29"/>
    <w:rsid w:val="001F52D6"/>
    <w:rsid w:val="002617CB"/>
    <w:rsid w:val="002761C3"/>
    <w:rsid w:val="002C40A1"/>
    <w:rsid w:val="00316458"/>
    <w:rsid w:val="00334226"/>
    <w:rsid w:val="003D060A"/>
    <w:rsid w:val="003D42F5"/>
    <w:rsid w:val="00431BE7"/>
    <w:rsid w:val="0045655C"/>
    <w:rsid w:val="0049685D"/>
    <w:rsid w:val="004C7C41"/>
    <w:rsid w:val="004D4F00"/>
    <w:rsid w:val="004E106C"/>
    <w:rsid w:val="00504CC2"/>
    <w:rsid w:val="00515405"/>
    <w:rsid w:val="00535741"/>
    <w:rsid w:val="00557FD5"/>
    <w:rsid w:val="005615E9"/>
    <w:rsid w:val="00590954"/>
    <w:rsid w:val="005C22AF"/>
    <w:rsid w:val="00621D7B"/>
    <w:rsid w:val="006916D5"/>
    <w:rsid w:val="006A2BC4"/>
    <w:rsid w:val="0072560E"/>
    <w:rsid w:val="00735B12"/>
    <w:rsid w:val="00833E4B"/>
    <w:rsid w:val="00862E75"/>
    <w:rsid w:val="00877337"/>
    <w:rsid w:val="008817D6"/>
    <w:rsid w:val="008D6BEF"/>
    <w:rsid w:val="008E484C"/>
    <w:rsid w:val="0099255E"/>
    <w:rsid w:val="009B3840"/>
    <w:rsid w:val="00A03C6F"/>
    <w:rsid w:val="00A12EEE"/>
    <w:rsid w:val="00A142FC"/>
    <w:rsid w:val="00A17386"/>
    <w:rsid w:val="00A70E2E"/>
    <w:rsid w:val="00A9541D"/>
    <w:rsid w:val="00AD750D"/>
    <w:rsid w:val="00B13121"/>
    <w:rsid w:val="00C41F05"/>
    <w:rsid w:val="00C74F3C"/>
    <w:rsid w:val="00CB4C46"/>
    <w:rsid w:val="00CF5324"/>
    <w:rsid w:val="00D625FE"/>
    <w:rsid w:val="00D96FD3"/>
    <w:rsid w:val="00DE2AF3"/>
    <w:rsid w:val="00DE2D31"/>
    <w:rsid w:val="00E57A0F"/>
    <w:rsid w:val="00E7714C"/>
    <w:rsid w:val="00E93767"/>
    <w:rsid w:val="00EA653D"/>
    <w:rsid w:val="00ED76E5"/>
    <w:rsid w:val="00EF04F4"/>
    <w:rsid w:val="00F0729D"/>
    <w:rsid w:val="00F75D37"/>
    <w:rsid w:val="00F84DD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685FF"/>
  <w15:chartTrackingRefBased/>
  <w15:docId w15:val="{8DF3CCF8-8658-234B-9024-59F2A53C1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2BC4"/>
    <w:pPr>
      <w:spacing w:after="200" w:line="276" w:lineRule="auto"/>
    </w:pPr>
    <w:rPr>
      <w:rFonts w:ascii="Arial" w:hAnsi="Arial"/>
      <w:kern w:val="0"/>
      <w:szCs w:val="22"/>
      <w:lang w:eastAsia="en-US"/>
      <w14:ligatures w14:val="none"/>
    </w:rPr>
  </w:style>
  <w:style w:type="paragraph" w:styleId="1">
    <w:name w:val="heading 1"/>
    <w:basedOn w:val="a"/>
    <w:next w:val="a"/>
    <w:link w:val="1Char"/>
    <w:uiPriority w:val="9"/>
    <w:qFormat/>
    <w:rsid w:val="006A2BC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6A2BC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6A2BC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6A2BC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6A2BC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6A2BC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6A2BC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6A2BC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6A2BC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6A2BC4"/>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6A2BC4"/>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6A2BC4"/>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6A2BC4"/>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6A2BC4"/>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6A2BC4"/>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6A2BC4"/>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6A2BC4"/>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6A2BC4"/>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6A2BC4"/>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6A2BC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A2BC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6A2BC4"/>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6A2BC4"/>
    <w:pPr>
      <w:spacing w:before="160"/>
      <w:jc w:val="center"/>
    </w:pPr>
    <w:rPr>
      <w:i/>
      <w:iCs/>
      <w:color w:val="404040" w:themeColor="text1" w:themeTint="BF"/>
    </w:rPr>
  </w:style>
  <w:style w:type="character" w:customStyle="1" w:styleId="Char1">
    <w:name w:val="인용 Char"/>
    <w:basedOn w:val="a0"/>
    <w:link w:val="a5"/>
    <w:uiPriority w:val="29"/>
    <w:rsid w:val="006A2BC4"/>
    <w:rPr>
      <w:i/>
      <w:iCs/>
      <w:color w:val="404040" w:themeColor="text1" w:themeTint="BF"/>
    </w:rPr>
  </w:style>
  <w:style w:type="paragraph" w:styleId="a6">
    <w:name w:val="List Paragraph"/>
    <w:basedOn w:val="a"/>
    <w:uiPriority w:val="34"/>
    <w:qFormat/>
    <w:rsid w:val="006A2BC4"/>
    <w:pPr>
      <w:ind w:left="720"/>
      <w:contextualSpacing/>
    </w:pPr>
  </w:style>
  <w:style w:type="character" w:styleId="a7">
    <w:name w:val="Intense Emphasis"/>
    <w:basedOn w:val="a0"/>
    <w:uiPriority w:val="21"/>
    <w:qFormat/>
    <w:rsid w:val="006A2BC4"/>
    <w:rPr>
      <w:i/>
      <w:iCs/>
      <w:color w:val="0F4761" w:themeColor="accent1" w:themeShade="BF"/>
    </w:rPr>
  </w:style>
  <w:style w:type="paragraph" w:styleId="a8">
    <w:name w:val="Intense Quote"/>
    <w:basedOn w:val="a"/>
    <w:next w:val="a"/>
    <w:link w:val="Char2"/>
    <w:uiPriority w:val="30"/>
    <w:qFormat/>
    <w:rsid w:val="006A2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6A2BC4"/>
    <w:rPr>
      <w:i/>
      <w:iCs/>
      <w:color w:val="0F4761" w:themeColor="accent1" w:themeShade="BF"/>
    </w:rPr>
  </w:style>
  <w:style w:type="character" w:styleId="a9">
    <w:name w:val="Intense Reference"/>
    <w:basedOn w:val="a0"/>
    <w:uiPriority w:val="32"/>
    <w:qFormat/>
    <w:rsid w:val="006A2BC4"/>
    <w:rPr>
      <w:b/>
      <w:bCs/>
      <w:smallCaps/>
      <w:color w:val="0F4761" w:themeColor="accent1" w:themeShade="BF"/>
      <w:spacing w:val="5"/>
    </w:rPr>
  </w:style>
  <w:style w:type="table" w:styleId="aa">
    <w:name w:val="Table Grid"/>
    <w:basedOn w:val="a1"/>
    <w:uiPriority w:val="59"/>
    <w:rsid w:val="006A2BC4"/>
    <w:pPr>
      <w:spacing w:after="0"/>
    </w:pPr>
    <w:rPr>
      <w:kern w:val="0"/>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456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21</Pages>
  <Words>4448</Words>
  <Characters>25354</Characters>
  <Application>Microsoft Office Word</Application>
  <DocSecurity>0</DocSecurity>
  <Lines>211</Lines>
  <Paragraphs>59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 JUNG PARK</dc:creator>
  <cp:keywords/>
  <dc:description/>
  <cp:lastModifiedBy>EUN JUNG PARK</cp:lastModifiedBy>
  <cp:revision>4</cp:revision>
  <dcterms:created xsi:type="dcterms:W3CDTF">2026-06-18T23:44:00Z</dcterms:created>
  <dcterms:modified xsi:type="dcterms:W3CDTF">2026-06-19T00:06:00Z</dcterms:modified>
</cp:coreProperties>
</file>