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0CB12" w14:textId="77777777" w:rsidR="00C342F4" w:rsidRPr="00CA749A" w:rsidRDefault="00C342F4" w:rsidP="00C342F4">
      <w:pPr>
        <w:spacing w:line="480" w:lineRule="auto"/>
        <w:rPr>
          <w:rFonts w:cs="Times New Roman"/>
          <w:sz w:val="24"/>
        </w:rPr>
      </w:pPr>
      <w:r w:rsidRPr="00CA749A">
        <w:rPr>
          <w:rFonts w:cs="Times New Roman"/>
          <w:b/>
          <w:bCs/>
          <w:sz w:val="24"/>
        </w:rPr>
        <w:t>Supplementary figure legends</w:t>
      </w:r>
    </w:p>
    <w:p w14:paraId="351B6E25" w14:textId="77777777" w:rsidR="00C342F4" w:rsidRPr="00CA749A" w:rsidRDefault="00C342F4" w:rsidP="00C342F4">
      <w:pPr>
        <w:spacing w:line="480" w:lineRule="auto"/>
        <w:rPr>
          <w:rFonts w:cs="Times New Roman"/>
          <w:sz w:val="24"/>
        </w:rPr>
      </w:pPr>
      <w:r w:rsidRPr="00CA749A">
        <w:rPr>
          <w:rFonts w:cs="Times New Roman"/>
          <w:b/>
          <w:bCs/>
          <w:sz w:val="24"/>
        </w:rPr>
        <w:t>Online Resource 1: Fig. S1 | Composition and annotation validation of the integrated ccRCC single-cell atlas</w:t>
      </w:r>
      <w:r w:rsidRPr="00CA749A">
        <w:rPr>
          <w:rFonts w:cs="Times New Roman"/>
          <w:b/>
          <w:bCs/>
          <w:sz w:val="24"/>
        </w:rPr>
        <w:br/>
      </w:r>
      <w:r w:rsidRPr="00CA749A">
        <w:rPr>
          <w:rFonts w:cs="Times New Roman"/>
          <w:sz w:val="24"/>
        </w:rPr>
        <w:t>a Stacked bar plots showing major cell-type composition across samples.</w:t>
      </w:r>
      <w:r w:rsidRPr="00CA749A">
        <w:rPr>
          <w:rFonts w:cs="Times New Roman"/>
          <w:sz w:val="24"/>
        </w:rPr>
        <w:br/>
        <w:t>b Chord diagram showing dataset contributions to major cell types.</w:t>
      </w:r>
      <w:r w:rsidRPr="00CA749A">
        <w:rPr>
          <w:rFonts w:cs="Times New Roman"/>
          <w:sz w:val="24"/>
        </w:rPr>
        <w:br/>
        <w:t>c Dot plots of representative marker genes supporting cell-type annotation. Top, immune markers; middle, stromal markers; bottom, epithelial/tumor-related markers. Dot size indicates the proportion of expressing cells, and color indicates average expression.</w:t>
      </w:r>
      <w:r w:rsidRPr="00CA749A">
        <w:rPr>
          <w:rFonts w:cs="Times New Roman"/>
          <w:sz w:val="24"/>
        </w:rPr>
        <w:br/>
        <w:t>d Heatmap showing cluster composition across datasets</w:t>
      </w:r>
    </w:p>
    <w:p w14:paraId="785D5DFA" w14:textId="77777777" w:rsidR="00C342F4" w:rsidRPr="00CA749A" w:rsidRDefault="00C342F4" w:rsidP="00C342F4">
      <w:pPr>
        <w:spacing w:line="480" w:lineRule="auto"/>
        <w:rPr>
          <w:rFonts w:eastAsiaTheme="minorEastAsia"/>
          <w:b/>
          <w:bCs/>
          <w:sz w:val="24"/>
        </w:rPr>
      </w:pPr>
      <w:r w:rsidRPr="00CA749A">
        <w:rPr>
          <w:b/>
          <w:bCs/>
          <w:sz w:val="24"/>
        </w:rPr>
        <w:t>Online Resource 2: Fig. S2 | Expression support for key ligand-receptor axis genes in sender and receiver compartments</w:t>
      </w:r>
    </w:p>
    <w:p w14:paraId="30EB262C" w14:textId="77777777" w:rsidR="00C342F4" w:rsidRPr="00CA749A" w:rsidRDefault="00C342F4" w:rsidP="00C342F4">
      <w:pPr>
        <w:spacing w:line="480" w:lineRule="auto"/>
        <w:rPr>
          <w:rFonts w:eastAsiaTheme="minorEastAsia"/>
          <w:sz w:val="24"/>
        </w:rPr>
      </w:pPr>
      <w:r w:rsidRPr="00CA749A">
        <w:rPr>
          <w:sz w:val="24"/>
        </w:rPr>
        <w:t>a Violin plots of candidate receptor expression in low versus high-score malignant cells.</w:t>
      </w:r>
    </w:p>
    <w:p w14:paraId="4824449E" w14:textId="77777777" w:rsidR="00C342F4" w:rsidRPr="00CA749A" w:rsidRDefault="00C342F4" w:rsidP="00C342F4">
      <w:pPr>
        <w:spacing w:line="480" w:lineRule="auto"/>
        <w:rPr>
          <w:rFonts w:eastAsiaTheme="minorEastAsia"/>
          <w:sz w:val="24"/>
        </w:rPr>
      </w:pPr>
      <w:r w:rsidRPr="00CA749A">
        <w:rPr>
          <w:sz w:val="24"/>
        </w:rPr>
        <w:t>b Feature plots of TNFSF12, IL1A, TNFRSF12A, and VCAM1 across the integrated atlas.</w:t>
      </w:r>
    </w:p>
    <w:p w14:paraId="32694B0C" w14:textId="77777777" w:rsidR="00C342F4" w:rsidRPr="00CA749A" w:rsidRDefault="00C342F4" w:rsidP="00C342F4">
      <w:pPr>
        <w:spacing w:line="480" w:lineRule="auto"/>
        <w:rPr>
          <w:rFonts w:cs="Times New Roman"/>
          <w:sz w:val="24"/>
        </w:rPr>
      </w:pPr>
      <w:r w:rsidRPr="00CA749A">
        <w:rPr>
          <w:sz w:val="24"/>
        </w:rPr>
        <w:t>c Dot plot of key ligand-receptor axis genes across sender and receiver compartments</w:t>
      </w:r>
    </w:p>
    <w:p w14:paraId="0C70E98C" w14:textId="77777777" w:rsidR="00C342F4" w:rsidRPr="00CA749A" w:rsidRDefault="00C342F4" w:rsidP="00C342F4">
      <w:pPr>
        <w:spacing w:line="480" w:lineRule="auto"/>
        <w:rPr>
          <w:rFonts w:cs="Times New Roman"/>
          <w:sz w:val="24"/>
        </w:rPr>
      </w:pPr>
      <w:r w:rsidRPr="00CA749A">
        <w:rPr>
          <w:rFonts w:cs="Times New Roman"/>
          <w:b/>
          <w:bCs/>
          <w:sz w:val="24"/>
        </w:rPr>
        <w:t>Online Resource 3: Fig. S3 | Expanded comparison of virtual perturbation responses across multiple candidate nodes</w:t>
      </w:r>
      <w:r w:rsidRPr="00CA749A">
        <w:rPr>
          <w:rFonts w:cs="Times New Roman"/>
          <w:b/>
          <w:bCs/>
          <w:sz w:val="24"/>
        </w:rPr>
        <w:br/>
      </w:r>
      <w:r w:rsidRPr="00CA749A">
        <w:rPr>
          <w:rFonts w:cs="Times New Roman"/>
          <w:sz w:val="24"/>
        </w:rPr>
        <w:t>a Perturbation-response scatter plot after IL1A virtual knockout.</w:t>
      </w:r>
      <w:r w:rsidRPr="00CA749A">
        <w:rPr>
          <w:rFonts w:cs="Times New Roman"/>
          <w:sz w:val="24"/>
        </w:rPr>
        <w:br/>
        <w:t>b Perturbation-response scatter plot after TNFRSF12A virtual knockout.</w:t>
      </w:r>
      <w:r w:rsidRPr="00CA749A">
        <w:rPr>
          <w:rFonts w:cs="Times New Roman"/>
          <w:sz w:val="24"/>
        </w:rPr>
        <w:br/>
        <w:t>c Perturbation-response scatter plot after MAP3K14 virtual knockout.</w:t>
      </w:r>
      <w:r w:rsidRPr="00CA749A">
        <w:rPr>
          <w:rFonts w:cs="Times New Roman"/>
          <w:sz w:val="24"/>
        </w:rPr>
        <w:br/>
        <w:t>d Perturbation-response scatter plot after VCAM1 virtual knockout.</w:t>
      </w:r>
      <w:r w:rsidRPr="00CA749A">
        <w:rPr>
          <w:rFonts w:cs="Times New Roman"/>
          <w:sz w:val="24"/>
        </w:rPr>
        <w:br/>
      </w:r>
      <w:r w:rsidRPr="00CA749A">
        <w:rPr>
          <w:rFonts w:cs="Times New Roman"/>
          <w:sz w:val="24"/>
        </w:rPr>
        <w:lastRenderedPageBreak/>
        <w:t>e Integrated heatmap comparing the effects of IL1A, TNFRSF12A, MAP3K14, and VCAM1 virtual perturbations on shared inflammatory/stress output nodes</w:t>
      </w:r>
    </w:p>
    <w:p w14:paraId="62BC5FB2" w14:textId="77777777" w:rsidR="00C342F4" w:rsidRPr="00CA749A" w:rsidRDefault="00C342F4" w:rsidP="00C342F4">
      <w:pPr>
        <w:spacing w:line="480" w:lineRule="auto"/>
        <w:rPr>
          <w:rFonts w:cs="Times New Roman"/>
          <w:sz w:val="24"/>
        </w:rPr>
      </w:pPr>
      <w:r w:rsidRPr="00CA749A">
        <w:rPr>
          <w:rFonts w:cs="Times New Roman"/>
          <w:b/>
          <w:bCs/>
          <w:sz w:val="24"/>
        </w:rPr>
        <w:t>Online Resource 4: Fig. S4 | Expanded GO/KEGG networks associated with different virtual perturbations</w:t>
      </w:r>
      <w:r w:rsidRPr="00CA749A">
        <w:rPr>
          <w:rFonts w:cs="Times New Roman"/>
          <w:b/>
          <w:bCs/>
          <w:sz w:val="24"/>
        </w:rPr>
        <w:br/>
      </w:r>
      <w:r w:rsidRPr="00CA749A">
        <w:rPr>
          <w:rFonts w:cs="Times New Roman"/>
          <w:sz w:val="24"/>
        </w:rPr>
        <w:t>a GO chord network associated with IL1A virtual knockout.</w:t>
      </w:r>
      <w:r w:rsidRPr="00CA749A">
        <w:rPr>
          <w:rFonts w:cs="Times New Roman"/>
          <w:sz w:val="24"/>
        </w:rPr>
        <w:br/>
        <w:t>b KEGG chord network associated with IL1A virtual knockout.</w:t>
      </w:r>
      <w:r w:rsidRPr="00CA749A">
        <w:rPr>
          <w:rFonts w:cs="Times New Roman"/>
          <w:sz w:val="24"/>
        </w:rPr>
        <w:br/>
        <w:t>c GO chord network associated with MAP3K14 virtual knockout.</w:t>
      </w:r>
      <w:r w:rsidRPr="00CA749A">
        <w:rPr>
          <w:rFonts w:cs="Times New Roman"/>
          <w:sz w:val="24"/>
        </w:rPr>
        <w:br/>
        <w:t>d KEGG chord network associated with TNFRSF12A virtual knockout.</w:t>
      </w:r>
      <w:r w:rsidRPr="00CA749A">
        <w:rPr>
          <w:rFonts w:cs="Times New Roman"/>
          <w:sz w:val="24"/>
        </w:rPr>
        <w:br/>
        <w:t>e GO chord network associated with VCAM1 virtual knockout.</w:t>
      </w:r>
      <w:r w:rsidRPr="00CA749A">
        <w:rPr>
          <w:rFonts w:cs="Times New Roman"/>
          <w:sz w:val="24"/>
        </w:rPr>
        <w:br/>
        <w:t>f KEGG chord network associated with VCAM1 virtual knockout</w:t>
      </w:r>
    </w:p>
    <w:p w14:paraId="6FB02693" w14:textId="77777777" w:rsidR="00C342F4" w:rsidRPr="00CA749A" w:rsidRDefault="00C342F4" w:rsidP="00C342F4">
      <w:pPr>
        <w:spacing w:line="480" w:lineRule="auto"/>
        <w:rPr>
          <w:rFonts w:cs="Times New Roman"/>
          <w:sz w:val="24"/>
        </w:rPr>
      </w:pPr>
    </w:p>
    <w:p w14:paraId="596D3B1C" w14:textId="77777777" w:rsidR="00E023F9" w:rsidRDefault="00E023F9"/>
    <w:sectPr w:rsidR="00E023F9" w:rsidSect="00C342F4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40" w:right="1440" w:bottom="1440" w:left="1440" w:header="851" w:footer="992" w:gutter="0"/>
      <w:lnNumType w:countBy="1" w:restart="continuous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3859D" w14:textId="77777777" w:rsidR="00C342F4" w:rsidRDefault="00C342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7796364"/>
      <w:docPartObj>
        <w:docPartGallery w:val="Page Numbers (Bottom of Page)"/>
        <w:docPartUnique/>
      </w:docPartObj>
    </w:sdtPr>
    <w:sdtContent>
      <w:p w14:paraId="02A4C9DD" w14:textId="77777777" w:rsidR="00C342F4" w:rsidRDefault="00C342F4" w:rsidP="00D7653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6E0C7A1" w14:textId="77777777" w:rsidR="00C342F4" w:rsidRDefault="00C342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F0359" w14:textId="77777777" w:rsidR="00C342F4" w:rsidRDefault="00C342F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4B95B" w14:textId="77777777" w:rsidR="00C342F4" w:rsidRDefault="00C342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C8188" w14:textId="77777777" w:rsidR="00C342F4" w:rsidRDefault="00C342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8AC0F" w14:textId="77777777" w:rsidR="00C342F4" w:rsidRDefault="00C342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2F4"/>
    <w:rsid w:val="000C4033"/>
    <w:rsid w:val="00173ED8"/>
    <w:rsid w:val="002F50B1"/>
    <w:rsid w:val="004B42CB"/>
    <w:rsid w:val="005F2B46"/>
    <w:rsid w:val="006E1731"/>
    <w:rsid w:val="00866D74"/>
    <w:rsid w:val="00882A73"/>
    <w:rsid w:val="00906905"/>
    <w:rsid w:val="0095305D"/>
    <w:rsid w:val="00B10170"/>
    <w:rsid w:val="00B260B7"/>
    <w:rsid w:val="00B85331"/>
    <w:rsid w:val="00BB11FE"/>
    <w:rsid w:val="00C342F4"/>
    <w:rsid w:val="00C94D66"/>
    <w:rsid w:val="00DE7E69"/>
    <w:rsid w:val="00E0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66B4E"/>
  <w15:chartTrackingRefBased/>
  <w15:docId w15:val="{0745AA10-D8CB-4546-88B9-5A24DCD74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2F4"/>
    <w:pPr>
      <w:widowControl w:val="0"/>
    </w:pPr>
    <w:rPr>
      <w:rFonts w:ascii="Times New Roman" w:eastAsia="Times New Roman" w:hAnsi="Times New Roman"/>
      <w:sz w:val="20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42F4"/>
    <w:pPr>
      <w:keepNext/>
      <w:keepLines/>
      <w:widowControl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IN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42F4"/>
    <w:pPr>
      <w:keepNext/>
      <w:keepLines/>
      <w:widowControl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IN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42F4"/>
    <w:pPr>
      <w:keepNext/>
      <w:keepLines/>
      <w:widowControl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IN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42F4"/>
    <w:pPr>
      <w:keepNext/>
      <w:keepLines/>
      <w:widowControl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lang w:val="en-IN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42F4"/>
    <w:pPr>
      <w:keepNext/>
      <w:keepLines/>
      <w:widowControl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lang w:val="en-IN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42F4"/>
    <w:pPr>
      <w:keepNext/>
      <w:keepLines/>
      <w:widowControl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val="en-IN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42F4"/>
    <w:pPr>
      <w:keepNext/>
      <w:keepLines/>
      <w:widowControl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val="en-IN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42F4"/>
    <w:pPr>
      <w:keepNext/>
      <w:keepLines/>
      <w:widowControl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val="en-IN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42F4"/>
    <w:pPr>
      <w:keepNext/>
      <w:keepLines/>
      <w:widowControl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val="en-IN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42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42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42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42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42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42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42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42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42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42F4"/>
    <w:pPr>
      <w:widowControl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 w:eastAsia="en-US"/>
    </w:rPr>
  </w:style>
  <w:style w:type="character" w:customStyle="1" w:styleId="TitleChar">
    <w:name w:val="Title Char"/>
    <w:basedOn w:val="DefaultParagraphFont"/>
    <w:link w:val="Title"/>
    <w:uiPriority w:val="10"/>
    <w:rsid w:val="00C342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42F4"/>
    <w:pPr>
      <w:widowControl/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IN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C342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42F4"/>
    <w:pPr>
      <w:widowControl/>
      <w:spacing w:before="160"/>
      <w:jc w:val="center"/>
    </w:pPr>
    <w:rPr>
      <w:rFonts w:asciiTheme="minorHAnsi" w:eastAsiaTheme="minorHAnsi" w:hAnsiTheme="minorHAnsi"/>
      <w:i/>
      <w:iCs/>
      <w:color w:val="404040" w:themeColor="text1" w:themeTint="BF"/>
      <w:sz w:val="24"/>
      <w:lang w:val="en-IN" w:eastAsia="en-US"/>
    </w:rPr>
  </w:style>
  <w:style w:type="character" w:customStyle="1" w:styleId="QuoteChar">
    <w:name w:val="Quote Char"/>
    <w:basedOn w:val="DefaultParagraphFont"/>
    <w:link w:val="Quote"/>
    <w:uiPriority w:val="29"/>
    <w:rsid w:val="00C342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42F4"/>
    <w:pPr>
      <w:widowControl/>
      <w:ind w:left="720"/>
      <w:contextualSpacing/>
    </w:pPr>
    <w:rPr>
      <w:rFonts w:asciiTheme="minorHAnsi" w:eastAsiaTheme="minorHAnsi" w:hAnsiTheme="minorHAnsi"/>
      <w:sz w:val="24"/>
      <w:lang w:val="en-IN" w:eastAsia="en-US"/>
    </w:rPr>
  </w:style>
  <w:style w:type="character" w:styleId="IntenseEmphasis">
    <w:name w:val="Intense Emphasis"/>
    <w:basedOn w:val="DefaultParagraphFont"/>
    <w:uiPriority w:val="21"/>
    <w:qFormat/>
    <w:rsid w:val="00C342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42F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/>
      <w:i/>
      <w:iCs/>
      <w:color w:val="0F4761" w:themeColor="accent1" w:themeShade="BF"/>
      <w:sz w:val="24"/>
      <w:lang w:val="en-IN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42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42F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342F4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C342F4"/>
    <w:rPr>
      <w:rFonts w:ascii="Times New Roman" w:eastAsia="Times New Roman" w:hAnsi="Times New Roman"/>
      <w:sz w:val="18"/>
      <w:szCs w:val="18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C342F4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342F4"/>
    <w:rPr>
      <w:rFonts w:ascii="Times New Roman" w:eastAsia="Times New Roman" w:hAnsi="Times New Roman"/>
      <w:sz w:val="18"/>
      <w:szCs w:val="18"/>
      <w:lang w:val="en-US" w:eastAsia="zh-CN"/>
    </w:rPr>
  </w:style>
  <w:style w:type="character" w:styleId="LineNumber">
    <w:name w:val="line number"/>
    <w:basedOn w:val="DefaultParagraphFont"/>
    <w:uiPriority w:val="99"/>
    <w:semiHidden/>
    <w:unhideWhenUsed/>
    <w:rsid w:val="00C342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294</Words>
  <Characters>1677</Characters>
  <Application>Microsoft Office Word</Application>
  <DocSecurity>0</DocSecurity>
  <Lines>13</Lines>
  <Paragraphs>3</Paragraphs>
  <ScaleCrop>false</ScaleCrop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Trupti Sudge</dc:creator>
  <cp:keywords/>
  <dc:description/>
  <cp:lastModifiedBy>Trupti Sudge</cp:lastModifiedBy>
  <cp:revision>1</cp:revision>
  <dcterms:created xsi:type="dcterms:W3CDTF">2026-06-24T23:50:00Z</dcterms:created>
  <dcterms:modified xsi:type="dcterms:W3CDTF">2026-06-24T23:51:00Z</dcterms:modified>
</cp:coreProperties>
</file>