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1754" w14:textId="77777777" w:rsidR="00F15CB3" w:rsidRPr="00BD702B" w:rsidRDefault="00F15CB3" w:rsidP="00F15CB3">
      <w:pPr>
        <w:pStyle w:val="Heading1"/>
      </w:pPr>
      <w:r w:rsidRPr="00BD702B">
        <w:t>Supplementary materials</w:t>
      </w:r>
    </w:p>
    <w:p w14:paraId="3720BF4B" w14:textId="77777777" w:rsidR="00F15CB3" w:rsidRPr="00BD702B" w:rsidRDefault="00F15CB3" w:rsidP="00F15CB3">
      <w:pPr>
        <w:jc w:val="both"/>
        <w:rPr>
          <w:rFonts w:ascii="Helvetica" w:hAnsi="Helvetica" w:cs="Arial"/>
          <w:color w:val="000000" w:themeColor="text1"/>
        </w:rPr>
      </w:pPr>
    </w:p>
    <w:p w14:paraId="7E57740D" w14:textId="77777777" w:rsidR="00F15CB3" w:rsidRPr="00BD702B" w:rsidRDefault="00F15CB3" w:rsidP="00F15CB3">
      <w:pPr>
        <w:jc w:val="both"/>
        <w:rPr>
          <w:rFonts w:ascii="Helvetica" w:hAnsi="Helvetica" w:cs="Arial"/>
          <w:b/>
          <w:bCs/>
          <w:color w:val="000000" w:themeColor="text1"/>
        </w:rPr>
      </w:pPr>
      <w:r w:rsidRPr="00BD702B">
        <w:rPr>
          <w:rFonts w:ascii="Helvetica" w:hAnsi="Helvetica" w:cs="Arial"/>
          <w:b/>
          <w:bCs/>
          <w:color w:val="000000" w:themeColor="text1"/>
        </w:rPr>
        <w:t>Table S1</w:t>
      </w:r>
    </w:p>
    <w:p w14:paraId="7C0C0A1C" w14:textId="77777777" w:rsidR="00F15CB3" w:rsidRPr="00BD702B" w:rsidRDefault="00F15CB3" w:rsidP="00F15CB3">
      <w:pPr>
        <w:jc w:val="both"/>
        <w:rPr>
          <w:rFonts w:ascii="Helvetica" w:hAnsi="Helvetica" w:cs="Arial"/>
          <w:i/>
          <w:iCs/>
          <w:color w:val="000000" w:themeColor="text1"/>
        </w:rPr>
      </w:pPr>
      <w:r w:rsidRPr="00BD702B">
        <w:rPr>
          <w:rFonts w:ascii="Helvetica" w:hAnsi="Helvetica" w:cs="Arial"/>
          <w:i/>
          <w:iCs/>
          <w:color w:val="000000" w:themeColor="text1"/>
        </w:rPr>
        <w:t>Bootstrap comparisons of correlations between alexithymia dimensions and self-reported mental-health indicators</w:t>
      </w:r>
    </w:p>
    <w:tbl>
      <w:tblPr>
        <w:tblW w:w="8314" w:type="dxa"/>
        <w:tblLook w:val="04A0" w:firstRow="1" w:lastRow="0" w:firstColumn="1" w:lastColumn="0" w:noHBand="0" w:noVBand="1"/>
      </w:tblPr>
      <w:tblGrid>
        <w:gridCol w:w="2977"/>
        <w:gridCol w:w="1057"/>
        <w:gridCol w:w="1400"/>
        <w:gridCol w:w="1400"/>
        <w:gridCol w:w="1480"/>
      </w:tblGrid>
      <w:tr w:rsidR="00F15CB3" w:rsidRPr="00BD702B" w14:paraId="33D3B98E" w14:textId="77777777" w:rsidTr="006B0992">
        <w:trPr>
          <w:trHeight w:val="320"/>
        </w:trPr>
        <w:tc>
          <w:tcPr>
            <w:tcW w:w="2977" w:type="dxa"/>
            <w:tcBorders>
              <w:top w:val="single" w:sz="4" w:space="0" w:color="auto"/>
              <w:left w:val="nil"/>
              <w:bottom w:val="single" w:sz="4" w:space="0" w:color="auto"/>
              <w:right w:val="nil"/>
            </w:tcBorders>
            <w:noWrap/>
            <w:vAlign w:val="bottom"/>
            <w:hideMark/>
          </w:tcPr>
          <w:p w14:paraId="74ECC9E2"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Scale</w:t>
            </w:r>
          </w:p>
        </w:tc>
        <w:tc>
          <w:tcPr>
            <w:tcW w:w="1057" w:type="dxa"/>
            <w:tcBorders>
              <w:top w:val="single" w:sz="4" w:space="0" w:color="auto"/>
              <w:left w:val="nil"/>
              <w:bottom w:val="single" w:sz="4" w:space="0" w:color="auto"/>
              <w:right w:val="nil"/>
            </w:tcBorders>
            <w:noWrap/>
            <w:vAlign w:val="bottom"/>
            <w:hideMark/>
          </w:tcPr>
          <w:p w14:paraId="3B09CABA" w14:textId="77777777" w:rsidR="00F15CB3" w:rsidRPr="00BD702B" w:rsidRDefault="00F15CB3" w:rsidP="006B0992">
            <w:pPr>
              <w:rPr>
                <w:rFonts w:ascii="Helvetica" w:hAnsi="Helvetica" w:cs="Arial"/>
                <w:color w:val="000000"/>
                <w:sz w:val="22"/>
                <w:szCs w:val="22"/>
              </w:rPr>
            </w:pPr>
            <w:r w:rsidRPr="00BD702B">
              <w:rPr>
                <w:rFonts w:ascii="Helvetica" w:hAnsi="Helvetica" w:cs="Arial"/>
                <w:i/>
                <w:iCs/>
                <w:color w:val="000000"/>
                <w:sz w:val="22"/>
                <w:szCs w:val="22"/>
              </w:rPr>
              <w:t xml:space="preserve">ρ </w:t>
            </w:r>
            <w:r w:rsidRPr="00BD702B">
              <w:rPr>
                <w:rFonts w:ascii="Helvetica" w:hAnsi="Helvetica" w:cs="Arial"/>
                <w:color w:val="000000"/>
                <w:sz w:val="22"/>
                <w:szCs w:val="22"/>
              </w:rPr>
              <w:t>DIF</w:t>
            </w:r>
          </w:p>
        </w:tc>
        <w:tc>
          <w:tcPr>
            <w:tcW w:w="1400" w:type="dxa"/>
            <w:tcBorders>
              <w:top w:val="single" w:sz="4" w:space="0" w:color="auto"/>
              <w:left w:val="nil"/>
              <w:bottom w:val="single" w:sz="4" w:space="0" w:color="auto"/>
              <w:right w:val="nil"/>
            </w:tcBorders>
            <w:noWrap/>
            <w:vAlign w:val="bottom"/>
            <w:hideMark/>
          </w:tcPr>
          <w:p w14:paraId="01B32381" w14:textId="77777777" w:rsidR="00F15CB3" w:rsidRPr="00BD702B" w:rsidRDefault="00F15CB3" w:rsidP="006B0992">
            <w:pPr>
              <w:rPr>
                <w:rFonts w:ascii="Helvetica" w:hAnsi="Helvetica" w:cs="Arial"/>
                <w:color w:val="000000"/>
                <w:sz w:val="22"/>
                <w:szCs w:val="22"/>
              </w:rPr>
            </w:pPr>
            <w:r w:rsidRPr="00BD702B">
              <w:rPr>
                <w:rFonts w:ascii="Helvetica" w:hAnsi="Helvetica" w:cs="Arial"/>
                <w:i/>
                <w:iCs/>
                <w:color w:val="000000"/>
                <w:sz w:val="22"/>
                <w:szCs w:val="22"/>
              </w:rPr>
              <w:t>ρ</w:t>
            </w:r>
            <w:r w:rsidRPr="00BD702B">
              <w:rPr>
                <w:rFonts w:ascii="Helvetica" w:hAnsi="Helvetica" w:cs="Arial"/>
                <w:color w:val="000000"/>
                <w:sz w:val="22"/>
                <w:szCs w:val="22"/>
              </w:rPr>
              <w:t xml:space="preserve"> DDF</w:t>
            </w:r>
          </w:p>
        </w:tc>
        <w:tc>
          <w:tcPr>
            <w:tcW w:w="1400" w:type="dxa"/>
            <w:tcBorders>
              <w:top w:val="single" w:sz="4" w:space="0" w:color="auto"/>
              <w:left w:val="nil"/>
              <w:bottom w:val="single" w:sz="4" w:space="0" w:color="auto"/>
              <w:right w:val="nil"/>
            </w:tcBorders>
            <w:noWrap/>
            <w:vAlign w:val="bottom"/>
            <w:hideMark/>
          </w:tcPr>
          <w:p w14:paraId="5065CED9"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 xml:space="preserve">  Δ</w:t>
            </w:r>
            <w:r w:rsidRPr="00BD702B">
              <w:rPr>
                <w:rFonts w:ascii="Helvetica" w:hAnsi="Helvetica" w:cs="Arial"/>
                <w:i/>
                <w:iCs/>
                <w:color w:val="000000"/>
                <w:sz w:val="22"/>
                <w:szCs w:val="22"/>
              </w:rPr>
              <w:t>ρ</w:t>
            </w:r>
          </w:p>
        </w:tc>
        <w:tc>
          <w:tcPr>
            <w:tcW w:w="1480" w:type="dxa"/>
            <w:tcBorders>
              <w:top w:val="single" w:sz="4" w:space="0" w:color="auto"/>
              <w:left w:val="nil"/>
              <w:bottom w:val="single" w:sz="4" w:space="0" w:color="auto"/>
              <w:right w:val="nil"/>
            </w:tcBorders>
            <w:noWrap/>
            <w:vAlign w:val="bottom"/>
            <w:hideMark/>
          </w:tcPr>
          <w:p w14:paraId="6CBD4382"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 xml:space="preserve">    95% CI</w:t>
            </w:r>
          </w:p>
        </w:tc>
      </w:tr>
      <w:tr w:rsidR="00F15CB3" w:rsidRPr="00BD702B" w14:paraId="7B1F049C" w14:textId="77777777" w:rsidTr="006B0992">
        <w:trPr>
          <w:trHeight w:val="320"/>
        </w:trPr>
        <w:tc>
          <w:tcPr>
            <w:tcW w:w="2977" w:type="dxa"/>
            <w:tcBorders>
              <w:top w:val="single" w:sz="4" w:space="0" w:color="auto"/>
              <w:left w:val="nil"/>
              <w:bottom w:val="nil"/>
              <w:right w:val="nil"/>
            </w:tcBorders>
            <w:noWrap/>
            <w:vAlign w:val="bottom"/>
            <w:hideMark/>
          </w:tcPr>
          <w:p w14:paraId="5C8242A4"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YSR – Somatic</w:t>
            </w:r>
          </w:p>
        </w:tc>
        <w:tc>
          <w:tcPr>
            <w:tcW w:w="1057" w:type="dxa"/>
            <w:tcBorders>
              <w:top w:val="single" w:sz="4" w:space="0" w:color="auto"/>
              <w:left w:val="nil"/>
              <w:bottom w:val="nil"/>
              <w:right w:val="nil"/>
            </w:tcBorders>
            <w:noWrap/>
            <w:vAlign w:val="bottom"/>
            <w:hideMark/>
          </w:tcPr>
          <w:p w14:paraId="0C43876A"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.558</w:t>
            </w:r>
          </w:p>
        </w:tc>
        <w:tc>
          <w:tcPr>
            <w:tcW w:w="1400" w:type="dxa"/>
            <w:tcBorders>
              <w:top w:val="single" w:sz="4" w:space="0" w:color="auto"/>
              <w:left w:val="nil"/>
              <w:bottom w:val="nil"/>
              <w:right w:val="nil"/>
            </w:tcBorders>
            <w:noWrap/>
            <w:vAlign w:val="bottom"/>
            <w:hideMark/>
          </w:tcPr>
          <w:p w14:paraId="15AEAE53"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.410</w:t>
            </w:r>
          </w:p>
        </w:tc>
        <w:tc>
          <w:tcPr>
            <w:tcW w:w="1400" w:type="dxa"/>
            <w:tcBorders>
              <w:top w:val="single" w:sz="4" w:space="0" w:color="auto"/>
              <w:left w:val="nil"/>
              <w:bottom w:val="nil"/>
              <w:right w:val="nil"/>
            </w:tcBorders>
            <w:noWrap/>
            <w:vAlign w:val="bottom"/>
            <w:hideMark/>
          </w:tcPr>
          <w:p w14:paraId="69625E32"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.148</w:t>
            </w:r>
          </w:p>
        </w:tc>
        <w:tc>
          <w:tcPr>
            <w:tcW w:w="1480" w:type="dxa"/>
            <w:tcBorders>
              <w:top w:val="single" w:sz="4" w:space="0" w:color="auto"/>
              <w:left w:val="nil"/>
              <w:bottom w:val="nil"/>
              <w:right w:val="nil"/>
            </w:tcBorders>
            <w:noWrap/>
            <w:vAlign w:val="bottom"/>
            <w:hideMark/>
          </w:tcPr>
          <w:p w14:paraId="7DC49F45"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[.053, .247]</w:t>
            </w:r>
          </w:p>
        </w:tc>
      </w:tr>
      <w:tr w:rsidR="00F15CB3" w:rsidRPr="00BD702B" w14:paraId="2FA0D39F" w14:textId="77777777" w:rsidTr="006B0992">
        <w:trPr>
          <w:trHeight w:val="320"/>
        </w:trPr>
        <w:tc>
          <w:tcPr>
            <w:tcW w:w="2977" w:type="dxa"/>
            <w:tcBorders>
              <w:top w:val="nil"/>
              <w:left w:val="nil"/>
              <w:bottom w:val="nil"/>
              <w:right w:val="nil"/>
            </w:tcBorders>
            <w:noWrap/>
            <w:vAlign w:val="bottom"/>
            <w:hideMark/>
          </w:tcPr>
          <w:p w14:paraId="7000E043"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PedsQL – Emotional</w:t>
            </w:r>
          </w:p>
        </w:tc>
        <w:tc>
          <w:tcPr>
            <w:tcW w:w="1057" w:type="dxa"/>
            <w:tcBorders>
              <w:top w:val="nil"/>
              <w:left w:val="nil"/>
              <w:bottom w:val="nil"/>
              <w:right w:val="nil"/>
            </w:tcBorders>
            <w:noWrap/>
            <w:vAlign w:val="bottom"/>
            <w:hideMark/>
          </w:tcPr>
          <w:p w14:paraId="6CA85376"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.694</w:t>
            </w:r>
          </w:p>
        </w:tc>
        <w:tc>
          <w:tcPr>
            <w:tcW w:w="1400" w:type="dxa"/>
            <w:tcBorders>
              <w:top w:val="nil"/>
              <w:left w:val="nil"/>
              <w:bottom w:val="nil"/>
              <w:right w:val="nil"/>
            </w:tcBorders>
            <w:noWrap/>
            <w:vAlign w:val="bottom"/>
            <w:hideMark/>
          </w:tcPr>
          <w:p w14:paraId="1096D014"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.555</w:t>
            </w:r>
          </w:p>
        </w:tc>
        <w:tc>
          <w:tcPr>
            <w:tcW w:w="1400" w:type="dxa"/>
            <w:tcBorders>
              <w:top w:val="nil"/>
              <w:left w:val="nil"/>
              <w:bottom w:val="nil"/>
              <w:right w:val="nil"/>
            </w:tcBorders>
            <w:noWrap/>
            <w:vAlign w:val="bottom"/>
            <w:hideMark/>
          </w:tcPr>
          <w:p w14:paraId="04B94CA3"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.139</w:t>
            </w:r>
          </w:p>
        </w:tc>
        <w:tc>
          <w:tcPr>
            <w:tcW w:w="1480" w:type="dxa"/>
            <w:tcBorders>
              <w:top w:val="nil"/>
              <w:left w:val="nil"/>
              <w:bottom w:val="nil"/>
              <w:right w:val="nil"/>
            </w:tcBorders>
            <w:noWrap/>
            <w:vAlign w:val="bottom"/>
            <w:hideMark/>
          </w:tcPr>
          <w:p w14:paraId="53BDB3A0"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[.060, .222]</w:t>
            </w:r>
          </w:p>
        </w:tc>
      </w:tr>
      <w:tr w:rsidR="00F15CB3" w:rsidRPr="00BD702B" w14:paraId="595F5F03" w14:textId="77777777" w:rsidTr="006B0992">
        <w:trPr>
          <w:trHeight w:val="320"/>
        </w:trPr>
        <w:tc>
          <w:tcPr>
            <w:tcW w:w="2977" w:type="dxa"/>
            <w:tcBorders>
              <w:top w:val="nil"/>
              <w:left w:val="nil"/>
              <w:bottom w:val="nil"/>
              <w:right w:val="nil"/>
            </w:tcBorders>
            <w:noWrap/>
            <w:vAlign w:val="bottom"/>
            <w:hideMark/>
          </w:tcPr>
          <w:p w14:paraId="47E35413"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SCARED – Panic/Somatic</w:t>
            </w:r>
          </w:p>
        </w:tc>
        <w:tc>
          <w:tcPr>
            <w:tcW w:w="1057" w:type="dxa"/>
            <w:tcBorders>
              <w:top w:val="nil"/>
              <w:left w:val="nil"/>
              <w:bottom w:val="nil"/>
              <w:right w:val="nil"/>
            </w:tcBorders>
            <w:noWrap/>
            <w:vAlign w:val="bottom"/>
            <w:hideMark/>
          </w:tcPr>
          <w:p w14:paraId="771D4A85"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.583</w:t>
            </w:r>
          </w:p>
        </w:tc>
        <w:tc>
          <w:tcPr>
            <w:tcW w:w="1400" w:type="dxa"/>
            <w:tcBorders>
              <w:top w:val="nil"/>
              <w:left w:val="nil"/>
              <w:bottom w:val="nil"/>
              <w:right w:val="nil"/>
            </w:tcBorders>
            <w:noWrap/>
            <w:vAlign w:val="bottom"/>
            <w:hideMark/>
          </w:tcPr>
          <w:p w14:paraId="39C0C68E"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.452</w:t>
            </w:r>
          </w:p>
        </w:tc>
        <w:tc>
          <w:tcPr>
            <w:tcW w:w="1400" w:type="dxa"/>
            <w:tcBorders>
              <w:top w:val="nil"/>
              <w:left w:val="nil"/>
              <w:bottom w:val="nil"/>
              <w:right w:val="nil"/>
            </w:tcBorders>
            <w:noWrap/>
            <w:vAlign w:val="bottom"/>
            <w:hideMark/>
          </w:tcPr>
          <w:p w14:paraId="338E0157"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.132</w:t>
            </w:r>
          </w:p>
        </w:tc>
        <w:tc>
          <w:tcPr>
            <w:tcW w:w="1480" w:type="dxa"/>
            <w:tcBorders>
              <w:top w:val="nil"/>
              <w:left w:val="nil"/>
              <w:bottom w:val="nil"/>
              <w:right w:val="nil"/>
            </w:tcBorders>
            <w:noWrap/>
            <w:vAlign w:val="bottom"/>
            <w:hideMark/>
          </w:tcPr>
          <w:p w14:paraId="69D63295"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[.040, .226]</w:t>
            </w:r>
          </w:p>
        </w:tc>
      </w:tr>
      <w:tr w:rsidR="00F15CB3" w:rsidRPr="00BD702B" w14:paraId="6312ADFB" w14:textId="77777777" w:rsidTr="006B0992">
        <w:trPr>
          <w:trHeight w:val="320"/>
        </w:trPr>
        <w:tc>
          <w:tcPr>
            <w:tcW w:w="2977" w:type="dxa"/>
            <w:tcBorders>
              <w:top w:val="nil"/>
              <w:left w:val="nil"/>
              <w:bottom w:val="nil"/>
              <w:right w:val="nil"/>
            </w:tcBorders>
            <w:noWrap/>
            <w:vAlign w:val="bottom"/>
            <w:hideMark/>
          </w:tcPr>
          <w:p w14:paraId="3ACCCA9C"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YSR – Internalizing</w:t>
            </w:r>
          </w:p>
        </w:tc>
        <w:tc>
          <w:tcPr>
            <w:tcW w:w="1057" w:type="dxa"/>
            <w:tcBorders>
              <w:top w:val="nil"/>
              <w:left w:val="nil"/>
              <w:bottom w:val="nil"/>
              <w:right w:val="nil"/>
            </w:tcBorders>
            <w:noWrap/>
            <w:vAlign w:val="bottom"/>
            <w:hideMark/>
          </w:tcPr>
          <w:p w14:paraId="5D859850"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.705</w:t>
            </w:r>
          </w:p>
        </w:tc>
        <w:tc>
          <w:tcPr>
            <w:tcW w:w="1400" w:type="dxa"/>
            <w:tcBorders>
              <w:top w:val="nil"/>
              <w:left w:val="nil"/>
              <w:bottom w:val="nil"/>
              <w:right w:val="nil"/>
            </w:tcBorders>
            <w:noWrap/>
            <w:vAlign w:val="bottom"/>
            <w:hideMark/>
          </w:tcPr>
          <w:p w14:paraId="69312680"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.589</w:t>
            </w:r>
          </w:p>
        </w:tc>
        <w:tc>
          <w:tcPr>
            <w:tcW w:w="1400" w:type="dxa"/>
            <w:tcBorders>
              <w:top w:val="nil"/>
              <w:left w:val="nil"/>
              <w:bottom w:val="nil"/>
              <w:right w:val="nil"/>
            </w:tcBorders>
            <w:noWrap/>
            <w:vAlign w:val="bottom"/>
            <w:hideMark/>
          </w:tcPr>
          <w:p w14:paraId="1D9EFCDB"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.116</w:t>
            </w:r>
          </w:p>
        </w:tc>
        <w:tc>
          <w:tcPr>
            <w:tcW w:w="1480" w:type="dxa"/>
            <w:tcBorders>
              <w:top w:val="nil"/>
              <w:left w:val="nil"/>
              <w:bottom w:val="nil"/>
              <w:right w:val="nil"/>
            </w:tcBorders>
            <w:noWrap/>
            <w:vAlign w:val="bottom"/>
            <w:hideMark/>
          </w:tcPr>
          <w:p w14:paraId="775716CD"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[.040, .197]</w:t>
            </w:r>
          </w:p>
        </w:tc>
      </w:tr>
      <w:tr w:rsidR="00F15CB3" w:rsidRPr="00BD702B" w14:paraId="53F3ABBE" w14:textId="77777777" w:rsidTr="006B0992">
        <w:trPr>
          <w:trHeight w:val="320"/>
        </w:trPr>
        <w:tc>
          <w:tcPr>
            <w:tcW w:w="2977" w:type="dxa"/>
            <w:tcBorders>
              <w:top w:val="nil"/>
              <w:left w:val="nil"/>
              <w:bottom w:val="nil"/>
              <w:right w:val="nil"/>
            </w:tcBorders>
            <w:noWrap/>
            <w:vAlign w:val="bottom"/>
            <w:hideMark/>
          </w:tcPr>
          <w:p w14:paraId="5EA96B98"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PedsQL – Physical</w:t>
            </w:r>
          </w:p>
        </w:tc>
        <w:tc>
          <w:tcPr>
            <w:tcW w:w="1057" w:type="dxa"/>
            <w:tcBorders>
              <w:top w:val="nil"/>
              <w:left w:val="nil"/>
              <w:bottom w:val="nil"/>
              <w:right w:val="nil"/>
            </w:tcBorders>
            <w:noWrap/>
            <w:vAlign w:val="bottom"/>
            <w:hideMark/>
          </w:tcPr>
          <w:p w14:paraId="24919843"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.481</w:t>
            </w:r>
          </w:p>
        </w:tc>
        <w:tc>
          <w:tcPr>
            <w:tcW w:w="1400" w:type="dxa"/>
            <w:tcBorders>
              <w:top w:val="nil"/>
              <w:left w:val="nil"/>
              <w:bottom w:val="nil"/>
              <w:right w:val="nil"/>
            </w:tcBorders>
            <w:noWrap/>
            <w:vAlign w:val="bottom"/>
            <w:hideMark/>
          </w:tcPr>
          <w:p w14:paraId="008B075A"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.367</w:t>
            </w:r>
          </w:p>
        </w:tc>
        <w:tc>
          <w:tcPr>
            <w:tcW w:w="1400" w:type="dxa"/>
            <w:tcBorders>
              <w:top w:val="nil"/>
              <w:left w:val="nil"/>
              <w:bottom w:val="nil"/>
              <w:right w:val="nil"/>
            </w:tcBorders>
            <w:noWrap/>
            <w:vAlign w:val="bottom"/>
            <w:hideMark/>
          </w:tcPr>
          <w:p w14:paraId="70A5C655"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.114</w:t>
            </w:r>
          </w:p>
        </w:tc>
        <w:tc>
          <w:tcPr>
            <w:tcW w:w="1480" w:type="dxa"/>
            <w:tcBorders>
              <w:top w:val="nil"/>
              <w:left w:val="nil"/>
              <w:bottom w:val="nil"/>
              <w:right w:val="nil"/>
            </w:tcBorders>
            <w:noWrap/>
            <w:vAlign w:val="bottom"/>
            <w:hideMark/>
          </w:tcPr>
          <w:p w14:paraId="22B6A564"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[.018, .207]</w:t>
            </w:r>
          </w:p>
        </w:tc>
      </w:tr>
      <w:tr w:rsidR="00F15CB3" w:rsidRPr="00BD702B" w14:paraId="39932B36" w14:textId="77777777" w:rsidTr="006B0992">
        <w:trPr>
          <w:trHeight w:val="320"/>
        </w:trPr>
        <w:tc>
          <w:tcPr>
            <w:tcW w:w="2977" w:type="dxa"/>
            <w:tcBorders>
              <w:top w:val="nil"/>
              <w:left w:val="nil"/>
              <w:bottom w:val="nil"/>
              <w:right w:val="nil"/>
            </w:tcBorders>
            <w:noWrap/>
            <w:vAlign w:val="bottom"/>
            <w:hideMark/>
          </w:tcPr>
          <w:p w14:paraId="46107DA0"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YSR – Externalising</w:t>
            </w:r>
          </w:p>
        </w:tc>
        <w:tc>
          <w:tcPr>
            <w:tcW w:w="1057" w:type="dxa"/>
            <w:tcBorders>
              <w:top w:val="nil"/>
              <w:left w:val="nil"/>
              <w:bottom w:val="nil"/>
              <w:right w:val="nil"/>
            </w:tcBorders>
            <w:noWrap/>
            <w:vAlign w:val="bottom"/>
            <w:hideMark/>
          </w:tcPr>
          <w:p w14:paraId="01B048A8"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.449</w:t>
            </w:r>
          </w:p>
        </w:tc>
        <w:tc>
          <w:tcPr>
            <w:tcW w:w="1400" w:type="dxa"/>
            <w:tcBorders>
              <w:top w:val="nil"/>
              <w:left w:val="nil"/>
              <w:bottom w:val="nil"/>
              <w:right w:val="nil"/>
            </w:tcBorders>
            <w:noWrap/>
            <w:vAlign w:val="bottom"/>
            <w:hideMark/>
          </w:tcPr>
          <w:p w14:paraId="62E00D3A"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.340</w:t>
            </w:r>
          </w:p>
        </w:tc>
        <w:tc>
          <w:tcPr>
            <w:tcW w:w="1400" w:type="dxa"/>
            <w:tcBorders>
              <w:top w:val="nil"/>
              <w:left w:val="nil"/>
              <w:bottom w:val="nil"/>
              <w:right w:val="nil"/>
            </w:tcBorders>
            <w:noWrap/>
            <w:vAlign w:val="bottom"/>
            <w:hideMark/>
          </w:tcPr>
          <w:p w14:paraId="48684CC1"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.109</w:t>
            </w:r>
          </w:p>
        </w:tc>
        <w:tc>
          <w:tcPr>
            <w:tcW w:w="1480" w:type="dxa"/>
            <w:tcBorders>
              <w:top w:val="nil"/>
              <w:left w:val="nil"/>
              <w:bottom w:val="nil"/>
              <w:right w:val="nil"/>
            </w:tcBorders>
            <w:noWrap/>
            <w:vAlign w:val="bottom"/>
            <w:hideMark/>
          </w:tcPr>
          <w:p w14:paraId="64555B0F"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[.024, .195]</w:t>
            </w:r>
          </w:p>
        </w:tc>
      </w:tr>
      <w:tr w:rsidR="00F15CB3" w:rsidRPr="00BD702B" w14:paraId="70CFC789" w14:textId="77777777" w:rsidTr="006B0992">
        <w:trPr>
          <w:trHeight w:val="320"/>
        </w:trPr>
        <w:tc>
          <w:tcPr>
            <w:tcW w:w="2977" w:type="dxa"/>
            <w:tcBorders>
              <w:top w:val="nil"/>
              <w:left w:val="nil"/>
              <w:bottom w:val="nil"/>
              <w:right w:val="nil"/>
            </w:tcBorders>
            <w:noWrap/>
            <w:vAlign w:val="bottom"/>
            <w:hideMark/>
          </w:tcPr>
          <w:p w14:paraId="5DED8B82"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SCARED – School Avoidance</w:t>
            </w:r>
          </w:p>
        </w:tc>
        <w:tc>
          <w:tcPr>
            <w:tcW w:w="1057" w:type="dxa"/>
            <w:tcBorders>
              <w:top w:val="nil"/>
              <w:left w:val="nil"/>
              <w:bottom w:val="nil"/>
              <w:right w:val="nil"/>
            </w:tcBorders>
            <w:noWrap/>
            <w:vAlign w:val="bottom"/>
            <w:hideMark/>
          </w:tcPr>
          <w:p w14:paraId="7D0DF2B5"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.491</w:t>
            </w:r>
          </w:p>
        </w:tc>
        <w:tc>
          <w:tcPr>
            <w:tcW w:w="1400" w:type="dxa"/>
            <w:tcBorders>
              <w:top w:val="nil"/>
              <w:left w:val="nil"/>
              <w:bottom w:val="nil"/>
              <w:right w:val="nil"/>
            </w:tcBorders>
            <w:noWrap/>
            <w:vAlign w:val="bottom"/>
            <w:hideMark/>
          </w:tcPr>
          <w:p w14:paraId="1B250CF5"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.387</w:t>
            </w:r>
          </w:p>
        </w:tc>
        <w:tc>
          <w:tcPr>
            <w:tcW w:w="1400" w:type="dxa"/>
            <w:tcBorders>
              <w:top w:val="nil"/>
              <w:left w:val="nil"/>
              <w:bottom w:val="nil"/>
              <w:right w:val="nil"/>
            </w:tcBorders>
            <w:noWrap/>
            <w:vAlign w:val="bottom"/>
            <w:hideMark/>
          </w:tcPr>
          <w:p w14:paraId="776EC893"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.104</w:t>
            </w:r>
          </w:p>
        </w:tc>
        <w:tc>
          <w:tcPr>
            <w:tcW w:w="1480" w:type="dxa"/>
            <w:tcBorders>
              <w:top w:val="nil"/>
              <w:left w:val="nil"/>
              <w:bottom w:val="nil"/>
              <w:right w:val="nil"/>
            </w:tcBorders>
            <w:noWrap/>
            <w:vAlign w:val="bottom"/>
            <w:hideMark/>
          </w:tcPr>
          <w:p w14:paraId="7011AABB"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[.016, .203]</w:t>
            </w:r>
          </w:p>
        </w:tc>
      </w:tr>
      <w:tr w:rsidR="00F15CB3" w:rsidRPr="00BD702B" w14:paraId="5A966CFB" w14:textId="77777777" w:rsidTr="006B0992">
        <w:trPr>
          <w:trHeight w:val="320"/>
        </w:trPr>
        <w:tc>
          <w:tcPr>
            <w:tcW w:w="2977" w:type="dxa"/>
            <w:tcBorders>
              <w:top w:val="nil"/>
              <w:left w:val="nil"/>
              <w:bottom w:val="nil"/>
              <w:right w:val="nil"/>
            </w:tcBorders>
            <w:noWrap/>
            <w:vAlign w:val="bottom"/>
            <w:hideMark/>
          </w:tcPr>
          <w:p w14:paraId="6E26B97E"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YSR – Social</w:t>
            </w:r>
          </w:p>
        </w:tc>
        <w:tc>
          <w:tcPr>
            <w:tcW w:w="1057" w:type="dxa"/>
            <w:tcBorders>
              <w:top w:val="nil"/>
              <w:left w:val="nil"/>
              <w:bottom w:val="nil"/>
              <w:right w:val="nil"/>
            </w:tcBorders>
            <w:noWrap/>
            <w:vAlign w:val="bottom"/>
            <w:hideMark/>
          </w:tcPr>
          <w:p w14:paraId="5EA7182C"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.499</w:t>
            </w:r>
          </w:p>
        </w:tc>
        <w:tc>
          <w:tcPr>
            <w:tcW w:w="1400" w:type="dxa"/>
            <w:tcBorders>
              <w:top w:val="nil"/>
              <w:left w:val="nil"/>
              <w:bottom w:val="nil"/>
              <w:right w:val="nil"/>
            </w:tcBorders>
            <w:noWrap/>
            <w:vAlign w:val="bottom"/>
            <w:hideMark/>
          </w:tcPr>
          <w:p w14:paraId="4B57447F"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.427</w:t>
            </w:r>
          </w:p>
        </w:tc>
        <w:tc>
          <w:tcPr>
            <w:tcW w:w="1400" w:type="dxa"/>
            <w:tcBorders>
              <w:top w:val="nil"/>
              <w:left w:val="nil"/>
              <w:bottom w:val="nil"/>
              <w:right w:val="nil"/>
            </w:tcBorders>
            <w:noWrap/>
            <w:vAlign w:val="bottom"/>
            <w:hideMark/>
          </w:tcPr>
          <w:p w14:paraId="6DEBA748"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.071</w:t>
            </w:r>
          </w:p>
        </w:tc>
        <w:tc>
          <w:tcPr>
            <w:tcW w:w="1480" w:type="dxa"/>
            <w:tcBorders>
              <w:top w:val="nil"/>
              <w:left w:val="nil"/>
              <w:bottom w:val="nil"/>
              <w:right w:val="nil"/>
            </w:tcBorders>
            <w:noWrap/>
            <w:vAlign w:val="bottom"/>
            <w:hideMark/>
          </w:tcPr>
          <w:p w14:paraId="047D6B9F"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[-.013, .161]</w:t>
            </w:r>
          </w:p>
        </w:tc>
      </w:tr>
      <w:tr w:rsidR="00F15CB3" w:rsidRPr="00BD702B" w14:paraId="3691221B" w14:textId="77777777" w:rsidTr="006B0992">
        <w:trPr>
          <w:trHeight w:val="320"/>
        </w:trPr>
        <w:tc>
          <w:tcPr>
            <w:tcW w:w="2977" w:type="dxa"/>
            <w:tcBorders>
              <w:top w:val="nil"/>
              <w:left w:val="nil"/>
              <w:bottom w:val="nil"/>
              <w:right w:val="nil"/>
            </w:tcBorders>
            <w:noWrap/>
            <w:vAlign w:val="bottom"/>
            <w:hideMark/>
          </w:tcPr>
          <w:p w14:paraId="57DFB831"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PedsQL – School</w:t>
            </w:r>
          </w:p>
        </w:tc>
        <w:tc>
          <w:tcPr>
            <w:tcW w:w="1057" w:type="dxa"/>
            <w:tcBorders>
              <w:top w:val="nil"/>
              <w:left w:val="nil"/>
              <w:bottom w:val="nil"/>
              <w:right w:val="nil"/>
            </w:tcBorders>
            <w:noWrap/>
            <w:vAlign w:val="bottom"/>
            <w:hideMark/>
          </w:tcPr>
          <w:p w14:paraId="3CAA15EE"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.435</w:t>
            </w:r>
          </w:p>
        </w:tc>
        <w:tc>
          <w:tcPr>
            <w:tcW w:w="1400" w:type="dxa"/>
            <w:tcBorders>
              <w:top w:val="nil"/>
              <w:left w:val="nil"/>
              <w:bottom w:val="nil"/>
              <w:right w:val="nil"/>
            </w:tcBorders>
            <w:noWrap/>
            <w:vAlign w:val="bottom"/>
            <w:hideMark/>
          </w:tcPr>
          <w:p w14:paraId="6418150A"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.390</w:t>
            </w:r>
          </w:p>
        </w:tc>
        <w:tc>
          <w:tcPr>
            <w:tcW w:w="1400" w:type="dxa"/>
            <w:tcBorders>
              <w:top w:val="nil"/>
              <w:left w:val="nil"/>
              <w:bottom w:val="nil"/>
              <w:right w:val="nil"/>
            </w:tcBorders>
            <w:noWrap/>
            <w:vAlign w:val="bottom"/>
            <w:hideMark/>
          </w:tcPr>
          <w:p w14:paraId="0AEC08B6"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.045</w:t>
            </w:r>
          </w:p>
        </w:tc>
        <w:tc>
          <w:tcPr>
            <w:tcW w:w="1480" w:type="dxa"/>
            <w:tcBorders>
              <w:top w:val="nil"/>
              <w:left w:val="nil"/>
              <w:bottom w:val="nil"/>
              <w:right w:val="nil"/>
            </w:tcBorders>
            <w:noWrap/>
            <w:vAlign w:val="bottom"/>
            <w:hideMark/>
          </w:tcPr>
          <w:p w14:paraId="1C16ED0F"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[-.050, .144]</w:t>
            </w:r>
          </w:p>
        </w:tc>
      </w:tr>
      <w:tr w:rsidR="00F15CB3" w:rsidRPr="00BD702B" w14:paraId="3B194050" w14:textId="77777777" w:rsidTr="006B0992">
        <w:trPr>
          <w:trHeight w:val="320"/>
        </w:trPr>
        <w:tc>
          <w:tcPr>
            <w:tcW w:w="2977" w:type="dxa"/>
            <w:tcBorders>
              <w:top w:val="nil"/>
              <w:left w:val="nil"/>
              <w:right w:val="nil"/>
            </w:tcBorders>
            <w:noWrap/>
            <w:vAlign w:val="bottom"/>
            <w:hideMark/>
          </w:tcPr>
          <w:p w14:paraId="78D62E7C"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PedsQL – Social</w:t>
            </w:r>
          </w:p>
        </w:tc>
        <w:tc>
          <w:tcPr>
            <w:tcW w:w="1057" w:type="dxa"/>
            <w:tcBorders>
              <w:top w:val="nil"/>
              <w:left w:val="nil"/>
              <w:right w:val="nil"/>
            </w:tcBorders>
            <w:noWrap/>
            <w:vAlign w:val="bottom"/>
            <w:hideMark/>
          </w:tcPr>
          <w:p w14:paraId="4BC25297"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.323</w:t>
            </w:r>
          </w:p>
        </w:tc>
        <w:tc>
          <w:tcPr>
            <w:tcW w:w="1400" w:type="dxa"/>
            <w:tcBorders>
              <w:top w:val="nil"/>
              <w:left w:val="nil"/>
              <w:right w:val="nil"/>
            </w:tcBorders>
            <w:noWrap/>
            <w:vAlign w:val="bottom"/>
            <w:hideMark/>
          </w:tcPr>
          <w:p w14:paraId="78E75B52"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.310</w:t>
            </w:r>
          </w:p>
        </w:tc>
        <w:tc>
          <w:tcPr>
            <w:tcW w:w="1400" w:type="dxa"/>
            <w:tcBorders>
              <w:top w:val="nil"/>
              <w:left w:val="nil"/>
              <w:right w:val="nil"/>
            </w:tcBorders>
            <w:noWrap/>
            <w:vAlign w:val="bottom"/>
            <w:hideMark/>
          </w:tcPr>
          <w:p w14:paraId="5EA74B47"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.013</w:t>
            </w:r>
          </w:p>
        </w:tc>
        <w:tc>
          <w:tcPr>
            <w:tcW w:w="1480" w:type="dxa"/>
            <w:tcBorders>
              <w:top w:val="nil"/>
              <w:left w:val="nil"/>
              <w:right w:val="nil"/>
            </w:tcBorders>
            <w:noWrap/>
            <w:vAlign w:val="bottom"/>
            <w:hideMark/>
          </w:tcPr>
          <w:p w14:paraId="52FFD19C"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[-.082, .111]</w:t>
            </w:r>
          </w:p>
        </w:tc>
      </w:tr>
      <w:tr w:rsidR="00F15CB3" w:rsidRPr="00BD702B" w14:paraId="5E8C310E" w14:textId="77777777" w:rsidTr="006B0992">
        <w:trPr>
          <w:trHeight w:val="320"/>
        </w:trPr>
        <w:tc>
          <w:tcPr>
            <w:tcW w:w="2977" w:type="dxa"/>
            <w:tcBorders>
              <w:top w:val="nil"/>
              <w:left w:val="nil"/>
              <w:bottom w:val="single" w:sz="4" w:space="0" w:color="auto"/>
              <w:right w:val="nil"/>
            </w:tcBorders>
            <w:noWrap/>
            <w:vAlign w:val="bottom"/>
            <w:hideMark/>
          </w:tcPr>
          <w:p w14:paraId="52C51374"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SCARED – Social Anxiety</w:t>
            </w:r>
          </w:p>
        </w:tc>
        <w:tc>
          <w:tcPr>
            <w:tcW w:w="1057" w:type="dxa"/>
            <w:tcBorders>
              <w:top w:val="nil"/>
              <w:left w:val="nil"/>
              <w:bottom w:val="single" w:sz="4" w:space="0" w:color="auto"/>
              <w:right w:val="nil"/>
            </w:tcBorders>
            <w:noWrap/>
            <w:vAlign w:val="bottom"/>
            <w:hideMark/>
          </w:tcPr>
          <w:p w14:paraId="6D883389"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.421</w:t>
            </w:r>
          </w:p>
        </w:tc>
        <w:tc>
          <w:tcPr>
            <w:tcW w:w="1400" w:type="dxa"/>
            <w:tcBorders>
              <w:top w:val="nil"/>
              <w:left w:val="nil"/>
              <w:bottom w:val="single" w:sz="4" w:space="0" w:color="auto"/>
              <w:right w:val="nil"/>
            </w:tcBorders>
            <w:noWrap/>
            <w:vAlign w:val="bottom"/>
            <w:hideMark/>
          </w:tcPr>
          <w:p w14:paraId="1D2E0C47"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.467</w:t>
            </w:r>
          </w:p>
        </w:tc>
        <w:tc>
          <w:tcPr>
            <w:tcW w:w="1400" w:type="dxa"/>
            <w:tcBorders>
              <w:top w:val="nil"/>
              <w:left w:val="nil"/>
              <w:bottom w:val="single" w:sz="4" w:space="0" w:color="auto"/>
              <w:right w:val="nil"/>
            </w:tcBorders>
            <w:noWrap/>
            <w:vAlign w:val="bottom"/>
            <w:hideMark/>
          </w:tcPr>
          <w:p w14:paraId="0A99BCDD"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-.046</w:t>
            </w:r>
          </w:p>
        </w:tc>
        <w:tc>
          <w:tcPr>
            <w:tcW w:w="1480" w:type="dxa"/>
            <w:tcBorders>
              <w:top w:val="nil"/>
              <w:left w:val="nil"/>
              <w:bottom w:val="single" w:sz="4" w:space="0" w:color="auto"/>
              <w:right w:val="nil"/>
            </w:tcBorders>
            <w:noWrap/>
            <w:vAlign w:val="bottom"/>
            <w:hideMark/>
          </w:tcPr>
          <w:p w14:paraId="46EF1F2F" w14:textId="77777777" w:rsidR="00F15CB3" w:rsidRPr="00BD702B" w:rsidRDefault="00F15CB3" w:rsidP="006B0992">
            <w:pPr>
              <w:jc w:val="both"/>
              <w:rPr>
                <w:rFonts w:ascii="Helvetica" w:hAnsi="Helvetica" w:cs="Arial"/>
                <w:color w:val="000000"/>
                <w:sz w:val="22"/>
                <w:szCs w:val="22"/>
              </w:rPr>
            </w:pPr>
            <w:r w:rsidRPr="00BD702B">
              <w:rPr>
                <w:rFonts w:ascii="Helvetica" w:hAnsi="Helvetica" w:cs="Arial"/>
                <w:color w:val="000000"/>
                <w:sz w:val="22"/>
                <w:szCs w:val="22"/>
              </w:rPr>
              <w:t>[-.142, .049]</w:t>
            </w:r>
          </w:p>
        </w:tc>
      </w:tr>
    </w:tbl>
    <w:p w14:paraId="4342BDE7" w14:textId="77777777" w:rsidR="00F15CB3" w:rsidRPr="00BD702B" w:rsidRDefault="00F15CB3" w:rsidP="00F15CB3">
      <w:pPr>
        <w:jc w:val="both"/>
        <w:rPr>
          <w:rFonts w:ascii="Helvetica" w:hAnsi="Helvetica" w:cs="Arial"/>
          <w:color w:val="000000" w:themeColor="text1"/>
        </w:rPr>
      </w:pPr>
      <w:r w:rsidRPr="00BD702B">
        <w:rPr>
          <w:rFonts w:ascii="Helvetica" w:hAnsi="Helvetica" w:cs="Arial"/>
          <w:i/>
          <w:iCs/>
          <w:color w:val="000000" w:themeColor="text1"/>
        </w:rPr>
        <w:t>Note.</w:t>
      </w:r>
      <w:r w:rsidRPr="00BD702B">
        <w:rPr>
          <w:rFonts w:ascii="Helvetica" w:hAnsi="Helvetica" w:cs="Arial"/>
          <w:color w:val="000000" w:themeColor="text1"/>
        </w:rPr>
        <w:t xml:space="preserve"> DIF = difficulties identifying feelings; DDF = difficulties describing feelings; Δρ = difference between Spearman correlations for DIF and DDF. Confidence intervals are 95% bootstrap confidence intervals. Significant differences are indicated by confidence intervals that do not include zero.</w:t>
      </w:r>
    </w:p>
    <w:p w14:paraId="727C1C42" w14:textId="77777777" w:rsidR="00F15CB3" w:rsidRPr="00BD702B" w:rsidRDefault="00F15CB3" w:rsidP="00F15CB3">
      <w:pPr>
        <w:rPr>
          <w:rFonts w:ascii="Helvetica" w:hAnsi="Helvetica" w:cs="Arial"/>
          <w:color w:val="000000" w:themeColor="text1"/>
        </w:rPr>
      </w:pPr>
    </w:p>
    <w:p w14:paraId="1E550BE9" w14:textId="77777777" w:rsidR="00F15CB3" w:rsidRPr="00BD702B" w:rsidRDefault="00F15CB3" w:rsidP="00F15CB3">
      <w:pPr>
        <w:rPr>
          <w:rFonts w:ascii="Helvetica" w:hAnsi="Helvetica" w:cs="Arial"/>
          <w:color w:val="000000" w:themeColor="text1"/>
        </w:rPr>
      </w:pPr>
      <w:r w:rsidRPr="00BD702B">
        <w:rPr>
          <w:rFonts w:ascii="Helvetica" w:hAnsi="Helvetica" w:cs="Arial"/>
          <w:b/>
          <w:bCs/>
          <w:color w:val="000000" w:themeColor="text1"/>
        </w:rPr>
        <w:t>Table S2</w:t>
      </w:r>
    </w:p>
    <w:p w14:paraId="3FB6ADE8" w14:textId="77777777" w:rsidR="00F15CB3" w:rsidRPr="00BD702B" w:rsidRDefault="00F15CB3" w:rsidP="00F15CB3">
      <w:pPr>
        <w:jc w:val="both"/>
        <w:rPr>
          <w:rFonts w:ascii="Helvetica" w:hAnsi="Helvetica" w:cs="Arial"/>
          <w:i/>
          <w:iCs/>
          <w:color w:val="000000" w:themeColor="text1"/>
        </w:rPr>
      </w:pPr>
      <w:r w:rsidRPr="00BD702B">
        <w:rPr>
          <w:rFonts w:ascii="Helvetica" w:hAnsi="Helvetica" w:cs="Arial"/>
          <w:i/>
          <w:iCs/>
          <w:color w:val="000000" w:themeColor="text1"/>
        </w:rPr>
        <w:t xml:space="preserve">Standardized factor loadings and latent alexithymia associations in the bifactor-(S−1) model </w:t>
      </w:r>
      <w:r w:rsidRPr="00BD702B">
        <w:rPr>
          <w:rFonts w:ascii="Helvetica" w:hAnsi="Helvetica" w:cs="Arial"/>
          <w:i/>
          <w:iCs/>
        </w:rPr>
        <w:t>– youth self-report</w:t>
      </w:r>
    </w:p>
    <w:tbl>
      <w:tblPr>
        <w:tblW w:w="9446" w:type="dxa"/>
        <w:tblLook w:val="04A0" w:firstRow="1" w:lastRow="0" w:firstColumn="1" w:lastColumn="0" w:noHBand="0" w:noVBand="1"/>
      </w:tblPr>
      <w:tblGrid>
        <w:gridCol w:w="2835"/>
        <w:gridCol w:w="1969"/>
        <w:gridCol w:w="2426"/>
        <w:gridCol w:w="2216"/>
      </w:tblGrid>
      <w:tr w:rsidR="00F15CB3" w:rsidRPr="00BD702B" w14:paraId="785AC53F" w14:textId="77777777" w:rsidTr="006B0992">
        <w:trPr>
          <w:trHeight w:val="320"/>
        </w:trPr>
        <w:tc>
          <w:tcPr>
            <w:tcW w:w="2835" w:type="dxa"/>
            <w:tcBorders>
              <w:top w:val="single" w:sz="4" w:space="0" w:color="auto"/>
              <w:left w:val="nil"/>
              <w:bottom w:val="single" w:sz="4" w:space="0" w:color="auto"/>
              <w:right w:val="nil"/>
            </w:tcBorders>
            <w:noWrap/>
            <w:vAlign w:val="bottom"/>
            <w:hideMark/>
          </w:tcPr>
          <w:p w14:paraId="5E3A62F7"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Indicator / association</w:t>
            </w:r>
          </w:p>
        </w:tc>
        <w:tc>
          <w:tcPr>
            <w:tcW w:w="1969" w:type="dxa"/>
            <w:tcBorders>
              <w:top w:val="single" w:sz="4" w:space="0" w:color="auto"/>
              <w:left w:val="nil"/>
              <w:bottom w:val="single" w:sz="4" w:space="0" w:color="auto"/>
              <w:right w:val="nil"/>
            </w:tcBorders>
            <w:noWrap/>
            <w:vAlign w:val="bottom"/>
            <w:hideMark/>
          </w:tcPr>
          <w:p w14:paraId="00F374BA"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General distress factor</w:t>
            </w:r>
          </w:p>
        </w:tc>
        <w:tc>
          <w:tcPr>
            <w:tcW w:w="2426" w:type="dxa"/>
            <w:tcBorders>
              <w:top w:val="single" w:sz="4" w:space="0" w:color="auto"/>
              <w:left w:val="nil"/>
              <w:bottom w:val="single" w:sz="4" w:space="0" w:color="auto"/>
              <w:right w:val="nil"/>
            </w:tcBorders>
            <w:noWrap/>
            <w:vAlign w:val="bottom"/>
            <w:hideMark/>
          </w:tcPr>
          <w:p w14:paraId="16D1B2A1"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Thought/detachment residual factor</w:t>
            </w:r>
          </w:p>
        </w:tc>
        <w:tc>
          <w:tcPr>
            <w:tcW w:w="2216" w:type="dxa"/>
            <w:tcBorders>
              <w:top w:val="single" w:sz="4" w:space="0" w:color="auto"/>
              <w:left w:val="nil"/>
              <w:bottom w:val="single" w:sz="4" w:space="0" w:color="auto"/>
              <w:right w:val="nil"/>
            </w:tcBorders>
            <w:noWrap/>
            <w:vAlign w:val="bottom"/>
            <w:hideMark/>
          </w:tcPr>
          <w:p w14:paraId="05BE80AB"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Externalising residual factor</w:t>
            </w:r>
          </w:p>
        </w:tc>
      </w:tr>
      <w:tr w:rsidR="00F15CB3" w:rsidRPr="00BD702B" w14:paraId="4447A15F" w14:textId="77777777" w:rsidTr="006B0992">
        <w:trPr>
          <w:trHeight w:val="320"/>
        </w:trPr>
        <w:tc>
          <w:tcPr>
            <w:tcW w:w="2835" w:type="dxa"/>
            <w:tcBorders>
              <w:top w:val="single" w:sz="4" w:space="0" w:color="auto"/>
              <w:left w:val="nil"/>
              <w:bottom w:val="nil"/>
              <w:right w:val="nil"/>
            </w:tcBorders>
            <w:noWrap/>
            <w:vAlign w:val="bottom"/>
            <w:hideMark/>
          </w:tcPr>
          <w:p w14:paraId="4D4DEF05"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Anxiety/depression</w:t>
            </w:r>
          </w:p>
        </w:tc>
        <w:tc>
          <w:tcPr>
            <w:tcW w:w="1969" w:type="dxa"/>
            <w:tcBorders>
              <w:top w:val="single" w:sz="4" w:space="0" w:color="auto"/>
              <w:left w:val="nil"/>
              <w:bottom w:val="nil"/>
              <w:right w:val="nil"/>
            </w:tcBorders>
            <w:noWrap/>
            <w:vAlign w:val="bottom"/>
            <w:hideMark/>
          </w:tcPr>
          <w:p w14:paraId="41D76F0E"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.865 [.819, .912]</w:t>
            </w:r>
          </w:p>
        </w:tc>
        <w:tc>
          <w:tcPr>
            <w:tcW w:w="2426" w:type="dxa"/>
            <w:tcBorders>
              <w:top w:val="single" w:sz="4" w:space="0" w:color="auto"/>
              <w:left w:val="nil"/>
              <w:bottom w:val="nil"/>
              <w:right w:val="nil"/>
            </w:tcBorders>
            <w:noWrap/>
            <w:vAlign w:val="bottom"/>
            <w:hideMark/>
          </w:tcPr>
          <w:p w14:paraId="00CC3692" w14:textId="77777777" w:rsidR="00F15CB3" w:rsidRPr="00BD702B" w:rsidRDefault="00F15CB3" w:rsidP="006B0992">
            <w:pPr>
              <w:jc w:val="center"/>
              <w:rPr>
                <w:rFonts w:ascii="Helvetica" w:hAnsi="Helvetica" w:cs="Arial"/>
                <w:color w:val="000000"/>
                <w:sz w:val="22"/>
                <w:szCs w:val="22"/>
              </w:rPr>
            </w:pPr>
          </w:p>
        </w:tc>
        <w:tc>
          <w:tcPr>
            <w:tcW w:w="2216" w:type="dxa"/>
            <w:tcBorders>
              <w:top w:val="single" w:sz="4" w:space="0" w:color="auto"/>
              <w:left w:val="nil"/>
              <w:bottom w:val="nil"/>
              <w:right w:val="nil"/>
            </w:tcBorders>
            <w:noWrap/>
            <w:vAlign w:val="bottom"/>
            <w:hideMark/>
          </w:tcPr>
          <w:p w14:paraId="35562148" w14:textId="77777777" w:rsidR="00F15CB3" w:rsidRPr="00BD702B" w:rsidRDefault="00F15CB3" w:rsidP="006B0992">
            <w:pPr>
              <w:jc w:val="center"/>
              <w:rPr>
                <w:rFonts w:ascii="Helvetica" w:hAnsi="Helvetica" w:cs="Arial"/>
                <w:color w:val="000000"/>
                <w:sz w:val="22"/>
                <w:szCs w:val="22"/>
              </w:rPr>
            </w:pPr>
          </w:p>
        </w:tc>
      </w:tr>
      <w:tr w:rsidR="00F15CB3" w:rsidRPr="00BD702B" w14:paraId="7F4FDEDA" w14:textId="77777777" w:rsidTr="006B0992">
        <w:trPr>
          <w:trHeight w:val="320"/>
        </w:trPr>
        <w:tc>
          <w:tcPr>
            <w:tcW w:w="2835" w:type="dxa"/>
            <w:tcBorders>
              <w:top w:val="nil"/>
              <w:left w:val="nil"/>
              <w:bottom w:val="nil"/>
              <w:right w:val="nil"/>
            </w:tcBorders>
            <w:noWrap/>
            <w:vAlign w:val="bottom"/>
            <w:hideMark/>
          </w:tcPr>
          <w:p w14:paraId="0B06932B"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Generalized anxiety</w:t>
            </w:r>
          </w:p>
        </w:tc>
        <w:tc>
          <w:tcPr>
            <w:tcW w:w="1969" w:type="dxa"/>
            <w:tcBorders>
              <w:top w:val="nil"/>
              <w:left w:val="nil"/>
              <w:bottom w:val="nil"/>
              <w:right w:val="nil"/>
            </w:tcBorders>
            <w:noWrap/>
            <w:vAlign w:val="bottom"/>
            <w:hideMark/>
          </w:tcPr>
          <w:p w14:paraId="164885BB"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.817 [.766, .867]</w:t>
            </w:r>
          </w:p>
        </w:tc>
        <w:tc>
          <w:tcPr>
            <w:tcW w:w="2426" w:type="dxa"/>
            <w:tcBorders>
              <w:top w:val="nil"/>
              <w:left w:val="nil"/>
              <w:bottom w:val="nil"/>
              <w:right w:val="nil"/>
            </w:tcBorders>
            <w:noWrap/>
            <w:vAlign w:val="bottom"/>
            <w:hideMark/>
          </w:tcPr>
          <w:p w14:paraId="773F17BE" w14:textId="77777777" w:rsidR="00F15CB3" w:rsidRPr="00BD702B" w:rsidRDefault="00F15CB3" w:rsidP="006B0992">
            <w:pPr>
              <w:jc w:val="center"/>
              <w:rPr>
                <w:rFonts w:ascii="Helvetica" w:hAnsi="Helvetica" w:cs="Arial"/>
                <w:color w:val="000000"/>
                <w:sz w:val="22"/>
                <w:szCs w:val="22"/>
              </w:rPr>
            </w:pPr>
          </w:p>
        </w:tc>
        <w:tc>
          <w:tcPr>
            <w:tcW w:w="2216" w:type="dxa"/>
            <w:tcBorders>
              <w:top w:val="nil"/>
              <w:left w:val="nil"/>
              <w:bottom w:val="nil"/>
              <w:right w:val="nil"/>
            </w:tcBorders>
            <w:noWrap/>
            <w:vAlign w:val="bottom"/>
            <w:hideMark/>
          </w:tcPr>
          <w:p w14:paraId="4A7ED8CC" w14:textId="77777777" w:rsidR="00F15CB3" w:rsidRPr="00BD702B" w:rsidRDefault="00F15CB3" w:rsidP="006B0992">
            <w:pPr>
              <w:jc w:val="center"/>
              <w:rPr>
                <w:rFonts w:ascii="Helvetica" w:hAnsi="Helvetica" w:cs="Arial"/>
                <w:color w:val="000000"/>
                <w:sz w:val="22"/>
                <w:szCs w:val="22"/>
              </w:rPr>
            </w:pPr>
          </w:p>
        </w:tc>
      </w:tr>
      <w:tr w:rsidR="00F15CB3" w:rsidRPr="00BD702B" w14:paraId="53514BBC" w14:textId="77777777" w:rsidTr="006B0992">
        <w:trPr>
          <w:trHeight w:val="320"/>
        </w:trPr>
        <w:tc>
          <w:tcPr>
            <w:tcW w:w="2835" w:type="dxa"/>
            <w:tcBorders>
              <w:top w:val="nil"/>
              <w:left w:val="nil"/>
              <w:bottom w:val="nil"/>
              <w:right w:val="nil"/>
            </w:tcBorders>
            <w:noWrap/>
            <w:vAlign w:val="bottom"/>
            <w:hideMark/>
          </w:tcPr>
          <w:p w14:paraId="36253BBF"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Panic/somatic symptoms</w:t>
            </w:r>
          </w:p>
        </w:tc>
        <w:tc>
          <w:tcPr>
            <w:tcW w:w="1969" w:type="dxa"/>
            <w:tcBorders>
              <w:top w:val="nil"/>
              <w:left w:val="nil"/>
              <w:bottom w:val="nil"/>
              <w:right w:val="nil"/>
            </w:tcBorders>
            <w:noWrap/>
            <w:vAlign w:val="bottom"/>
            <w:hideMark/>
          </w:tcPr>
          <w:p w14:paraId="4D71CD40"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.725 [.652, .798]</w:t>
            </w:r>
          </w:p>
        </w:tc>
        <w:tc>
          <w:tcPr>
            <w:tcW w:w="2426" w:type="dxa"/>
            <w:tcBorders>
              <w:top w:val="nil"/>
              <w:left w:val="nil"/>
              <w:bottom w:val="nil"/>
              <w:right w:val="nil"/>
            </w:tcBorders>
            <w:noWrap/>
            <w:vAlign w:val="bottom"/>
            <w:hideMark/>
          </w:tcPr>
          <w:p w14:paraId="21DBF94D" w14:textId="77777777" w:rsidR="00F15CB3" w:rsidRPr="00BD702B" w:rsidRDefault="00F15CB3" w:rsidP="006B0992">
            <w:pPr>
              <w:jc w:val="center"/>
              <w:rPr>
                <w:rFonts w:ascii="Helvetica" w:hAnsi="Helvetica" w:cs="Arial"/>
                <w:color w:val="000000"/>
                <w:sz w:val="22"/>
                <w:szCs w:val="22"/>
              </w:rPr>
            </w:pPr>
          </w:p>
        </w:tc>
        <w:tc>
          <w:tcPr>
            <w:tcW w:w="2216" w:type="dxa"/>
            <w:tcBorders>
              <w:top w:val="nil"/>
              <w:left w:val="nil"/>
              <w:bottom w:val="nil"/>
              <w:right w:val="nil"/>
            </w:tcBorders>
            <w:noWrap/>
            <w:vAlign w:val="bottom"/>
            <w:hideMark/>
          </w:tcPr>
          <w:p w14:paraId="0EF7CBC7" w14:textId="77777777" w:rsidR="00F15CB3" w:rsidRPr="00BD702B" w:rsidRDefault="00F15CB3" w:rsidP="006B0992">
            <w:pPr>
              <w:jc w:val="center"/>
              <w:rPr>
                <w:rFonts w:ascii="Helvetica" w:hAnsi="Helvetica" w:cs="Arial"/>
                <w:color w:val="000000"/>
                <w:sz w:val="22"/>
                <w:szCs w:val="22"/>
              </w:rPr>
            </w:pPr>
          </w:p>
        </w:tc>
      </w:tr>
      <w:tr w:rsidR="00F15CB3" w:rsidRPr="00BD702B" w14:paraId="1AB54D56" w14:textId="77777777" w:rsidTr="006B0992">
        <w:trPr>
          <w:trHeight w:val="320"/>
        </w:trPr>
        <w:tc>
          <w:tcPr>
            <w:tcW w:w="2835" w:type="dxa"/>
            <w:tcBorders>
              <w:top w:val="nil"/>
              <w:left w:val="nil"/>
              <w:bottom w:val="nil"/>
              <w:right w:val="nil"/>
            </w:tcBorders>
            <w:noWrap/>
            <w:vAlign w:val="bottom"/>
            <w:hideMark/>
          </w:tcPr>
          <w:p w14:paraId="70D35F35"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Somatic complaints</w:t>
            </w:r>
          </w:p>
        </w:tc>
        <w:tc>
          <w:tcPr>
            <w:tcW w:w="1969" w:type="dxa"/>
            <w:tcBorders>
              <w:top w:val="nil"/>
              <w:left w:val="nil"/>
              <w:bottom w:val="nil"/>
              <w:right w:val="nil"/>
            </w:tcBorders>
            <w:noWrap/>
            <w:vAlign w:val="bottom"/>
            <w:hideMark/>
          </w:tcPr>
          <w:p w14:paraId="77F87461"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.675 [.586, .764]</w:t>
            </w:r>
          </w:p>
        </w:tc>
        <w:tc>
          <w:tcPr>
            <w:tcW w:w="2426" w:type="dxa"/>
            <w:tcBorders>
              <w:top w:val="nil"/>
              <w:left w:val="nil"/>
              <w:bottom w:val="nil"/>
              <w:right w:val="nil"/>
            </w:tcBorders>
            <w:noWrap/>
            <w:vAlign w:val="bottom"/>
            <w:hideMark/>
          </w:tcPr>
          <w:p w14:paraId="11959E75" w14:textId="77777777" w:rsidR="00F15CB3" w:rsidRPr="00BD702B" w:rsidRDefault="00F15CB3" w:rsidP="006B0992">
            <w:pPr>
              <w:jc w:val="center"/>
              <w:rPr>
                <w:rFonts w:ascii="Helvetica" w:hAnsi="Helvetica" w:cs="Arial"/>
                <w:color w:val="000000"/>
                <w:sz w:val="22"/>
                <w:szCs w:val="22"/>
              </w:rPr>
            </w:pPr>
          </w:p>
        </w:tc>
        <w:tc>
          <w:tcPr>
            <w:tcW w:w="2216" w:type="dxa"/>
            <w:tcBorders>
              <w:top w:val="nil"/>
              <w:left w:val="nil"/>
              <w:bottom w:val="nil"/>
              <w:right w:val="nil"/>
            </w:tcBorders>
            <w:noWrap/>
            <w:vAlign w:val="bottom"/>
            <w:hideMark/>
          </w:tcPr>
          <w:p w14:paraId="33ECB3AA" w14:textId="77777777" w:rsidR="00F15CB3" w:rsidRPr="00BD702B" w:rsidRDefault="00F15CB3" w:rsidP="006B0992">
            <w:pPr>
              <w:jc w:val="center"/>
              <w:rPr>
                <w:rFonts w:ascii="Helvetica" w:hAnsi="Helvetica" w:cs="Arial"/>
                <w:color w:val="000000"/>
                <w:sz w:val="22"/>
                <w:szCs w:val="22"/>
              </w:rPr>
            </w:pPr>
          </w:p>
        </w:tc>
      </w:tr>
      <w:tr w:rsidR="00F15CB3" w:rsidRPr="00BD702B" w14:paraId="2412EE36" w14:textId="77777777" w:rsidTr="006B0992">
        <w:trPr>
          <w:trHeight w:val="320"/>
        </w:trPr>
        <w:tc>
          <w:tcPr>
            <w:tcW w:w="2835" w:type="dxa"/>
            <w:tcBorders>
              <w:top w:val="nil"/>
              <w:left w:val="nil"/>
              <w:bottom w:val="nil"/>
              <w:right w:val="nil"/>
            </w:tcBorders>
            <w:noWrap/>
            <w:vAlign w:val="bottom"/>
            <w:hideMark/>
          </w:tcPr>
          <w:p w14:paraId="3864A825"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Thought problems</w:t>
            </w:r>
          </w:p>
        </w:tc>
        <w:tc>
          <w:tcPr>
            <w:tcW w:w="1969" w:type="dxa"/>
            <w:tcBorders>
              <w:top w:val="nil"/>
              <w:left w:val="nil"/>
              <w:bottom w:val="nil"/>
              <w:right w:val="nil"/>
            </w:tcBorders>
            <w:noWrap/>
            <w:vAlign w:val="bottom"/>
            <w:hideMark/>
          </w:tcPr>
          <w:p w14:paraId="08936D5C"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.725 [.651, .798]</w:t>
            </w:r>
          </w:p>
        </w:tc>
        <w:tc>
          <w:tcPr>
            <w:tcW w:w="2426" w:type="dxa"/>
            <w:tcBorders>
              <w:top w:val="nil"/>
              <w:left w:val="nil"/>
              <w:bottom w:val="nil"/>
              <w:right w:val="nil"/>
            </w:tcBorders>
            <w:noWrap/>
            <w:vAlign w:val="bottom"/>
            <w:hideMark/>
          </w:tcPr>
          <w:p w14:paraId="1AD714B4"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.289 [.102, .476]</w:t>
            </w:r>
          </w:p>
        </w:tc>
        <w:tc>
          <w:tcPr>
            <w:tcW w:w="2216" w:type="dxa"/>
            <w:tcBorders>
              <w:top w:val="nil"/>
              <w:left w:val="nil"/>
              <w:bottom w:val="nil"/>
              <w:right w:val="nil"/>
            </w:tcBorders>
            <w:noWrap/>
            <w:vAlign w:val="bottom"/>
            <w:hideMark/>
          </w:tcPr>
          <w:p w14:paraId="4841EC4C" w14:textId="77777777" w:rsidR="00F15CB3" w:rsidRPr="00BD702B" w:rsidRDefault="00F15CB3" w:rsidP="006B0992">
            <w:pPr>
              <w:jc w:val="center"/>
              <w:rPr>
                <w:rFonts w:ascii="Helvetica" w:hAnsi="Helvetica" w:cs="Arial"/>
                <w:color w:val="000000"/>
                <w:sz w:val="22"/>
                <w:szCs w:val="22"/>
              </w:rPr>
            </w:pPr>
          </w:p>
        </w:tc>
      </w:tr>
      <w:tr w:rsidR="00F15CB3" w:rsidRPr="00BD702B" w14:paraId="055C2495" w14:textId="77777777" w:rsidTr="006B0992">
        <w:trPr>
          <w:trHeight w:val="320"/>
        </w:trPr>
        <w:tc>
          <w:tcPr>
            <w:tcW w:w="2835" w:type="dxa"/>
            <w:tcBorders>
              <w:top w:val="nil"/>
              <w:left w:val="nil"/>
              <w:bottom w:val="nil"/>
              <w:right w:val="nil"/>
            </w:tcBorders>
            <w:noWrap/>
            <w:vAlign w:val="bottom"/>
            <w:hideMark/>
          </w:tcPr>
          <w:p w14:paraId="054955DA"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Withdrawal/depression</w:t>
            </w:r>
          </w:p>
        </w:tc>
        <w:tc>
          <w:tcPr>
            <w:tcW w:w="1969" w:type="dxa"/>
            <w:tcBorders>
              <w:top w:val="nil"/>
              <w:left w:val="nil"/>
              <w:bottom w:val="nil"/>
              <w:right w:val="nil"/>
            </w:tcBorders>
            <w:noWrap/>
            <w:vAlign w:val="bottom"/>
            <w:hideMark/>
          </w:tcPr>
          <w:p w14:paraId="696F4391"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.723 [.647, .798]</w:t>
            </w:r>
          </w:p>
        </w:tc>
        <w:tc>
          <w:tcPr>
            <w:tcW w:w="2426" w:type="dxa"/>
            <w:tcBorders>
              <w:top w:val="nil"/>
              <w:left w:val="nil"/>
              <w:bottom w:val="nil"/>
              <w:right w:val="nil"/>
            </w:tcBorders>
            <w:noWrap/>
            <w:vAlign w:val="bottom"/>
            <w:hideMark/>
          </w:tcPr>
          <w:p w14:paraId="6C7FF46E"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.225 [.075, .375]</w:t>
            </w:r>
          </w:p>
        </w:tc>
        <w:tc>
          <w:tcPr>
            <w:tcW w:w="2216" w:type="dxa"/>
            <w:tcBorders>
              <w:top w:val="nil"/>
              <w:left w:val="nil"/>
              <w:bottom w:val="nil"/>
              <w:right w:val="nil"/>
            </w:tcBorders>
            <w:noWrap/>
            <w:vAlign w:val="bottom"/>
            <w:hideMark/>
          </w:tcPr>
          <w:p w14:paraId="03D1093D" w14:textId="77777777" w:rsidR="00F15CB3" w:rsidRPr="00BD702B" w:rsidRDefault="00F15CB3" w:rsidP="006B0992">
            <w:pPr>
              <w:jc w:val="center"/>
              <w:rPr>
                <w:rFonts w:ascii="Helvetica" w:hAnsi="Helvetica" w:cs="Arial"/>
                <w:color w:val="000000"/>
                <w:sz w:val="22"/>
                <w:szCs w:val="22"/>
              </w:rPr>
            </w:pPr>
          </w:p>
        </w:tc>
      </w:tr>
      <w:tr w:rsidR="00F15CB3" w:rsidRPr="00BD702B" w14:paraId="4CCBDFFE" w14:textId="77777777" w:rsidTr="006B0992">
        <w:trPr>
          <w:trHeight w:val="320"/>
        </w:trPr>
        <w:tc>
          <w:tcPr>
            <w:tcW w:w="2835" w:type="dxa"/>
            <w:tcBorders>
              <w:top w:val="nil"/>
              <w:left w:val="nil"/>
              <w:bottom w:val="nil"/>
              <w:right w:val="nil"/>
            </w:tcBorders>
            <w:noWrap/>
            <w:vAlign w:val="bottom"/>
            <w:hideMark/>
          </w:tcPr>
          <w:p w14:paraId="3AF41D2E"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Rule-breaking behaviour</w:t>
            </w:r>
          </w:p>
        </w:tc>
        <w:tc>
          <w:tcPr>
            <w:tcW w:w="1969" w:type="dxa"/>
            <w:tcBorders>
              <w:top w:val="nil"/>
              <w:left w:val="nil"/>
              <w:bottom w:val="nil"/>
              <w:right w:val="nil"/>
            </w:tcBorders>
            <w:noWrap/>
            <w:vAlign w:val="bottom"/>
            <w:hideMark/>
          </w:tcPr>
          <w:p w14:paraId="42103844"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.354 [.210, .498]</w:t>
            </w:r>
          </w:p>
        </w:tc>
        <w:tc>
          <w:tcPr>
            <w:tcW w:w="2426" w:type="dxa"/>
            <w:tcBorders>
              <w:top w:val="nil"/>
              <w:left w:val="nil"/>
              <w:bottom w:val="nil"/>
              <w:right w:val="nil"/>
            </w:tcBorders>
            <w:noWrap/>
            <w:vAlign w:val="bottom"/>
            <w:hideMark/>
          </w:tcPr>
          <w:p w14:paraId="034B5848" w14:textId="77777777" w:rsidR="00F15CB3" w:rsidRPr="00BD702B" w:rsidRDefault="00F15CB3" w:rsidP="006B0992">
            <w:pPr>
              <w:jc w:val="center"/>
              <w:rPr>
                <w:rFonts w:ascii="Helvetica" w:hAnsi="Helvetica" w:cs="Arial"/>
                <w:color w:val="000000"/>
                <w:sz w:val="22"/>
                <w:szCs w:val="22"/>
              </w:rPr>
            </w:pPr>
          </w:p>
        </w:tc>
        <w:tc>
          <w:tcPr>
            <w:tcW w:w="2216" w:type="dxa"/>
            <w:tcBorders>
              <w:top w:val="nil"/>
              <w:left w:val="nil"/>
              <w:bottom w:val="nil"/>
              <w:right w:val="nil"/>
            </w:tcBorders>
            <w:noWrap/>
            <w:vAlign w:val="bottom"/>
            <w:hideMark/>
          </w:tcPr>
          <w:p w14:paraId="7C8671E2"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.669 [.562, .776]</w:t>
            </w:r>
          </w:p>
        </w:tc>
      </w:tr>
      <w:tr w:rsidR="00F15CB3" w:rsidRPr="00BD702B" w14:paraId="3927BAFF" w14:textId="77777777" w:rsidTr="006B0992">
        <w:trPr>
          <w:trHeight w:val="320"/>
        </w:trPr>
        <w:tc>
          <w:tcPr>
            <w:tcW w:w="2835" w:type="dxa"/>
            <w:tcBorders>
              <w:top w:val="nil"/>
              <w:left w:val="nil"/>
              <w:right w:val="nil"/>
            </w:tcBorders>
            <w:noWrap/>
            <w:vAlign w:val="bottom"/>
            <w:hideMark/>
          </w:tcPr>
          <w:p w14:paraId="445CEB9D"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Aggressive behaviour</w:t>
            </w:r>
          </w:p>
        </w:tc>
        <w:tc>
          <w:tcPr>
            <w:tcW w:w="1969" w:type="dxa"/>
            <w:tcBorders>
              <w:top w:val="nil"/>
              <w:left w:val="nil"/>
              <w:right w:val="nil"/>
            </w:tcBorders>
            <w:noWrap/>
            <w:vAlign w:val="bottom"/>
            <w:hideMark/>
          </w:tcPr>
          <w:p w14:paraId="3BC7C5CB"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.422 [.293, .552]</w:t>
            </w:r>
          </w:p>
        </w:tc>
        <w:tc>
          <w:tcPr>
            <w:tcW w:w="2426" w:type="dxa"/>
            <w:tcBorders>
              <w:top w:val="nil"/>
              <w:left w:val="nil"/>
              <w:right w:val="nil"/>
            </w:tcBorders>
            <w:noWrap/>
            <w:vAlign w:val="bottom"/>
            <w:hideMark/>
          </w:tcPr>
          <w:p w14:paraId="79FBDBD4" w14:textId="77777777" w:rsidR="00F15CB3" w:rsidRPr="00BD702B" w:rsidRDefault="00F15CB3" w:rsidP="006B0992">
            <w:pPr>
              <w:jc w:val="center"/>
              <w:rPr>
                <w:rFonts w:ascii="Helvetica" w:hAnsi="Helvetica" w:cs="Arial"/>
                <w:color w:val="000000"/>
                <w:sz w:val="22"/>
                <w:szCs w:val="22"/>
              </w:rPr>
            </w:pPr>
          </w:p>
        </w:tc>
        <w:tc>
          <w:tcPr>
            <w:tcW w:w="2216" w:type="dxa"/>
            <w:tcBorders>
              <w:top w:val="nil"/>
              <w:left w:val="nil"/>
              <w:right w:val="nil"/>
            </w:tcBorders>
            <w:noWrap/>
            <w:vAlign w:val="bottom"/>
            <w:hideMark/>
          </w:tcPr>
          <w:p w14:paraId="4E2D411C"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.719 [.598, .841]</w:t>
            </w:r>
          </w:p>
        </w:tc>
      </w:tr>
      <w:tr w:rsidR="00F15CB3" w:rsidRPr="00BD702B" w14:paraId="6A1A5A67" w14:textId="77777777" w:rsidTr="006B0992">
        <w:trPr>
          <w:trHeight w:val="320"/>
        </w:trPr>
        <w:tc>
          <w:tcPr>
            <w:tcW w:w="2835" w:type="dxa"/>
            <w:tcBorders>
              <w:left w:val="nil"/>
              <w:bottom w:val="single" w:sz="4" w:space="0" w:color="auto"/>
              <w:right w:val="nil"/>
            </w:tcBorders>
            <w:noWrap/>
            <w:vAlign w:val="bottom"/>
            <w:hideMark/>
          </w:tcPr>
          <w:p w14:paraId="443D8AB9" w14:textId="77777777" w:rsidR="00F15CB3" w:rsidRPr="00BD702B" w:rsidRDefault="00F15CB3" w:rsidP="006B0992">
            <w:pPr>
              <w:rPr>
                <w:rFonts w:ascii="Helvetica" w:hAnsi="Helvetica" w:cs="Arial"/>
                <w:color w:val="000000"/>
                <w:sz w:val="22"/>
                <w:szCs w:val="22"/>
              </w:rPr>
            </w:pPr>
            <w:r w:rsidRPr="00BD702B">
              <w:rPr>
                <w:rFonts w:ascii="Helvetica" w:hAnsi="Helvetica" w:cs="Arial"/>
                <w:color w:val="000000"/>
                <w:sz w:val="22"/>
                <w:szCs w:val="22"/>
              </w:rPr>
              <w:t>Alexithymia</w:t>
            </w:r>
          </w:p>
        </w:tc>
        <w:tc>
          <w:tcPr>
            <w:tcW w:w="1969" w:type="dxa"/>
            <w:tcBorders>
              <w:left w:val="nil"/>
              <w:bottom w:val="single" w:sz="4" w:space="0" w:color="auto"/>
              <w:right w:val="nil"/>
            </w:tcBorders>
            <w:noWrap/>
            <w:vAlign w:val="bottom"/>
            <w:hideMark/>
          </w:tcPr>
          <w:p w14:paraId="07FFBCFE"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.778 [.686, .869]</w:t>
            </w:r>
          </w:p>
        </w:tc>
        <w:tc>
          <w:tcPr>
            <w:tcW w:w="2426" w:type="dxa"/>
            <w:tcBorders>
              <w:left w:val="nil"/>
              <w:bottom w:val="single" w:sz="4" w:space="0" w:color="auto"/>
              <w:right w:val="nil"/>
            </w:tcBorders>
            <w:noWrap/>
            <w:vAlign w:val="bottom"/>
            <w:hideMark/>
          </w:tcPr>
          <w:p w14:paraId="79021152"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−.195 [−.569, .179]</w:t>
            </w:r>
          </w:p>
        </w:tc>
        <w:tc>
          <w:tcPr>
            <w:tcW w:w="2216" w:type="dxa"/>
            <w:tcBorders>
              <w:left w:val="nil"/>
              <w:bottom w:val="single" w:sz="4" w:space="0" w:color="auto"/>
              <w:right w:val="nil"/>
            </w:tcBorders>
            <w:noWrap/>
            <w:vAlign w:val="bottom"/>
            <w:hideMark/>
          </w:tcPr>
          <w:p w14:paraId="5F5F67B4" w14:textId="77777777" w:rsidR="00F15CB3" w:rsidRPr="00BD702B" w:rsidRDefault="00F15CB3" w:rsidP="006B0992">
            <w:pPr>
              <w:jc w:val="center"/>
              <w:rPr>
                <w:rFonts w:ascii="Helvetica" w:hAnsi="Helvetica" w:cs="Arial"/>
                <w:color w:val="000000"/>
                <w:sz w:val="22"/>
                <w:szCs w:val="22"/>
              </w:rPr>
            </w:pPr>
            <w:r w:rsidRPr="00BD702B">
              <w:rPr>
                <w:rFonts w:ascii="Helvetica" w:hAnsi="Helvetica" w:cs="Arial"/>
                <w:color w:val="000000"/>
                <w:sz w:val="22"/>
                <w:szCs w:val="22"/>
              </w:rPr>
              <w:t>.095 [−.056, .246]</w:t>
            </w:r>
          </w:p>
        </w:tc>
      </w:tr>
    </w:tbl>
    <w:p w14:paraId="100AFE7B" w14:textId="77777777" w:rsidR="00F15CB3" w:rsidRPr="00BD702B" w:rsidRDefault="00F15CB3" w:rsidP="00F15CB3">
      <w:pPr>
        <w:jc w:val="both"/>
        <w:rPr>
          <w:rFonts w:ascii="Helvetica" w:hAnsi="Helvetica" w:cs="Arial"/>
          <w:color w:val="000000" w:themeColor="text1"/>
        </w:rPr>
      </w:pPr>
      <w:r w:rsidRPr="00BD702B">
        <w:rPr>
          <w:rFonts w:ascii="Helvetica" w:hAnsi="Helvetica" w:cs="Arial"/>
          <w:i/>
          <w:iCs/>
          <w:color w:val="000000" w:themeColor="text1"/>
        </w:rPr>
        <w:t>Note.</w:t>
      </w:r>
      <w:r w:rsidRPr="00BD702B">
        <w:rPr>
          <w:rFonts w:ascii="Helvetica" w:hAnsi="Helvetica" w:cs="Arial"/>
          <w:color w:val="000000" w:themeColor="text1"/>
        </w:rPr>
        <w:t xml:space="preserve"> Values are standardized estimates with 95% confidence intervals in brackets. The general distress factor was specified as the reference factor in the bifactor-(S−1) model. Residual factors were constrained to be orthogonal to the general distress factor and to each other. The alexithymia row represents latent associations between the alexithymia factor and the psychopathology factors.</w:t>
      </w:r>
    </w:p>
    <w:p w14:paraId="10D17F17" w14:textId="77777777" w:rsidR="00F15CB3" w:rsidRPr="00BD702B" w:rsidRDefault="00F15CB3" w:rsidP="00F15CB3">
      <w:pPr>
        <w:jc w:val="both"/>
        <w:rPr>
          <w:rFonts w:ascii="Helvetica" w:hAnsi="Helvetica" w:cs="Arial"/>
          <w:color w:val="000000" w:themeColor="text1"/>
        </w:rPr>
      </w:pPr>
    </w:p>
    <w:p w14:paraId="500556FE" w14:textId="77777777" w:rsidR="00F15CB3" w:rsidRPr="00BD702B" w:rsidRDefault="00F15CB3" w:rsidP="00F15CB3">
      <w:pPr>
        <w:jc w:val="both"/>
        <w:rPr>
          <w:rFonts w:ascii="Helvetica" w:hAnsi="Helvetica" w:cs="Arial"/>
          <w:b/>
          <w:bCs/>
          <w:color w:val="000000" w:themeColor="text1"/>
        </w:rPr>
      </w:pPr>
      <w:r w:rsidRPr="00BD702B">
        <w:rPr>
          <w:rFonts w:ascii="Helvetica" w:hAnsi="Helvetica" w:cs="Arial"/>
          <w:b/>
          <w:bCs/>
          <w:color w:val="000000" w:themeColor="text1"/>
        </w:rPr>
        <w:t>Table S3</w:t>
      </w:r>
    </w:p>
    <w:p w14:paraId="77E72C9B" w14:textId="77777777" w:rsidR="00F15CB3" w:rsidRPr="00BD702B" w:rsidRDefault="00F15CB3" w:rsidP="00F15CB3">
      <w:pPr>
        <w:jc w:val="both"/>
        <w:rPr>
          <w:rFonts w:ascii="Helvetica" w:hAnsi="Helvetica" w:cs="Arial"/>
          <w:i/>
          <w:iCs/>
          <w:color w:val="000000" w:themeColor="text1"/>
        </w:rPr>
      </w:pPr>
      <w:r w:rsidRPr="00BD702B">
        <w:rPr>
          <w:rFonts w:ascii="Helvetica" w:hAnsi="Helvetica" w:cs="Arial"/>
          <w:i/>
          <w:iCs/>
          <w:color w:val="000000" w:themeColor="text1"/>
        </w:rPr>
        <w:lastRenderedPageBreak/>
        <w:t>Standardized factor loadings and latent alexithymia associations in the bifactor-(S−1) model – parent-report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0"/>
        <w:gridCol w:w="2475"/>
        <w:gridCol w:w="3151"/>
      </w:tblGrid>
      <w:tr w:rsidR="00F15CB3" w:rsidRPr="00BD702B" w14:paraId="3991E73E" w14:textId="77777777" w:rsidTr="006B0992">
        <w:trPr>
          <w:tblHeader/>
          <w:tblCellSpacing w:w="15" w:type="dxa"/>
        </w:trPr>
        <w:tc>
          <w:tcPr>
            <w:tcW w:w="0" w:type="auto"/>
            <w:tcBorders>
              <w:top w:val="single" w:sz="4" w:space="0" w:color="auto"/>
              <w:bottom w:val="single" w:sz="4" w:space="0" w:color="auto"/>
            </w:tcBorders>
            <w:vAlign w:val="center"/>
            <w:hideMark/>
          </w:tcPr>
          <w:p w14:paraId="7AA72A72" w14:textId="77777777" w:rsidR="00F15CB3" w:rsidRPr="00BD702B" w:rsidRDefault="00F15CB3" w:rsidP="006B0992">
            <w:pPr>
              <w:rPr>
                <w:rFonts w:ascii="Helvetica" w:hAnsi="Helvetica" w:cs="Arial"/>
                <w:color w:val="000000"/>
              </w:rPr>
            </w:pPr>
            <w:r w:rsidRPr="00BD702B">
              <w:rPr>
                <w:rFonts w:ascii="Helvetica" w:hAnsi="Helvetica" w:cs="Arial"/>
                <w:color w:val="000000"/>
              </w:rPr>
              <w:t>Indicator / association</w:t>
            </w:r>
          </w:p>
        </w:tc>
        <w:tc>
          <w:tcPr>
            <w:tcW w:w="0" w:type="auto"/>
            <w:tcBorders>
              <w:top w:val="single" w:sz="4" w:space="0" w:color="auto"/>
              <w:bottom w:val="single" w:sz="4" w:space="0" w:color="auto"/>
            </w:tcBorders>
            <w:vAlign w:val="center"/>
            <w:hideMark/>
          </w:tcPr>
          <w:p w14:paraId="7A14463B" w14:textId="77777777" w:rsidR="00F15CB3" w:rsidRPr="00BD702B" w:rsidRDefault="00F15CB3" w:rsidP="006B0992">
            <w:pPr>
              <w:jc w:val="right"/>
              <w:rPr>
                <w:rFonts w:ascii="Helvetica" w:hAnsi="Helvetica" w:cs="Arial"/>
                <w:color w:val="000000"/>
              </w:rPr>
            </w:pPr>
            <w:r w:rsidRPr="00BD702B">
              <w:rPr>
                <w:rFonts w:ascii="Helvetica" w:hAnsi="Helvetica" w:cs="Arial"/>
                <w:color w:val="000000"/>
              </w:rPr>
              <w:t>General distress factor</w:t>
            </w:r>
          </w:p>
        </w:tc>
        <w:tc>
          <w:tcPr>
            <w:tcW w:w="3106" w:type="dxa"/>
            <w:tcBorders>
              <w:top w:val="single" w:sz="4" w:space="0" w:color="auto"/>
              <w:bottom w:val="single" w:sz="4" w:space="0" w:color="auto"/>
            </w:tcBorders>
            <w:vAlign w:val="center"/>
            <w:hideMark/>
          </w:tcPr>
          <w:p w14:paraId="76D73825" w14:textId="77777777" w:rsidR="00F15CB3" w:rsidRPr="00BD702B" w:rsidRDefault="00F15CB3" w:rsidP="006B0992">
            <w:pPr>
              <w:jc w:val="right"/>
              <w:rPr>
                <w:rFonts w:ascii="Helvetica" w:hAnsi="Helvetica" w:cs="Arial"/>
                <w:color w:val="000000"/>
              </w:rPr>
            </w:pPr>
            <w:r w:rsidRPr="00BD702B">
              <w:rPr>
                <w:rFonts w:ascii="Helvetica" w:hAnsi="Helvetica" w:cs="Arial"/>
                <w:color w:val="000000"/>
              </w:rPr>
              <w:t>Externalising residual factor</w:t>
            </w:r>
          </w:p>
        </w:tc>
      </w:tr>
      <w:tr w:rsidR="00F15CB3" w:rsidRPr="00BD702B" w14:paraId="539B3D65" w14:textId="77777777" w:rsidTr="006B0992">
        <w:trPr>
          <w:tblCellSpacing w:w="15" w:type="dxa"/>
        </w:trPr>
        <w:tc>
          <w:tcPr>
            <w:tcW w:w="0" w:type="auto"/>
            <w:vAlign w:val="center"/>
            <w:hideMark/>
          </w:tcPr>
          <w:p w14:paraId="2D60FC7B" w14:textId="77777777" w:rsidR="00F15CB3" w:rsidRPr="00BD702B" w:rsidRDefault="00F15CB3" w:rsidP="006B0992">
            <w:pPr>
              <w:rPr>
                <w:rFonts w:ascii="Helvetica" w:hAnsi="Helvetica" w:cs="Arial"/>
                <w:color w:val="000000"/>
              </w:rPr>
            </w:pPr>
            <w:r w:rsidRPr="00BD702B">
              <w:rPr>
                <w:rFonts w:ascii="Helvetica" w:hAnsi="Helvetica" w:cs="Arial"/>
                <w:color w:val="000000"/>
              </w:rPr>
              <w:t>Anxiety/depression</w:t>
            </w:r>
          </w:p>
        </w:tc>
        <w:tc>
          <w:tcPr>
            <w:tcW w:w="0" w:type="auto"/>
            <w:vAlign w:val="center"/>
            <w:hideMark/>
          </w:tcPr>
          <w:p w14:paraId="7CC2D50B"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.855 [.748, .961]</w:t>
            </w:r>
          </w:p>
        </w:tc>
        <w:tc>
          <w:tcPr>
            <w:tcW w:w="3106" w:type="dxa"/>
            <w:vAlign w:val="center"/>
            <w:hideMark/>
          </w:tcPr>
          <w:p w14:paraId="59740972" w14:textId="77777777" w:rsidR="00F15CB3" w:rsidRPr="00BD702B" w:rsidRDefault="00F15CB3" w:rsidP="006B0992">
            <w:pPr>
              <w:jc w:val="right"/>
              <w:rPr>
                <w:rFonts w:ascii="Helvetica" w:hAnsi="Helvetica" w:cs="Arial"/>
                <w:color w:val="000000"/>
              </w:rPr>
            </w:pPr>
          </w:p>
        </w:tc>
      </w:tr>
      <w:tr w:rsidR="00F15CB3" w:rsidRPr="00BD702B" w14:paraId="3D56C1C8" w14:textId="77777777" w:rsidTr="006B0992">
        <w:trPr>
          <w:tblCellSpacing w:w="15" w:type="dxa"/>
        </w:trPr>
        <w:tc>
          <w:tcPr>
            <w:tcW w:w="0" w:type="auto"/>
            <w:vAlign w:val="center"/>
            <w:hideMark/>
          </w:tcPr>
          <w:p w14:paraId="058F2383" w14:textId="77777777" w:rsidR="00F15CB3" w:rsidRPr="00BD702B" w:rsidRDefault="00F15CB3" w:rsidP="006B0992">
            <w:pPr>
              <w:rPr>
                <w:rFonts w:ascii="Helvetica" w:hAnsi="Helvetica" w:cs="Arial"/>
                <w:color w:val="000000"/>
              </w:rPr>
            </w:pPr>
            <w:r w:rsidRPr="00BD702B">
              <w:rPr>
                <w:rFonts w:ascii="Helvetica" w:hAnsi="Helvetica" w:cs="Arial"/>
                <w:color w:val="000000"/>
              </w:rPr>
              <w:t>Generalized anxiety</w:t>
            </w:r>
          </w:p>
        </w:tc>
        <w:tc>
          <w:tcPr>
            <w:tcW w:w="0" w:type="auto"/>
            <w:vAlign w:val="center"/>
            <w:hideMark/>
          </w:tcPr>
          <w:p w14:paraId="5F520791"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.655 [.509, .801]</w:t>
            </w:r>
          </w:p>
        </w:tc>
        <w:tc>
          <w:tcPr>
            <w:tcW w:w="3106" w:type="dxa"/>
            <w:vAlign w:val="center"/>
            <w:hideMark/>
          </w:tcPr>
          <w:p w14:paraId="68F9419B" w14:textId="77777777" w:rsidR="00F15CB3" w:rsidRPr="00BD702B" w:rsidRDefault="00F15CB3" w:rsidP="006B0992">
            <w:pPr>
              <w:jc w:val="right"/>
              <w:rPr>
                <w:rFonts w:ascii="Helvetica" w:hAnsi="Helvetica" w:cs="Arial"/>
                <w:color w:val="000000"/>
              </w:rPr>
            </w:pPr>
          </w:p>
        </w:tc>
      </w:tr>
      <w:tr w:rsidR="00F15CB3" w:rsidRPr="00BD702B" w14:paraId="1C9BFCA4" w14:textId="77777777" w:rsidTr="006B0992">
        <w:trPr>
          <w:tblCellSpacing w:w="15" w:type="dxa"/>
        </w:trPr>
        <w:tc>
          <w:tcPr>
            <w:tcW w:w="0" w:type="auto"/>
            <w:vAlign w:val="center"/>
            <w:hideMark/>
          </w:tcPr>
          <w:p w14:paraId="4454F3C4" w14:textId="77777777" w:rsidR="00F15CB3" w:rsidRPr="00BD702B" w:rsidRDefault="00F15CB3" w:rsidP="006B0992">
            <w:pPr>
              <w:rPr>
                <w:rFonts w:ascii="Helvetica" w:hAnsi="Helvetica" w:cs="Arial"/>
                <w:color w:val="000000"/>
              </w:rPr>
            </w:pPr>
            <w:r w:rsidRPr="00BD702B">
              <w:rPr>
                <w:rFonts w:ascii="Helvetica" w:hAnsi="Helvetica" w:cs="Arial"/>
                <w:color w:val="000000"/>
              </w:rPr>
              <w:t>Panic/somatic symptoms</w:t>
            </w:r>
          </w:p>
        </w:tc>
        <w:tc>
          <w:tcPr>
            <w:tcW w:w="0" w:type="auto"/>
            <w:vAlign w:val="center"/>
            <w:hideMark/>
          </w:tcPr>
          <w:p w14:paraId="0A188571"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.568 [.432, .703]</w:t>
            </w:r>
          </w:p>
        </w:tc>
        <w:tc>
          <w:tcPr>
            <w:tcW w:w="3106" w:type="dxa"/>
            <w:vAlign w:val="center"/>
            <w:hideMark/>
          </w:tcPr>
          <w:p w14:paraId="69C3EE5B" w14:textId="77777777" w:rsidR="00F15CB3" w:rsidRPr="00BD702B" w:rsidRDefault="00F15CB3" w:rsidP="006B0992">
            <w:pPr>
              <w:jc w:val="right"/>
              <w:rPr>
                <w:rFonts w:ascii="Helvetica" w:hAnsi="Helvetica" w:cs="Arial"/>
                <w:color w:val="000000"/>
              </w:rPr>
            </w:pPr>
          </w:p>
        </w:tc>
      </w:tr>
      <w:tr w:rsidR="00F15CB3" w:rsidRPr="00BD702B" w14:paraId="77CD8470" w14:textId="77777777" w:rsidTr="006B0992">
        <w:trPr>
          <w:tblCellSpacing w:w="15" w:type="dxa"/>
        </w:trPr>
        <w:tc>
          <w:tcPr>
            <w:tcW w:w="0" w:type="auto"/>
            <w:vAlign w:val="center"/>
            <w:hideMark/>
          </w:tcPr>
          <w:p w14:paraId="2737E26A" w14:textId="77777777" w:rsidR="00F15CB3" w:rsidRPr="00BD702B" w:rsidRDefault="00F15CB3" w:rsidP="006B0992">
            <w:pPr>
              <w:rPr>
                <w:rFonts w:ascii="Helvetica" w:hAnsi="Helvetica" w:cs="Arial"/>
                <w:color w:val="000000"/>
              </w:rPr>
            </w:pPr>
            <w:r w:rsidRPr="00BD702B">
              <w:rPr>
                <w:rFonts w:ascii="Helvetica" w:hAnsi="Helvetica" w:cs="Arial"/>
                <w:color w:val="000000"/>
              </w:rPr>
              <w:t>Somatic complaints</w:t>
            </w:r>
          </w:p>
        </w:tc>
        <w:tc>
          <w:tcPr>
            <w:tcW w:w="0" w:type="auto"/>
            <w:vAlign w:val="center"/>
            <w:hideMark/>
          </w:tcPr>
          <w:p w14:paraId="25F5D73F"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.525 [.345, .704]</w:t>
            </w:r>
          </w:p>
        </w:tc>
        <w:tc>
          <w:tcPr>
            <w:tcW w:w="3106" w:type="dxa"/>
            <w:vAlign w:val="center"/>
            <w:hideMark/>
          </w:tcPr>
          <w:p w14:paraId="634F6473" w14:textId="77777777" w:rsidR="00F15CB3" w:rsidRPr="00BD702B" w:rsidRDefault="00F15CB3" w:rsidP="006B0992">
            <w:pPr>
              <w:jc w:val="right"/>
              <w:rPr>
                <w:rFonts w:ascii="Helvetica" w:hAnsi="Helvetica" w:cs="Arial"/>
                <w:color w:val="000000"/>
              </w:rPr>
            </w:pPr>
          </w:p>
        </w:tc>
      </w:tr>
      <w:tr w:rsidR="00F15CB3" w:rsidRPr="00BD702B" w14:paraId="2C3348CB" w14:textId="77777777" w:rsidTr="006B0992">
        <w:trPr>
          <w:tblCellSpacing w:w="15" w:type="dxa"/>
        </w:trPr>
        <w:tc>
          <w:tcPr>
            <w:tcW w:w="0" w:type="auto"/>
            <w:vAlign w:val="center"/>
            <w:hideMark/>
          </w:tcPr>
          <w:p w14:paraId="225EB5C6" w14:textId="77777777" w:rsidR="00F15CB3" w:rsidRPr="00BD702B" w:rsidRDefault="00F15CB3" w:rsidP="006B0992">
            <w:pPr>
              <w:rPr>
                <w:rFonts w:ascii="Helvetica" w:hAnsi="Helvetica" w:cs="Arial"/>
                <w:color w:val="000000"/>
              </w:rPr>
            </w:pPr>
            <w:r w:rsidRPr="00BD702B">
              <w:rPr>
                <w:rFonts w:ascii="Helvetica" w:hAnsi="Helvetica" w:cs="Arial"/>
                <w:color w:val="000000"/>
              </w:rPr>
              <w:t>Thought problems</w:t>
            </w:r>
          </w:p>
        </w:tc>
        <w:tc>
          <w:tcPr>
            <w:tcW w:w="0" w:type="auto"/>
            <w:vAlign w:val="center"/>
            <w:hideMark/>
          </w:tcPr>
          <w:p w14:paraId="267034CA"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.502 [.323, .682]</w:t>
            </w:r>
          </w:p>
        </w:tc>
        <w:tc>
          <w:tcPr>
            <w:tcW w:w="3106" w:type="dxa"/>
            <w:vAlign w:val="center"/>
            <w:hideMark/>
          </w:tcPr>
          <w:p w14:paraId="39A5E447" w14:textId="77777777" w:rsidR="00F15CB3" w:rsidRPr="00BD702B" w:rsidRDefault="00F15CB3" w:rsidP="006B0992">
            <w:pPr>
              <w:jc w:val="right"/>
              <w:rPr>
                <w:rFonts w:ascii="Helvetica" w:hAnsi="Helvetica" w:cs="Arial"/>
                <w:color w:val="000000"/>
              </w:rPr>
            </w:pPr>
          </w:p>
        </w:tc>
      </w:tr>
      <w:tr w:rsidR="00F15CB3" w:rsidRPr="00BD702B" w14:paraId="032EDC6B" w14:textId="77777777" w:rsidTr="006B0992">
        <w:trPr>
          <w:tblCellSpacing w:w="15" w:type="dxa"/>
        </w:trPr>
        <w:tc>
          <w:tcPr>
            <w:tcW w:w="0" w:type="auto"/>
            <w:vAlign w:val="center"/>
            <w:hideMark/>
          </w:tcPr>
          <w:p w14:paraId="467C54C9" w14:textId="77777777" w:rsidR="00F15CB3" w:rsidRPr="00BD702B" w:rsidRDefault="00F15CB3" w:rsidP="006B0992">
            <w:pPr>
              <w:rPr>
                <w:rFonts w:ascii="Helvetica" w:hAnsi="Helvetica" w:cs="Arial"/>
                <w:color w:val="000000"/>
              </w:rPr>
            </w:pPr>
            <w:r w:rsidRPr="00BD702B">
              <w:rPr>
                <w:rFonts w:ascii="Helvetica" w:hAnsi="Helvetica" w:cs="Arial"/>
                <w:color w:val="000000"/>
              </w:rPr>
              <w:t>Withdrawal/depression</w:t>
            </w:r>
          </w:p>
        </w:tc>
        <w:tc>
          <w:tcPr>
            <w:tcW w:w="0" w:type="auto"/>
            <w:vAlign w:val="center"/>
            <w:hideMark/>
          </w:tcPr>
          <w:p w14:paraId="2ACD6FF9"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.802 [.691, .914]</w:t>
            </w:r>
          </w:p>
        </w:tc>
        <w:tc>
          <w:tcPr>
            <w:tcW w:w="3106" w:type="dxa"/>
            <w:vAlign w:val="center"/>
            <w:hideMark/>
          </w:tcPr>
          <w:p w14:paraId="264D6BD7" w14:textId="77777777" w:rsidR="00F15CB3" w:rsidRPr="00BD702B" w:rsidRDefault="00F15CB3" w:rsidP="006B0992">
            <w:pPr>
              <w:jc w:val="right"/>
              <w:rPr>
                <w:rFonts w:ascii="Helvetica" w:hAnsi="Helvetica" w:cs="Arial"/>
                <w:color w:val="000000"/>
              </w:rPr>
            </w:pPr>
          </w:p>
        </w:tc>
      </w:tr>
      <w:tr w:rsidR="00F15CB3" w:rsidRPr="00BD702B" w14:paraId="4F245789" w14:textId="77777777" w:rsidTr="006B0992">
        <w:trPr>
          <w:tblCellSpacing w:w="15" w:type="dxa"/>
        </w:trPr>
        <w:tc>
          <w:tcPr>
            <w:tcW w:w="0" w:type="auto"/>
            <w:vAlign w:val="center"/>
            <w:hideMark/>
          </w:tcPr>
          <w:p w14:paraId="37CAA906" w14:textId="77777777" w:rsidR="00F15CB3" w:rsidRPr="00BD702B" w:rsidRDefault="00F15CB3" w:rsidP="006B0992">
            <w:pPr>
              <w:rPr>
                <w:rFonts w:ascii="Helvetica" w:hAnsi="Helvetica" w:cs="Arial"/>
                <w:color w:val="000000"/>
              </w:rPr>
            </w:pPr>
            <w:r w:rsidRPr="00BD702B">
              <w:rPr>
                <w:rFonts w:ascii="Helvetica" w:hAnsi="Helvetica" w:cs="Arial"/>
                <w:color w:val="000000"/>
              </w:rPr>
              <w:t>Rule-breaking behaviour</w:t>
            </w:r>
          </w:p>
        </w:tc>
        <w:tc>
          <w:tcPr>
            <w:tcW w:w="0" w:type="auto"/>
            <w:vAlign w:val="center"/>
            <w:hideMark/>
          </w:tcPr>
          <w:p w14:paraId="74C30ED7"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.276 [.103, .448]</w:t>
            </w:r>
          </w:p>
        </w:tc>
        <w:tc>
          <w:tcPr>
            <w:tcW w:w="3106" w:type="dxa"/>
            <w:vAlign w:val="center"/>
            <w:hideMark/>
          </w:tcPr>
          <w:p w14:paraId="7A1D3FC5"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.788 [.631, .945]</w:t>
            </w:r>
          </w:p>
        </w:tc>
      </w:tr>
      <w:tr w:rsidR="00F15CB3" w:rsidRPr="00BD702B" w14:paraId="651FEBDD" w14:textId="77777777" w:rsidTr="006B0992">
        <w:trPr>
          <w:tblCellSpacing w:w="15" w:type="dxa"/>
        </w:trPr>
        <w:tc>
          <w:tcPr>
            <w:tcW w:w="0" w:type="auto"/>
            <w:vAlign w:val="center"/>
            <w:hideMark/>
          </w:tcPr>
          <w:p w14:paraId="403EFD0F" w14:textId="77777777" w:rsidR="00F15CB3" w:rsidRPr="00BD702B" w:rsidRDefault="00F15CB3" w:rsidP="006B0992">
            <w:pPr>
              <w:rPr>
                <w:rFonts w:ascii="Helvetica" w:hAnsi="Helvetica" w:cs="Arial"/>
                <w:color w:val="000000"/>
              </w:rPr>
            </w:pPr>
            <w:r w:rsidRPr="00BD702B">
              <w:rPr>
                <w:rFonts w:ascii="Helvetica" w:hAnsi="Helvetica" w:cs="Arial"/>
                <w:color w:val="000000"/>
              </w:rPr>
              <w:t>Aggressive behaviour</w:t>
            </w:r>
          </w:p>
        </w:tc>
        <w:tc>
          <w:tcPr>
            <w:tcW w:w="0" w:type="auto"/>
            <w:vAlign w:val="center"/>
            <w:hideMark/>
          </w:tcPr>
          <w:p w14:paraId="4B7EFD91"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.456 [.283, .629]</w:t>
            </w:r>
          </w:p>
        </w:tc>
        <w:tc>
          <w:tcPr>
            <w:tcW w:w="3106" w:type="dxa"/>
            <w:vAlign w:val="center"/>
            <w:hideMark/>
          </w:tcPr>
          <w:p w14:paraId="61D28AB3"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.694 [.519, .869]</w:t>
            </w:r>
          </w:p>
        </w:tc>
      </w:tr>
      <w:tr w:rsidR="00F15CB3" w:rsidRPr="00BD702B" w14:paraId="1B6D17BE" w14:textId="77777777" w:rsidTr="006B0992">
        <w:trPr>
          <w:tblCellSpacing w:w="15" w:type="dxa"/>
        </w:trPr>
        <w:tc>
          <w:tcPr>
            <w:tcW w:w="0" w:type="auto"/>
            <w:tcBorders>
              <w:bottom w:val="single" w:sz="4" w:space="0" w:color="auto"/>
            </w:tcBorders>
            <w:vAlign w:val="center"/>
            <w:hideMark/>
          </w:tcPr>
          <w:p w14:paraId="14A85A46" w14:textId="77777777" w:rsidR="00F15CB3" w:rsidRPr="00BD702B" w:rsidRDefault="00F15CB3" w:rsidP="006B0992">
            <w:pPr>
              <w:rPr>
                <w:rFonts w:ascii="Helvetica" w:hAnsi="Helvetica" w:cs="Arial"/>
                <w:color w:val="000000"/>
              </w:rPr>
            </w:pPr>
            <w:r w:rsidRPr="00BD702B">
              <w:rPr>
                <w:rFonts w:ascii="Helvetica" w:hAnsi="Helvetica" w:cs="Arial"/>
                <w:color w:val="000000"/>
              </w:rPr>
              <w:t>Alexithymia</w:t>
            </w:r>
          </w:p>
        </w:tc>
        <w:tc>
          <w:tcPr>
            <w:tcW w:w="0" w:type="auto"/>
            <w:tcBorders>
              <w:bottom w:val="single" w:sz="4" w:space="0" w:color="auto"/>
            </w:tcBorders>
            <w:vAlign w:val="center"/>
            <w:hideMark/>
          </w:tcPr>
          <w:p w14:paraId="199BF2DE"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.612 [.471, .753]</w:t>
            </w:r>
          </w:p>
        </w:tc>
        <w:tc>
          <w:tcPr>
            <w:tcW w:w="3106" w:type="dxa"/>
            <w:tcBorders>
              <w:bottom w:val="single" w:sz="4" w:space="0" w:color="auto"/>
            </w:tcBorders>
            <w:vAlign w:val="center"/>
            <w:hideMark/>
          </w:tcPr>
          <w:p w14:paraId="0EC0F469" w14:textId="77777777" w:rsidR="00F15CB3" w:rsidRPr="00BD702B" w:rsidRDefault="00F15CB3" w:rsidP="006B0992">
            <w:pPr>
              <w:jc w:val="center"/>
              <w:rPr>
                <w:rFonts w:ascii="Helvetica" w:hAnsi="Helvetica" w:cs="Arial"/>
                <w:color w:val="000000"/>
              </w:rPr>
            </w:pPr>
            <w:r w:rsidRPr="00BD702B">
              <w:rPr>
                <w:rFonts w:ascii="Helvetica" w:hAnsi="Helvetica" w:cs="Arial"/>
                <w:color w:val="000000"/>
              </w:rPr>
              <w:t>−.005 [−.243, .232]</w:t>
            </w:r>
          </w:p>
        </w:tc>
      </w:tr>
    </w:tbl>
    <w:p w14:paraId="4334A552" w14:textId="77777777" w:rsidR="00F15CB3" w:rsidRPr="00BD702B" w:rsidRDefault="00F15CB3" w:rsidP="00F15CB3">
      <w:pPr>
        <w:jc w:val="both"/>
        <w:rPr>
          <w:rFonts w:ascii="Helvetica" w:hAnsi="Helvetica" w:cs="Arial"/>
          <w:color w:val="000000" w:themeColor="text1"/>
        </w:rPr>
      </w:pPr>
      <w:r w:rsidRPr="00BD702B">
        <w:rPr>
          <w:rFonts w:ascii="Helvetica" w:hAnsi="Helvetica" w:cs="Arial"/>
          <w:i/>
          <w:iCs/>
          <w:color w:val="000000" w:themeColor="text1"/>
        </w:rPr>
        <w:t>Note.</w:t>
      </w:r>
      <w:r w:rsidRPr="00BD702B">
        <w:rPr>
          <w:rFonts w:ascii="Helvetica" w:hAnsi="Helvetica" w:cs="Arial"/>
          <w:color w:val="000000" w:themeColor="text1"/>
        </w:rPr>
        <w:t xml:space="preserve"> Values are standardized estimates with 95% confidence intervals in brackets. The general distress factor was specified as the reference factor in the parent-report bifactor-(S−1) model. The residual thought/detachment factor was not retained because it was not meaningfully defined after extraction of the general distress factor. The externalising residual factor was constrained to be orthogonal to the general distress factor. The alexithymia row represents latent associations between parent-reported alexithymia and the psychopathology factors.</w:t>
      </w:r>
    </w:p>
    <w:p w14:paraId="1991D493" w14:textId="77777777" w:rsidR="00E023F9" w:rsidRDefault="00E023F9"/>
    <w:sectPr w:rsidR="00E023F9" w:rsidSect="00F15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B3"/>
    <w:rsid w:val="00021E40"/>
    <w:rsid w:val="000C4033"/>
    <w:rsid w:val="00173ED8"/>
    <w:rsid w:val="002F50B1"/>
    <w:rsid w:val="004B42CB"/>
    <w:rsid w:val="005F2B46"/>
    <w:rsid w:val="006E1731"/>
    <w:rsid w:val="00866D74"/>
    <w:rsid w:val="00882A73"/>
    <w:rsid w:val="00906905"/>
    <w:rsid w:val="0095305D"/>
    <w:rsid w:val="00B10170"/>
    <w:rsid w:val="00B260B7"/>
    <w:rsid w:val="00B85331"/>
    <w:rsid w:val="00C94D66"/>
    <w:rsid w:val="00DE7E69"/>
    <w:rsid w:val="00E023F9"/>
    <w:rsid w:val="00F15C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87BF"/>
  <w15:chartTrackingRefBased/>
  <w15:docId w15:val="{AC4508EC-049D-4DE8-B66C-E6304D23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B3"/>
    <w:pPr>
      <w:spacing w:after="0" w:line="24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F15C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F15C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F15CB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F15CB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F15CB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F15CB3"/>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F15CB3"/>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F15CB3"/>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F15CB3"/>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B3"/>
    <w:rPr>
      <w:rFonts w:eastAsiaTheme="majorEastAsia" w:cstheme="majorBidi"/>
      <w:color w:val="272727" w:themeColor="text1" w:themeTint="D8"/>
    </w:rPr>
  </w:style>
  <w:style w:type="paragraph" w:styleId="Title">
    <w:name w:val="Title"/>
    <w:basedOn w:val="Normal"/>
    <w:next w:val="Normal"/>
    <w:link w:val="TitleChar"/>
    <w:uiPriority w:val="10"/>
    <w:qFormat/>
    <w:rsid w:val="00F15CB3"/>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F1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F1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B3"/>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F15CB3"/>
    <w:rPr>
      <w:i/>
      <w:iCs/>
      <w:color w:val="404040" w:themeColor="text1" w:themeTint="BF"/>
    </w:rPr>
  </w:style>
  <w:style w:type="paragraph" w:styleId="ListParagraph">
    <w:name w:val="List Paragraph"/>
    <w:basedOn w:val="Normal"/>
    <w:uiPriority w:val="34"/>
    <w:qFormat/>
    <w:rsid w:val="00F15CB3"/>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F15CB3"/>
    <w:rPr>
      <w:i/>
      <w:iCs/>
      <w:color w:val="0F4761" w:themeColor="accent1" w:themeShade="BF"/>
    </w:rPr>
  </w:style>
  <w:style w:type="paragraph" w:styleId="IntenseQuote">
    <w:name w:val="Intense Quote"/>
    <w:basedOn w:val="Normal"/>
    <w:next w:val="Normal"/>
    <w:link w:val="IntenseQuoteChar"/>
    <w:uiPriority w:val="30"/>
    <w:qFormat/>
    <w:rsid w:val="00F15C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F15CB3"/>
    <w:rPr>
      <w:i/>
      <w:iCs/>
      <w:color w:val="0F4761" w:themeColor="accent1" w:themeShade="BF"/>
    </w:rPr>
  </w:style>
  <w:style w:type="character" w:styleId="IntenseReference">
    <w:name w:val="Intense Reference"/>
    <w:basedOn w:val="DefaultParagraphFont"/>
    <w:uiPriority w:val="32"/>
    <w:qFormat/>
    <w:rsid w:val="00F15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2026-07-15T08:55:00Z</dcterms:created>
  <dcterms:modified xsi:type="dcterms:W3CDTF">2026-07-15T08:55:00Z</dcterms:modified>
</cp:coreProperties>
</file>