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7A5A" w14:textId="77777777" w:rsidR="00B308F6" w:rsidRDefault="00B308F6" w:rsidP="00B308F6">
      <w:r w:rsidRPr="6A59E6BC">
        <w:rPr>
          <w:b/>
          <w:bCs/>
        </w:rPr>
        <w:t>Supplementary Materials</w:t>
      </w:r>
    </w:p>
    <w:p w14:paraId="413C944E" w14:textId="77777777" w:rsidR="00B308F6" w:rsidRDefault="00B308F6" w:rsidP="00B308F6">
      <w:r w:rsidRPr="6A59E6BC">
        <w:rPr>
          <w:b/>
          <w:bCs/>
        </w:rPr>
        <w:t>Appendix A: Roadmap for implementation of playable wellbeing.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6"/>
        <w:gridCol w:w="4354"/>
      </w:tblGrid>
      <w:tr w:rsidR="00B308F6" w14:paraId="7AA5DFEA" w14:textId="77777777" w:rsidTr="00C34030">
        <w:trPr>
          <w:trHeight w:val="300"/>
        </w:trPr>
        <w:tc>
          <w:tcPr>
            <w:tcW w:w="9795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C12445C" w14:textId="77777777" w:rsidR="00B308F6" w:rsidRDefault="00B308F6" w:rsidP="00C34030">
            <w:pPr>
              <w:spacing w:after="60"/>
            </w:pPr>
            <w:r w:rsidRPr="47E1B8A9">
              <w:rPr>
                <w:rFonts w:ascii="Arial" w:eastAsia="Arial" w:hAnsi="Arial" w:cs="Arial"/>
                <w:b/>
                <w:bCs/>
                <w:color w:val="FFFFFF" w:themeColor="background1"/>
                <w:sz w:val="32"/>
                <w:szCs w:val="32"/>
              </w:rPr>
              <w:t>Playable Wellbeing: A Practitioner’s Guide</w:t>
            </w:r>
          </w:p>
          <w:p w14:paraId="73D556F5" w14:textId="77777777" w:rsidR="00B308F6" w:rsidRDefault="00B308F6" w:rsidP="00C34030">
            <w:pPr>
              <w:spacing w:after="50"/>
            </w:pPr>
            <w:r w:rsidRPr="47E1B8A9">
              <w:rPr>
                <w:rFonts w:ascii="Arial" w:eastAsia="Arial" w:hAnsi="Arial" w:cs="Arial"/>
                <w:color w:val="FFFFFF" w:themeColor="background1"/>
                <w:sz w:val="19"/>
                <w:szCs w:val="19"/>
              </w:rPr>
              <w:t xml:space="preserve">Questions to help game studios and wellbeing organisations think through the </w:t>
            </w:r>
            <w:r w:rsidRPr="47E1B8A9">
              <w:rPr>
                <w:rFonts w:ascii="Arial" w:eastAsia="Arial" w:hAnsi="Arial" w:cs="Arial"/>
                <w:i/>
                <w:iCs/>
                <w:color w:val="FFFFFF" w:themeColor="background1"/>
                <w:sz w:val="19"/>
                <w:szCs w:val="19"/>
              </w:rPr>
              <w:t>why</w:t>
            </w:r>
            <w:r w:rsidRPr="47E1B8A9">
              <w:rPr>
                <w:rFonts w:ascii="Arial" w:eastAsia="Arial" w:hAnsi="Arial" w:cs="Arial"/>
                <w:color w:val="FFFFFF" w:themeColor="background1"/>
                <w:sz w:val="19"/>
                <w:szCs w:val="19"/>
              </w:rPr>
              <w:t xml:space="preserve"> and the </w:t>
            </w:r>
            <w:proofErr w:type="spellStart"/>
            <w:r w:rsidRPr="47E1B8A9">
              <w:rPr>
                <w:rFonts w:ascii="Arial" w:eastAsia="Arial" w:hAnsi="Arial" w:cs="Arial"/>
                <w:i/>
                <w:iCs/>
                <w:color w:val="FFFFFF" w:themeColor="background1"/>
                <w:sz w:val="19"/>
                <w:szCs w:val="19"/>
              </w:rPr>
              <w:t>how</w:t>
            </w:r>
            <w:proofErr w:type="spellEnd"/>
            <w:r w:rsidRPr="47E1B8A9">
              <w:rPr>
                <w:rFonts w:ascii="Arial" w:eastAsia="Arial" w:hAnsi="Arial" w:cs="Arial"/>
                <w:color w:val="FFFFFF" w:themeColor="background1"/>
                <w:sz w:val="19"/>
                <w:szCs w:val="19"/>
              </w:rPr>
              <w:t xml:space="preserve"> of embedding wellbeing experiences in entertainment games.</w:t>
            </w:r>
          </w:p>
          <w:p w14:paraId="5A75F787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i/>
                <w:iCs/>
                <w:color w:val="BDD7EE"/>
                <w:sz w:val="16"/>
                <w:szCs w:val="16"/>
              </w:rPr>
              <w:t xml:space="preserve">Based on research with 21 experts across game studios, public health, and mission-driven organisations. Full paper: </w:t>
            </w:r>
            <w:proofErr w:type="gramStart"/>
            <w:r w:rsidRPr="6117BDDB">
              <w:rPr>
                <w:rFonts w:ascii="Arial" w:eastAsia="Arial" w:hAnsi="Arial" w:cs="Arial"/>
                <w:i/>
                <w:iCs/>
                <w:color w:val="BDD7EE"/>
                <w:sz w:val="16"/>
                <w:szCs w:val="16"/>
              </w:rPr>
              <w:t>blinded..</w:t>
            </w:r>
            <w:proofErr w:type="gramEnd"/>
            <w:r w:rsidRPr="47E1B8A9">
              <w:rPr>
                <w:rFonts w:ascii="Arial" w:eastAsia="Arial" w:hAnsi="Arial" w:cs="Arial"/>
                <w:i/>
                <w:iCs/>
                <w:color w:val="BDD7EE"/>
                <w:sz w:val="16"/>
                <w:szCs w:val="16"/>
              </w:rPr>
              <w:t xml:space="preserve"> LINK TO OPEN ACCESS PAPER TO BE ADDED UPON PUBLICATION</w:t>
            </w:r>
          </w:p>
        </w:tc>
      </w:tr>
      <w:tr w:rsidR="00B308F6" w14:paraId="76E3E667" w14:textId="77777777" w:rsidTr="00C34030">
        <w:trPr>
          <w:trHeight w:val="300"/>
        </w:trPr>
        <w:tc>
          <w:tcPr>
            <w:tcW w:w="5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2E75B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8C0719" w14:textId="77777777" w:rsidR="00B308F6" w:rsidRDefault="00B308F6" w:rsidP="00C34030">
            <w:pPr>
              <w:spacing w:after="0"/>
              <w:jc w:val="center"/>
            </w:pPr>
            <w:proofErr w:type="gramStart"/>
            <w:r w:rsidRPr="47E1B8A9">
              <w:rPr>
                <w:rFonts w:ascii="Apple Color Emoji" w:eastAsia="Arial" w:hAnsi="Apple Color Emoji" w:cs="Apple Color Emoji"/>
                <w:b/>
                <w:bCs/>
                <w:color w:val="FFFFFF" w:themeColor="background1"/>
              </w:rPr>
              <w:t>🎮</w:t>
            </w:r>
            <w:r w:rsidRPr="47E1B8A9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 Game</w:t>
            </w:r>
            <w:proofErr w:type="gramEnd"/>
            <w:r w:rsidRPr="47E1B8A9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Studios</w:t>
            </w:r>
          </w:p>
        </w:tc>
        <w:tc>
          <w:tcPr>
            <w:tcW w:w="456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37562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F923EC" w14:textId="77777777" w:rsidR="00B308F6" w:rsidRDefault="00B308F6" w:rsidP="00C34030">
            <w:pPr>
              <w:spacing w:after="0"/>
              <w:jc w:val="center"/>
            </w:pPr>
            <w:proofErr w:type="gramStart"/>
            <w:r w:rsidRPr="47E1B8A9">
              <w:rPr>
                <w:rFonts w:ascii="Apple Color Emoji" w:eastAsia="Arial" w:hAnsi="Apple Color Emoji" w:cs="Apple Color Emoji"/>
                <w:b/>
                <w:bCs/>
                <w:color w:val="FFFFFF" w:themeColor="background1"/>
              </w:rPr>
              <w:t>🌱</w:t>
            </w:r>
            <w:r w:rsidRPr="47E1B8A9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 Wellbeing</w:t>
            </w:r>
            <w:proofErr w:type="gramEnd"/>
            <w:r w:rsidRPr="47E1B8A9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&amp; Mission-Based Organisations</w:t>
            </w:r>
          </w:p>
        </w:tc>
      </w:tr>
      <w:tr w:rsidR="00B308F6" w14:paraId="5AB1763D" w14:textId="77777777" w:rsidTr="00C34030">
        <w:trPr>
          <w:trHeight w:val="300"/>
        </w:trPr>
        <w:tc>
          <w:tcPr>
            <w:tcW w:w="5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00AFD2C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b/>
                <w:bCs/>
                <w:color w:val="1F4E79"/>
                <w:sz w:val="19"/>
                <w:szCs w:val="19"/>
              </w:rPr>
              <w:t>Why consider playable wellbeing?</w:t>
            </w:r>
          </w:p>
        </w:tc>
        <w:tc>
          <w:tcPr>
            <w:tcW w:w="4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6EFC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09F4F48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b/>
                <w:bCs/>
                <w:color w:val="1F4E79"/>
                <w:sz w:val="19"/>
                <w:szCs w:val="19"/>
              </w:rPr>
              <w:t>Why choose games as your medium?</w:t>
            </w:r>
          </w:p>
        </w:tc>
      </w:tr>
      <w:tr w:rsidR="00B308F6" w14:paraId="2B14C225" w14:textId="77777777" w:rsidTr="00C34030">
        <w:trPr>
          <w:trHeight w:val="300"/>
        </w:trPr>
        <w:tc>
          <w:tcPr>
            <w:tcW w:w="5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11F061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Does this wellbeing theme genuinely enrich our game world, story or characters?</w:t>
            </w:r>
          </w:p>
          <w:p w14:paraId="7C3F9A7E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Could it deepen player engagement or open our game to new audiences?</w:t>
            </w:r>
          </w:p>
          <w:p w14:paraId="2F16CB23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Are we a games-as-a-service studio seeking fresh content? Wellbeing experiences could be a natural, values-aligned fit.</w:t>
            </w:r>
          </w:p>
          <w:p w14:paraId="187BBED5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•  Does it align with our studio values </w:t>
            </w:r>
            <w:proofErr w:type="gramStart"/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-  doing</w:t>
            </w:r>
            <w:proofErr w:type="gramEnd"/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right by players, minimising harm and maximising wellbeing?</w:t>
            </w:r>
          </w:p>
          <w:p w14:paraId="5E549EEF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•  Could a wellbeing partner </w:t>
            </w:r>
            <w:r w:rsidRPr="1C1161DC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add value through subject matter expertise,</w:t>
            </w: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research capacity, player insight, or </w:t>
            </w:r>
            <w:r w:rsidRPr="1C1161DC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provision of </w:t>
            </w: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funding</w:t>
            </w:r>
            <w:r w:rsidRPr="1C1161DC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?</w:t>
            </w:r>
          </w:p>
        </w:tc>
        <w:tc>
          <w:tcPr>
            <w:tcW w:w="4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622172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Does our target audience play games? Is there demographic alignment?</w:t>
            </w:r>
          </w:p>
          <w:p w14:paraId="22A9FE76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Could games reach people we currently struggle to engage through traditional campaigns?</w:t>
            </w:r>
          </w:p>
          <w:p w14:paraId="6E93CBDB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Could a game offer deeper, more sustained engagement than other media?</w:t>
            </w:r>
          </w:p>
          <w:p w14:paraId="37008C57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Are we open to health messaging that doesn’t come from an ‘authority voice’ - that feels native to the player’s world?</w:t>
            </w:r>
          </w:p>
        </w:tc>
      </w:tr>
      <w:tr w:rsidR="00B308F6" w14:paraId="7CD7501F" w14:textId="77777777" w:rsidTr="00C34030">
        <w:trPr>
          <w:trHeight w:val="300"/>
        </w:trPr>
        <w:tc>
          <w:tcPr>
            <w:tcW w:w="5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668C56E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b/>
                <w:bCs/>
                <w:color w:val="1F4E79"/>
                <w:sz w:val="19"/>
                <w:szCs w:val="19"/>
              </w:rPr>
              <w:t>Is this viable for us?</w:t>
            </w:r>
          </w:p>
        </w:tc>
        <w:tc>
          <w:tcPr>
            <w:tcW w:w="4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6EFC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C6AEB73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b/>
                <w:bCs/>
                <w:color w:val="1F4E79"/>
                <w:sz w:val="19"/>
                <w:szCs w:val="19"/>
              </w:rPr>
              <w:t>Is this partnership viable for us?</w:t>
            </w:r>
          </w:p>
        </w:tc>
      </w:tr>
      <w:tr w:rsidR="00B308F6" w14:paraId="2D91C8F4" w14:textId="77777777" w:rsidTr="00C34030">
        <w:trPr>
          <w:trHeight w:val="300"/>
        </w:trPr>
        <w:tc>
          <w:tcPr>
            <w:tcW w:w="5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29C20D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Can it be seamlessly integrated — does it fit the game world without breaking immersion, including not having experiences that directly contradict the wellbeing learning target?</w:t>
            </w:r>
          </w:p>
          <w:p w14:paraId="3C065240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Does it fit within our production timeline and resource capacity?</w:t>
            </w:r>
          </w:p>
          <w:p w14:paraId="598E3FE2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Could we articulate commercial value: richer content, broader audience, unique marketing?</w:t>
            </w:r>
          </w:p>
          <w:p w14:paraId="4135AAC0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Do we have (or can we access via partnerships or consultancy) the subject matter expertise to design this authentically to the wellbeing target?</w:t>
            </w:r>
          </w:p>
          <w:p w14:paraId="42E465EF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Are we prepared to handle potential reputational sensitivity - and do we have a communications plan</w:t>
            </w:r>
            <w:r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and staff safety plans</w:t>
            </w: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able to manage these?</w:t>
            </w:r>
          </w:p>
        </w:tc>
        <w:tc>
          <w:tcPr>
            <w:tcW w:w="4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276807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Are we prepared to extensively network, including making contacts via peak bodies or attending game sector conferences, to reach decision-makers within game studios?</w:t>
            </w:r>
          </w:p>
          <w:p w14:paraId="35CEA518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Are we comfortable with the intended audience being global, larger than the direct remit of our organisation?</w:t>
            </w:r>
          </w:p>
          <w:p w14:paraId="53A0474F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Are we comfortable giving the studio creative licence over how the experience is designed</w:t>
            </w:r>
            <w:r w:rsidRPr="6117BDDB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, within broad confines of a brief</w:t>
            </w: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?</w:t>
            </w:r>
          </w:p>
          <w:p w14:paraId="46DC8760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Can we contribute something beyond money - research expertise, evaluation capacity, subject matter knowledge?</w:t>
            </w:r>
          </w:p>
          <w:p w14:paraId="15425A60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If public or not-for-profit funded: are our funders comfortable with the association, and do we have communication plans to support this?</w:t>
            </w:r>
          </w:p>
        </w:tc>
      </w:tr>
      <w:tr w:rsidR="00B308F6" w14:paraId="131CF6FC" w14:textId="77777777" w:rsidTr="00C34030">
        <w:trPr>
          <w:trHeight w:val="300"/>
        </w:trPr>
        <w:tc>
          <w:tcPr>
            <w:tcW w:w="5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D6F555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b/>
                <w:bCs/>
                <w:color w:val="1F4E79"/>
                <w:sz w:val="19"/>
                <w:szCs w:val="19"/>
              </w:rPr>
              <w:t>How should we design the experience?</w:t>
            </w:r>
          </w:p>
        </w:tc>
        <w:tc>
          <w:tcPr>
            <w:tcW w:w="4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6EFC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D8E9CA9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b/>
                <w:bCs/>
                <w:color w:val="1F4E79"/>
                <w:sz w:val="19"/>
                <w:szCs w:val="19"/>
              </w:rPr>
              <w:t>How do we ensure the experience is effective?</w:t>
            </w:r>
          </w:p>
        </w:tc>
      </w:tr>
      <w:tr w:rsidR="00B308F6" w14:paraId="34746E01" w14:textId="77777777" w:rsidTr="00C34030">
        <w:trPr>
          <w:trHeight w:val="300"/>
        </w:trPr>
        <w:tc>
          <w:tcPr>
            <w:tcW w:w="5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3BD120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lastRenderedPageBreak/>
              <w:t>•  Is it playable with game mechanics, not just messaging?</w:t>
            </w:r>
          </w:p>
          <w:p w14:paraId="66D29F93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Does it let players make meaningful choices, including wrong ones, without punishing them?</w:t>
            </w:r>
          </w:p>
          <w:p w14:paraId="3940BA45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Is it authentically woven into the game world, or does it feel ‘tacked on’?</w:t>
            </w:r>
          </w:p>
          <w:p w14:paraId="0336CA2D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•  Does it avoid lecturing or moralising - does it speak in the game’s voice, not a health </w:t>
            </w:r>
            <w:proofErr w:type="gramStart"/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authority’s</w:t>
            </w:r>
            <w:proofErr w:type="gramEnd"/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?</w:t>
            </w:r>
          </w:p>
          <w:p w14:paraId="67F6E368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Have we considered gain-framing (what players stand to gain) over loss-framing?</w:t>
            </w:r>
          </w:p>
        </w:tc>
        <w:tc>
          <w:tcPr>
            <w:tcW w:w="4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7EFC6E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Is the wellbeing target specific enough to design for, but flexible enough to fit within a wide variety of game genres, and global audiences?</w:t>
            </w:r>
          </w:p>
          <w:p w14:paraId="73A6C4CD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Could metaphor carry the core learning if the topic is too sensitive or regional to depict directly?</w:t>
            </w:r>
          </w:p>
          <w:p w14:paraId="5FD8D931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Have we, or are we willing, to conduct formative research with the target audience to shape the experience?</w:t>
            </w:r>
          </w:p>
          <w:p w14:paraId="1D111C39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•  Are gamers represented in the design process </w:t>
            </w:r>
            <w:proofErr w:type="gramStart"/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-  not</w:t>
            </w:r>
            <w:proofErr w:type="gramEnd"/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just as an end-user, but as co-designers?</w:t>
            </w:r>
          </w:p>
        </w:tc>
      </w:tr>
      <w:tr w:rsidR="00B308F6" w14:paraId="305900DC" w14:textId="77777777" w:rsidTr="00C34030">
        <w:trPr>
          <w:trHeight w:val="300"/>
        </w:trPr>
        <w:tc>
          <w:tcPr>
            <w:tcW w:w="5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1ACF826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b/>
                <w:bCs/>
                <w:color w:val="1F4E79"/>
                <w:sz w:val="19"/>
                <w:szCs w:val="19"/>
              </w:rPr>
              <w:t>How do we find and work with the right topic or partner?</w:t>
            </w:r>
          </w:p>
        </w:tc>
        <w:tc>
          <w:tcPr>
            <w:tcW w:w="4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6EFC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3B8B734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b/>
                <w:bCs/>
                <w:color w:val="1F4E79"/>
                <w:sz w:val="19"/>
                <w:szCs w:val="19"/>
              </w:rPr>
              <w:t>How do we approach and work with a studio?</w:t>
            </w:r>
          </w:p>
        </w:tc>
      </w:tr>
      <w:tr w:rsidR="00B308F6" w14:paraId="5550306D" w14:textId="77777777" w:rsidTr="00C34030">
        <w:trPr>
          <w:trHeight w:val="300"/>
        </w:trPr>
        <w:tc>
          <w:tcPr>
            <w:tcW w:w="5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82CFE3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Do we have internal champions who can advocate for this - and a culture where staff feel safe to propose it?</w:t>
            </w:r>
          </w:p>
          <w:p w14:paraId="726E1ABE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Have we engaged early enough? AAA projects need wellbeing experiences built into the pipeline from the start.</w:t>
            </w:r>
          </w:p>
          <w:p w14:paraId="0504DEB7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Are we open to a knowledge-exchange partnership, not just a funded one?</w:t>
            </w:r>
          </w:p>
        </w:tc>
        <w:tc>
          <w:tcPr>
            <w:tcW w:w="4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E0D757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•  Have we researched the </w:t>
            </w:r>
            <w:proofErr w:type="gramStart"/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studio’s</w:t>
            </w:r>
            <w:proofErr w:type="gramEnd"/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or the game’s creative vision – can you think of ways your wellbeing target can fit their world?</w:t>
            </w:r>
          </w:p>
          <w:p w14:paraId="1AB1FBAD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Can we demonstrate commercial value alongside wellbeing outcomes, backed by data or prior examples?</w:t>
            </w:r>
          </w:p>
          <w:p w14:paraId="3910D1DF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Can we offer a feasibility or evaluative study as part of the partnership — giving the studio player insight they couldn’t otherwise access?</w:t>
            </w:r>
          </w:p>
        </w:tc>
      </w:tr>
      <w:tr w:rsidR="00B308F6" w14:paraId="37B49102" w14:textId="77777777" w:rsidTr="00C34030">
        <w:trPr>
          <w:trHeight w:val="300"/>
        </w:trPr>
        <w:tc>
          <w:tcPr>
            <w:tcW w:w="5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5EAC54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b/>
                <w:bCs/>
                <w:color w:val="1F4E79"/>
                <w:sz w:val="19"/>
                <w:szCs w:val="19"/>
              </w:rPr>
              <w:t>How do we know if it worked?</w:t>
            </w:r>
            <w:r>
              <w:rPr>
                <w:rFonts w:ascii="Arial" w:eastAsia="Arial" w:hAnsi="Arial" w:cs="Arial"/>
                <w:b/>
                <w:bCs/>
                <w:color w:val="1F4E79"/>
                <w:sz w:val="19"/>
                <w:szCs w:val="19"/>
              </w:rPr>
              <w:t xml:space="preserve"> And are we willing to contribute to a knowledge base to support future similar endeavours?</w:t>
            </w:r>
          </w:p>
        </w:tc>
        <w:tc>
          <w:tcPr>
            <w:tcW w:w="4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6EFC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B05C71D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b/>
                <w:bCs/>
                <w:color w:val="1F4E79"/>
                <w:sz w:val="19"/>
                <w:szCs w:val="19"/>
              </w:rPr>
              <w:t>How do we measure reach and impact?</w:t>
            </w:r>
          </w:p>
        </w:tc>
      </w:tr>
      <w:tr w:rsidR="00B308F6" w14:paraId="080E8C88" w14:textId="77777777" w:rsidTr="00C34030">
        <w:trPr>
          <w:trHeight w:val="300"/>
        </w:trPr>
        <w:tc>
          <w:tcPr>
            <w:tcW w:w="5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DEEAF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2BCA0D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What in-game data can we share with our partner, while protecting commercial sensitivity — engagement, time spent, player choices?</w:t>
            </w:r>
          </w:p>
          <w:p w14:paraId="1BF323C6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•  Are we open to A/B testing variants of the wellbeing experience within the game, and to supporting further data collection such as survey recruitment? </w:t>
            </w:r>
          </w:p>
          <w:p w14:paraId="59B02E9B" w14:textId="77777777" w:rsidR="00B308F6" w:rsidRDefault="00B308F6" w:rsidP="00C34030">
            <w:pPr>
              <w:spacing w:before="35" w:after="35"/>
              <w:ind w:left="200" w:hanging="200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•  Could findings </w:t>
            </w:r>
            <w:r w:rsidRPr="6117BDDB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or aspects of the process </w:t>
            </w: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be </w:t>
            </w:r>
            <w:proofErr w:type="gramStart"/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publishable ?</w:t>
            </w:r>
            <w:proofErr w:type="gramEnd"/>
            <w:r w:rsidRPr="6117BDDB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A public record of playable wellbeing can support future endeavours.</w:t>
            </w:r>
          </w:p>
          <w:p w14:paraId="56F8DBAE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Have we agreed upfront on data governance, confidentiality, and what gets shared?</w:t>
            </w:r>
          </w:p>
          <w:p w14:paraId="24108737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Have we considered a publication plan that can help build an ongoing evidence base for enabling wellbeing in game design?</w:t>
            </w:r>
          </w:p>
        </w:tc>
        <w:tc>
          <w:tcPr>
            <w:tcW w:w="4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201D20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What counts as success for us — reach, engagement, attitude change, behaviour change?</w:t>
            </w:r>
          </w:p>
          <w:p w14:paraId="500A2DCA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Can we conduct a feasibility study before and/or an evaluative study after</w:t>
            </w:r>
            <w:proofErr w:type="gramStart"/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-  as</w:t>
            </w:r>
            <w:proofErr w:type="gramEnd"/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part of the partnership offer?</w:t>
            </w:r>
          </w:p>
          <w:p w14:paraId="318B7E11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Are we set up to make use of the rich behavioural data games can provide, and add primary data collection to supplement?</w:t>
            </w:r>
          </w:p>
          <w:p w14:paraId="4F702A4A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•  How will we report impact to funders - and does this partnership model fit that narrative?</w:t>
            </w:r>
          </w:p>
          <w:p w14:paraId="1D134A1A" w14:textId="77777777" w:rsidR="00B308F6" w:rsidRDefault="00B308F6" w:rsidP="00C34030">
            <w:pPr>
              <w:spacing w:before="35" w:after="35"/>
              <w:ind w:left="200" w:hanging="200"/>
            </w:pPr>
            <w:r w:rsidRPr="47E1B8A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•  Are we willing to publish findings in scientific journals or other outlets to contribute to growing a base of knowledge on playable wellbeing? </w:t>
            </w:r>
          </w:p>
        </w:tc>
      </w:tr>
      <w:tr w:rsidR="00B308F6" w14:paraId="66AA8079" w14:textId="77777777" w:rsidTr="00C34030">
        <w:trPr>
          <w:trHeight w:val="300"/>
        </w:trPr>
        <w:tc>
          <w:tcPr>
            <w:tcW w:w="9795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2F2F2" w:themeFill="background1" w:themeFillShade="F2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1320304" w14:textId="77777777" w:rsidR="00B308F6" w:rsidRDefault="00B308F6" w:rsidP="00C34030">
            <w:pPr>
              <w:spacing w:after="0"/>
            </w:pPr>
            <w:r w:rsidRPr="47E1B8A9">
              <w:rPr>
                <w:rFonts w:ascii="Arial" w:eastAsia="Arial" w:hAnsi="Arial" w:cs="Arial"/>
                <w:i/>
                <w:iCs/>
                <w:color w:val="444444"/>
                <w:sz w:val="15"/>
                <w:szCs w:val="15"/>
              </w:rPr>
              <w:t>Four baseline conditions for any playable wellbeing partnership: (1) demographic alignment between target audience and player base; (2) no in-game content that directly contradicts the wellbeing message; (3) creative integrity of the game’s vision maintained; (4) commercial viability not undermined. These are the minimum — the questions above help navigate the space beyond them.</w:t>
            </w:r>
          </w:p>
        </w:tc>
      </w:tr>
    </w:tbl>
    <w:p w14:paraId="360FA1DC" w14:textId="77777777" w:rsidR="00B308F6" w:rsidRDefault="00B308F6" w:rsidP="00B308F6">
      <w:pPr>
        <w:rPr>
          <w:b/>
          <w:bCs/>
        </w:rPr>
      </w:pPr>
    </w:p>
    <w:p w14:paraId="740CC0AB" w14:textId="77777777" w:rsidR="00B95B28" w:rsidRDefault="00B95B28">
      <w:pPr>
        <w:rPr>
          <w:rFonts w:hint="eastAsia"/>
        </w:rPr>
      </w:pPr>
    </w:p>
    <w:sectPr w:rsidR="00B95B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oNotDisplayPageBoundarie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F6"/>
    <w:rsid w:val="00793CC0"/>
    <w:rsid w:val="00AA1E13"/>
    <w:rsid w:val="00B308F6"/>
    <w:rsid w:val="00B95B28"/>
    <w:rsid w:val="00D56AE5"/>
    <w:rsid w:val="00F7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E34380"/>
  <w15:chartTrackingRefBased/>
  <w15:docId w15:val="{A0FCB000-5071-374E-B3EF-F085F599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8F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8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8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8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8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8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8F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8F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8F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8F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B30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8F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B30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8F6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B30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8F6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B30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8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901</Words>
  <Characters>5416</Characters>
  <Application>Microsoft Office Word</Application>
  <DocSecurity>0</DocSecurity>
  <Lines>91</Lines>
  <Paragraphs>25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Loton</dc:creator>
  <cp:keywords/>
  <dc:description/>
  <cp:lastModifiedBy>Dan Loton</cp:lastModifiedBy>
  <cp:revision>1</cp:revision>
  <dcterms:created xsi:type="dcterms:W3CDTF">2026-06-04T06:46:00Z</dcterms:created>
  <dcterms:modified xsi:type="dcterms:W3CDTF">2026-06-04T06:46:00Z</dcterms:modified>
</cp:coreProperties>
</file>