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36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32"/>
          <w:szCs w:val="32"/>
        </w:rPr>
        <w:t xml:space="preserve">Additional File 1 — Supplementary Tables</w:t>
      </w:r>
    </w:p>
    <w:p>
      <w:pPr>
        <w:spacing w:after="240" w:before="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Oral health burden and behavioural determinants of dental caries among Ukrainian civilians attending humanitarian dental missions in 2025 and 2026: a two-wave cross-sectional cohort study in Korosten and Ternopil</w:t>
      </w:r>
    </w:p>
    <w:p>
      <w:pPr>
        <w:spacing w:after="240" w:before="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Yen E-T, Chiu S-H, Maistrova R, Cheng C-Y, Yen C-C, Tsai K-Z, Tsai W.</w:t>
      </w:r>
    </w:p>
    <w:p>
      <w:pPr>
        <w:spacing w:after="360" w:before="0" w:line="36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All analyses performed in Stata 19 for Mac (StataCorp, College Station, TX).</w:t>
      </w:r>
    </w:p>
    <w:p>
      <w:pPr>
        <w:spacing w:after="120" w:before="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Contents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S1. Wave × Location interaction model for total DMFT (N = 112)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S2. Negative-binomial regression for total DMFT restricted to participants aged ≥ 12 years (N = 107)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S3. Negative-binomial regression for total DMFT restricted to adults aged 18–64 years (N = 72)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S4. Poisson regression with robust standard errors for total DMFT (N = 112)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S5. Within-wave stratified negative-binomial regressions for total DMFT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S6. Multiple-testing correction across nine pre-specified primary inferential tests</w:t>
      </w:r>
    </w:p>
    <w:p>
      <w:pPr>
        <w:spacing w:after="60" w:before="0" w:line="36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Table S7. Smoking-adjusted sensitivity analysis (ever-smoker added to the primary models)</w:t>
      </w:r>
    </w:p>
    <w:p>
      <w:pPr>
        <w:spacing w:after="120" w:before="36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S1. Wave × Location interaction model for total DMFT (N = 112)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1500"/>
        <w:gridCol w:w="1100"/>
        <w:gridCol w:w="2126"/>
      </w:tblGrid>
      <w:tr>
        <w:trPr>
          <w:tblHeader/>
        </w:trP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IRR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95% CI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(2026) vs Wave 1 (2025)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0.88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0.64–1.22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0.440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1.27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0.98–1.64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0.165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× Korosten (interaction)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1.08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0.72–1.63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0.226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0.700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0.87–1.32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0.114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0.513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0.99–1.05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0.165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0.97–1.06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0.025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0.603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0.74–1.13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0.098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0.413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0.59–0.89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0.78–1.15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0.095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0.590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0.89–1.46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0.300</w:t>
            </w:r>
          </w:p>
        </w:tc>
      </w:tr>
    </w:tbl>
    <w:p>
      <w:pPr>
        <w:spacing w:after="24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Negative-binomial GLM with log link, robust standard errors. Dispersion α = 0.157. The Wave × Location interaction term was not significant (p = 0.700), indicating that the location effect did not differ meaningfully between waves. The interaction was therefore not retained in the primary model.</w:t>
      </w:r>
    </w:p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S2. Negative-binomial regression for total DMFT restricted to participants aged ≥ 12 years (N = 107)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1500"/>
        <w:gridCol w:w="1100"/>
        <w:gridCol w:w="2126"/>
      </w:tblGrid>
      <w:tr>
        <w:trPr>
          <w:tblHeader/>
        </w:trP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IRR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95% CI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(2026) vs Wave 1 (2025)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0.89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0.68–1.16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0.122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0.401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1.32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1.06–1.64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1.05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0.85–1.29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0.112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0.665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0.99–1.07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0.022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0.189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1.00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0.94–1.07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0.034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0.972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0.96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0.74–1.25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0.126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0.771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0.59–0.88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0.75–1.11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0.090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0.354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0.90–1.46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0.141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0.277</w:t>
            </w:r>
          </w:p>
        </w:tc>
      </w:tr>
    </w:tbl>
    <w:p>
      <w:pPr>
        <w:spacing w:after="24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Five participants under 12 years of age excluded. The Korosten effect (adjusted IRR 1.32, p = 0.012) and the brushing effect (adjusted IRR 0.72, p = 0.001) were preserved.</w:t>
      </w:r>
    </w:p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S3. Negative-binomial regression for total DMFT restricted to adults aged 18–64 years (N = 72)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1500"/>
        <w:gridCol w:w="1100"/>
        <w:gridCol w:w="2126"/>
      </w:tblGrid>
      <w:tr>
        <w:trPr>
          <w:tblHeader/>
        </w:trP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IRR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95% CI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(2026) vs Wave 1 (2025)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1.00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0.71–1.41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0.176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0.998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1.18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0.94–1.47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0.158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0.73–1.18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0.115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0.552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1.08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1.00–1.16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0.040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0.047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0.83–1.06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0.058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0.281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1.24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0.64–2.39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0.415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0.523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0.76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0.61–0.94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0.082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0.72–1.15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0.110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0.439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1.26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0.93–1.70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0.193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0.129</w:t>
            </w:r>
          </w:p>
        </w:tc>
      </w:tr>
    </w:tbl>
    <w:p>
      <w:pPr>
        <w:spacing w:after="24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Forty participants outside the 18–64 range excluded (n = 12 children, n = 28 ≥ 65 years). The brushing effect was preserved (adjusted IRR 0.76, p = 0.011); the Korosten effect was attenuated to non-significance (adjusted IRR 1.18, p = 0.158), consistent with a Korosten catchment over-represented at both age extremes.</w:t>
      </w:r>
    </w:p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S4. Poisson regression with robust standard errors for total DMFT (N = 112)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1500"/>
        <w:gridCol w:w="1100"/>
        <w:gridCol w:w="2126"/>
      </w:tblGrid>
      <w:tr>
        <w:trPr>
          <w:tblHeader/>
        </w:trP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IRR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95% CI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(2026) vs Wave 1 (2025)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0.70–1.17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0.117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0.450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1.30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1.07–1.59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0.131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0.008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1.06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0.88–1.28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0.100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0.537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0.99–1.06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0.149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0.96–1.06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0.026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0.802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0.77–1.16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0.099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0.575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0.61–0.89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0.90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0.75–1.09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0.086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0.295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0.95–1.44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0.126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0.147</w:t>
            </w:r>
          </w:p>
        </w:tc>
      </w:tr>
    </w:tbl>
    <w:p>
      <w:pPr>
        <w:spacing w:after="24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Poisson regression with robust (Huber–White) standard errors. Results were essentially identical to the primary negative-binomial model in direction and magnitude, supporting the conclusion that the two key findings (Korosten and brushing) are robust to the choice of count-data family.</w:t>
      </w:r>
    </w:p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S5. Within-wave stratified negative-binomial regressions for total DMFT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0"/>
        <w:gridCol w:w="700"/>
        <w:gridCol w:w="2000"/>
        <w:gridCol w:w="1926"/>
      </w:tblGrid>
      <w:tr>
        <w:trPr>
          <w:tblHeader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Wave 1 IRR (95% CI)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Wave 1 p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Wave 2 IRR (95% CI)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Wave 2 p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1.25 (0.98–1.59)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0.075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1.43 (1.03–1.98)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0.030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1.16 (0.86–1.56)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0.334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0.90 (0.69–1.16)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0.407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1.05 (1.00–1.09)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0.031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1.00 (0.97–1.04)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0.989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0.97 (0.90–1.04)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0.365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1.06 (1.00–1.13)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0.068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1.12 (0.83–1.53)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0.453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0.69 (0.52–0.92)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0.012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 (0.73–1.14)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0.428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0.59 (0.43–0.80)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0.001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1.00 (0.74–1.36)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0.986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0.81 (0.62–1.06)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0.130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 (0.70–1.40)</w:t>
            </w:r>
          </w:p>
        </w:tc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0.951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1.47 (1.08–2.00)</w:t>
            </w:r>
          </w:p>
        </w:tc>
        <w:tc>
          <w:tcPr>
            <w:tcW w:type="dxa" w:w="19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0.015</w:t>
            </w:r>
          </w:p>
        </w:tc>
      </w:tr>
    </w:tbl>
    <w:p>
      <w:pPr>
        <w:spacing w:after="24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Two within-wave negative-binomial GLMs fitted separately. The Korosten effect was significant in the 2026 wave (IRR 1.43, p = 0.030) and borderline in the smaller 2025 wave (IRR 1.25, p = 0.075). The brushing effect was concentrated in the 2026 wave (IRR 0.59, p = 0.001) and was non-significant in the 2025 wave (IRR 0.91, p = 0.428), reflecting the smaller sample size and lower prevalence of self-reported twice-daily brushing in 2025 (43.5% vs 63.6%).</w:t>
      </w:r>
    </w:p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S6. Multiple-testing correction across nine pre-specified primary inferential tests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6"/>
        <w:gridCol w:w="1200"/>
        <w:gridCol w:w="1600"/>
        <w:gridCol w:w="1600"/>
      </w:tblGrid>
      <w:tr>
        <w:trPr>
          <w:tblHeader/>
        </w:trP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Test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Raw p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Holm-adjusted p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BH-adjusted p (FDR)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Any decay (D ≥ 1) by Wave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0.033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0.164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0.059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High caries burden (DMFT ≥ 14) by Wave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0.002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0.014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0.008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by Wave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0.053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0.211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0.079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 — adjusted IRR for DMFT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0.009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0.065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0.028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— adjusted IRR for DMFT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0.002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0.014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0.008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— adjusted IRR for DMFT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0.497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0.523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Decayed (D) by Location (Mann–Whitney)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0.027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0.162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0.059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 — adjusted IRR for DMFT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0.523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0.993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0.523</w:t>
            </w:r>
          </w:p>
        </w:tc>
      </w:tr>
      <w:tr>
        <w:tc>
          <w:tcPr>
            <w:tcW w:type="dxa" w:w="46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 — adjusted IRR for DMFT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0.330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0.991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0.425</w:t>
            </w:r>
          </w:p>
        </w:tc>
      </w:tr>
    </w:tbl>
    <w:p>
      <w:pPr>
        <w:spacing w:after="24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Holm-adjusted (familywise error rate) and Benjamini–Hochberg adjusted (false-discovery rate) p-values calculated across all nine pre-specified primary inferential tests. The brushing effect on DMFT and the high-caries-burden contrast both retain adjusted p-values below 0.05 under both procedures. The Korosten effect on DMFT retains significance under BH (FDR) control but is attenuated to borderline under the stricter Holm procedure.</w:t>
      </w:r>
    </w:p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Table S7. Smoking-adjusted sensitivity analysis</w:t>
      </w:r>
    </w:p>
    <w:p>
      <w:pPr>
        <w:spacing w:after="120" w:before="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S7a. Negative-binomial regression for total DMFT with ever-smoking added (N = 112)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1500"/>
        <w:gridCol w:w="1100"/>
        <w:gridCol w:w="2126"/>
      </w:tblGrid>
      <w:tr>
        <w:trPr>
          <w:tblHeader/>
        </w:trP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IRR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95% CI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(2026) vs Wave 1 (2025)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0.69–1.21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0.131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0.525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1.32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1.07–1.63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0.143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0.87–1.32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0.114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0.541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1.02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0.99–1.05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0.175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0.97–1.06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0.025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0.590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0.74–1.13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0.099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0.410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0.61–0.88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0.001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0.77–1.14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0.093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0.524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1.13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0.88–1.44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0.139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0.332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Ever smoker (vs never)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1.01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0.68–1.48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0.200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0.980</w:t>
            </w:r>
          </w:p>
        </w:tc>
      </w:tr>
    </w:tbl>
    <w:p>
      <w:pPr>
        <w:spacing w:after="120" w:before="240" w:line="36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S7b. Logistic regression for any untreated decay (D ≥ 1) with ever-smoking added (N = 112)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900"/>
        <w:gridCol w:w="1500"/>
        <w:gridCol w:w="1100"/>
        <w:gridCol w:w="2126"/>
      </w:tblGrid>
      <w:tr>
        <w:trPr>
          <w:tblHeader/>
        </w:trP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Predictor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OR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95% CI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Wave 2 (2026) vs Wave 1 (2025)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0.40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0.13–1.21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0.225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0.104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Korosten vs Ternopil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1.89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0.78–4.62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0.862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0.161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Male vs Female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0.79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0.30–2.12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0.397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0.645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1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0.90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0.83–0.98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0.036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1.17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0.98–1.38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0.101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0.075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Age, RCS term 3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0.56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0.24–1.29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0.239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0.174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Brushing ≥ 2/day vs &lt; 2/day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0.42–2.23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0.413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0.934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flossing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0.38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0.14–1.03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0.194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0.058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Daily mouth-rinse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0.87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0.22–3.43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0.609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0.840</w:t>
            </w:r>
          </w:p>
        </w:tc>
      </w:tr>
      <w:tr>
        <w:tc>
          <w:tcPr>
            <w:tcW w:type="dxa" w:w="3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Ever smoker (vs never)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1.34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0.36–5.00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0.917</w:t>
            </w:r>
          </w:p>
        </w:tc>
        <w:tc>
          <w:tcPr>
            <w:tcW w:type="dxa" w:w="21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0.665</w:t>
            </w:r>
          </w:p>
        </w:tc>
      </w:tr>
    </w:tbl>
    <w:p>
      <w:pPr>
        <w:spacing w:after="120" w:before="120" w:line="36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Ever-smoking added to both primary models as a sensitivity check. The Korosten effect on DMFT (IRR 1.32, p = 0.010) and the brushing effect on DMFT (IRR 0.73, p = 0.001) were essentially unchanged. Ever-smoking itself was not independently associated with DMFT (IRR 1.01, p = 0.980) or with any untreated decay (OR 1.34, p = 0.665) in this sample. The wave estimate for any untreated decay (OR 0.40, p = 0.104) was also essentially unchanged.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2"/>
        <w:szCs w:val="22"/>
      </w:rPr>
      <w:t xml:space="preserve">Additional File 1 — 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1 - Supplementary Tables</dc:title>
  <dc:creator>MacKay Memorial Hospital</dc:creator>
  <cp:lastModifiedBy>Un-named</cp:lastModifiedBy>
  <cp:revision>1</cp:revision>
  <dcterms:created xsi:type="dcterms:W3CDTF">2026-05-23T06:11:02.138Z</dcterms:created>
  <dcterms:modified xsi:type="dcterms:W3CDTF">2026-05-23T06:11:02.138Z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