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9F20A" w14:textId="77777777" w:rsidR="00CE77F2" w:rsidRPr="00455998" w:rsidRDefault="00000000">
      <w:pPr>
        <w:rPr>
          <w:rFonts w:ascii="Times New Roman" w:hAnsi="Times New Roman" w:cs="Times New Roman"/>
          <w:sz w:val="24"/>
          <w:szCs w:val="24"/>
        </w:rPr>
      </w:pPr>
      <w:r w:rsidRPr="00455998">
        <w:rPr>
          <w:rFonts w:ascii="Times New Roman" w:hAnsi="Times New Roman" w:cs="Times New Roman"/>
          <w:b/>
          <w:sz w:val="24"/>
          <w:szCs w:val="24"/>
        </w:rPr>
        <w:t>Table 2. Tools and psychometric evidence in dementia studies</w:t>
      </w:r>
    </w:p>
    <w:tbl>
      <w:tblPr>
        <w:tblStyle w:val="TableGrid"/>
        <w:tblW w:w="0" w:type="auto"/>
        <w:tblLook w:val="04A0" w:firstRow="1" w:lastRow="0" w:firstColumn="1" w:lastColumn="0" w:noHBand="0" w:noVBand="1"/>
      </w:tblPr>
      <w:tblGrid>
        <w:gridCol w:w="2429"/>
        <w:gridCol w:w="2632"/>
        <w:gridCol w:w="1884"/>
        <w:gridCol w:w="2066"/>
        <w:gridCol w:w="4099"/>
        <w:gridCol w:w="2532"/>
      </w:tblGrid>
      <w:tr w:rsidR="009D4F2B" w:rsidRPr="00455998" w14:paraId="45350C1A" w14:textId="77777777" w:rsidTr="00455998">
        <w:trPr>
          <w:trHeight w:val="348"/>
        </w:trPr>
        <w:tc>
          <w:tcPr>
            <w:tcW w:w="2429" w:type="dxa"/>
          </w:tcPr>
          <w:p w14:paraId="0390B252" w14:textId="524A7F45"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b/>
                <w:sz w:val="24"/>
                <w:szCs w:val="24"/>
              </w:rPr>
              <w:t>Author(s)</w:t>
            </w:r>
            <w:r w:rsidR="00455998">
              <w:rPr>
                <w:rFonts w:ascii="Times New Roman" w:hAnsi="Times New Roman" w:cs="Times New Roman"/>
                <w:b/>
                <w:sz w:val="24"/>
                <w:szCs w:val="24"/>
              </w:rPr>
              <w:t xml:space="preserve"> detail</w:t>
            </w:r>
          </w:p>
        </w:tc>
        <w:tc>
          <w:tcPr>
            <w:tcW w:w="2632" w:type="dxa"/>
          </w:tcPr>
          <w:p w14:paraId="2CB2DCCB" w14:textId="007F116E" w:rsidR="009D4F2B" w:rsidRPr="00455998" w:rsidRDefault="009D4F2B" w:rsidP="009D4F2B">
            <w:pPr>
              <w:rPr>
                <w:rFonts w:ascii="Times New Roman" w:hAnsi="Times New Roman" w:cs="Times New Roman"/>
                <w:b/>
                <w:sz w:val="24"/>
                <w:szCs w:val="24"/>
              </w:rPr>
            </w:pPr>
            <w:r w:rsidRPr="00455998">
              <w:rPr>
                <w:rFonts w:ascii="Times New Roman" w:hAnsi="Times New Roman" w:cs="Times New Roman"/>
                <w:b/>
                <w:sz w:val="24"/>
                <w:szCs w:val="24"/>
              </w:rPr>
              <w:t>Tool family/domain</w:t>
            </w:r>
          </w:p>
        </w:tc>
        <w:tc>
          <w:tcPr>
            <w:tcW w:w="1884" w:type="dxa"/>
          </w:tcPr>
          <w:p w14:paraId="61159F52" w14:textId="4066CCBE"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b/>
                <w:sz w:val="24"/>
                <w:szCs w:val="24"/>
              </w:rPr>
              <w:t>Setting(s)</w:t>
            </w:r>
          </w:p>
        </w:tc>
        <w:tc>
          <w:tcPr>
            <w:tcW w:w="2066" w:type="dxa"/>
          </w:tcPr>
          <w:p w14:paraId="158DFB16"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b/>
                <w:sz w:val="24"/>
                <w:szCs w:val="24"/>
              </w:rPr>
              <w:t>Target construct</w:t>
            </w:r>
          </w:p>
        </w:tc>
        <w:tc>
          <w:tcPr>
            <w:tcW w:w="4099" w:type="dxa"/>
          </w:tcPr>
          <w:p w14:paraId="02E63CDC"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b/>
                <w:sz w:val="24"/>
                <w:szCs w:val="24"/>
              </w:rPr>
              <w:t>Psychometric evidence in dementia samples</w:t>
            </w:r>
          </w:p>
        </w:tc>
        <w:tc>
          <w:tcPr>
            <w:tcW w:w="2532" w:type="dxa"/>
          </w:tcPr>
          <w:p w14:paraId="55B96A6F"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b/>
                <w:sz w:val="24"/>
                <w:szCs w:val="24"/>
              </w:rPr>
              <w:t>Feasibility and interpretation</w:t>
            </w:r>
          </w:p>
        </w:tc>
      </w:tr>
      <w:tr w:rsidR="009D4F2B" w:rsidRPr="00455998" w14:paraId="53FE26F8" w14:textId="77777777" w:rsidTr="00455998">
        <w:trPr>
          <w:trHeight w:val="1094"/>
        </w:trPr>
        <w:tc>
          <w:tcPr>
            <w:tcW w:w="2429" w:type="dxa"/>
          </w:tcPr>
          <w:p w14:paraId="620685CF"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Bengisu et al., 2025 [16]</w:t>
            </w:r>
          </w:p>
        </w:tc>
        <w:tc>
          <w:tcPr>
            <w:tcW w:w="2632" w:type="dxa"/>
          </w:tcPr>
          <w:p w14:paraId="5060416D" w14:textId="25CC61D5"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Eating Assessment Tool-10 (EAT-10)</w:t>
            </w:r>
            <w:r w:rsidRPr="00455998">
              <w:rPr>
                <w:rFonts w:ascii="Times New Roman" w:hAnsi="Times New Roman" w:cs="Times New Roman"/>
                <w:sz w:val="24"/>
                <w:szCs w:val="24"/>
              </w:rPr>
              <w:br/>
              <w:t>Domain: Dysphagia</w:t>
            </w:r>
          </w:p>
        </w:tc>
        <w:tc>
          <w:tcPr>
            <w:tcW w:w="1884" w:type="dxa"/>
          </w:tcPr>
          <w:p w14:paraId="2F484492" w14:textId="4E922E5C"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Acute hospital</w:t>
            </w:r>
          </w:p>
        </w:tc>
        <w:tc>
          <w:tcPr>
            <w:tcW w:w="2066" w:type="dxa"/>
          </w:tcPr>
          <w:p w14:paraId="027B5DE0"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Dysphagia symptom burden, swallowing safety and aspiration risk.</w:t>
            </w:r>
          </w:p>
        </w:tc>
        <w:tc>
          <w:tcPr>
            <w:tcW w:w="4099" w:type="dxa"/>
          </w:tcPr>
          <w:p w14:paraId="51CCFCC4"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Diagnostic accuracy against videofluoroscopic swallowing study and Penetration-Aspiration Scale thresholds in Alzheimer’s disease. ROC-derived cut-offs: 15 for unsafe swallowing and 18 for aspiration. AUC 0.96 for unsafe swallowing and 0.81 for aspiration; sensitivity 88.0% and 81.2%; specificity 77.0% and 75.0%, respectively. Reliability was not reported.</w:t>
            </w:r>
          </w:p>
        </w:tc>
        <w:tc>
          <w:tcPr>
            <w:tcW w:w="2532" w:type="dxa"/>
          </w:tcPr>
          <w:p w14:paraId="4009D35B"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Brief questionnaire, but self-report may be unreliable in advanced dementia; objective swallowing assessment remains important where safety is uncertain.</w:t>
            </w:r>
          </w:p>
        </w:tc>
      </w:tr>
      <w:tr w:rsidR="009D4F2B" w:rsidRPr="00455998" w14:paraId="795FE21F" w14:textId="77777777" w:rsidTr="00455998">
        <w:trPr>
          <w:trHeight w:val="952"/>
        </w:trPr>
        <w:tc>
          <w:tcPr>
            <w:tcW w:w="2429" w:type="dxa"/>
          </w:tcPr>
          <w:p w14:paraId="58C07FFA"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Ji et al., 2019 [33]</w:t>
            </w:r>
          </w:p>
        </w:tc>
        <w:tc>
          <w:tcPr>
            <w:tcW w:w="2632" w:type="dxa"/>
          </w:tcPr>
          <w:p w14:paraId="32B4F443" w14:textId="2CD1FD0D"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Modified Mann Assessment of Swallowing Ability (mMASA)</w:t>
            </w:r>
            <w:r w:rsidRPr="00455998">
              <w:rPr>
                <w:rFonts w:ascii="Times New Roman" w:hAnsi="Times New Roman" w:cs="Times New Roman"/>
                <w:sz w:val="24"/>
                <w:szCs w:val="24"/>
              </w:rPr>
              <w:br/>
              <w:t>Domain: Dysphagia</w:t>
            </w:r>
          </w:p>
        </w:tc>
        <w:tc>
          <w:tcPr>
            <w:tcW w:w="1884" w:type="dxa"/>
          </w:tcPr>
          <w:p w14:paraId="6BFA7767" w14:textId="3AF88C3B"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Rehabilitation unit</w:t>
            </w:r>
          </w:p>
        </w:tc>
        <w:tc>
          <w:tcPr>
            <w:tcW w:w="2066" w:type="dxa"/>
          </w:tcPr>
          <w:p w14:paraId="02C3A59B"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Bedside swallowing ability and dysphagia risk.</w:t>
            </w:r>
          </w:p>
        </w:tc>
        <w:tc>
          <w:tcPr>
            <w:tcW w:w="4099" w:type="dxa"/>
          </w:tcPr>
          <w:p w14:paraId="26B4D01A"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Criterion/convergent validity against videofluoroscopic swallowing study and Penetration-Aspiration Scale. mMASA correlated with PAS (Spearman rho −0.349, p = 0.044) and with cognitive measures. No diagnostic cut-off, sensitivity, specificity or reliability testing was reported in the dementia sample.</w:t>
            </w:r>
          </w:p>
        </w:tc>
        <w:tc>
          <w:tcPr>
            <w:tcW w:w="2532" w:type="dxa"/>
          </w:tcPr>
          <w:p w14:paraId="01A0300C"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Potentially useful in mild to moderate dementia, but evidence is limited by small sample size and incomplete measurement-property reporting.</w:t>
            </w:r>
          </w:p>
        </w:tc>
      </w:tr>
      <w:tr w:rsidR="009D4F2B" w:rsidRPr="00455998" w14:paraId="4F28A0E6" w14:textId="77777777" w:rsidTr="00455998">
        <w:trPr>
          <w:trHeight w:val="777"/>
        </w:trPr>
        <w:tc>
          <w:tcPr>
            <w:tcW w:w="2429" w:type="dxa"/>
          </w:tcPr>
          <w:p w14:paraId="408D3385"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Mori et al., 2017 [30]</w:t>
            </w:r>
          </w:p>
        </w:tc>
        <w:tc>
          <w:tcPr>
            <w:tcW w:w="2632" w:type="dxa"/>
          </w:tcPr>
          <w:p w14:paraId="119CE3D2" w14:textId="0EE5A472"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Candy sucking test (CST)</w:t>
            </w:r>
            <w:r w:rsidRPr="00455998">
              <w:rPr>
                <w:rFonts w:ascii="Times New Roman" w:hAnsi="Times New Roman" w:cs="Times New Roman"/>
                <w:sz w:val="24"/>
                <w:szCs w:val="24"/>
              </w:rPr>
              <w:br/>
              <w:t>Domain: Dysphagia</w:t>
            </w:r>
          </w:p>
        </w:tc>
        <w:tc>
          <w:tcPr>
            <w:tcW w:w="1884" w:type="dxa"/>
          </w:tcPr>
          <w:p w14:paraId="03FE51B5" w14:textId="310F02DF"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Long-term care/nursing home</w:t>
            </w:r>
          </w:p>
        </w:tc>
        <w:tc>
          <w:tcPr>
            <w:tcW w:w="2066" w:type="dxa"/>
          </w:tcPr>
          <w:p w14:paraId="4E913ECE"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Oral function, including lingual motor function, bolus formation and transport.</w:t>
            </w:r>
          </w:p>
        </w:tc>
        <w:tc>
          <w:tcPr>
            <w:tcW w:w="4099" w:type="dxa"/>
          </w:tcPr>
          <w:p w14:paraId="35234B90"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Validity evidence through association with tongue pressure (rho = 0.59, p &lt; 0.05) and negative correlation with oral transit time on videofluoroscopy (rho = −0.62, p &lt; 0.01). No diagnostic threshold, sensitivity, specificity or reliability testing was reported.</w:t>
            </w:r>
          </w:p>
        </w:tc>
        <w:tc>
          <w:tcPr>
            <w:tcW w:w="2532" w:type="dxa"/>
          </w:tcPr>
          <w:p w14:paraId="2616AE47"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Low-burden 2-minute physical task using a lollipop and electronic scale; preliminary evidence only.</w:t>
            </w:r>
          </w:p>
        </w:tc>
      </w:tr>
      <w:tr w:rsidR="009D4F2B" w:rsidRPr="00455998" w14:paraId="5D6708EB" w14:textId="77777777" w:rsidTr="00455998">
        <w:trPr>
          <w:trHeight w:val="1508"/>
        </w:trPr>
        <w:tc>
          <w:tcPr>
            <w:tcW w:w="2429" w:type="dxa"/>
          </w:tcPr>
          <w:p w14:paraId="0882C868"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Watson et al., 2001 [34]; Saucedo-Figueredo et al., 2018 [26]; Uyar et al., 2022 [31]; Saucedo-Figueredo et al., 2024 [25]</w:t>
            </w:r>
          </w:p>
        </w:tc>
        <w:tc>
          <w:tcPr>
            <w:tcW w:w="2632" w:type="dxa"/>
          </w:tcPr>
          <w:p w14:paraId="756010B5" w14:textId="1AE2548A"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Edinburgh Feeding Evaluation in Dementia Scale variants (EdFED, EdFED-TR, Spanish EdFED, EdFED #2)</w:t>
            </w:r>
            <w:r w:rsidRPr="00455998">
              <w:rPr>
                <w:rFonts w:ascii="Times New Roman" w:hAnsi="Times New Roman" w:cs="Times New Roman"/>
                <w:sz w:val="24"/>
                <w:szCs w:val="24"/>
              </w:rPr>
              <w:br/>
              <w:t xml:space="preserve">Domain: Malnutrition/feeding </w:t>
            </w:r>
            <w:r w:rsidRPr="00455998">
              <w:rPr>
                <w:rFonts w:ascii="Times New Roman" w:hAnsi="Times New Roman" w:cs="Times New Roman"/>
                <w:sz w:val="24"/>
                <w:szCs w:val="24"/>
              </w:rPr>
              <w:lastRenderedPageBreak/>
              <w:t>difficulty</w:t>
            </w:r>
          </w:p>
        </w:tc>
        <w:tc>
          <w:tcPr>
            <w:tcW w:w="1884" w:type="dxa"/>
          </w:tcPr>
          <w:p w14:paraId="1C4EFB13" w14:textId="2BA7FB56"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lastRenderedPageBreak/>
              <w:t>Long-term care/nursing home, other inpatient and geriatric ward settings</w:t>
            </w:r>
          </w:p>
        </w:tc>
        <w:tc>
          <w:tcPr>
            <w:tcW w:w="2066" w:type="dxa"/>
          </w:tcPr>
          <w:p w14:paraId="1D02D1B6"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Feeding difficulty, mealtime assistance needs and behaviours affecting intake.</w:t>
            </w:r>
          </w:p>
        </w:tc>
        <w:tc>
          <w:tcPr>
            <w:tcW w:w="4099" w:type="dxa"/>
          </w:tcPr>
          <w:p w14:paraId="1033E360"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 xml:space="preserve">Most consistent evidence base. Internal consistency ranged from Cronbach’s α 0.86 to 0.97; inter-observer reliability ICC 0.78 to 0.94; 48-hour stability CCC 0.85. Validity evidence included content validity, confirmatory factor analysis, associations with Mini </w:t>
            </w:r>
            <w:r w:rsidRPr="00455998">
              <w:rPr>
                <w:rFonts w:ascii="Times New Roman" w:hAnsi="Times New Roman" w:cs="Times New Roman"/>
                <w:sz w:val="24"/>
                <w:szCs w:val="24"/>
              </w:rPr>
              <w:lastRenderedPageBreak/>
              <w:t>Nutritional Assessment scores and nutritional indicators, and diagnostic discrimination against MNA-derived nutritional risk/status.</w:t>
            </w:r>
          </w:p>
        </w:tc>
        <w:tc>
          <w:tcPr>
            <w:tcW w:w="2532" w:type="dxa"/>
          </w:tcPr>
          <w:p w14:paraId="31A68C74"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lastRenderedPageBreak/>
              <w:t xml:space="preserve">Observation-based and suitable for mealtime use by trained staff or caregivers. Assesses feeding difficulty and nutrition-related behaviours rather than </w:t>
            </w:r>
            <w:r w:rsidRPr="00455998">
              <w:rPr>
                <w:rFonts w:ascii="Times New Roman" w:hAnsi="Times New Roman" w:cs="Times New Roman"/>
                <w:sz w:val="24"/>
                <w:szCs w:val="24"/>
              </w:rPr>
              <w:lastRenderedPageBreak/>
              <w:t>swallowing safety or aspiration.</w:t>
            </w:r>
          </w:p>
        </w:tc>
      </w:tr>
      <w:tr w:rsidR="009D4F2B" w:rsidRPr="00455998" w14:paraId="184924A8" w14:textId="77777777" w:rsidTr="00455998">
        <w:trPr>
          <w:trHeight w:val="952"/>
        </w:trPr>
        <w:tc>
          <w:tcPr>
            <w:tcW w:w="2429" w:type="dxa"/>
          </w:tcPr>
          <w:p w14:paraId="7E768BEC"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lastRenderedPageBreak/>
              <w:t>Lin et al., 2023 [32]</w:t>
            </w:r>
          </w:p>
        </w:tc>
        <w:tc>
          <w:tcPr>
            <w:tcW w:w="2632" w:type="dxa"/>
          </w:tcPr>
          <w:p w14:paraId="3EA20354" w14:textId="77D1E6EB"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Feeding Difficulty Index (FDI)</w:t>
            </w:r>
            <w:r w:rsidRPr="00455998">
              <w:rPr>
                <w:rFonts w:ascii="Times New Roman" w:hAnsi="Times New Roman" w:cs="Times New Roman"/>
                <w:sz w:val="24"/>
                <w:szCs w:val="24"/>
              </w:rPr>
              <w:br/>
              <w:t>Domain: Malnutrition/feeding difficulty</w:t>
            </w:r>
          </w:p>
        </w:tc>
        <w:tc>
          <w:tcPr>
            <w:tcW w:w="1884" w:type="dxa"/>
          </w:tcPr>
          <w:p w14:paraId="24E2D2C0" w14:textId="570EE86A"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Geriatric ward</w:t>
            </w:r>
          </w:p>
        </w:tc>
        <w:tc>
          <w:tcPr>
            <w:tcW w:w="2066" w:type="dxa"/>
          </w:tcPr>
          <w:p w14:paraId="2CBBC686"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Observed mealtime feeding difficulty and level of assistance required.</w:t>
            </w:r>
          </w:p>
        </w:tc>
        <w:tc>
          <w:tcPr>
            <w:tcW w:w="4099" w:type="dxa"/>
          </w:tcPr>
          <w:p w14:paraId="3ABBD40D"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Discriminatory/known-groups validity using mealtime assistance level as anchor; ROC-derived cut-off 9; AUC 0.703 for assistance level. Reliability, sensitivity and specificity were not reported.</w:t>
            </w:r>
          </w:p>
        </w:tc>
        <w:tc>
          <w:tcPr>
            <w:tcW w:w="2532" w:type="dxa"/>
          </w:tcPr>
          <w:p w14:paraId="52C2DA9A"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Observation-based tool for identifying feeding assistance needs in acute/geriatric care; limited by single-meal observation and incomplete psychometric reporting.</w:t>
            </w:r>
          </w:p>
        </w:tc>
      </w:tr>
      <w:tr w:rsidR="009D4F2B" w:rsidRPr="00455998" w14:paraId="0D39B7E6" w14:textId="77777777" w:rsidTr="00455998">
        <w:trPr>
          <w:trHeight w:val="1174"/>
        </w:trPr>
        <w:tc>
          <w:tcPr>
            <w:tcW w:w="2429" w:type="dxa"/>
          </w:tcPr>
          <w:p w14:paraId="078DC996"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Takada et al., 2017 [29]</w:t>
            </w:r>
          </w:p>
        </w:tc>
        <w:tc>
          <w:tcPr>
            <w:tcW w:w="2632" w:type="dxa"/>
          </w:tcPr>
          <w:p w14:paraId="0F18CBDD" w14:textId="4A94B115"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Signs and Symptoms Accompanying Dementia while Eating (SSADE)</w:t>
            </w:r>
            <w:r w:rsidRPr="00455998">
              <w:rPr>
                <w:rFonts w:ascii="Times New Roman" w:hAnsi="Times New Roman" w:cs="Times New Roman"/>
                <w:sz w:val="24"/>
                <w:szCs w:val="24"/>
              </w:rPr>
              <w:br/>
              <w:t>Domain: Malnutrition/mealtime behaviour</w:t>
            </w:r>
          </w:p>
        </w:tc>
        <w:tc>
          <w:tcPr>
            <w:tcW w:w="1884" w:type="dxa"/>
          </w:tcPr>
          <w:p w14:paraId="657B3FB4" w14:textId="34E4F71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Long-term care/nursing home</w:t>
            </w:r>
          </w:p>
        </w:tc>
        <w:tc>
          <w:tcPr>
            <w:tcW w:w="2066" w:type="dxa"/>
          </w:tcPr>
          <w:p w14:paraId="4447CFC8"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Mealtime signs and symptoms, including behavioural and psychological symptoms affecting eating.</w:t>
            </w:r>
          </w:p>
        </w:tc>
        <w:tc>
          <w:tcPr>
            <w:tcW w:w="4099" w:type="dxa"/>
          </w:tcPr>
          <w:p w14:paraId="11FAFB02"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Exploratory factor analysis identified four factors. Internal consistency was low to moderate across frequency and severity factors, with Cronbach’s α approximately 0.473–0.758. Associations were reported with body mass index, serum albumin, dietary intake and body-weight change.</w:t>
            </w:r>
          </w:p>
        </w:tc>
        <w:tc>
          <w:tcPr>
            <w:tcW w:w="2532" w:type="dxa"/>
          </w:tcPr>
          <w:p w14:paraId="647C3CEA"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Observation-based and relevant to mealtime behaviour, but psychometric support is uneven and no diagnostic cut-off was reported.</w:t>
            </w:r>
          </w:p>
        </w:tc>
      </w:tr>
      <w:tr w:rsidR="009D4F2B" w:rsidRPr="00455998" w14:paraId="0E157081" w14:textId="77777777" w:rsidTr="00455998">
        <w:trPr>
          <w:trHeight w:val="937"/>
        </w:trPr>
        <w:tc>
          <w:tcPr>
            <w:tcW w:w="2429" w:type="dxa"/>
          </w:tcPr>
          <w:p w14:paraId="04E41CBA"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Tarazona-Santabalbina et al., 2009 [27]</w:t>
            </w:r>
          </w:p>
        </w:tc>
        <w:tc>
          <w:tcPr>
            <w:tcW w:w="2632" w:type="dxa"/>
          </w:tcPr>
          <w:p w14:paraId="1E55926B" w14:textId="455A3D7B"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Mini Nutritional Assessment (MNA)</w:t>
            </w:r>
            <w:r w:rsidRPr="00455998">
              <w:rPr>
                <w:rFonts w:ascii="Times New Roman" w:hAnsi="Times New Roman" w:cs="Times New Roman"/>
                <w:sz w:val="24"/>
                <w:szCs w:val="24"/>
              </w:rPr>
              <w:br/>
              <w:t>Domain: Malnutrition/nutritional risk</w:t>
            </w:r>
          </w:p>
        </w:tc>
        <w:tc>
          <w:tcPr>
            <w:tcW w:w="1884" w:type="dxa"/>
          </w:tcPr>
          <w:p w14:paraId="3E2EB8C1" w14:textId="57801E8B"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Long-term care/nursing home</w:t>
            </w:r>
          </w:p>
        </w:tc>
        <w:tc>
          <w:tcPr>
            <w:tcW w:w="2066" w:type="dxa"/>
          </w:tcPr>
          <w:p w14:paraId="21728BE6"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Malnutrition and nutritional risk.</w:t>
            </w:r>
          </w:p>
        </w:tc>
        <w:tc>
          <w:tcPr>
            <w:tcW w:w="4099" w:type="dxa"/>
          </w:tcPr>
          <w:p w14:paraId="426DAA7B"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Diagnostic accuracy against established nutritional criteria in institutionalised older adults with moderate to severe cognitive impairment. Sensitivity 60.0%; specificity 94.7%; PPV 93.8%; NPV 64.3%; LR+ 11.4; LR− 0.42. Correlations were reported with functional, cognitive, mobility and laboratory indicators.</w:t>
            </w:r>
          </w:p>
        </w:tc>
        <w:tc>
          <w:tcPr>
            <w:tcW w:w="2532" w:type="dxa"/>
          </w:tcPr>
          <w:p w14:paraId="043205CE"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Combined assessment including anthropometric, dietary, global and subjective items. Subjective/self-perception items may be difficult to answer reliably in moderate to severe dementia.</w:t>
            </w:r>
          </w:p>
        </w:tc>
      </w:tr>
      <w:tr w:rsidR="009D4F2B" w:rsidRPr="00455998" w14:paraId="2E1DE570" w14:textId="77777777" w:rsidTr="00455998">
        <w:trPr>
          <w:trHeight w:val="618"/>
        </w:trPr>
        <w:tc>
          <w:tcPr>
            <w:tcW w:w="2429" w:type="dxa"/>
          </w:tcPr>
          <w:p w14:paraId="280A6372"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Amano and Nakamura, 2018 [28]</w:t>
            </w:r>
          </w:p>
        </w:tc>
        <w:tc>
          <w:tcPr>
            <w:tcW w:w="2632" w:type="dxa"/>
          </w:tcPr>
          <w:p w14:paraId="249ECB07" w14:textId="31F58322"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Visual plate-waste estimation</w:t>
            </w:r>
            <w:r w:rsidRPr="00455998">
              <w:rPr>
                <w:rFonts w:ascii="Times New Roman" w:hAnsi="Times New Roman" w:cs="Times New Roman"/>
                <w:sz w:val="24"/>
                <w:szCs w:val="24"/>
              </w:rPr>
              <w:br/>
              <w:t>Domain: Malnutrition/food intake</w:t>
            </w:r>
          </w:p>
        </w:tc>
        <w:tc>
          <w:tcPr>
            <w:tcW w:w="1884" w:type="dxa"/>
          </w:tcPr>
          <w:p w14:paraId="3195CFDA" w14:textId="670C74F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Long-term care/nursing home</w:t>
            </w:r>
          </w:p>
        </w:tc>
        <w:tc>
          <w:tcPr>
            <w:tcW w:w="2066" w:type="dxa"/>
          </w:tcPr>
          <w:p w14:paraId="5B53A3F4"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Meal consumption and food intake estimated from plate waste.</w:t>
            </w:r>
          </w:p>
        </w:tc>
        <w:tc>
          <w:tcPr>
            <w:tcW w:w="4099" w:type="dxa"/>
          </w:tcPr>
          <w:p w14:paraId="32C5A59A"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Validated against actual weighed intake by dietitians. Overall agreement 78.4%; underestimation 3.8%; overestimation 17.8%; weighted kappa showed fair agreement (κ = 0.24, p &lt; 0.001). No diagnostic cut-off, sensitivity or specificity was reported.</w:t>
            </w:r>
          </w:p>
        </w:tc>
        <w:tc>
          <w:tcPr>
            <w:tcW w:w="2532" w:type="dxa"/>
          </w:tcPr>
          <w:p w14:paraId="636ED63E"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 xml:space="preserve">Low-burden observation method for routine mealtime intake monitoring. Accuracy varied by meal type and food texture; staff training and recording </w:t>
            </w:r>
            <w:r w:rsidRPr="00455998">
              <w:rPr>
                <w:rFonts w:ascii="Times New Roman" w:hAnsi="Times New Roman" w:cs="Times New Roman"/>
                <w:sz w:val="24"/>
                <w:szCs w:val="24"/>
              </w:rPr>
              <w:lastRenderedPageBreak/>
              <w:t>quality remain important.</w:t>
            </w:r>
          </w:p>
        </w:tc>
      </w:tr>
      <w:tr w:rsidR="009D4F2B" w:rsidRPr="00455998" w14:paraId="778D7415" w14:textId="77777777" w:rsidTr="00455998">
        <w:trPr>
          <w:trHeight w:val="825"/>
        </w:trPr>
        <w:tc>
          <w:tcPr>
            <w:tcW w:w="2429" w:type="dxa"/>
          </w:tcPr>
          <w:p w14:paraId="7913E668"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lastRenderedPageBreak/>
              <w:t>No eligible primary study</w:t>
            </w:r>
          </w:p>
        </w:tc>
        <w:tc>
          <w:tcPr>
            <w:tcW w:w="2632" w:type="dxa"/>
          </w:tcPr>
          <w:p w14:paraId="626C17CE" w14:textId="32B474F6"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No eligible sarcopenia screening or assessment tool identified</w:t>
            </w:r>
            <w:r w:rsidRPr="00455998">
              <w:rPr>
                <w:rFonts w:ascii="Times New Roman" w:hAnsi="Times New Roman" w:cs="Times New Roman"/>
                <w:sz w:val="24"/>
                <w:szCs w:val="24"/>
              </w:rPr>
              <w:br/>
              <w:t>Domain: Sarcopenia</w:t>
            </w:r>
          </w:p>
        </w:tc>
        <w:tc>
          <w:tcPr>
            <w:tcW w:w="1884" w:type="dxa"/>
          </w:tcPr>
          <w:p w14:paraId="0B7B27BC" w14:textId="1329C4EE"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Not applicable</w:t>
            </w:r>
          </w:p>
        </w:tc>
        <w:tc>
          <w:tcPr>
            <w:tcW w:w="2066" w:type="dxa"/>
          </w:tcPr>
          <w:p w14:paraId="0EB005D5"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Sarcopenia, probable sarcopenia or muscle-related screening.</w:t>
            </w:r>
          </w:p>
        </w:tc>
        <w:tc>
          <w:tcPr>
            <w:tcW w:w="4099" w:type="dxa"/>
          </w:tcPr>
          <w:p w14:paraId="11DC6824"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No included primary study reported dementia-sample psychometric evidence for a sarcopenia screening or assessment instrument within the review eligibility criteria.</w:t>
            </w:r>
          </w:p>
        </w:tc>
        <w:tc>
          <w:tcPr>
            <w:tcW w:w="2532" w:type="dxa"/>
          </w:tcPr>
          <w:p w14:paraId="4F93E38D" w14:textId="77777777" w:rsidR="009D4F2B" w:rsidRPr="00455998" w:rsidRDefault="009D4F2B" w:rsidP="009D4F2B">
            <w:pPr>
              <w:rPr>
                <w:rFonts w:ascii="Times New Roman" w:hAnsi="Times New Roman" w:cs="Times New Roman"/>
                <w:sz w:val="24"/>
                <w:szCs w:val="24"/>
              </w:rPr>
            </w:pPr>
            <w:r w:rsidRPr="00455998">
              <w:rPr>
                <w:rFonts w:ascii="Times New Roman" w:hAnsi="Times New Roman" w:cs="Times New Roman"/>
                <w:sz w:val="24"/>
                <w:szCs w:val="24"/>
              </w:rPr>
              <w:t>This is the clearest evidence gap and supports dementia-specific validation of ward-feasible sarcopenia case-finding or assessment tools.</w:t>
            </w:r>
          </w:p>
        </w:tc>
      </w:tr>
    </w:tbl>
    <w:p w14:paraId="2A63FA77" w14:textId="77777777" w:rsidR="00455998" w:rsidRDefault="00455998">
      <w:pPr>
        <w:rPr>
          <w:rFonts w:ascii="Times New Roman" w:hAnsi="Times New Roman" w:cs="Times New Roman"/>
          <w:b/>
          <w:sz w:val="24"/>
          <w:szCs w:val="24"/>
        </w:rPr>
      </w:pPr>
    </w:p>
    <w:p w14:paraId="2C761690" w14:textId="37253B62" w:rsidR="00CE77F2" w:rsidRDefault="00000000">
      <w:pPr>
        <w:rPr>
          <w:rFonts w:ascii="Times New Roman" w:hAnsi="Times New Roman" w:cs="Times New Roman"/>
          <w:sz w:val="24"/>
          <w:szCs w:val="24"/>
        </w:rPr>
      </w:pPr>
      <w:r w:rsidRPr="00455998">
        <w:rPr>
          <w:rFonts w:ascii="Times New Roman" w:hAnsi="Times New Roman" w:cs="Times New Roman"/>
          <w:b/>
          <w:sz w:val="24"/>
          <w:szCs w:val="24"/>
        </w:rPr>
        <w:t xml:space="preserve">Abbreviations: </w:t>
      </w:r>
      <w:r w:rsidRPr="00455998">
        <w:rPr>
          <w:rFonts w:ascii="Times New Roman" w:hAnsi="Times New Roman" w:cs="Times New Roman"/>
          <w:sz w:val="24"/>
          <w:szCs w:val="24"/>
        </w:rPr>
        <w:t>AUC, area under the curve; CCC, concordance correlation coefficient; CST, candy sucking test; EAT-10, Eating Assessment Tool-10; EdFED, Edinburgh Feeding Evaluation in Dementia Scale; FDI, Feeding Difficulty Index; ICC, intraclass correlation coefficient; LR, likelihood ratio; mMASA, modified Mann Assessment of Swallowing Ability; MNA, Mini Nutritional Assessment; NPV, negative predictive value; PAS, Penetration-Aspiration Scale; PPV, positive predictive value; ROC, receiver operating characteristic; SSADE, Signs and Symptoms Accompanying Dementia while Eating; VFSS, videofluoroscopic swallowing study.</w:t>
      </w:r>
    </w:p>
    <w:p w14:paraId="1F7A35A6" w14:textId="77777777" w:rsidR="00455998" w:rsidRDefault="00455998">
      <w:pPr>
        <w:rPr>
          <w:rFonts w:ascii="Times New Roman" w:hAnsi="Times New Roman" w:cs="Times New Roman"/>
          <w:sz w:val="24"/>
          <w:szCs w:val="24"/>
        </w:rPr>
      </w:pPr>
    </w:p>
    <w:p w14:paraId="5717D527" w14:textId="77777777" w:rsidR="00455998" w:rsidRPr="00455998" w:rsidRDefault="00455998" w:rsidP="00455998">
      <w:pPr>
        <w:spacing w:before="120"/>
        <w:rPr>
          <w:rFonts w:ascii="Times New Roman" w:hAnsi="Times New Roman" w:cs="Times New Roman"/>
          <w:sz w:val="24"/>
          <w:szCs w:val="24"/>
        </w:rPr>
      </w:pPr>
      <w:r w:rsidRPr="00455998">
        <w:rPr>
          <w:rFonts w:ascii="Times New Roman" w:hAnsi="Times New Roman" w:cs="Times New Roman"/>
          <w:b/>
          <w:sz w:val="24"/>
          <w:szCs w:val="24"/>
        </w:rPr>
        <w:t xml:space="preserve">Table legend: </w:t>
      </w:r>
      <w:r w:rsidRPr="00455998">
        <w:rPr>
          <w:rFonts w:ascii="Times New Roman" w:hAnsi="Times New Roman" w:cs="Times New Roman"/>
          <w:sz w:val="24"/>
          <w:szCs w:val="24"/>
        </w:rPr>
        <w:t>Domain is shown under each tool family to keep the table concise. Feeding difficulty tools were grouped with malnutrition and mealtime assessment because the included studies used them to capture feeding behaviours, assistance needs, intake or nutrition-related risk rather than swallowing safety, aspiration or dysphagia diagnosis. The full charting dataset, including detailed study characteristics, cut-offs, reference standards, feasibility features and measurement-property data, can be provided as an additional Excel file.</w:t>
      </w:r>
    </w:p>
    <w:p w14:paraId="188F936F" w14:textId="77777777" w:rsidR="00455998" w:rsidRPr="00455998" w:rsidRDefault="00455998">
      <w:pPr>
        <w:rPr>
          <w:rFonts w:ascii="Times New Roman" w:hAnsi="Times New Roman" w:cs="Times New Roman"/>
          <w:sz w:val="24"/>
          <w:szCs w:val="24"/>
        </w:rPr>
      </w:pPr>
    </w:p>
    <w:sectPr w:rsidR="00455998" w:rsidRPr="00455998" w:rsidSect="00034616">
      <w:pgSz w:w="16834" w:h="11909" w:orient="landscape"/>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64570784">
    <w:abstractNumId w:val="8"/>
  </w:num>
  <w:num w:numId="2" w16cid:durableId="492377936">
    <w:abstractNumId w:val="6"/>
  </w:num>
  <w:num w:numId="3" w16cid:durableId="790636437">
    <w:abstractNumId w:val="5"/>
  </w:num>
  <w:num w:numId="4" w16cid:durableId="351033606">
    <w:abstractNumId w:val="4"/>
  </w:num>
  <w:num w:numId="5" w16cid:durableId="923998734">
    <w:abstractNumId w:val="7"/>
  </w:num>
  <w:num w:numId="6" w16cid:durableId="1520386699">
    <w:abstractNumId w:val="3"/>
  </w:num>
  <w:num w:numId="7" w16cid:durableId="1874152535">
    <w:abstractNumId w:val="2"/>
  </w:num>
  <w:num w:numId="8" w16cid:durableId="1024290295">
    <w:abstractNumId w:val="1"/>
  </w:num>
  <w:num w:numId="9" w16cid:durableId="556817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55998"/>
    <w:rsid w:val="0049086E"/>
    <w:rsid w:val="004B0EEF"/>
    <w:rsid w:val="009D4F2B"/>
    <w:rsid w:val="00AA1D8D"/>
    <w:rsid w:val="00B47730"/>
    <w:rsid w:val="00CB0664"/>
    <w:rsid w:val="00CE77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0B9E71F-578B-4CAA-ABE7-6676E19D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Tolulope Adeniji</cp:lastModifiedBy>
  <cp:revision>4</cp:revision>
  <dcterms:created xsi:type="dcterms:W3CDTF">2013-12-23T23:15:00Z</dcterms:created>
  <dcterms:modified xsi:type="dcterms:W3CDTF">2026-05-22T08:14:00Z</dcterms:modified>
  <cp:category/>
</cp:coreProperties>
</file>