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464C" w:rsidRDefault="0089464C" w:rsidP="0089464C">
      <w:pPr>
        <w:spacing w:line="480" w:lineRule="auto"/>
        <w:ind w:left="357" w:hanging="357"/>
        <w:outlineLvl w:val="0"/>
        <w:rPr>
          <w:rFonts w:ascii="Times New Roman" w:hAnsi="Times New Roman" w:cs="Times New Roman"/>
          <w:b/>
          <w:sz w:val="20"/>
          <w:szCs w:val="20"/>
        </w:rPr>
      </w:pPr>
      <w:r>
        <w:rPr>
          <w:rFonts w:ascii="Times New Roman" w:hAnsi="Times New Roman" w:cs="Times New Roman"/>
          <w:b/>
          <w:sz w:val="20"/>
          <w:szCs w:val="20"/>
        </w:rPr>
        <w:t>Supplement materials:</w:t>
      </w: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sz w:val="24"/>
          <w:szCs w:val="24"/>
        </w:rPr>
      </w:pPr>
      <w:r>
        <w:rPr>
          <w:noProof/>
          <w:sz w:val="24"/>
          <w:szCs w:val="24"/>
          <w:lang w:eastAsia="en-US"/>
        </w:rPr>
        <w:drawing>
          <wp:inline distT="0" distB="0" distL="0" distR="0">
            <wp:extent cx="5275580" cy="1617980"/>
            <wp:effectExtent l="0" t="0" r="127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5580" cy="1617980"/>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 xml:space="preserve">Figure S1. </w:t>
      </w:r>
      <w:r>
        <w:rPr>
          <w:rFonts w:ascii="Times New Roman" w:hAnsi="Times New Roman"/>
          <w:color w:val="000000"/>
          <w:sz w:val="20"/>
          <w:szCs w:val="20"/>
        </w:rPr>
        <w:t xml:space="preserve">Spatial patterns of the multi-year </w:t>
      </w:r>
      <w:proofErr w:type="gramStart"/>
      <w:r>
        <w:rPr>
          <w:rFonts w:ascii="Times New Roman" w:hAnsi="Times New Roman"/>
          <w:color w:val="000000"/>
          <w:sz w:val="20"/>
          <w:szCs w:val="20"/>
        </w:rPr>
        <w:t>means</w:t>
      </w:r>
      <w:proofErr w:type="gramEnd"/>
      <w:r>
        <w:rPr>
          <w:rFonts w:ascii="Times New Roman" w:hAnsi="Times New Roman"/>
          <w:color w:val="000000"/>
          <w:sz w:val="20"/>
          <w:szCs w:val="20"/>
        </w:rPr>
        <w:t xml:space="preserve"> of the (a) precipitation and (b) temperature on the Tibetan Plateau during 1982–2015.</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jc w:val="center"/>
        <w:rPr>
          <w:sz w:val="24"/>
          <w:szCs w:val="24"/>
        </w:rPr>
      </w:pPr>
      <w:r>
        <w:rPr>
          <w:noProof/>
          <w:sz w:val="24"/>
          <w:szCs w:val="24"/>
          <w:lang w:eastAsia="en-US"/>
        </w:rPr>
        <w:drawing>
          <wp:inline distT="0" distB="0" distL="0" distR="0">
            <wp:extent cx="5275580" cy="2582545"/>
            <wp:effectExtent l="0" t="0" r="127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5580" cy="2582545"/>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Fig. S2.</w:t>
      </w:r>
      <w:r>
        <w:rPr>
          <w:rFonts w:ascii="Times New Roman" w:hAnsi="Times New Roman"/>
          <w:color w:val="000000"/>
          <w:sz w:val="20"/>
          <w:szCs w:val="20"/>
        </w:rPr>
        <w:t xml:space="preserve"> The significant linear trends (</w:t>
      </w:r>
      <w:r>
        <w:rPr>
          <w:rFonts w:ascii="Times New Roman" w:hAnsi="Times New Roman"/>
          <w:i/>
          <w:iCs/>
          <w:color w:val="000000"/>
          <w:sz w:val="20"/>
          <w:szCs w:val="20"/>
        </w:rPr>
        <w:t>p</w:t>
      </w:r>
      <w:r>
        <w:rPr>
          <w:rFonts w:ascii="Times New Roman" w:hAnsi="Times New Roman"/>
          <w:color w:val="000000"/>
          <w:sz w:val="20"/>
          <w:szCs w:val="20"/>
        </w:rPr>
        <w:t xml:space="preserve"> &lt; 0.05) of the extreme temperature indices at the grid scale during 1980</w:t>
      </w:r>
      <w:r>
        <w:rPr>
          <w:rFonts w:ascii="Times New Roman" w:hAnsi="Times New Roman" w:cs="Times New Roman"/>
          <w:sz w:val="20"/>
          <w:szCs w:val="20"/>
        </w:rPr>
        <w:t>–</w:t>
      </w:r>
      <w:r>
        <w:rPr>
          <w:rFonts w:ascii="Times New Roman" w:hAnsi="Times New Roman"/>
          <w:color w:val="000000"/>
          <w:sz w:val="20"/>
          <w:szCs w:val="20"/>
        </w:rPr>
        <w:t xml:space="preserve">2015. The red and blue grids denote increasing and decreasing trends, respectively. (a) TN10p (unit: day), (b) </w:t>
      </w:r>
      <w:proofErr w:type="spellStart"/>
      <w:r>
        <w:rPr>
          <w:rFonts w:ascii="Times New Roman" w:hAnsi="Times New Roman"/>
          <w:color w:val="000000"/>
          <w:sz w:val="20"/>
          <w:szCs w:val="20"/>
        </w:rPr>
        <w:t>TNn</w:t>
      </w:r>
      <w:proofErr w:type="spellEnd"/>
      <w:r>
        <w:rPr>
          <w:rFonts w:ascii="Times New Roman" w:hAnsi="Times New Roman"/>
          <w:color w:val="000000"/>
          <w:sz w:val="20"/>
          <w:szCs w:val="20"/>
        </w:rPr>
        <w:t xml:space="preserve"> (unit: </w:t>
      </w:r>
      <w:r>
        <w:rPr>
          <w:rFonts w:ascii="Times New Roman" w:hAnsi="Times New Roman" w:hint="eastAsia"/>
          <w:color w:val="000000"/>
          <w:sz w:val="20"/>
          <w:szCs w:val="20"/>
        </w:rPr>
        <w:t>℃</w:t>
      </w:r>
      <w:r>
        <w:rPr>
          <w:rFonts w:ascii="Times New Roman" w:hAnsi="Times New Roman"/>
          <w:color w:val="000000"/>
          <w:sz w:val="20"/>
          <w:szCs w:val="20"/>
        </w:rPr>
        <w:t xml:space="preserve">), (c) TX90p (unit: day), and (d) </w:t>
      </w:r>
      <w:proofErr w:type="spellStart"/>
      <w:r>
        <w:rPr>
          <w:rFonts w:ascii="Times New Roman" w:hAnsi="Times New Roman"/>
          <w:color w:val="000000"/>
          <w:sz w:val="20"/>
          <w:szCs w:val="20"/>
        </w:rPr>
        <w:t>TXx</w:t>
      </w:r>
      <w:proofErr w:type="spellEnd"/>
      <w:r>
        <w:rPr>
          <w:rFonts w:ascii="Times New Roman" w:hAnsi="Times New Roman"/>
          <w:color w:val="000000"/>
          <w:sz w:val="20"/>
          <w:szCs w:val="20"/>
        </w:rPr>
        <w:t xml:space="preserve"> (unit: </w:t>
      </w:r>
      <w:r>
        <w:rPr>
          <w:rFonts w:ascii="Times New Roman" w:hAnsi="Times New Roman" w:hint="eastAsia"/>
          <w:color w:val="000000"/>
          <w:sz w:val="20"/>
          <w:szCs w:val="20"/>
        </w:rPr>
        <w:t>℃</w:t>
      </w:r>
      <w:r>
        <w:rPr>
          <w:rFonts w:ascii="Times New Roman" w:hAnsi="Times New Roman"/>
          <w:color w:val="000000"/>
          <w:sz w:val="20"/>
          <w:szCs w:val="20"/>
        </w:rPr>
        <w:t>).</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rFonts w:ascii="Times New Roman" w:hAnsi="Times New Roman" w:cs="Times New Roman"/>
          <w:sz w:val="24"/>
          <w:szCs w:val="24"/>
        </w:rPr>
      </w:pPr>
    </w:p>
    <w:p w:rsidR="0089464C" w:rsidRDefault="0089464C" w:rsidP="0089464C">
      <w:pPr>
        <w:spacing w:line="480" w:lineRule="auto"/>
        <w:jc w:val="center"/>
        <w:rPr>
          <w:sz w:val="24"/>
          <w:szCs w:val="24"/>
        </w:rPr>
      </w:pPr>
      <w:r>
        <w:rPr>
          <w:noProof/>
          <w:sz w:val="24"/>
          <w:szCs w:val="24"/>
          <w:lang w:eastAsia="en-US"/>
        </w:rPr>
        <w:drawing>
          <wp:inline distT="0" distB="0" distL="0" distR="0">
            <wp:extent cx="4325620" cy="62198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25620" cy="6219825"/>
                    </a:xfrm>
                    <a:prstGeom prst="rect">
                      <a:avLst/>
                    </a:prstGeom>
                    <a:noFill/>
                    <a:ln>
                      <a:noFill/>
                    </a:ln>
                  </pic:spPr>
                </pic:pic>
              </a:graphicData>
            </a:graphic>
          </wp:inline>
        </w:drawing>
      </w:r>
    </w:p>
    <w:p w:rsidR="0089464C" w:rsidRDefault="0089464C" w:rsidP="0089464C">
      <w:pPr>
        <w:spacing w:line="480" w:lineRule="auto"/>
        <w:jc w:val="left"/>
        <w:rPr>
          <w:rFonts w:hint="eastAsia"/>
          <w:sz w:val="20"/>
          <w:szCs w:val="20"/>
        </w:rPr>
      </w:pPr>
      <w:r>
        <w:rPr>
          <w:rFonts w:ascii="Times New Roman" w:hAnsi="Times New Roman"/>
          <w:b/>
          <w:bCs/>
          <w:color w:val="000000"/>
          <w:sz w:val="20"/>
          <w:szCs w:val="20"/>
        </w:rPr>
        <w:t xml:space="preserve">Fig. S3. </w:t>
      </w:r>
      <w:r>
        <w:rPr>
          <w:rFonts w:ascii="Times New Roman" w:hAnsi="Times New Roman"/>
          <w:color w:val="000000"/>
          <w:sz w:val="20"/>
          <w:szCs w:val="20"/>
        </w:rPr>
        <w:t>Time series of the monthly ENSO index from 1980 to 2015 (unit: ℃). (a) I</w:t>
      </w:r>
      <w:r>
        <w:rPr>
          <w:rFonts w:ascii="Times New Roman" w:hAnsi="Times New Roman"/>
          <w:color w:val="000000"/>
          <w:sz w:val="20"/>
          <w:szCs w:val="20"/>
          <w:vertAlign w:val="subscript"/>
        </w:rPr>
        <w:t>n3.4</w:t>
      </w:r>
      <w:r>
        <w:rPr>
          <w:rFonts w:ascii="Times New Roman" w:hAnsi="Times New Roman"/>
          <w:color w:val="000000"/>
          <w:sz w:val="20"/>
          <w:szCs w:val="20"/>
        </w:rPr>
        <w:t>, (b) I</w:t>
      </w:r>
      <w:r>
        <w:rPr>
          <w:rFonts w:ascii="Times New Roman" w:hAnsi="Times New Roman"/>
          <w:color w:val="000000"/>
          <w:sz w:val="20"/>
          <w:szCs w:val="20"/>
          <w:vertAlign w:val="subscript"/>
        </w:rPr>
        <w:t>EP</w:t>
      </w:r>
      <w:r>
        <w:rPr>
          <w:rFonts w:ascii="Times New Roman" w:hAnsi="Times New Roman"/>
          <w:color w:val="000000"/>
          <w:sz w:val="20"/>
          <w:szCs w:val="20"/>
        </w:rPr>
        <w:t>, and (c) I</w:t>
      </w:r>
      <w:r>
        <w:rPr>
          <w:rFonts w:ascii="Times New Roman" w:hAnsi="Times New Roman"/>
          <w:color w:val="000000"/>
          <w:sz w:val="20"/>
          <w:szCs w:val="20"/>
          <w:vertAlign w:val="subscript"/>
        </w:rPr>
        <w:t>CP</w:t>
      </w:r>
      <w:r>
        <w:rPr>
          <w:rFonts w:ascii="Times New Roman" w:hAnsi="Times New Roman"/>
          <w:color w:val="000000"/>
          <w:sz w:val="20"/>
          <w:szCs w:val="20"/>
        </w:rPr>
        <w:t xml:space="preserve">. </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jc w:val="center"/>
        <w:rPr>
          <w:sz w:val="24"/>
          <w:szCs w:val="24"/>
        </w:rPr>
      </w:pPr>
      <w:r>
        <w:rPr>
          <w:noProof/>
          <w:sz w:val="24"/>
          <w:szCs w:val="24"/>
          <w:lang w:eastAsia="en-US"/>
        </w:rPr>
        <w:lastRenderedPageBreak/>
        <w:drawing>
          <wp:inline distT="0" distB="0" distL="0" distR="0">
            <wp:extent cx="5275580" cy="2637790"/>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5580" cy="2637790"/>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 xml:space="preserve">Figure S4. </w:t>
      </w:r>
      <w:r>
        <w:rPr>
          <w:rFonts w:ascii="Times New Roman" w:hAnsi="Times New Roman"/>
          <w:color w:val="000000"/>
          <w:sz w:val="20"/>
          <w:szCs w:val="20"/>
        </w:rPr>
        <w:t>Typical (a) EP and (b) CP ENSO SST modes (unit: °C °C</w:t>
      </w:r>
      <w:r>
        <w:rPr>
          <w:rFonts w:ascii="Times New Roman" w:hAnsi="Times New Roman"/>
          <w:color w:val="000000"/>
          <w:sz w:val="20"/>
          <w:szCs w:val="20"/>
          <w:vertAlign w:val="superscript"/>
        </w:rPr>
        <w:t>−1</w:t>
      </w:r>
      <w:r>
        <w:rPr>
          <w:rFonts w:ascii="Times New Roman" w:hAnsi="Times New Roman"/>
          <w:color w:val="000000"/>
          <w:sz w:val="20"/>
          <w:szCs w:val="20"/>
        </w:rPr>
        <w:t>).</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sz w:val="24"/>
          <w:szCs w:val="24"/>
        </w:rPr>
      </w:pPr>
      <w:r>
        <w:rPr>
          <w:noProof/>
          <w:sz w:val="24"/>
          <w:szCs w:val="24"/>
          <w:lang w:eastAsia="en-US"/>
        </w:rPr>
        <w:drawing>
          <wp:inline distT="0" distB="0" distL="0" distR="0">
            <wp:extent cx="5275580" cy="3381375"/>
            <wp:effectExtent l="0" t="0" r="127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5580" cy="3381375"/>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Fig. S5.</w:t>
      </w:r>
      <w:r>
        <w:rPr>
          <w:rFonts w:ascii="Times New Roman" w:hAnsi="Times New Roman"/>
          <w:color w:val="000000"/>
          <w:sz w:val="20"/>
          <w:szCs w:val="20"/>
        </w:rPr>
        <w:t xml:space="preserve"> The significant differences in the extreme temperature indices at the grid scale during EP E1 Niño years. The red and blue grids denote significant increasing and decreasing tends, respectively. (a) TN10p (unit: day), (b) </w:t>
      </w:r>
      <w:proofErr w:type="spellStart"/>
      <w:r>
        <w:rPr>
          <w:rFonts w:ascii="Times New Roman" w:hAnsi="Times New Roman"/>
          <w:color w:val="000000"/>
          <w:sz w:val="20"/>
          <w:szCs w:val="20"/>
        </w:rPr>
        <w:t>TNn</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 xml:space="preserve">), (c) TX90p (unit: day), and (d) </w:t>
      </w:r>
      <w:proofErr w:type="spellStart"/>
      <w:r>
        <w:rPr>
          <w:rFonts w:ascii="Times New Roman" w:hAnsi="Times New Roman"/>
          <w:color w:val="000000"/>
          <w:sz w:val="20"/>
          <w:szCs w:val="20"/>
        </w:rPr>
        <w:t>TXx</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w:t>
      </w:r>
    </w:p>
    <w:p w:rsidR="0089464C" w:rsidRDefault="0089464C" w:rsidP="0089464C">
      <w:pPr>
        <w:spacing w:line="480" w:lineRule="auto"/>
        <w:rPr>
          <w:rFonts w:hint="eastAsia"/>
          <w:sz w:val="20"/>
          <w:szCs w:val="20"/>
        </w:rPr>
      </w:pP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sz w:val="24"/>
          <w:szCs w:val="24"/>
        </w:rPr>
      </w:pPr>
      <w:r>
        <w:rPr>
          <w:noProof/>
          <w:sz w:val="24"/>
          <w:szCs w:val="24"/>
          <w:lang w:eastAsia="en-US"/>
        </w:rPr>
        <w:drawing>
          <wp:inline distT="0" distB="0" distL="0" distR="0">
            <wp:extent cx="5275580" cy="3381375"/>
            <wp:effectExtent l="0" t="0" r="127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5580" cy="3381375"/>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bookmarkStart w:id="0" w:name="OLE_LINK34"/>
      <w:r>
        <w:rPr>
          <w:rFonts w:ascii="Times New Roman" w:hAnsi="Times New Roman"/>
          <w:b/>
          <w:bCs/>
          <w:color w:val="000000"/>
          <w:sz w:val="20"/>
          <w:szCs w:val="20"/>
        </w:rPr>
        <w:t>Fig. S6.</w:t>
      </w:r>
      <w:r>
        <w:rPr>
          <w:rFonts w:ascii="Times New Roman" w:hAnsi="Times New Roman"/>
          <w:color w:val="000000"/>
          <w:sz w:val="20"/>
          <w:szCs w:val="20"/>
        </w:rPr>
        <w:t xml:space="preserve"> The significant differences in the extreme temperature indices at the grid scale during CP E1 Niño years. The red and blue grids denote significant increasing and decreasing tends, respectively. (a) TN10p (unit: day), (b) </w:t>
      </w:r>
      <w:proofErr w:type="spellStart"/>
      <w:r>
        <w:rPr>
          <w:rFonts w:ascii="Times New Roman" w:hAnsi="Times New Roman"/>
          <w:color w:val="000000"/>
          <w:sz w:val="20"/>
          <w:szCs w:val="20"/>
        </w:rPr>
        <w:t>TNn</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 xml:space="preserve">), (c) TX90p (unit: day), and (d) </w:t>
      </w:r>
      <w:proofErr w:type="spellStart"/>
      <w:r>
        <w:rPr>
          <w:rFonts w:ascii="Times New Roman" w:hAnsi="Times New Roman"/>
          <w:color w:val="000000"/>
          <w:sz w:val="20"/>
          <w:szCs w:val="20"/>
        </w:rPr>
        <w:t>TXx</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w:t>
      </w:r>
    </w:p>
    <w:p w:rsidR="0089464C" w:rsidRDefault="0089464C" w:rsidP="0089464C">
      <w:pPr>
        <w:spacing w:line="480" w:lineRule="auto"/>
        <w:rPr>
          <w:rFonts w:hint="eastAsia"/>
          <w:sz w:val="24"/>
          <w:szCs w:val="24"/>
        </w:rPr>
      </w:pPr>
    </w:p>
    <w:bookmarkEnd w:id="0"/>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sz w:val="24"/>
          <w:szCs w:val="24"/>
        </w:rPr>
      </w:pPr>
      <w:r>
        <w:rPr>
          <w:noProof/>
          <w:sz w:val="24"/>
          <w:szCs w:val="24"/>
          <w:lang w:eastAsia="en-US"/>
        </w:rPr>
        <w:lastRenderedPageBreak/>
        <w:drawing>
          <wp:inline distT="0" distB="0" distL="0" distR="0">
            <wp:extent cx="5265420" cy="337121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5420" cy="3371215"/>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Fig. S7.</w:t>
      </w:r>
      <w:r>
        <w:rPr>
          <w:rFonts w:ascii="Times New Roman" w:hAnsi="Times New Roman"/>
          <w:color w:val="000000"/>
          <w:sz w:val="20"/>
          <w:szCs w:val="20"/>
        </w:rPr>
        <w:t xml:space="preserve"> The significant differences in the extreme temperature indices at the grid scale during EP La Niña years. The red and blue grids denote significant increasing and decreasing tends, respectively. (a) TN10p (unit: day), (b) </w:t>
      </w:r>
      <w:proofErr w:type="spellStart"/>
      <w:r>
        <w:rPr>
          <w:rFonts w:ascii="Times New Roman" w:hAnsi="Times New Roman"/>
          <w:color w:val="000000"/>
          <w:sz w:val="20"/>
          <w:szCs w:val="20"/>
        </w:rPr>
        <w:t>TNn</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 xml:space="preserve">), (c) TX90p (unit: day), and (d) </w:t>
      </w:r>
      <w:proofErr w:type="spellStart"/>
      <w:r>
        <w:rPr>
          <w:rFonts w:ascii="Times New Roman" w:hAnsi="Times New Roman"/>
          <w:color w:val="000000"/>
          <w:sz w:val="20"/>
          <w:szCs w:val="20"/>
        </w:rPr>
        <w:t>TXx</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w:t>
      </w:r>
    </w:p>
    <w:p w:rsidR="0089464C" w:rsidRDefault="0089464C" w:rsidP="0089464C">
      <w:pPr>
        <w:spacing w:line="480" w:lineRule="auto"/>
        <w:rPr>
          <w:rFonts w:hint="eastAsia"/>
          <w:sz w:val="20"/>
          <w:szCs w:val="20"/>
        </w:rPr>
      </w:pPr>
    </w:p>
    <w:p w:rsidR="0089464C" w:rsidRDefault="0089464C" w:rsidP="0089464C">
      <w:pPr>
        <w:spacing w:line="480" w:lineRule="auto"/>
        <w:jc w:val="center"/>
        <w:rPr>
          <w:rFonts w:hint="eastAsia"/>
          <w:sz w:val="24"/>
          <w:szCs w:val="24"/>
        </w:rPr>
      </w:pP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sz w:val="24"/>
          <w:szCs w:val="24"/>
        </w:rPr>
      </w:pPr>
      <w:r>
        <w:rPr>
          <w:noProof/>
          <w:sz w:val="24"/>
          <w:szCs w:val="24"/>
          <w:lang w:eastAsia="en-US"/>
        </w:rPr>
        <w:lastRenderedPageBreak/>
        <w:drawing>
          <wp:inline distT="0" distB="0" distL="0" distR="0">
            <wp:extent cx="5275580" cy="3371215"/>
            <wp:effectExtent l="0" t="0" r="127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5580" cy="3371215"/>
                    </a:xfrm>
                    <a:prstGeom prst="rect">
                      <a:avLst/>
                    </a:prstGeom>
                    <a:noFill/>
                    <a:ln>
                      <a:noFill/>
                    </a:ln>
                  </pic:spPr>
                </pic:pic>
              </a:graphicData>
            </a:graphic>
          </wp:inline>
        </w:drawing>
      </w:r>
    </w:p>
    <w:p w:rsidR="0089464C" w:rsidRDefault="0089464C" w:rsidP="0089464C">
      <w:pPr>
        <w:spacing w:line="480" w:lineRule="auto"/>
        <w:rPr>
          <w:rFonts w:hint="eastAsia"/>
          <w:sz w:val="24"/>
          <w:szCs w:val="24"/>
        </w:rPr>
      </w:pPr>
      <w:r>
        <w:rPr>
          <w:rFonts w:ascii="Times New Roman" w:hAnsi="Times New Roman"/>
          <w:b/>
          <w:bCs/>
          <w:color w:val="000000"/>
          <w:sz w:val="20"/>
          <w:szCs w:val="20"/>
        </w:rPr>
        <w:t>Fig. S8.</w:t>
      </w:r>
      <w:r>
        <w:rPr>
          <w:rFonts w:ascii="Times New Roman" w:hAnsi="Times New Roman"/>
          <w:color w:val="000000"/>
          <w:sz w:val="20"/>
          <w:szCs w:val="20"/>
        </w:rPr>
        <w:t xml:space="preserve"> The significant differences in the extreme temperature indices at the grid scale during CP La Niña years. The red and blue grids denote significant increasing and decreasing tends, respectively. (a) TN10p (unit: day), (b) </w:t>
      </w:r>
      <w:proofErr w:type="spellStart"/>
      <w:r>
        <w:rPr>
          <w:rFonts w:ascii="Times New Roman" w:hAnsi="Times New Roman"/>
          <w:color w:val="000000"/>
          <w:sz w:val="20"/>
          <w:szCs w:val="20"/>
        </w:rPr>
        <w:t>TNn</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 xml:space="preserve">), (c) TX90p (unit: day), and (d) </w:t>
      </w:r>
      <w:proofErr w:type="spellStart"/>
      <w:r>
        <w:rPr>
          <w:rFonts w:ascii="Times New Roman" w:hAnsi="Times New Roman"/>
          <w:color w:val="000000"/>
          <w:sz w:val="20"/>
          <w:szCs w:val="20"/>
        </w:rPr>
        <w:t>TXx</w:t>
      </w:r>
      <w:proofErr w:type="spellEnd"/>
      <w:r>
        <w:rPr>
          <w:rFonts w:ascii="Times New Roman" w:hAnsi="Times New Roman"/>
          <w:color w:val="000000"/>
          <w:sz w:val="20"/>
          <w:szCs w:val="20"/>
        </w:rPr>
        <w:t xml:space="preserve"> (unit: </w:t>
      </w:r>
      <w:r>
        <w:rPr>
          <w:rFonts w:ascii="Times New Roman" w:hAnsi="Times New Roman" w:cs="Times New Roman"/>
          <w:color w:val="000000"/>
          <w:sz w:val="20"/>
          <w:szCs w:val="20"/>
        </w:rPr>
        <w:t>℃</w:t>
      </w:r>
      <w:r>
        <w:rPr>
          <w:rFonts w:ascii="Times New Roman" w:hAnsi="Times New Roman"/>
          <w:color w:val="000000"/>
          <w:sz w:val="20"/>
          <w:szCs w:val="20"/>
        </w:rPr>
        <w:t>).</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sz w:val="24"/>
          <w:szCs w:val="24"/>
        </w:rPr>
      </w:pPr>
      <w:r>
        <w:rPr>
          <w:noProof/>
          <w:sz w:val="24"/>
          <w:szCs w:val="24"/>
          <w:lang w:eastAsia="en-US"/>
        </w:rPr>
        <w:lastRenderedPageBreak/>
        <w:drawing>
          <wp:inline distT="0" distB="0" distL="0" distR="0">
            <wp:extent cx="5275580" cy="3542030"/>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5580" cy="3542030"/>
                    </a:xfrm>
                    <a:prstGeom prst="rect">
                      <a:avLst/>
                    </a:prstGeom>
                    <a:noFill/>
                    <a:ln>
                      <a:noFill/>
                    </a:ln>
                  </pic:spPr>
                </pic:pic>
              </a:graphicData>
            </a:graphic>
          </wp:inline>
        </w:drawing>
      </w:r>
    </w:p>
    <w:p w:rsidR="0089464C" w:rsidRDefault="0089464C" w:rsidP="0089464C">
      <w:pPr>
        <w:spacing w:line="480" w:lineRule="auto"/>
        <w:rPr>
          <w:rFonts w:hint="eastAsia"/>
          <w:sz w:val="20"/>
          <w:szCs w:val="20"/>
        </w:rPr>
      </w:pPr>
      <w:r>
        <w:rPr>
          <w:rFonts w:ascii="Times New Roman" w:hAnsi="Times New Roman"/>
          <w:b/>
          <w:bCs/>
          <w:color w:val="000000"/>
          <w:sz w:val="20"/>
          <w:szCs w:val="20"/>
        </w:rPr>
        <w:t>Figure S9.</w:t>
      </w:r>
      <w:r>
        <w:rPr>
          <w:rFonts w:hint="eastAsia"/>
          <w:sz w:val="20"/>
          <w:szCs w:val="20"/>
        </w:rPr>
        <w:t xml:space="preserve"> </w:t>
      </w:r>
      <w:r>
        <w:rPr>
          <w:rFonts w:ascii="Times New Roman" w:hAnsi="Times New Roman"/>
          <w:color w:val="000000"/>
          <w:sz w:val="20"/>
          <w:szCs w:val="20"/>
        </w:rPr>
        <w:t xml:space="preserve">Changes in the average wind speed (arrows) and geopotential height (shading, unit: </w:t>
      </w:r>
      <w:proofErr w:type="spellStart"/>
      <w:r>
        <w:rPr>
          <w:rFonts w:ascii="Times New Roman" w:hAnsi="Times New Roman"/>
          <w:color w:val="000000"/>
          <w:sz w:val="20"/>
          <w:szCs w:val="20"/>
        </w:rPr>
        <w:t>gpdam</w:t>
      </w:r>
      <w:proofErr w:type="spellEnd"/>
      <w:r>
        <w:rPr>
          <w:rFonts w:ascii="Times New Roman" w:hAnsi="Times New Roman"/>
          <w:color w:val="000000"/>
          <w:sz w:val="20"/>
          <w:szCs w:val="20"/>
        </w:rPr>
        <w:t xml:space="preserve">) at 850 </w:t>
      </w:r>
      <w:proofErr w:type="spellStart"/>
      <w:r>
        <w:rPr>
          <w:rFonts w:ascii="Times New Roman" w:hAnsi="Times New Roman"/>
          <w:color w:val="000000"/>
          <w:sz w:val="20"/>
          <w:szCs w:val="20"/>
        </w:rPr>
        <w:t>hPa</w:t>
      </w:r>
      <w:proofErr w:type="spellEnd"/>
      <w:r>
        <w:rPr>
          <w:rFonts w:ascii="Times New Roman" w:hAnsi="Times New Roman"/>
          <w:color w:val="000000"/>
          <w:sz w:val="20"/>
          <w:szCs w:val="20"/>
        </w:rPr>
        <w:t xml:space="preserve"> during the different types of ENSO events. (a) The average wind speed and geopotential height during the EP El Niño years minus those during the base period (1980</w:t>
      </w:r>
      <w:r>
        <w:rPr>
          <w:rFonts w:ascii="Times New Roman" w:hAnsi="Times New Roman" w:cs="Times New Roman"/>
          <w:sz w:val="20"/>
          <w:szCs w:val="20"/>
        </w:rPr>
        <w:t>–</w:t>
      </w:r>
      <w:r>
        <w:rPr>
          <w:rFonts w:ascii="Times New Roman" w:hAnsi="Times New Roman"/>
          <w:color w:val="000000"/>
          <w:sz w:val="20"/>
          <w:szCs w:val="20"/>
        </w:rPr>
        <w:t>2010); (b) The average wind speed and geopotential height during the CP El Niño years minus those during the base period (1980</w:t>
      </w:r>
      <w:r>
        <w:rPr>
          <w:rFonts w:ascii="Times New Roman" w:hAnsi="Times New Roman" w:cs="Times New Roman"/>
          <w:sz w:val="20"/>
          <w:szCs w:val="20"/>
        </w:rPr>
        <w:t>–</w:t>
      </w:r>
      <w:r>
        <w:rPr>
          <w:rFonts w:ascii="Times New Roman" w:hAnsi="Times New Roman"/>
          <w:color w:val="000000"/>
          <w:sz w:val="20"/>
          <w:szCs w:val="20"/>
        </w:rPr>
        <w:t>2010); (c) The average wind speed and geopotential height during the EP La Niña years minus those during the base period (1980</w:t>
      </w:r>
      <w:r>
        <w:rPr>
          <w:rFonts w:ascii="Times New Roman" w:hAnsi="Times New Roman" w:cs="Times New Roman"/>
          <w:sz w:val="20"/>
          <w:szCs w:val="20"/>
        </w:rPr>
        <w:t>–</w:t>
      </w:r>
      <w:r>
        <w:rPr>
          <w:rFonts w:ascii="Times New Roman" w:hAnsi="Times New Roman"/>
          <w:color w:val="000000"/>
          <w:sz w:val="20"/>
          <w:szCs w:val="20"/>
        </w:rPr>
        <w:t>2010); (d) The average wind speed and geopotential height during the CP La Niña years minus those during the base period (1980</w:t>
      </w:r>
      <w:r>
        <w:rPr>
          <w:rFonts w:ascii="Times New Roman" w:hAnsi="Times New Roman" w:cs="Times New Roman"/>
          <w:sz w:val="20"/>
          <w:szCs w:val="20"/>
        </w:rPr>
        <w:t>–</w:t>
      </w:r>
      <w:r>
        <w:rPr>
          <w:rFonts w:ascii="Times New Roman" w:hAnsi="Times New Roman"/>
          <w:color w:val="000000"/>
          <w:sz w:val="20"/>
          <w:szCs w:val="20"/>
        </w:rPr>
        <w:t>2010). The lengths of the arrows indicate the changes in the wind speed.</w:t>
      </w:r>
    </w:p>
    <w:p w:rsidR="0089464C" w:rsidRDefault="0089464C" w:rsidP="0089464C">
      <w:pPr>
        <w:spacing w:line="480" w:lineRule="auto"/>
        <w:rPr>
          <w:rFonts w:ascii="Times New Roman" w:hAnsi="Times New Roman" w:cs="Times New Roman" w:hint="eastAsia"/>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rPr>
          <w:rFonts w:ascii="Times New Roman" w:hAnsi="Times New Roman" w:cs="Times New Roman"/>
          <w:b/>
          <w:bCs/>
          <w:sz w:val="24"/>
          <w:szCs w:val="24"/>
        </w:rPr>
      </w:pPr>
    </w:p>
    <w:p w:rsidR="0089464C" w:rsidRDefault="0089464C" w:rsidP="0089464C">
      <w:pPr>
        <w:spacing w:line="480" w:lineRule="auto"/>
        <w:ind w:left="400" w:hangingChars="200" w:hanging="400"/>
        <w:jc w:val="center"/>
        <w:rPr>
          <w:rFonts w:ascii="Times New Roman" w:eastAsia="SimHei" w:hAnsi="Times New Roman" w:cs="Times New Roman"/>
          <w:color w:val="000000" w:themeColor="text1"/>
          <w:sz w:val="20"/>
          <w:szCs w:val="20"/>
        </w:rPr>
      </w:pPr>
      <w:r>
        <w:rPr>
          <w:rFonts w:ascii="Times New Roman" w:eastAsia="SimHei" w:hAnsi="Times New Roman" w:cs="Times New Roman"/>
          <w:color w:val="000000" w:themeColor="text1"/>
          <w:sz w:val="20"/>
          <w:szCs w:val="20"/>
        </w:rPr>
        <w:t>Table S1. Detailed descriptions of the temperature extreme indices</w:t>
      </w:r>
    </w:p>
    <w:tbl>
      <w:tblPr>
        <w:tblW w:w="0" w:type="dxa"/>
        <w:jc w:val="center"/>
        <w:tblBorders>
          <w:top w:val="single" w:sz="4" w:space="0" w:color="auto"/>
          <w:bottom w:val="single" w:sz="4" w:space="0" w:color="auto"/>
        </w:tblBorders>
        <w:tblLayout w:type="fixed"/>
        <w:tblLook w:val="04A0" w:firstRow="1" w:lastRow="0" w:firstColumn="1" w:lastColumn="0" w:noHBand="0" w:noVBand="1"/>
      </w:tblPr>
      <w:tblGrid>
        <w:gridCol w:w="852"/>
        <w:gridCol w:w="5812"/>
        <w:gridCol w:w="1134"/>
      </w:tblGrid>
      <w:tr w:rsidR="0089464C" w:rsidTr="0089464C">
        <w:trPr>
          <w:trHeight w:val="276"/>
          <w:jc w:val="center"/>
        </w:trPr>
        <w:tc>
          <w:tcPr>
            <w:tcW w:w="852" w:type="dxa"/>
            <w:tcBorders>
              <w:top w:val="single" w:sz="4" w:space="0" w:color="auto"/>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Indices</w:t>
            </w:r>
          </w:p>
        </w:tc>
        <w:tc>
          <w:tcPr>
            <w:tcW w:w="5812" w:type="dxa"/>
            <w:tcBorders>
              <w:top w:val="single" w:sz="4" w:space="0" w:color="auto"/>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Definitions</w:t>
            </w:r>
          </w:p>
        </w:tc>
        <w:tc>
          <w:tcPr>
            <w:tcW w:w="1134" w:type="dxa"/>
            <w:tcBorders>
              <w:top w:val="single" w:sz="4" w:space="0" w:color="auto"/>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eastAsia="SimHei" w:hAnsi="Times New Roman" w:cs="Times New Roman"/>
                <w:color w:val="000000" w:themeColor="text1"/>
                <w:sz w:val="20"/>
                <w:szCs w:val="20"/>
              </w:rPr>
              <w:t>units</w:t>
            </w:r>
          </w:p>
        </w:tc>
      </w:tr>
      <w:tr w:rsidR="0089464C" w:rsidTr="0089464C">
        <w:trPr>
          <w:trHeight w:val="276"/>
          <w:jc w:val="center"/>
        </w:trPr>
        <w:tc>
          <w:tcPr>
            <w:tcW w:w="852" w:type="dxa"/>
            <w:tcBorders>
              <w:top w:val="single" w:sz="4" w:space="0" w:color="auto"/>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lastRenderedPageBreak/>
              <w:t>TN10p</w:t>
            </w:r>
          </w:p>
        </w:tc>
        <w:tc>
          <w:tcPr>
            <w:tcW w:w="5812" w:type="dxa"/>
            <w:tcBorders>
              <w:top w:val="single" w:sz="4" w:space="0" w:color="auto"/>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Percentage of days when the daily minimum temperature below 10th percentile</w:t>
            </w:r>
          </w:p>
        </w:tc>
        <w:tc>
          <w:tcPr>
            <w:tcW w:w="1134" w:type="dxa"/>
            <w:tcBorders>
              <w:top w:val="single" w:sz="4" w:space="0" w:color="auto"/>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day</w:t>
            </w:r>
          </w:p>
        </w:tc>
      </w:tr>
      <w:tr w:rsidR="0089464C" w:rsidTr="0089464C">
        <w:trPr>
          <w:trHeight w:val="276"/>
          <w:jc w:val="center"/>
        </w:trPr>
        <w:tc>
          <w:tcPr>
            <w:tcW w:w="852"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TX90p</w:t>
            </w:r>
          </w:p>
        </w:tc>
        <w:tc>
          <w:tcPr>
            <w:tcW w:w="5812"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Percentage of days when the daily maximum temperature above 90th percentile</w:t>
            </w:r>
          </w:p>
        </w:tc>
        <w:tc>
          <w:tcPr>
            <w:tcW w:w="1134"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day</w:t>
            </w:r>
          </w:p>
        </w:tc>
      </w:tr>
      <w:tr w:rsidR="0089464C" w:rsidTr="0089464C">
        <w:trPr>
          <w:trHeight w:val="276"/>
          <w:jc w:val="center"/>
        </w:trPr>
        <w:tc>
          <w:tcPr>
            <w:tcW w:w="852"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proofErr w:type="spellStart"/>
            <w:r>
              <w:rPr>
                <w:rFonts w:ascii="Times New Roman" w:hAnsi="Times New Roman" w:cs="Times New Roman"/>
                <w:sz w:val="20"/>
                <w:szCs w:val="20"/>
              </w:rPr>
              <w:t>TNn</w:t>
            </w:r>
            <w:proofErr w:type="spellEnd"/>
          </w:p>
        </w:tc>
        <w:tc>
          <w:tcPr>
            <w:tcW w:w="5812"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The minimum value of the daily minimum temperature</w:t>
            </w:r>
          </w:p>
        </w:tc>
        <w:tc>
          <w:tcPr>
            <w:tcW w:w="1134" w:type="dxa"/>
            <w:tcBorders>
              <w:top w:val="nil"/>
              <w:left w:val="nil"/>
              <w:bottom w:val="nil"/>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C</w:t>
            </w:r>
          </w:p>
        </w:tc>
      </w:tr>
      <w:tr w:rsidR="0089464C" w:rsidTr="0089464C">
        <w:trPr>
          <w:trHeight w:val="276"/>
          <w:jc w:val="center"/>
        </w:trPr>
        <w:tc>
          <w:tcPr>
            <w:tcW w:w="852" w:type="dxa"/>
            <w:tcBorders>
              <w:top w:val="nil"/>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proofErr w:type="spellStart"/>
            <w:r>
              <w:rPr>
                <w:rFonts w:ascii="Times New Roman" w:hAnsi="Times New Roman" w:cs="Times New Roman"/>
                <w:sz w:val="20"/>
                <w:szCs w:val="20"/>
              </w:rPr>
              <w:t>TXx</w:t>
            </w:r>
            <w:proofErr w:type="spellEnd"/>
          </w:p>
        </w:tc>
        <w:tc>
          <w:tcPr>
            <w:tcW w:w="5812" w:type="dxa"/>
            <w:tcBorders>
              <w:top w:val="nil"/>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sz w:val="20"/>
                <w:szCs w:val="20"/>
              </w:rPr>
              <w:t>The maximum value of the daily maximum temperature</w:t>
            </w:r>
          </w:p>
        </w:tc>
        <w:tc>
          <w:tcPr>
            <w:tcW w:w="1134" w:type="dxa"/>
            <w:tcBorders>
              <w:top w:val="nil"/>
              <w:left w:val="nil"/>
              <w:bottom w:val="single" w:sz="4" w:space="0" w:color="auto"/>
              <w:right w:val="nil"/>
            </w:tcBorders>
            <w:noWrap/>
            <w:vAlign w:val="center"/>
            <w:hideMark/>
          </w:tcPr>
          <w:p w:rsidR="0089464C" w:rsidRDefault="0089464C">
            <w:pPr>
              <w:spacing w:line="480" w:lineRule="auto"/>
              <w:jc w:val="center"/>
              <w:rPr>
                <w:rFonts w:ascii="Times New Roman" w:hAnsi="Times New Roman" w:cs="Times New Roman"/>
                <w:sz w:val="20"/>
                <w:szCs w:val="20"/>
              </w:rPr>
            </w:pPr>
            <w:r>
              <w:rPr>
                <w:rFonts w:ascii="Times New Roman" w:hAnsi="Times New Roman" w:cs="Times New Roman" w:hint="eastAsia"/>
                <w:sz w:val="20"/>
                <w:szCs w:val="20"/>
              </w:rPr>
              <w:t>°</w:t>
            </w:r>
            <w:r>
              <w:rPr>
                <w:rFonts w:ascii="Times New Roman" w:hAnsi="Times New Roman" w:cs="Times New Roman"/>
                <w:sz w:val="20"/>
                <w:szCs w:val="20"/>
              </w:rPr>
              <w:t>C</w:t>
            </w:r>
          </w:p>
        </w:tc>
      </w:tr>
    </w:tbl>
    <w:p w:rsidR="0089464C" w:rsidRDefault="0089464C" w:rsidP="0089464C">
      <w:pPr>
        <w:spacing w:line="480" w:lineRule="auto"/>
        <w:rPr>
          <w:rFonts w:ascii="Times New Roman" w:hAnsi="Times New Roman" w:cs="Times New Roman"/>
          <w:b/>
          <w:bCs/>
          <w:sz w:val="24"/>
          <w:szCs w:val="24"/>
        </w:rPr>
      </w:pPr>
    </w:p>
    <w:p w:rsidR="0089464C" w:rsidRDefault="0089464C" w:rsidP="0089464C"/>
    <w:p w:rsidR="00AD1398" w:rsidRDefault="00AD1398">
      <w:bookmarkStart w:id="1" w:name="_GoBack"/>
      <w:bookmarkEnd w:id="1"/>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Microsoft YaHei"/>
    <w:panose1 w:val="02010600030101010101"/>
    <w:charset w:val="86"/>
    <w:family w:val="modern"/>
    <w:pitch w:val="fixed"/>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64C"/>
    <w:rsid w:val="0089464C"/>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6A1228-C81E-4737-B2EE-317B171EE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464C"/>
    <w:pPr>
      <w:widowControl w:val="0"/>
      <w:spacing w:after="0" w:line="240" w:lineRule="auto"/>
      <w:jc w:val="both"/>
    </w:pPr>
    <w:rPr>
      <w:rFonts w:eastAsiaTheme="minorEastAsia"/>
      <w:kern w:val="2"/>
      <w:sz w:val="21"/>
      <w:szCs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60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440</Words>
  <Characters>2513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2021-10-20T13:34:00Z</dcterms:created>
  <dcterms:modified xsi:type="dcterms:W3CDTF">2021-10-20T13:34:00Z</dcterms:modified>
</cp:coreProperties>
</file>