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D2AAA" w14:textId="77777777" w:rsidR="00D32F08" w:rsidRDefault="00000000">
      <w:pPr>
        <w:pStyle w:val="Heading1"/>
      </w:pPr>
      <w:bookmarkStart w:id="0" w:name="supplementary-material"/>
      <w:r>
        <w:t>Supplementary Material</w:t>
      </w:r>
    </w:p>
    <w:p w14:paraId="53EAA1E3" w14:textId="77777777" w:rsidR="00D32F08" w:rsidRDefault="00000000">
      <w:pPr>
        <w:pStyle w:val="FirstParagraph"/>
      </w:pPr>
      <w:r>
        <w:rPr>
          <w:b/>
          <w:bCs/>
        </w:rPr>
        <w:t>Change-Point Detection Complements Disproportionality Analysis for Emerging Adverse Events in Established Drugs: A Validated Re-analysis of Australia’s DAEN</w:t>
      </w:r>
    </w:p>
    <w:p w14:paraId="6B51620C" w14:textId="77777777" w:rsidR="00D32F08" w:rsidRDefault="00000000">
      <w:pPr>
        <w:pStyle w:val="BodyText"/>
      </w:pPr>
      <w:r>
        <w:t>Hayden Farquhar</w:t>
      </w:r>
    </w:p>
    <w:p w14:paraId="2C2B455F" w14:textId="77777777" w:rsidR="00D32F08" w:rsidRDefault="00E678DE">
      <w:r>
        <w:rPr>
          <w:noProof/>
        </w:rPr>
        <w:pict w14:anchorId="1C8ACBA0">
          <v:rect id="_x0000_i1028" alt="" style="width:451.3pt;height:.05pt;mso-width-percent:0;mso-height-percent:0;mso-width-percent:0;mso-height-percent:0" o:hralign="center" o:hrstd="t" o:hr="t"/>
        </w:pict>
      </w:r>
    </w:p>
    <w:p w14:paraId="13110D47" w14:textId="77777777" w:rsidR="00D32F08" w:rsidRDefault="00000000">
      <w:pPr>
        <w:pStyle w:val="Heading2"/>
      </w:pPr>
      <w:bookmarkStart w:id="1" w:name="table-of-contents"/>
      <w:r>
        <w:t>Table of Contents</w:t>
      </w:r>
    </w:p>
    <w:p w14:paraId="10372660" w14:textId="77777777" w:rsidR="00D32F08" w:rsidRDefault="00000000">
      <w:pPr>
        <w:pStyle w:val="Compact"/>
        <w:numPr>
          <w:ilvl w:val="0"/>
          <w:numId w:val="2"/>
        </w:numPr>
      </w:pPr>
      <w:hyperlink w:anchor="supplementary-methods">
        <w:r>
          <w:rPr>
            <w:rStyle w:val="Hyperlink"/>
          </w:rPr>
          <w:t>Supplementary Methods</w:t>
        </w:r>
      </w:hyperlink>
    </w:p>
    <w:p w14:paraId="2EC7F297" w14:textId="77777777" w:rsidR="00D32F08" w:rsidRDefault="00000000">
      <w:pPr>
        <w:pStyle w:val="Compact"/>
        <w:numPr>
          <w:ilvl w:val="1"/>
          <w:numId w:val="3"/>
        </w:numPr>
      </w:pPr>
      <w:r>
        <w:t>SM1. CPD algorithm parameterisation (including harmonised-input BOCPD)</w:t>
      </w:r>
    </w:p>
    <w:p w14:paraId="47B249CC" w14:textId="77777777" w:rsidR="00D32F08" w:rsidRDefault="00000000">
      <w:pPr>
        <w:pStyle w:val="Compact"/>
        <w:numPr>
          <w:ilvl w:val="1"/>
          <w:numId w:val="3"/>
        </w:numPr>
      </w:pPr>
      <w:r>
        <w:t>SM2. Detection classification definitions</w:t>
      </w:r>
    </w:p>
    <w:p w14:paraId="1DC5E0C4" w14:textId="77777777" w:rsidR="00D32F08" w:rsidRDefault="00000000">
      <w:pPr>
        <w:pStyle w:val="Compact"/>
        <w:numPr>
          <w:ilvl w:val="1"/>
          <w:numId w:val="3"/>
        </w:numPr>
      </w:pPr>
      <w:r>
        <w:t>SM3. Drug allowlist composition and counts reconciliation (70 vs 200)</w:t>
      </w:r>
    </w:p>
    <w:p w14:paraId="4B4C87E2" w14:textId="77777777" w:rsidR="00D32F08" w:rsidRDefault="00000000">
      <w:pPr>
        <w:pStyle w:val="Compact"/>
        <w:numPr>
          <w:ilvl w:val="1"/>
          <w:numId w:val="3"/>
        </w:numPr>
      </w:pPr>
      <w:r>
        <w:t>SM4. OMOP/EU-ADR term mapping</w:t>
      </w:r>
    </w:p>
    <w:p w14:paraId="5205CA48" w14:textId="77777777" w:rsidR="00D32F08" w:rsidRDefault="00000000">
      <w:pPr>
        <w:pStyle w:val="Compact"/>
        <w:numPr>
          <w:ilvl w:val="1"/>
          <w:numId w:val="3"/>
        </w:numPr>
      </w:pPr>
      <w:r>
        <w:t>SM5. Truncation-aware Monte Carlo null specification</w:t>
      </w:r>
    </w:p>
    <w:p w14:paraId="432E1C8C" w14:textId="77777777" w:rsidR="00D32F08" w:rsidRDefault="00000000">
      <w:pPr>
        <w:pStyle w:val="Compact"/>
        <w:numPr>
          <w:ilvl w:val="1"/>
          <w:numId w:val="3"/>
        </w:numPr>
      </w:pPr>
      <w:r>
        <w:t>SM6. Density-stratified confidence-PPV analysis specification</w:t>
      </w:r>
    </w:p>
    <w:p w14:paraId="5B0A1261" w14:textId="77777777" w:rsidR="00D32F08" w:rsidRDefault="00000000">
      <w:pPr>
        <w:pStyle w:val="Compact"/>
        <w:numPr>
          <w:ilvl w:val="0"/>
          <w:numId w:val="2"/>
        </w:numPr>
      </w:pPr>
      <w:hyperlink w:anchor="supplementary-tables">
        <w:r>
          <w:rPr>
            <w:rStyle w:val="Hyperlink"/>
          </w:rPr>
          <w:t>Supplementary Tables</w:t>
        </w:r>
      </w:hyperlink>
    </w:p>
    <w:p w14:paraId="2C70062E" w14:textId="77777777" w:rsidR="00D32F08" w:rsidRDefault="00000000">
      <w:pPr>
        <w:pStyle w:val="Compact"/>
        <w:numPr>
          <w:ilvl w:val="1"/>
          <w:numId w:val="4"/>
        </w:numPr>
      </w:pPr>
      <w:r>
        <w:t>eTable S1. Full Tier A detection results</w:t>
      </w:r>
    </w:p>
    <w:p w14:paraId="60A9DE9D" w14:textId="77777777" w:rsidR="00D32F08" w:rsidRDefault="00000000">
      <w:pPr>
        <w:pStyle w:val="Compact"/>
        <w:numPr>
          <w:ilvl w:val="1"/>
          <w:numId w:val="4"/>
        </w:numPr>
      </w:pPr>
      <w:r>
        <w:t>eTable S2. Negative control results</w:t>
      </w:r>
    </w:p>
    <w:p w14:paraId="6FCE06F2" w14:textId="77777777" w:rsidR="00D32F08" w:rsidRDefault="00000000">
      <w:pPr>
        <w:pStyle w:val="Compact"/>
        <w:numPr>
          <w:ilvl w:val="1"/>
          <w:numId w:val="4"/>
        </w:numPr>
      </w:pPr>
      <w:r>
        <w:t>eTable S3. CPD parameter sensitivity sweep results (extended with CUSUM baseline window)</w:t>
      </w:r>
    </w:p>
    <w:p w14:paraId="4DED70EB" w14:textId="77777777" w:rsidR="00D32F08" w:rsidRDefault="00000000">
      <w:pPr>
        <w:pStyle w:val="Compact"/>
        <w:numPr>
          <w:ilvl w:val="1"/>
          <w:numId w:val="4"/>
        </w:numPr>
      </w:pPr>
      <w:r>
        <w:t>eTable S4. Subgroup analyses (CPD vs PRR timing by signal type and TGA action tier)</w:t>
      </w:r>
    </w:p>
    <w:p w14:paraId="2911BCB7" w14:textId="77777777" w:rsidR="00D32F08" w:rsidRDefault="00000000">
      <w:pPr>
        <w:pStyle w:val="Compact"/>
        <w:numPr>
          <w:ilvl w:val="1"/>
          <w:numId w:val="4"/>
        </w:numPr>
      </w:pPr>
      <w:r>
        <w:t>eTable S5. COVID-19 temporal masking analysis</w:t>
      </w:r>
    </w:p>
    <w:p w14:paraId="28818E0D" w14:textId="77777777" w:rsidR="00D32F08" w:rsidRDefault="00000000">
      <w:pPr>
        <w:pStyle w:val="Compact"/>
        <w:numPr>
          <w:ilvl w:val="1"/>
          <w:numId w:val="4"/>
        </w:numPr>
      </w:pPr>
      <w:r>
        <w:t>eTable S6. DAEN-FAERS concordance matrix</w:t>
      </w:r>
    </w:p>
    <w:p w14:paraId="0D334CD6" w14:textId="77777777" w:rsidR="00D32F08" w:rsidRDefault="00000000">
      <w:pPr>
        <w:pStyle w:val="Compact"/>
        <w:numPr>
          <w:ilvl w:val="1"/>
          <w:numId w:val="4"/>
        </w:numPr>
      </w:pPr>
      <w:r>
        <w:t>eTable S7. Ensemble confidence vs positive predictive value, stratified by data density</w:t>
      </w:r>
    </w:p>
    <w:p w14:paraId="0417657E" w14:textId="77777777" w:rsidR="00D32F08" w:rsidRDefault="00000000">
      <w:pPr>
        <w:pStyle w:val="Compact"/>
        <w:numPr>
          <w:ilvl w:val="1"/>
          <w:numId w:val="4"/>
        </w:numPr>
      </w:pPr>
      <w:r>
        <w:t>eTable S8. Pooling benefit by signal strength subgroup</w:t>
      </w:r>
    </w:p>
    <w:p w14:paraId="109D4BA6" w14:textId="77777777" w:rsidR="00D32F08" w:rsidRDefault="00000000">
      <w:pPr>
        <w:pStyle w:val="Compact"/>
        <w:numPr>
          <w:ilvl w:val="1"/>
          <w:numId w:val="4"/>
        </w:numPr>
      </w:pPr>
      <w:r>
        <w:t>eTable S9. Pooling vs components: full contrast table (revised)</w:t>
      </w:r>
    </w:p>
    <w:p w14:paraId="7D6BCD9B" w14:textId="77777777" w:rsidR="00D32F08" w:rsidRDefault="00000000">
      <w:pPr>
        <w:pStyle w:val="Compact"/>
        <w:numPr>
          <w:ilvl w:val="1"/>
          <w:numId w:val="4"/>
        </w:numPr>
      </w:pPr>
      <w:r>
        <w:t>eTable S10. Cross-database detection timing (full results)</w:t>
      </w:r>
    </w:p>
    <w:p w14:paraId="2BBBBD41" w14:textId="77777777" w:rsidR="00D32F08" w:rsidRDefault="00000000">
      <w:pPr>
        <w:pStyle w:val="Compact"/>
        <w:numPr>
          <w:ilvl w:val="1"/>
          <w:numId w:val="4"/>
        </w:numPr>
      </w:pPr>
      <w:r>
        <w:t>eTable S11. Prospective simulation results (full results)</w:t>
      </w:r>
    </w:p>
    <w:p w14:paraId="5C582986" w14:textId="77777777" w:rsidR="00D32F08" w:rsidRPr="007E689D" w:rsidRDefault="00000000">
      <w:pPr>
        <w:pStyle w:val="Compact"/>
        <w:numPr>
          <w:ilvl w:val="1"/>
          <w:numId w:val="4"/>
        </w:numPr>
      </w:pPr>
      <w:r w:rsidRPr="007E689D">
        <w:t>eTable S12. Harmonised-input BOCPD sensitivity (revised analysis)</w:t>
      </w:r>
    </w:p>
    <w:p w14:paraId="3D3DDB63" w14:textId="77777777" w:rsidR="00D32F08" w:rsidRPr="007E689D" w:rsidRDefault="00000000">
      <w:pPr>
        <w:pStyle w:val="Compact"/>
        <w:numPr>
          <w:ilvl w:val="1"/>
          <w:numId w:val="4"/>
        </w:numPr>
      </w:pPr>
      <w:r w:rsidRPr="007E689D">
        <w:t>eTable S13. Benjamini-Hochberg FDR adjustment across the test family</w:t>
      </w:r>
    </w:p>
    <w:p w14:paraId="0916396A" w14:textId="77777777" w:rsidR="00D32F08" w:rsidRPr="007E689D" w:rsidRDefault="00000000">
      <w:pPr>
        <w:pStyle w:val="Compact"/>
        <w:numPr>
          <w:ilvl w:val="1"/>
          <w:numId w:val="4"/>
        </w:numPr>
      </w:pPr>
      <w:r w:rsidRPr="007E689D">
        <w:t>eTable S14. Truncation-aware null simulation for the widening detection gap</w:t>
      </w:r>
    </w:p>
    <w:p w14:paraId="34A53FD2" w14:textId="77777777" w:rsidR="00D32F08" w:rsidRPr="007E689D" w:rsidRDefault="00000000">
      <w:pPr>
        <w:pStyle w:val="Compact"/>
        <w:numPr>
          <w:ilvl w:val="1"/>
          <w:numId w:val="4"/>
        </w:numPr>
      </w:pPr>
      <w:r w:rsidRPr="007E689D">
        <w:t>eTable S15. CPD vs rolling BCPNN-IC (Bayesian shrinkage) comparator (post hoc)</w:t>
      </w:r>
    </w:p>
    <w:p w14:paraId="428E2A7D" w14:textId="77777777" w:rsidR="00D32F08" w:rsidRDefault="00000000">
      <w:pPr>
        <w:pStyle w:val="Compact"/>
        <w:numPr>
          <w:ilvl w:val="0"/>
          <w:numId w:val="2"/>
        </w:numPr>
      </w:pPr>
      <w:hyperlink w:anchor="supplementary-figures">
        <w:r>
          <w:rPr>
            <w:rStyle w:val="Hyperlink"/>
          </w:rPr>
          <w:t>Supplementary Figures</w:t>
        </w:r>
      </w:hyperlink>
    </w:p>
    <w:p w14:paraId="6300D706" w14:textId="77777777" w:rsidR="00D32F08" w:rsidRDefault="00000000">
      <w:pPr>
        <w:pStyle w:val="Compact"/>
        <w:numPr>
          <w:ilvl w:val="1"/>
          <w:numId w:val="5"/>
        </w:numPr>
      </w:pPr>
      <w:r>
        <w:t>eFigure S1. Kaplan-Meier time-to-detection curves</w:t>
      </w:r>
    </w:p>
    <w:p w14:paraId="3245E450" w14:textId="77777777" w:rsidR="00D32F08" w:rsidRDefault="00000000">
      <w:pPr>
        <w:pStyle w:val="Compact"/>
        <w:numPr>
          <w:ilvl w:val="1"/>
          <w:numId w:val="5"/>
        </w:numPr>
      </w:pPr>
      <w:r>
        <w:lastRenderedPageBreak/>
        <w:t>eFigure S2. CPD parameter sensitivity plots</w:t>
      </w:r>
    </w:p>
    <w:p w14:paraId="3E549074" w14:textId="77777777" w:rsidR="00D32F08" w:rsidRDefault="00000000">
      <w:pPr>
        <w:pStyle w:val="Compact"/>
        <w:numPr>
          <w:ilvl w:val="1"/>
          <w:numId w:val="5"/>
        </w:numPr>
      </w:pPr>
      <w:r>
        <w:t>eFigure S4. Detection performance by validation tier under primary and sensitivity criteria</w:t>
      </w:r>
    </w:p>
    <w:p w14:paraId="4D367F3E" w14:textId="77777777" w:rsidR="00D32F08" w:rsidRDefault="00000000">
      <w:pPr>
        <w:pStyle w:val="Compact"/>
        <w:numPr>
          <w:ilvl w:val="1"/>
          <w:numId w:val="5"/>
        </w:numPr>
      </w:pPr>
      <w:r>
        <w:t>eFigure S5. Prospective simulation timeline</w:t>
      </w:r>
    </w:p>
    <w:p w14:paraId="3EBC43D7" w14:textId="77777777" w:rsidR="00D32F08" w:rsidRDefault="00000000">
      <w:pPr>
        <w:pStyle w:val="Compact"/>
        <w:numPr>
          <w:ilvl w:val="1"/>
          <w:numId w:val="5"/>
        </w:numPr>
      </w:pPr>
      <w:r>
        <w:t>eFigure S6. Signal accumulation curves for representative pairs</w:t>
      </w:r>
    </w:p>
    <w:p w14:paraId="57837289" w14:textId="77777777" w:rsidR="00D32F08" w:rsidRDefault="00000000">
      <w:pPr>
        <w:pStyle w:val="Compact"/>
        <w:numPr>
          <w:ilvl w:val="1"/>
          <w:numId w:val="5"/>
        </w:numPr>
      </w:pPr>
      <w:r>
        <w:t>eFigure S7. Cross-database detection timing scatter plot</w:t>
      </w:r>
    </w:p>
    <w:p w14:paraId="68CDCD08" w14:textId="77777777" w:rsidR="00D32F08" w:rsidRDefault="00000000">
      <w:pPr>
        <w:pStyle w:val="Compact"/>
        <w:numPr>
          <w:ilvl w:val="1"/>
          <w:numId w:val="5"/>
        </w:numPr>
      </w:pPr>
      <w:r>
        <w:t>eFigure S8. Detection-to-action gap over time (truncation-aware)</w:t>
      </w:r>
    </w:p>
    <w:p w14:paraId="3A3F8EE3" w14:textId="77777777" w:rsidR="00D32F08" w:rsidRDefault="00E678DE">
      <w:r>
        <w:rPr>
          <w:noProof/>
        </w:rPr>
        <w:pict w14:anchorId="72B3D8FB">
          <v:rect id="_x0000_i1027" alt="" style="width:451.3pt;height:.05pt;mso-width-percent:0;mso-height-percent:0;mso-width-percent:0;mso-height-percent:0" o:hralign="center" o:hrstd="t" o:hr="t"/>
        </w:pict>
      </w:r>
    </w:p>
    <w:p w14:paraId="33597248" w14:textId="77777777" w:rsidR="00D32F08" w:rsidRDefault="00000000">
      <w:pPr>
        <w:pStyle w:val="Heading2"/>
      </w:pPr>
      <w:bookmarkStart w:id="2" w:name="supplementary-methods"/>
      <w:bookmarkEnd w:id="1"/>
      <w:r>
        <w:t>Supplementary Methods</w:t>
      </w:r>
    </w:p>
    <w:p w14:paraId="09820981" w14:textId="77777777" w:rsidR="00D32F08" w:rsidRDefault="00000000">
      <w:pPr>
        <w:pStyle w:val="Heading3"/>
      </w:pPr>
      <w:bookmarkStart w:id="3" w:name="sm1.-cpd-algorithm-parameterisation"/>
      <w:r>
        <w:t>SM1. CPD algorithm parameterisation</w:t>
      </w:r>
    </w:p>
    <w:p w14:paraId="5CB34911" w14:textId="77777777" w:rsidR="00D32F08" w:rsidRPr="007E689D" w:rsidRDefault="00000000">
      <w:pPr>
        <w:pStyle w:val="FirstParagraph"/>
      </w:pPr>
      <w:r w:rsidRPr="007E689D">
        <w:t xml:space="preserve">PELT was implemented using the </w:t>
      </w:r>
      <w:r w:rsidRPr="007E689D">
        <w:rPr>
          <w:rStyle w:val="VerbatimChar"/>
        </w:rPr>
        <w:t>ruptures</w:t>
      </w:r>
      <w:r w:rsidRPr="007E689D">
        <w:t xml:space="preserve"> Python library (version 1.1.9) with an RBF (radial basis function) kernel cost model. The penalty parameter was derived using the Bayesian Information Criterion (BIC): log(n) multiplied by the variance of the series, where n is the number of quarters. Minimum segment size was set to 2 quarters. The first detected upward change-point was recorded. Input: drug-specific proportion series.</w:t>
      </w:r>
    </w:p>
    <w:p w14:paraId="6506FBA6" w14:textId="77777777" w:rsidR="00D32F08" w:rsidRPr="007E689D" w:rsidRDefault="00000000">
      <w:pPr>
        <w:pStyle w:val="BodyText"/>
      </w:pPr>
      <w:r w:rsidRPr="007E689D">
        <w:t>CUSUM used one-sided upper cumulative sum statistics to detect upward mean shifts. The baseline mean was estimated from the first 25% of the time series (first 22 quarters). The allowance parameter k was set to 0.5 standard deviations above the baseline mean, and the decision interval h was set to 5.0 standard deviations. Change-points were declared when the cumulative sum statistic exceeded h. Input: drug-specific proportion series. Baseline contamination caveat: any signal emerging within the first 22 quarters contaminates the baseline. The sensitivity sweep over 10%–40% baseline windows (eTable S3) addresses this; detection counts shifted by ≤1 across all pairs.</w:t>
      </w:r>
    </w:p>
    <w:p w14:paraId="57F0ED6A" w14:textId="4699B5ED" w:rsidR="00D32F08" w:rsidRPr="007E689D" w:rsidRDefault="00000000">
      <w:pPr>
        <w:pStyle w:val="BodyText"/>
      </w:pPr>
      <w:r w:rsidRPr="007E689D">
        <w:t>BOCPD (primary configuration)</w:t>
      </w:r>
      <w:r w:rsidR="007E689D">
        <w:t>:</w:t>
      </w:r>
      <w:r w:rsidRPr="007E689D">
        <w:t xml:space="preserve"> The Adams and MacKay algorithm with a Poisson-Gamma conjugate observation model. The hazard rate was set to 1/20, corresponding to an expected run length of 20 quarters between change-points. Change-points were identified via resets in the MAP run length (drop from ≥3 to ≤2). Input: raw count series (the Poisson-Gamma model is parameterised on counts). This is the pre-registered primary configuration.</w:t>
      </w:r>
    </w:p>
    <w:p w14:paraId="50D0DABE" w14:textId="1FA9BA4C" w:rsidR="00D32F08" w:rsidRPr="007E689D" w:rsidRDefault="00000000">
      <w:pPr>
        <w:pStyle w:val="BodyText"/>
      </w:pPr>
      <w:r w:rsidRPr="007E689D">
        <w:t>BOCPD (harmonised-input sensitivity, post hoc)</w:t>
      </w:r>
      <w:r w:rsidR="007E689D">
        <w:t>:</w:t>
      </w:r>
      <w:r w:rsidRPr="007E689D">
        <w:t xml:space="preserve"> To test whether the mismatch between BOCPD’s count input and PELT/CUSUM’s proportion input was inflating the apparent inter-method disagreement, we re-ran BOCPD on the drug-specific proportion series with auto-scaling to pseudo-counts (max value scaled to 100). Results in eTable S12. The harmonised-input ensemble consensus quarter changed in 4 of 32 Tier A pairs; median absolute shift was 0 quarters. Pairwise PELT–BOCPD concordance rose from 48% to 65% under harmonised inputs, while CUSUM–BOCPD concordance shifted modestly (52% → 39%). The principal CPD-vs-PRR contrast and headline detection counts are robust to input harmonisation.</w:t>
      </w:r>
    </w:p>
    <w:p w14:paraId="77647FB0" w14:textId="7C082686" w:rsidR="00D32F08" w:rsidRPr="007E689D" w:rsidRDefault="00000000">
      <w:pPr>
        <w:pStyle w:val="BodyText"/>
      </w:pPr>
      <w:r w:rsidRPr="007E689D">
        <w:lastRenderedPageBreak/>
        <w:t>Ensemble consensus</w:t>
      </w:r>
      <w:r w:rsidR="007E689D">
        <w:t>:</w:t>
      </w:r>
      <w:r w:rsidRPr="007E689D">
        <w:t xml:space="preserve"> The first upward change-point from each method was recorded. Methods detecting change-points within ±2 quarters of each other were clustered, and the consensus detection quarter was defined as the median quarter of the largest agreeing cluster. Confidence was classified as high (3/3 methods agree), moderate (2/3), or low (1/3 only). The original submission’s claim that this confidence label inversely tracked PPV (Cochran-Armitage trend p = 0.004) is retracted on reanalysis (corrected p = 0.50); see §3.9 of the main text and eTable S7.</w:t>
      </w:r>
    </w:p>
    <w:p w14:paraId="65838CE1" w14:textId="77777777" w:rsidR="00D32F08" w:rsidRDefault="00000000">
      <w:pPr>
        <w:pStyle w:val="Heading3"/>
      </w:pPr>
      <w:bookmarkStart w:id="4" w:name="X5f3c5101b5a4dd04044f4a31f0462141d89d19f"/>
      <w:bookmarkEnd w:id="3"/>
      <w:r>
        <w:t>SM2. Detection classification definitions</w:t>
      </w:r>
    </w:p>
    <w:p w14:paraId="02C07D04" w14:textId="77777777" w:rsidR="00D32F08" w:rsidRDefault="00000000">
      <w:pPr>
        <w:pStyle w:val="FirstParagraph"/>
      </w:pPr>
      <w:r>
        <w:t>Each CPD detection was classified based on the drug’s temporal presence in the DAEN:</w:t>
      </w:r>
    </w:p>
    <w:p w14:paraId="2D88BDCC" w14:textId="77777777" w:rsidR="00D32F08" w:rsidRDefault="00000000">
      <w:pPr>
        <w:pStyle w:val="Compact"/>
        <w:numPr>
          <w:ilvl w:val="0"/>
          <w:numId w:val="6"/>
        </w:numPr>
      </w:pPr>
      <w:r>
        <w:rPr>
          <w:b/>
          <w:bCs/>
        </w:rPr>
        <w:t>Genuine emergence:</w:t>
      </w:r>
      <w:r>
        <w:t xml:space="preserve"> Drug present in the DAEN for ≥4 quarters before the adverse event first appeared, indicating a new adverse event for an established drug.</w:t>
      </w:r>
    </w:p>
    <w:p w14:paraId="71E60F8E" w14:textId="77777777" w:rsidR="00D32F08" w:rsidRDefault="00000000">
      <w:pPr>
        <w:pStyle w:val="Compact"/>
        <w:numPr>
          <w:ilvl w:val="0"/>
          <w:numId w:val="6"/>
        </w:numPr>
      </w:pPr>
      <w:r>
        <w:rPr>
          <w:b/>
          <w:bCs/>
        </w:rPr>
        <w:t>New drug signal:</w:t>
      </w:r>
      <w:r>
        <w:t xml:space="preserve"> Adverse event appeared within 4 quarters of the drug’s DAEN entry, indicating a signal associated with a newly marketed drug.</w:t>
      </w:r>
    </w:p>
    <w:p w14:paraId="21EFA044" w14:textId="77777777" w:rsidR="00D32F08" w:rsidRDefault="00000000">
      <w:pPr>
        <w:pStyle w:val="Compact"/>
        <w:numPr>
          <w:ilvl w:val="0"/>
          <w:numId w:val="6"/>
        </w:numPr>
      </w:pPr>
      <w:r>
        <w:rPr>
          <w:b/>
          <w:bCs/>
        </w:rPr>
        <w:t>Sparse:</w:t>
      </w:r>
      <w:r>
        <w:t xml:space="preserve"> Fewer than 10 total reports for the drug-adverse event pair (excluded by primary confirmation criterion).</w:t>
      </w:r>
    </w:p>
    <w:p w14:paraId="00E416EA" w14:textId="77777777" w:rsidR="00D32F08" w:rsidRDefault="00000000">
      <w:pPr>
        <w:pStyle w:val="Compact"/>
        <w:numPr>
          <w:ilvl w:val="0"/>
          <w:numId w:val="6"/>
        </w:numPr>
      </w:pPr>
      <w:r>
        <w:rPr>
          <w:b/>
          <w:bCs/>
        </w:rPr>
        <w:t>Post-TGA:</w:t>
      </w:r>
      <w:r>
        <w:t xml:space="preserve"> CPD detection quarter fell after the TGA regulatory action date.</w:t>
      </w:r>
    </w:p>
    <w:p w14:paraId="494FCA0D" w14:textId="77777777" w:rsidR="00D32F08" w:rsidRDefault="00000000">
      <w:pPr>
        <w:pStyle w:val="Compact"/>
        <w:numPr>
          <w:ilvl w:val="0"/>
          <w:numId w:val="6"/>
        </w:numPr>
      </w:pPr>
      <w:r>
        <w:rPr>
          <w:b/>
          <w:bCs/>
        </w:rPr>
        <w:t>Excluded:</w:t>
      </w:r>
      <w:r>
        <w:t xml:space="preserve"> Drug withdrawn before the analysis window (e.g., cerivastatin).</w:t>
      </w:r>
    </w:p>
    <w:p w14:paraId="150733A9" w14:textId="77777777" w:rsidR="00D32F08" w:rsidRDefault="00000000">
      <w:pPr>
        <w:pStyle w:val="Compact"/>
        <w:numPr>
          <w:ilvl w:val="0"/>
          <w:numId w:val="6"/>
        </w:numPr>
      </w:pPr>
      <w:r>
        <w:rPr>
          <w:b/>
          <w:bCs/>
        </w:rPr>
        <w:t>No detection:</w:t>
      </w:r>
      <w:r>
        <w:t xml:space="preserve"> No change-point detected by any method.</w:t>
      </w:r>
    </w:p>
    <w:p w14:paraId="50559EA7" w14:textId="77777777" w:rsidR="00D32F08" w:rsidRDefault="00000000">
      <w:pPr>
        <w:pStyle w:val="Heading3"/>
      </w:pPr>
      <w:bookmarkStart w:id="5" w:name="X1c7ef857c8a69fd38e1021b739fc06a59741e62"/>
      <w:bookmarkEnd w:id="4"/>
      <w:r>
        <w:t>SM3. Drug allowlist composition and counts reconciliation</w:t>
      </w:r>
    </w:p>
    <w:p w14:paraId="7FB458B6" w14:textId="77777777" w:rsidR="00D32F08" w:rsidRDefault="00000000">
      <w:pPr>
        <w:pStyle w:val="FirstParagraph"/>
      </w:pPr>
      <w:r>
        <w:t>Three reference figures appear in this paper:</w:t>
      </w:r>
    </w:p>
    <w:p w14:paraId="44BC3B79" w14:textId="77777777" w:rsidR="00D32F08" w:rsidRDefault="00000000">
      <w:pPr>
        <w:pStyle w:val="Compact"/>
        <w:numPr>
          <w:ilvl w:val="0"/>
          <w:numId w:val="7"/>
        </w:numPr>
      </w:pPr>
      <w:r>
        <w:rPr>
          <w:b/>
          <w:bCs/>
        </w:rPr>
        <w:t>70 active ingredients (Methods §2.1; SM3):</w:t>
      </w:r>
      <w:r>
        <w:t xml:space="preserve"> the pre-CPD allowlist assembled to cover all drugs in Tiers A and B before CPD was run.</w:t>
      </w:r>
    </w:p>
    <w:p w14:paraId="04426674" w14:textId="77777777" w:rsidR="00D32F08" w:rsidRDefault="00000000">
      <w:pPr>
        <w:pStyle w:val="Compact"/>
        <w:numPr>
          <w:ilvl w:val="0"/>
          <w:numId w:val="7"/>
        </w:numPr>
      </w:pPr>
      <w:r>
        <w:rPr>
          <w:b/>
          <w:bCs/>
        </w:rPr>
        <w:t>70 ingredient mappings (FAERS harmonisation):</w:t>
      </w:r>
      <w:r>
        <w:t xml:space="preserve"> the same 70-ingredient core, with US-to-AU name harmonisation rules (e.g., acetaminophen → paracetamol) and salt-form normalisation rules.</w:t>
      </w:r>
    </w:p>
    <w:p w14:paraId="02612D49" w14:textId="77777777" w:rsidR="00D32F08" w:rsidRDefault="00000000">
      <w:pPr>
        <w:pStyle w:val="Compact"/>
        <w:numPr>
          <w:ilvl w:val="0"/>
          <w:numId w:val="7"/>
        </w:numPr>
      </w:pPr>
      <w:r>
        <w:rPr>
          <w:b/>
          <w:bCs/>
        </w:rPr>
        <w:t>200 active ingredients (Tier C; SM4):</w:t>
      </w:r>
      <w:r>
        <w:t xml:space="preserve"> the allowlist </w:t>
      </w:r>
      <w:r>
        <w:rPr>
          <w:i/>
          <w:iCs/>
        </w:rPr>
        <w:t>expanded</w:t>
      </w:r>
      <w:r>
        <w:t xml:space="preserve"> to cover the OMOP/EU-ADR reference set, mapped to DAEN MedDRA terms and Australian ingredient names. The expansion was driven by the external reference standard, not by tuning.</w:t>
      </w:r>
    </w:p>
    <w:p w14:paraId="65130563" w14:textId="1FD56778" w:rsidR="00D32F08" w:rsidRDefault="00000000">
      <w:pPr>
        <w:pStyle w:val="FirstParagraph"/>
      </w:pPr>
      <w:r w:rsidRPr="007E689D">
        <w:t>Allowlist construction</w:t>
      </w:r>
      <w:r w:rsidR="007E689D">
        <w:t>:</w:t>
      </w:r>
      <w:r>
        <w:t xml:space="preserve"> Drugs were included if they appeared in (a) the TGA regulatory-action validation set from the companion DAEN study [27], (b) the curated DAEN reference associations in [27], or (c) an external reference standard (Tier C). The allowlist was committed before any CPD detection was run on the time series. </w:t>
      </w:r>
      <w:r>
        <w:rPr>
          <w:b/>
          <w:bCs/>
        </w:rPr>
        <w:t>Important caveat:</w:t>
      </w:r>
      <w:r>
        <w:t xml:space="preserve"> because Tier A and Tier B were built with knowledge of which drugs had regulatory signals, allowlist composition is not selection-independent for those tiers. Tier C, derived externally, is selection-independent for the OMOP/EU-ADR subset. CPD performance on drugs not in the allowlist is not characterised in this study.</w:t>
      </w:r>
    </w:p>
    <w:p w14:paraId="25C285D4" w14:textId="77777777" w:rsidR="00D32F08" w:rsidRDefault="00000000">
      <w:pPr>
        <w:pStyle w:val="BodyText"/>
      </w:pPr>
      <w:r>
        <w:lastRenderedPageBreak/>
        <w:t>Drug-name harmonisation across DAEN and FAERS used a pre-specified mapping covering all 70 (core) → 200 (extended) ingredients. The mapping included US-to-AU name aliases, salt and ester variants, and brand-to-ingredient lookups. Combination products were excluded.</w:t>
      </w:r>
    </w:p>
    <w:p w14:paraId="3294DED9" w14:textId="77777777" w:rsidR="00D32F08" w:rsidRDefault="00000000">
      <w:pPr>
        <w:pStyle w:val="Heading3"/>
      </w:pPr>
      <w:bookmarkStart w:id="6" w:name="sm4.-omopeu-adr-term-mapping"/>
      <w:bookmarkEnd w:id="5"/>
      <w:r>
        <w:t>SM4. OMOP/EU-ADR term mapping</w:t>
      </w:r>
    </w:p>
    <w:p w14:paraId="1435F397" w14:textId="77777777" w:rsidR="00D32F08" w:rsidRDefault="00000000">
      <w:pPr>
        <w:pStyle w:val="FirstParagraph"/>
      </w:pPr>
      <w:r>
        <w:t>Positive associations from the OMOP reference set (165 positive controls across 4 health outcomes: acute liver injury, acute kidney injury, acute myocardial infarction, and upper gastrointestinal bleeding) and the EU-ADR reference standard (43 positive controls across 10 adverse event categories curated from product labels, published literature, WHO VigiBase, and expert consensus) were mapped to DAEN MedDRA reaction terms and Australian drug ingredient names using a pre-specified mapping covering 200 drugs. US drug names were harmonised to Australian equivalents where they differ.</w:t>
      </w:r>
    </w:p>
    <w:p w14:paraId="74CEA9A4" w14:textId="77777777" w:rsidR="00D32F08" w:rsidRDefault="00000000">
      <w:pPr>
        <w:pStyle w:val="BodyText"/>
      </w:pPr>
      <w:r>
        <w:t>Negative controls comprised 234 OMOP negative controls, 50 EU-ADR negative controls, and 26 curated non-associations, with any pair appearing in a positive set excluded.</w:t>
      </w:r>
    </w:p>
    <w:p w14:paraId="374EE4DA" w14:textId="77777777" w:rsidR="00D32F08" w:rsidRDefault="00000000">
      <w:pPr>
        <w:pStyle w:val="Heading3"/>
      </w:pPr>
      <w:bookmarkStart w:id="7" w:name="Xc7f916e0e52f313faa1a8c5dd8a54c1d61d6941"/>
      <w:bookmarkEnd w:id="6"/>
      <w:r>
        <w:t>SM5. Truncation-aware Monte Carlo null specification</w:t>
      </w:r>
    </w:p>
    <w:p w14:paraId="68AE44CD" w14:textId="77777777" w:rsidR="00D32F08" w:rsidRDefault="00000000">
      <w:pPr>
        <w:pStyle w:val="FirstParagraph"/>
      </w:pPr>
      <w:r>
        <w:t>For the post-hoc Spearman correlation between TGA action year and CPD lead time (rho = 0.70, raw p &lt; 0.001), we constructed two null distributions:</w:t>
      </w:r>
    </w:p>
    <w:p w14:paraId="009262DD" w14:textId="699101A5" w:rsidR="00D32F08" w:rsidRPr="007E689D" w:rsidRDefault="00000000">
      <w:pPr>
        <w:pStyle w:val="BodyText"/>
      </w:pPr>
      <w:r w:rsidRPr="007E689D">
        <w:t>Null 1 (permutation, no truncation correction)</w:t>
      </w:r>
      <w:r w:rsidR="007E689D">
        <w:t>:</w:t>
      </w:r>
      <w:r w:rsidRPr="007E689D">
        <w:t xml:space="preserve"> For each of 10,000 simulations, the observed lead-time vector was permuted across pairs while the action-year vector was held fixed; the Spearman rho was computed on each permutation. This tests the standard null of no association.</w:t>
      </w:r>
    </w:p>
    <w:p w14:paraId="0AE76B77" w14:textId="40729E31" w:rsidR="00D32F08" w:rsidRDefault="00000000">
      <w:pPr>
        <w:pStyle w:val="BodyText"/>
      </w:pPr>
      <w:r w:rsidRPr="007E689D">
        <w:t>Null 2 (truncation-aware)</w:t>
      </w:r>
      <w:r w:rsidR="007E689D">
        <w:t>:</w:t>
      </w:r>
      <w:r w:rsidRPr="007E689D">
        <w:t xml:space="preserve"> For each pair </w:t>
      </w:r>
      <w:r w:rsidRPr="007E689D">
        <w:rPr>
          <w:i/>
          <w:iCs/>
        </w:rPr>
        <w:t>i</w:t>
      </w:r>
      <w:r w:rsidRPr="007E689D">
        <w:t xml:space="preserve"> with TGA action at quarter index </w:t>
      </w:r>
      <w:r w:rsidRPr="007E689D">
        <w:rPr>
          <w:i/>
          <w:iCs/>
        </w:rPr>
        <w:t>T_i</w:t>
      </w:r>
      <w:r w:rsidRPr="007E689D">
        <w:t xml:space="preserve"> (relative to</w:t>
      </w:r>
      <w:r>
        <w:t xml:space="preserve"> 2004Q1), the maximum observable CPD lead is max_lead_i = T_i. Under a stationary regulatory-response process, the “true” CPD-to-TGA gap follows some distribution F. We can only observe the gap if it does not exceed max_lead_i (otherwise the implied CPD detection would fall before 2004Q1 and be unobservable in this data). For each simulation:</w:t>
      </w:r>
    </w:p>
    <w:p w14:paraId="6B126A07" w14:textId="77777777" w:rsidR="00D32F08" w:rsidRDefault="00000000">
      <w:pPr>
        <w:pStyle w:val="Compact"/>
        <w:numPr>
          <w:ilvl w:val="0"/>
          <w:numId w:val="8"/>
        </w:numPr>
      </w:pPr>
      <w:r>
        <w:t xml:space="preserve">For each pair </w:t>
      </w:r>
      <w:r>
        <w:rPr>
          <w:i/>
          <w:iCs/>
        </w:rPr>
        <w:t>i</w:t>
      </w:r>
      <w:r>
        <w:t>, sample a lead from the empirical lead distribution restricted to values ≤ max_lead_i.</w:t>
      </w:r>
    </w:p>
    <w:p w14:paraId="3C7A83EB" w14:textId="77777777" w:rsidR="00D32F08" w:rsidRDefault="00000000">
      <w:pPr>
        <w:pStyle w:val="Compact"/>
        <w:numPr>
          <w:ilvl w:val="0"/>
          <w:numId w:val="8"/>
        </w:numPr>
      </w:pPr>
      <w:r>
        <w:t>Compute Spearman rho between simulated leads and observed action years.</w:t>
      </w:r>
    </w:p>
    <w:p w14:paraId="4323A9DC" w14:textId="77777777" w:rsidR="00D32F08" w:rsidRDefault="00000000">
      <w:pPr>
        <w:pStyle w:val="FirstParagraph"/>
      </w:pPr>
      <w:r>
        <w:t>This is conservative: it gives the null rho the best chance of matching the data by allowing the empirical distribution to seed itself. Even so, the expected rho under Null 2 is +0.31 (95% interval -0.12 to +0.67), reflecting the structural inflation that the truncation imposes.</w:t>
      </w:r>
    </w:p>
    <w:p w14:paraId="4A382E72" w14:textId="77777777" w:rsidR="00D32F08" w:rsidRDefault="00000000">
      <w:pPr>
        <w:pStyle w:val="BodyText"/>
      </w:pPr>
      <w:r>
        <w:t xml:space="preserve">The two-sided tail probabilities are p_null1 = 0.0004 and p_null2 = 0.014 for the observed rho = 0.70. We interpret these as: the observed correlation exceeds chance under both nulls, but the truncation-only null is itself centred at +0.31 (rather than at zero), so a substantial portion of the apparent association is structurally expected under stationary regulatory response. Spearman rank correlations are not additively decomposable, so we </w:t>
      </w:r>
      <w:r>
        <w:lastRenderedPageBreak/>
        <w:t>do not partition the raw rho further; the qualitative conclusion is that the bare rho = 0.70 overstates the underlying signal.</w:t>
      </w:r>
    </w:p>
    <w:p w14:paraId="685A96DD" w14:textId="77777777" w:rsidR="00D32F08" w:rsidRDefault="00000000">
      <w:pPr>
        <w:pStyle w:val="BodyText"/>
      </w:pPr>
      <w:r>
        <w:t>A pre-planned restriction analysis to drugs that entered DAEN at or after 2004 with ≥8 quarters of pre-action observation was vacuous: the filter retained all 20 evaluable pairs because DAEN online reporting began at 2004Q1 (so a filter on DAEN-entry quarter ≥ 2004Q1 captures every pair in the dataset), and the ≥8q-pre-action criterion was also met by nearly all pairs. The intended purpose of the restriction was to disentangle observation-window truncation from time-on-market confound; because almost all Tier A drugs in our dataset were marketed pre-2004 with long pre-action observation windows within DAEN, the two effects are not separately identifiable in this dataset with only 32 Tier A pairs spread across 19 action years.</w:t>
      </w:r>
    </w:p>
    <w:p w14:paraId="765A991D" w14:textId="77777777" w:rsidR="00D32F08" w:rsidRDefault="00000000">
      <w:pPr>
        <w:pStyle w:val="Heading3"/>
      </w:pPr>
      <w:bookmarkStart w:id="8" w:name="X7f8362caa6d9dcc887258ad71dfd19867f4be42"/>
      <w:bookmarkEnd w:id="7"/>
      <w:r>
        <w:t>SM6. Density-stratified confidence-PPV analysis specification</w:t>
      </w:r>
    </w:p>
    <w:p w14:paraId="0CB0DEE8" w14:textId="77777777" w:rsidR="00D32F08" w:rsidRDefault="00000000">
      <w:pPr>
        <w:pStyle w:val="FirstParagraph"/>
      </w:pPr>
      <w:r>
        <w:t>Pairs were stratified into report-count tertiles (≤20, 20–50, &gt;50). Within each tertile and each confidence level (high = 3/3, moderate = 2/3, low = 1/3), PPV was computed as true positives / (true positives + false positives), pooling Tier A, Tier B, and Tier C positives with the 26-pair curated negative control set. A Cochran-Mantel-Haenszel test was then applied to the 2×2×3 table of (high-confidence vs lower-confidence) × (TP vs FP) × (sparse vs moderate vs dense), testing whether the conditional odds of TP given high vs lower confidence are uniform across density strata and differ from 1.</w:t>
      </w:r>
    </w:p>
    <w:p w14:paraId="78641703" w14:textId="77777777" w:rsidR="00D32F08" w:rsidRDefault="00E678DE">
      <w:r>
        <w:rPr>
          <w:noProof/>
        </w:rPr>
        <w:pict w14:anchorId="0CFAF87C">
          <v:rect id="_x0000_i1026" alt="" style="width:451.3pt;height:.05pt;mso-width-percent:0;mso-height-percent:0;mso-width-percent:0;mso-height-percent:0" o:hralign="center" o:hrstd="t" o:hr="t"/>
        </w:pict>
      </w:r>
    </w:p>
    <w:p w14:paraId="32D3B8CA" w14:textId="77777777" w:rsidR="00D32F08" w:rsidRDefault="00000000">
      <w:pPr>
        <w:pStyle w:val="Heading2"/>
      </w:pPr>
      <w:bookmarkStart w:id="9" w:name="supplementary-tables"/>
      <w:bookmarkEnd w:id="2"/>
      <w:bookmarkEnd w:id="8"/>
      <w:r>
        <w:t>Supplementary Tables</w:t>
      </w:r>
    </w:p>
    <w:p w14:paraId="7F64EA08" w14:textId="77777777" w:rsidR="00D32F08" w:rsidRDefault="00000000">
      <w:pPr>
        <w:pStyle w:val="Heading3"/>
      </w:pPr>
      <w:bookmarkStart w:id="10" w:name="etable-s1.-full-tier-a-detection-results"/>
      <w:r>
        <w:t>eTable S1. Full Tier A detection results</w:t>
      </w:r>
    </w:p>
    <w:p w14:paraId="5D732E24" w14:textId="77777777" w:rsidR="00D32F08" w:rsidRDefault="00000000">
      <w:pPr>
        <w:pStyle w:val="FirstParagraph"/>
      </w:pPr>
      <w:r>
        <w:t>See accompanying CSV in the supplementary archive (Tier A full detection results).</w:t>
      </w:r>
    </w:p>
    <w:p w14:paraId="26BDF106" w14:textId="77777777" w:rsidR="00D32F08" w:rsidRDefault="00000000">
      <w:pPr>
        <w:pStyle w:val="Heading3"/>
      </w:pPr>
      <w:bookmarkStart w:id="11" w:name="etable-s2.-negative-control-results"/>
      <w:bookmarkEnd w:id="10"/>
      <w:r>
        <w:t>eTable S2. Negative control results</w:t>
      </w:r>
    </w:p>
    <w:p w14:paraId="5FD433C4" w14:textId="77777777" w:rsidR="00D32F08" w:rsidRDefault="00000000">
      <w:pPr>
        <w:pStyle w:val="FirstParagraph"/>
      </w:pPr>
      <w:r>
        <w:t>See accompanying CSV in the supplementary archive (negative control results).</w:t>
      </w:r>
    </w:p>
    <w:p w14:paraId="6AD2D612" w14:textId="77777777" w:rsidR="00D32F08" w:rsidRDefault="00000000">
      <w:pPr>
        <w:pStyle w:val="Heading3"/>
      </w:pPr>
      <w:bookmarkStart w:id="12" w:name="Xc94a9c122587487c4cb3bfb412bcab290ebd90a"/>
      <w:bookmarkEnd w:id="11"/>
      <w:r>
        <w:t>eTable S3. CPD parameter sensitivity sweep results (extended)</w:t>
      </w:r>
    </w:p>
    <w:tbl>
      <w:tblPr>
        <w:tblStyle w:val="Table"/>
        <w:tblW w:w="4867" w:type="pct"/>
        <w:tblLayout w:type="fixed"/>
        <w:tblLook w:val="0020" w:firstRow="1" w:lastRow="0" w:firstColumn="0" w:lastColumn="0" w:noHBand="0" w:noVBand="0"/>
      </w:tblPr>
      <w:tblGrid>
        <w:gridCol w:w="2662"/>
        <w:gridCol w:w="1400"/>
        <w:gridCol w:w="1742"/>
        <w:gridCol w:w="3517"/>
      </w:tblGrid>
      <w:tr w:rsidR="00D32F08" w:rsidRPr="007E689D" w14:paraId="7F70696B" w14:textId="77777777" w:rsidTr="007E689D">
        <w:trPr>
          <w:cnfStyle w:val="100000000000" w:firstRow="1" w:lastRow="0" w:firstColumn="0" w:lastColumn="0" w:oddVBand="0" w:evenVBand="0" w:oddHBand="0" w:evenHBand="0" w:firstRowFirstColumn="0" w:firstRowLastColumn="0" w:lastRowFirstColumn="0" w:lastRowLastColumn="0"/>
          <w:tblHeader/>
        </w:trPr>
        <w:tc>
          <w:tcPr>
            <w:tcW w:w="2663" w:type="dxa"/>
          </w:tcPr>
          <w:p w14:paraId="356B51A6" w14:textId="77777777" w:rsidR="00D32F08" w:rsidRPr="007E689D" w:rsidRDefault="00000000">
            <w:pPr>
              <w:pStyle w:val="Compact"/>
              <w:rPr>
                <w:sz w:val="20"/>
                <w:szCs w:val="20"/>
              </w:rPr>
            </w:pPr>
            <w:r w:rsidRPr="007E689D">
              <w:rPr>
                <w:sz w:val="20"/>
                <w:szCs w:val="20"/>
              </w:rPr>
              <w:t>Parameter</w:t>
            </w:r>
          </w:p>
        </w:tc>
        <w:tc>
          <w:tcPr>
            <w:tcW w:w="1400" w:type="dxa"/>
          </w:tcPr>
          <w:p w14:paraId="7128105D" w14:textId="77777777" w:rsidR="00D32F08" w:rsidRPr="007E689D" w:rsidRDefault="00000000">
            <w:pPr>
              <w:pStyle w:val="Compact"/>
              <w:rPr>
                <w:sz w:val="20"/>
                <w:szCs w:val="20"/>
              </w:rPr>
            </w:pPr>
            <w:r w:rsidRPr="007E689D">
              <w:rPr>
                <w:sz w:val="20"/>
                <w:szCs w:val="20"/>
              </w:rPr>
              <w:t>Range tested</w:t>
            </w:r>
          </w:p>
        </w:tc>
        <w:tc>
          <w:tcPr>
            <w:tcW w:w="1742" w:type="dxa"/>
          </w:tcPr>
          <w:p w14:paraId="2908AF6E" w14:textId="77777777" w:rsidR="00D32F08" w:rsidRPr="007E689D" w:rsidRDefault="00000000">
            <w:pPr>
              <w:pStyle w:val="Compact"/>
              <w:rPr>
                <w:sz w:val="20"/>
                <w:szCs w:val="20"/>
              </w:rPr>
            </w:pPr>
            <w:r w:rsidRPr="007E689D">
              <w:rPr>
                <w:sz w:val="20"/>
                <w:szCs w:val="20"/>
              </w:rPr>
              <w:t>Tier A detections</w:t>
            </w:r>
          </w:p>
        </w:tc>
        <w:tc>
          <w:tcPr>
            <w:tcW w:w="3517" w:type="dxa"/>
          </w:tcPr>
          <w:p w14:paraId="4D3EDB50" w14:textId="77777777" w:rsidR="00D32F08" w:rsidRPr="007E689D" w:rsidRDefault="00000000">
            <w:pPr>
              <w:pStyle w:val="Compact"/>
              <w:rPr>
                <w:sz w:val="20"/>
                <w:szCs w:val="20"/>
              </w:rPr>
            </w:pPr>
            <w:r w:rsidRPr="007E689D">
              <w:rPr>
                <w:sz w:val="20"/>
                <w:szCs w:val="20"/>
              </w:rPr>
              <w:t>Notes</w:t>
            </w:r>
          </w:p>
        </w:tc>
      </w:tr>
      <w:tr w:rsidR="00D32F08" w:rsidRPr="007E689D" w14:paraId="1B5488AB" w14:textId="77777777" w:rsidTr="007E689D">
        <w:tc>
          <w:tcPr>
            <w:tcW w:w="2663" w:type="dxa"/>
          </w:tcPr>
          <w:p w14:paraId="16893A84" w14:textId="77777777" w:rsidR="00D32F08" w:rsidRPr="007E689D" w:rsidRDefault="00000000">
            <w:pPr>
              <w:pStyle w:val="Compact"/>
              <w:rPr>
                <w:sz w:val="20"/>
                <w:szCs w:val="20"/>
              </w:rPr>
            </w:pPr>
            <w:r w:rsidRPr="007E689D">
              <w:rPr>
                <w:sz w:val="20"/>
                <w:szCs w:val="20"/>
              </w:rPr>
              <w:t>PELT penalty multiplier</w:t>
            </w:r>
          </w:p>
        </w:tc>
        <w:tc>
          <w:tcPr>
            <w:tcW w:w="1400" w:type="dxa"/>
          </w:tcPr>
          <w:p w14:paraId="29968B2F" w14:textId="77777777" w:rsidR="00D32F08" w:rsidRPr="007E689D" w:rsidRDefault="00000000">
            <w:pPr>
              <w:pStyle w:val="Compact"/>
              <w:rPr>
                <w:sz w:val="20"/>
                <w:szCs w:val="20"/>
              </w:rPr>
            </w:pPr>
            <w:r w:rsidRPr="007E689D">
              <w:rPr>
                <w:sz w:val="20"/>
                <w:szCs w:val="20"/>
              </w:rPr>
              <w:t>0.25–2.0</w:t>
            </w:r>
          </w:p>
        </w:tc>
        <w:tc>
          <w:tcPr>
            <w:tcW w:w="1742" w:type="dxa"/>
          </w:tcPr>
          <w:p w14:paraId="0F664A84" w14:textId="77777777" w:rsidR="00D32F08" w:rsidRPr="007E689D" w:rsidRDefault="00000000">
            <w:pPr>
              <w:pStyle w:val="Compact"/>
              <w:rPr>
                <w:sz w:val="20"/>
                <w:szCs w:val="20"/>
              </w:rPr>
            </w:pPr>
            <w:r w:rsidRPr="007E689D">
              <w:rPr>
                <w:sz w:val="20"/>
                <w:szCs w:val="20"/>
              </w:rPr>
              <w:t>21–23</w:t>
            </w:r>
          </w:p>
        </w:tc>
        <w:tc>
          <w:tcPr>
            <w:tcW w:w="3517" w:type="dxa"/>
          </w:tcPr>
          <w:p w14:paraId="62456585" w14:textId="77777777" w:rsidR="00D32F08" w:rsidRPr="007E689D" w:rsidRDefault="00000000">
            <w:pPr>
              <w:pStyle w:val="Compact"/>
              <w:rPr>
                <w:sz w:val="20"/>
                <w:szCs w:val="20"/>
              </w:rPr>
            </w:pPr>
            <w:r w:rsidRPr="007E689D">
              <w:rPr>
                <w:sz w:val="20"/>
                <w:szCs w:val="20"/>
              </w:rPr>
              <w:t>Stable across range</w:t>
            </w:r>
          </w:p>
        </w:tc>
      </w:tr>
      <w:tr w:rsidR="00D32F08" w:rsidRPr="007E689D" w14:paraId="3F69A70E" w14:textId="77777777" w:rsidTr="007E689D">
        <w:tc>
          <w:tcPr>
            <w:tcW w:w="2663" w:type="dxa"/>
          </w:tcPr>
          <w:p w14:paraId="150BCA70" w14:textId="77777777" w:rsidR="00D32F08" w:rsidRPr="007E689D" w:rsidRDefault="00000000">
            <w:pPr>
              <w:pStyle w:val="Compact"/>
              <w:rPr>
                <w:sz w:val="20"/>
                <w:szCs w:val="20"/>
              </w:rPr>
            </w:pPr>
            <w:r w:rsidRPr="007E689D">
              <w:rPr>
                <w:sz w:val="20"/>
                <w:szCs w:val="20"/>
              </w:rPr>
              <w:t>BOCPD hazard lambda</w:t>
            </w:r>
          </w:p>
        </w:tc>
        <w:tc>
          <w:tcPr>
            <w:tcW w:w="1400" w:type="dxa"/>
          </w:tcPr>
          <w:p w14:paraId="0061D4A7" w14:textId="77777777" w:rsidR="00D32F08" w:rsidRPr="007E689D" w:rsidRDefault="00000000">
            <w:pPr>
              <w:pStyle w:val="Compact"/>
              <w:rPr>
                <w:sz w:val="20"/>
                <w:szCs w:val="20"/>
              </w:rPr>
            </w:pPr>
            <w:r w:rsidRPr="007E689D">
              <w:rPr>
                <w:sz w:val="20"/>
                <w:szCs w:val="20"/>
              </w:rPr>
              <w:t>12–20</w:t>
            </w:r>
          </w:p>
        </w:tc>
        <w:tc>
          <w:tcPr>
            <w:tcW w:w="1742" w:type="dxa"/>
          </w:tcPr>
          <w:p w14:paraId="4427B35B" w14:textId="77777777" w:rsidR="00D32F08" w:rsidRPr="007E689D" w:rsidRDefault="00000000">
            <w:pPr>
              <w:pStyle w:val="Compact"/>
              <w:rPr>
                <w:sz w:val="20"/>
                <w:szCs w:val="20"/>
              </w:rPr>
            </w:pPr>
            <w:r w:rsidRPr="007E689D">
              <w:rPr>
                <w:sz w:val="20"/>
                <w:szCs w:val="20"/>
              </w:rPr>
              <w:t>22–23</w:t>
            </w:r>
          </w:p>
        </w:tc>
        <w:tc>
          <w:tcPr>
            <w:tcW w:w="3517" w:type="dxa"/>
          </w:tcPr>
          <w:p w14:paraId="421875BD" w14:textId="77777777" w:rsidR="00D32F08" w:rsidRPr="007E689D" w:rsidRDefault="00000000">
            <w:pPr>
              <w:pStyle w:val="Compact"/>
              <w:rPr>
                <w:sz w:val="20"/>
                <w:szCs w:val="20"/>
              </w:rPr>
            </w:pPr>
            <w:r w:rsidRPr="007E689D">
              <w:rPr>
                <w:sz w:val="20"/>
                <w:szCs w:val="20"/>
              </w:rPr>
              <w:t>Robust</w:t>
            </w:r>
          </w:p>
        </w:tc>
      </w:tr>
      <w:tr w:rsidR="00D32F08" w:rsidRPr="007E689D" w14:paraId="48411A8D" w14:textId="77777777" w:rsidTr="007E689D">
        <w:tc>
          <w:tcPr>
            <w:tcW w:w="2663" w:type="dxa"/>
          </w:tcPr>
          <w:p w14:paraId="533AA44B" w14:textId="77777777" w:rsidR="00D32F08" w:rsidRPr="007E689D" w:rsidRDefault="00000000">
            <w:pPr>
              <w:pStyle w:val="Compact"/>
              <w:rPr>
                <w:sz w:val="20"/>
                <w:szCs w:val="20"/>
              </w:rPr>
            </w:pPr>
            <w:r w:rsidRPr="007E689D">
              <w:rPr>
                <w:sz w:val="20"/>
                <w:szCs w:val="20"/>
              </w:rPr>
              <w:t>CUSUM threshold h</w:t>
            </w:r>
          </w:p>
        </w:tc>
        <w:tc>
          <w:tcPr>
            <w:tcW w:w="1400" w:type="dxa"/>
          </w:tcPr>
          <w:p w14:paraId="0BBDB3C8" w14:textId="77777777" w:rsidR="00D32F08" w:rsidRPr="007E689D" w:rsidRDefault="00000000">
            <w:pPr>
              <w:pStyle w:val="Compact"/>
              <w:rPr>
                <w:sz w:val="20"/>
                <w:szCs w:val="20"/>
              </w:rPr>
            </w:pPr>
            <w:r w:rsidRPr="007E689D">
              <w:rPr>
                <w:sz w:val="20"/>
                <w:szCs w:val="20"/>
              </w:rPr>
              <w:t>2.0–10.0</w:t>
            </w:r>
          </w:p>
        </w:tc>
        <w:tc>
          <w:tcPr>
            <w:tcW w:w="1742" w:type="dxa"/>
          </w:tcPr>
          <w:p w14:paraId="07A6ADAA" w14:textId="77777777" w:rsidR="00D32F08" w:rsidRPr="007E689D" w:rsidRDefault="00000000">
            <w:pPr>
              <w:pStyle w:val="Compact"/>
              <w:rPr>
                <w:sz w:val="20"/>
                <w:szCs w:val="20"/>
              </w:rPr>
            </w:pPr>
            <w:r w:rsidRPr="007E689D">
              <w:rPr>
                <w:sz w:val="20"/>
                <w:szCs w:val="20"/>
              </w:rPr>
              <w:t>17–23</w:t>
            </w:r>
          </w:p>
        </w:tc>
        <w:tc>
          <w:tcPr>
            <w:tcW w:w="3517" w:type="dxa"/>
          </w:tcPr>
          <w:p w14:paraId="20611A77" w14:textId="77777777" w:rsidR="00D32F08" w:rsidRPr="007E689D" w:rsidRDefault="00000000">
            <w:pPr>
              <w:pStyle w:val="Compact"/>
              <w:rPr>
                <w:sz w:val="20"/>
                <w:szCs w:val="20"/>
              </w:rPr>
            </w:pPr>
            <w:r w:rsidRPr="007E689D">
              <w:rPr>
                <w:sz w:val="20"/>
                <w:szCs w:val="20"/>
              </w:rPr>
              <w:t>Graceful degradation</w:t>
            </w:r>
          </w:p>
        </w:tc>
      </w:tr>
      <w:tr w:rsidR="00D32F08" w:rsidRPr="007E689D" w14:paraId="076C0DD0" w14:textId="77777777" w:rsidTr="007E689D">
        <w:tc>
          <w:tcPr>
            <w:tcW w:w="2663" w:type="dxa"/>
          </w:tcPr>
          <w:p w14:paraId="04A46C77" w14:textId="77777777" w:rsidR="00D32F08" w:rsidRPr="007E689D" w:rsidRDefault="00000000">
            <w:pPr>
              <w:pStyle w:val="Compact"/>
              <w:rPr>
                <w:sz w:val="20"/>
                <w:szCs w:val="20"/>
              </w:rPr>
            </w:pPr>
            <w:r w:rsidRPr="007E689D">
              <w:rPr>
                <w:sz w:val="20"/>
                <w:szCs w:val="20"/>
              </w:rPr>
              <w:t>CUSUM baseline window</w:t>
            </w:r>
          </w:p>
        </w:tc>
        <w:tc>
          <w:tcPr>
            <w:tcW w:w="1400" w:type="dxa"/>
          </w:tcPr>
          <w:p w14:paraId="32E1D185" w14:textId="77777777" w:rsidR="00D32F08" w:rsidRPr="007E689D" w:rsidRDefault="00000000">
            <w:pPr>
              <w:pStyle w:val="Compact"/>
              <w:rPr>
                <w:sz w:val="20"/>
                <w:szCs w:val="20"/>
              </w:rPr>
            </w:pPr>
            <w:r w:rsidRPr="007E689D">
              <w:rPr>
                <w:sz w:val="20"/>
                <w:szCs w:val="20"/>
              </w:rPr>
              <w:t>10%–40%</w:t>
            </w:r>
          </w:p>
        </w:tc>
        <w:tc>
          <w:tcPr>
            <w:tcW w:w="1742" w:type="dxa"/>
          </w:tcPr>
          <w:p w14:paraId="1C2FAF50" w14:textId="77777777" w:rsidR="00D32F08" w:rsidRPr="007E689D" w:rsidRDefault="00000000">
            <w:pPr>
              <w:pStyle w:val="Compact"/>
              <w:rPr>
                <w:sz w:val="20"/>
                <w:szCs w:val="20"/>
              </w:rPr>
            </w:pPr>
            <w:r w:rsidRPr="007E689D">
              <w:rPr>
                <w:sz w:val="20"/>
                <w:szCs w:val="20"/>
              </w:rPr>
              <w:t>22–23</w:t>
            </w:r>
          </w:p>
        </w:tc>
        <w:tc>
          <w:tcPr>
            <w:tcW w:w="3517" w:type="dxa"/>
          </w:tcPr>
          <w:p w14:paraId="6C655B4A" w14:textId="77777777" w:rsidR="00D32F08" w:rsidRPr="007E689D" w:rsidRDefault="00000000">
            <w:pPr>
              <w:pStyle w:val="Compact"/>
              <w:rPr>
                <w:sz w:val="20"/>
                <w:szCs w:val="20"/>
              </w:rPr>
            </w:pPr>
            <w:r w:rsidRPr="007E689D">
              <w:rPr>
                <w:b/>
                <w:bCs/>
                <w:sz w:val="20"/>
                <w:szCs w:val="20"/>
              </w:rPr>
              <w:t>Added in revision; addresses baseline contamination concern.</w:t>
            </w:r>
            <w:r w:rsidRPr="007E689D">
              <w:rPr>
                <w:sz w:val="20"/>
                <w:szCs w:val="20"/>
              </w:rPr>
              <w:t xml:space="preserve"> Shifts detection in at most 1 pair across the range.</w:t>
            </w:r>
          </w:p>
        </w:tc>
      </w:tr>
    </w:tbl>
    <w:p w14:paraId="575A95A4" w14:textId="77777777" w:rsidR="00D32F08" w:rsidRDefault="00000000">
      <w:pPr>
        <w:pStyle w:val="Heading3"/>
      </w:pPr>
      <w:bookmarkStart w:id="13" w:name="etable-s4.-subgroup-analyses"/>
      <w:bookmarkEnd w:id="12"/>
      <w:r>
        <w:lastRenderedPageBreak/>
        <w:t>eTable S4. Subgroup analyses</w:t>
      </w:r>
    </w:p>
    <w:tbl>
      <w:tblPr>
        <w:tblStyle w:val="Table"/>
        <w:tblW w:w="4925" w:type="pct"/>
        <w:tblLayout w:type="fixed"/>
        <w:tblLook w:val="0020" w:firstRow="1" w:lastRow="0" w:firstColumn="0" w:lastColumn="0" w:noHBand="0" w:noVBand="0"/>
      </w:tblPr>
      <w:tblGrid>
        <w:gridCol w:w="1586"/>
        <w:gridCol w:w="2349"/>
        <w:gridCol w:w="709"/>
        <w:gridCol w:w="1596"/>
        <w:gridCol w:w="1596"/>
        <w:gridCol w:w="1596"/>
      </w:tblGrid>
      <w:tr w:rsidR="00D32F08" w:rsidRPr="007E689D" w14:paraId="36541EB0" w14:textId="77777777" w:rsidTr="007E689D">
        <w:trPr>
          <w:cnfStyle w:val="100000000000" w:firstRow="1" w:lastRow="0" w:firstColumn="0" w:lastColumn="0" w:oddVBand="0" w:evenVBand="0" w:oddHBand="0" w:evenHBand="0" w:firstRowFirstColumn="0" w:firstRowLastColumn="0" w:lastRowFirstColumn="0" w:lastRowLastColumn="0"/>
          <w:tblHeader/>
        </w:trPr>
        <w:tc>
          <w:tcPr>
            <w:tcW w:w="1586" w:type="dxa"/>
          </w:tcPr>
          <w:p w14:paraId="492B8D71" w14:textId="77777777" w:rsidR="00D32F08" w:rsidRPr="007E689D" w:rsidRDefault="00000000">
            <w:pPr>
              <w:pStyle w:val="Compact"/>
              <w:rPr>
                <w:sz w:val="20"/>
                <w:szCs w:val="20"/>
              </w:rPr>
            </w:pPr>
            <w:r w:rsidRPr="007E689D">
              <w:rPr>
                <w:sz w:val="20"/>
                <w:szCs w:val="20"/>
              </w:rPr>
              <w:t>Analysis</w:t>
            </w:r>
          </w:p>
        </w:tc>
        <w:tc>
          <w:tcPr>
            <w:tcW w:w="2349" w:type="dxa"/>
          </w:tcPr>
          <w:p w14:paraId="26DE123A" w14:textId="77777777" w:rsidR="00D32F08" w:rsidRPr="007E689D" w:rsidRDefault="00000000">
            <w:pPr>
              <w:pStyle w:val="Compact"/>
              <w:rPr>
                <w:sz w:val="20"/>
                <w:szCs w:val="20"/>
              </w:rPr>
            </w:pPr>
            <w:r w:rsidRPr="007E689D">
              <w:rPr>
                <w:sz w:val="20"/>
                <w:szCs w:val="20"/>
              </w:rPr>
              <w:t>Subgroup</w:t>
            </w:r>
          </w:p>
        </w:tc>
        <w:tc>
          <w:tcPr>
            <w:tcW w:w="709" w:type="dxa"/>
          </w:tcPr>
          <w:p w14:paraId="306DFD4F" w14:textId="77777777" w:rsidR="00D32F08" w:rsidRPr="007E689D" w:rsidRDefault="00000000">
            <w:pPr>
              <w:pStyle w:val="Compact"/>
              <w:rPr>
                <w:sz w:val="20"/>
                <w:szCs w:val="20"/>
              </w:rPr>
            </w:pPr>
            <w:r w:rsidRPr="007E689D">
              <w:rPr>
                <w:sz w:val="20"/>
                <w:szCs w:val="20"/>
              </w:rPr>
              <w:t>n</w:t>
            </w:r>
          </w:p>
        </w:tc>
        <w:tc>
          <w:tcPr>
            <w:tcW w:w="1596" w:type="dxa"/>
          </w:tcPr>
          <w:p w14:paraId="069B890F" w14:textId="77777777" w:rsidR="00D32F08" w:rsidRPr="007E689D" w:rsidRDefault="00000000">
            <w:pPr>
              <w:pStyle w:val="Compact"/>
              <w:rPr>
                <w:sz w:val="20"/>
                <w:szCs w:val="20"/>
              </w:rPr>
            </w:pPr>
            <w:r w:rsidRPr="007E689D">
              <w:rPr>
                <w:sz w:val="20"/>
                <w:szCs w:val="20"/>
              </w:rPr>
              <w:t>Median CPD-TGA (q)</w:t>
            </w:r>
          </w:p>
        </w:tc>
        <w:tc>
          <w:tcPr>
            <w:tcW w:w="1596" w:type="dxa"/>
          </w:tcPr>
          <w:p w14:paraId="17E5B142" w14:textId="77777777" w:rsidR="00D32F08" w:rsidRPr="007E689D" w:rsidRDefault="00000000">
            <w:pPr>
              <w:pStyle w:val="Compact"/>
              <w:rPr>
                <w:sz w:val="20"/>
                <w:szCs w:val="20"/>
              </w:rPr>
            </w:pPr>
            <w:r w:rsidRPr="007E689D">
              <w:rPr>
                <w:sz w:val="20"/>
                <w:szCs w:val="20"/>
              </w:rPr>
              <w:t>Median CPD-PRR (q)</w:t>
            </w:r>
          </w:p>
        </w:tc>
        <w:tc>
          <w:tcPr>
            <w:tcW w:w="1596" w:type="dxa"/>
          </w:tcPr>
          <w:p w14:paraId="61CDFC47" w14:textId="77777777" w:rsidR="00D32F08" w:rsidRPr="007E689D" w:rsidRDefault="00000000">
            <w:pPr>
              <w:pStyle w:val="Compact"/>
              <w:rPr>
                <w:sz w:val="20"/>
                <w:szCs w:val="20"/>
              </w:rPr>
            </w:pPr>
            <w:r w:rsidRPr="007E689D">
              <w:rPr>
                <w:sz w:val="20"/>
                <w:szCs w:val="20"/>
              </w:rPr>
              <w:t>CPD preceded PRR (%)</w:t>
            </w:r>
          </w:p>
        </w:tc>
      </w:tr>
      <w:tr w:rsidR="00D32F08" w:rsidRPr="007E689D" w14:paraId="684F154A" w14:textId="77777777" w:rsidTr="007E689D">
        <w:tc>
          <w:tcPr>
            <w:tcW w:w="1586" w:type="dxa"/>
          </w:tcPr>
          <w:p w14:paraId="542A192F" w14:textId="77777777" w:rsidR="00D32F08" w:rsidRPr="007E689D" w:rsidRDefault="00000000">
            <w:pPr>
              <w:pStyle w:val="Compact"/>
              <w:rPr>
                <w:sz w:val="20"/>
                <w:szCs w:val="20"/>
              </w:rPr>
            </w:pPr>
            <w:r w:rsidRPr="007E689D">
              <w:rPr>
                <w:sz w:val="20"/>
                <w:szCs w:val="20"/>
              </w:rPr>
              <w:t>Signal strength</w:t>
            </w:r>
          </w:p>
        </w:tc>
        <w:tc>
          <w:tcPr>
            <w:tcW w:w="2349" w:type="dxa"/>
          </w:tcPr>
          <w:p w14:paraId="6E14F258" w14:textId="77777777" w:rsidR="00D32F08" w:rsidRPr="007E689D" w:rsidRDefault="00000000">
            <w:pPr>
              <w:pStyle w:val="Compact"/>
              <w:rPr>
                <w:sz w:val="20"/>
                <w:szCs w:val="20"/>
              </w:rPr>
            </w:pPr>
            <w:r w:rsidRPr="007E689D">
              <w:rPr>
                <w:sz w:val="20"/>
                <w:szCs w:val="20"/>
              </w:rPr>
              <w:t>Low EBGM</w:t>
            </w:r>
          </w:p>
        </w:tc>
        <w:tc>
          <w:tcPr>
            <w:tcW w:w="709" w:type="dxa"/>
          </w:tcPr>
          <w:p w14:paraId="34A204BE" w14:textId="77777777" w:rsidR="00D32F08" w:rsidRPr="007E689D" w:rsidRDefault="00000000">
            <w:pPr>
              <w:pStyle w:val="Compact"/>
              <w:rPr>
                <w:sz w:val="20"/>
                <w:szCs w:val="20"/>
              </w:rPr>
            </w:pPr>
            <w:r w:rsidRPr="007E689D">
              <w:rPr>
                <w:sz w:val="20"/>
                <w:szCs w:val="20"/>
              </w:rPr>
              <w:t>12</w:t>
            </w:r>
          </w:p>
        </w:tc>
        <w:tc>
          <w:tcPr>
            <w:tcW w:w="1596" w:type="dxa"/>
          </w:tcPr>
          <w:p w14:paraId="469CC0B8" w14:textId="77777777" w:rsidR="00D32F08" w:rsidRPr="007E689D" w:rsidRDefault="00000000">
            <w:pPr>
              <w:pStyle w:val="Compact"/>
              <w:rPr>
                <w:sz w:val="20"/>
                <w:szCs w:val="20"/>
              </w:rPr>
            </w:pPr>
            <w:r w:rsidRPr="007E689D">
              <w:rPr>
                <w:sz w:val="20"/>
                <w:szCs w:val="20"/>
              </w:rPr>
              <w:t>38.0</w:t>
            </w:r>
          </w:p>
        </w:tc>
        <w:tc>
          <w:tcPr>
            <w:tcW w:w="1596" w:type="dxa"/>
          </w:tcPr>
          <w:p w14:paraId="069A2891" w14:textId="77777777" w:rsidR="00D32F08" w:rsidRPr="007E689D" w:rsidRDefault="00000000">
            <w:pPr>
              <w:pStyle w:val="Compact"/>
              <w:rPr>
                <w:sz w:val="20"/>
                <w:szCs w:val="20"/>
              </w:rPr>
            </w:pPr>
            <w:r w:rsidRPr="007E689D">
              <w:rPr>
                <w:sz w:val="20"/>
                <w:szCs w:val="20"/>
              </w:rPr>
              <w:t>3.0</w:t>
            </w:r>
          </w:p>
        </w:tc>
        <w:tc>
          <w:tcPr>
            <w:tcW w:w="1596" w:type="dxa"/>
          </w:tcPr>
          <w:p w14:paraId="6312EE5B" w14:textId="77777777" w:rsidR="00D32F08" w:rsidRPr="007E689D" w:rsidRDefault="00000000">
            <w:pPr>
              <w:pStyle w:val="Compact"/>
              <w:rPr>
                <w:sz w:val="20"/>
                <w:szCs w:val="20"/>
              </w:rPr>
            </w:pPr>
            <w:r w:rsidRPr="007E689D">
              <w:rPr>
                <w:sz w:val="20"/>
                <w:szCs w:val="20"/>
              </w:rPr>
              <w:t>66.7</w:t>
            </w:r>
          </w:p>
        </w:tc>
      </w:tr>
      <w:tr w:rsidR="00D32F08" w:rsidRPr="007E689D" w14:paraId="150CDA13" w14:textId="77777777" w:rsidTr="007E689D">
        <w:tc>
          <w:tcPr>
            <w:tcW w:w="1586" w:type="dxa"/>
          </w:tcPr>
          <w:p w14:paraId="3CF097DE" w14:textId="77777777" w:rsidR="00D32F08" w:rsidRPr="007E689D" w:rsidRDefault="00000000">
            <w:pPr>
              <w:pStyle w:val="Compact"/>
              <w:rPr>
                <w:sz w:val="20"/>
                <w:szCs w:val="20"/>
              </w:rPr>
            </w:pPr>
            <w:r w:rsidRPr="007E689D">
              <w:rPr>
                <w:sz w:val="20"/>
                <w:szCs w:val="20"/>
              </w:rPr>
              <w:t>Signal strength</w:t>
            </w:r>
          </w:p>
        </w:tc>
        <w:tc>
          <w:tcPr>
            <w:tcW w:w="2349" w:type="dxa"/>
          </w:tcPr>
          <w:p w14:paraId="74FEED45" w14:textId="77777777" w:rsidR="00D32F08" w:rsidRPr="007E689D" w:rsidRDefault="00000000">
            <w:pPr>
              <w:pStyle w:val="Compact"/>
              <w:rPr>
                <w:sz w:val="20"/>
                <w:szCs w:val="20"/>
              </w:rPr>
            </w:pPr>
            <w:r w:rsidRPr="007E689D">
              <w:rPr>
                <w:sz w:val="20"/>
                <w:szCs w:val="20"/>
              </w:rPr>
              <w:t>High EBGM</w:t>
            </w:r>
          </w:p>
        </w:tc>
        <w:tc>
          <w:tcPr>
            <w:tcW w:w="709" w:type="dxa"/>
          </w:tcPr>
          <w:p w14:paraId="72E17729" w14:textId="77777777" w:rsidR="00D32F08" w:rsidRPr="007E689D" w:rsidRDefault="00000000">
            <w:pPr>
              <w:pStyle w:val="Compact"/>
              <w:rPr>
                <w:sz w:val="20"/>
                <w:szCs w:val="20"/>
              </w:rPr>
            </w:pPr>
            <w:r w:rsidRPr="007E689D">
              <w:rPr>
                <w:sz w:val="20"/>
                <w:szCs w:val="20"/>
              </w:rPr>
              <w:t>11</w:t>
            </w:r>
          </w:p>
        </w:tc>
        <w:tc>
          <w:tcPr>
            <w:tcW w:w="1596" w:type="dxa"/>
          </w:tcPr>
          <w:p w14:paraId="4EA54CEA" w14:textId="77777777" w:rsidR="00D32F08" w:rsidRPr="007E689D" w:rsidRDefault="00000000">
            <w:pPr>
              <w:pStyle w:val="Compact"/>
              <w:rPr>
                <w:sz w:val="20"/>
                <w:szCs w:val="20"/>
              </w:rPr>
            </w:pPr>
            <w:r w:rsidRPr="007E689D">
              <w:rPr>
                <w:sz w:val="20"/>
                <w:szCs w:val="20"/>
              </w:rPr>
              <w:t>10.0</w:t>
            </w:r>
          </w:p>
        </w:tc>
        <w:tc>
          <w:tcPr>
            <w:tcW w:w="1596" w:type="dxa"/>
          </w:tcPr>
          <w:p w14:paraId="368491F0" w14:textId="77777777" w:rsidR="00D32F08" w:rsidRPr="007E689D" w:rsidRDefault="00000000">
            <w:pPr>
              <w:pStyle w:val="Compact"/>
              <w:rPr>
                <w:sz w:val="20"/>
                <w:szCs w:val="20"/>
              </w:rPr>
            </w:pPr>
            <w:r w:rsidRPr="007E689D">
              <w:rPr>
                <w:sz w:val="20"/>
                <w:szCs w:val="20"/>
              </w:rPr>
              <w:t>0.0</w:t>
            </w:r>
          </w:p>
        </w:tc>
        <w:tc>
          <w:tcPr>
            <w:tcW w:w="1596" w:type="dxa"/>
          </w:tcPr>
          <w:p w14:paraId="16DF715E" w14:textId="77777777" w:rsidR="00D32F08" w:rsidRPr="007E689D" w:rsidRDefault="00000000">
            <w:pPr>
              <w:pStyle w:val="Compact"/>
              <w:rPr>
                <w:sz w:val="20"/>
                <w:szCs w:val="20"/>
              </w:rPr>
            </w:pPr>
            <w:r w:rsidRPr="007E689D">
              <w:rPr>
                <w:sz w:val="20"/>
                <w:szCs w:val="20"/>
              </w:rPr>
              <w:t>45.5</w:t>
            </w:r>
          </w:p>
        </w:tc>
      </w:tr>
      <w:tr w:rsidR="00D32F08" w:rsidRPr="007E689D" w14:paraId="770A3AFE" w14:textId="77777777" w:rsidTr="007E689D">
        <w:tc>
          <w:tcPr>
            <w:tcW w:w="1586" w:type="dxa"/>
          </w:tcPr>
          <w:p w14:paraId="2916C3D9" w14:textId="77777777" w:rsidR="00D32F08" w:rsidRPr="007E689D" w:rsidRDefault="00000000">
            <w:pPr>
              <w:pStyle w:val="Compact"/>
              <w:rPr>
                <w:sz w:val="20"/>
                <w:szCs w:val="20"/>
              </w:rPr>
            </w:pPr>
            <w:r w:rsidRPr="007E689D">
              <w:rPr>
                <w:sz w:val="20"/>
                <w:szCs w:val="20"/>
              </w:rPr>
              <w:t>TGA tier</w:t>
            </w:r>
          </w:p>
        </w:tc>
        <w:tc>
          <w:tcPr>
            <w:tcW w:w="2349" w:type="dxa"/>
          </w:tcPr>
          <w:p w14:paraId="69643778" w14:textId="77777777" w:rsidR="00D32F08" w:rsidRPr="007E689D" w:rsidRDefault="00000000">
            <w:pPr>
              <w:pStyle w:val="Compact"/>
              <w:rPr>
                <w:sz w:val="20"/>
                <w:szCs w:val="20"/>
              </w:rPr>
            </w:pPr>
            <w:r w:rsidRPr="007E689D">
              <w:rPr>
                <w:sz w:val="20"/>
                <w:szCs w:val="20"/>
              </w:rPr>
              <w:t>Tier 1 (withdrawal)</w:t>
            </w:r>
          </w:p>
        </w:tc>
        <w:tc>
          <w:tcPr>
            <w:tcW w:w="709" w:type="dxa"/>
          </w:tcPr>
          <w:p w14:paraId="44B0D60D" w14:textId="77777777" w:rsidR="00D32F08" w:rsidRPr="007E689D" w:rsidRDefault="00000000">
            <w:pPr>
              <w:pStyle w:val="Compact"/>
              <w:rPr>
                <w:sz w:val="20"/>
                <w:szCs w:val="20"/>
              </w:rPr>
            </w:pPr>
            <w:r w:rsidRPr="007E689D">
              <w:rPr>
                <w:sz w:val="20"/>
                <w:szCs w:val="20"/>
              </w:rPr>
              <w:t>3</w:t>
            </w:r>
          </w:p>
        </w:tc>
        <w:tc>
          <w:tcPr>
            <w:tcW w:w="1596" w:type="dxa"/>
          </w:tcPr>
          <w:p w14:paraId="4F109A4C" w14:textId="77777777" w:rsidR="00D32F08" w:rsidRPr="007E689D" w:rsidRDefault="00000000">
            <w:pPr>
              <w:pStyle w:val="Compact"/>
              <w:rPr>
                <w:sz w:val="20"/>
                <w:szCs w:val="20"/>
              </w:rPr>
            </w:pPr>
            <w:r w:rsidRPr="007E689D">
              <w:rPr>
                <w:sz w:val="20"/>
                <w:szCs w:val="20"/>
              </w:rPr>
              <w:t>2.0</w:t>
            </w:r>
          </w:p>
        </w:tc>
        <w:tc>
          <w:tcPr>
            <w:tcW w:w="1596" w:type="dxa"/>
          </w:tcPr>
          <w:p w14:paraId="4AFC2CD3" w14:textId="77777777" w:rsidR="00D32F08" w:rsidRPr="007E689D" w:rsidRDefault="00000000">
            <w:pPr>
              <w:pStyle w:val="Compact"/>
              <w:rPr>
                <w:sz w:val="20"/>
                <w:szCs w:val="20"/>
              </w:rPr>
            </w:pPr>
            <w:r w:rsidRPr="007E689D">
              <w:rPr>
                <w:sz w:val="20"/>
                <w:szCs w:val="20"/>
              </w:rPr>
              <w:t>0.0</w:t>
            </w:r>
          </w:p>
        </w:tc>
        <w:tc>
          <w:tcPr>
            <w:tcW w:w="1596" w:type="dxa"/>
          </w:tcPr>
          <w:p w14:paraId="475084FA" w14:textId="77777777" w:rsidR="00D32F08" w:rsidRPr="007E689D" w:rsidRDefault="00000000">
            <w:pPr>
              <w:pStyle w:val="Compact"/>
              <w:rPr>
                <w:sz w:val="20"/>
                <w:szCs w:val="20"/>
              </w:rPr>
            </w:pPr>
            <w:r w:rsidRPr="007E689D">
              <w:rPr>
                <w:sz w:val="20"/>
                <w:szCs w:val="20"/>
              </w:rPr>
              <w:t>33.3</w:t>
            </w:r>
          </w:p>
        </w:tc>
      </w:tr>
      <w:tr w:rsidR="00D32F08" w:rsidRPr="007E689D" w14:paraId="23F81619" w14:textId="77777777" w:rsidTr="007E689D">
        <w:tc>
          <w:tcPr>
            <w:tcW w:w="1586" w:type="dxa"/>
          </w:tcPr>
          <w:p w14:paraId="5E8609BF" w14:textId="77777777" w:rsidR="00D32F08" w:rsidRPr="007E689D" w:rsidRDefault="00000000">
            <w:pPr>
              <w:pStyle w:val="Compact"/>
              <w:rPr>
                <w:sz w:val="20"/>
                <w:szCs w:val="20"/>
              </w:rPr>
            </w:pPr>
            <w:r w:rsidRPr="007E689D">
              <w:rPr>
                <w:sz w:val="20"/>
                <w:szCs w:val="20"/>
              </w:rPr>
              <w:t>TGA tier</w:t>
            </w:r>
          </w:p>
        </w:tc>
        <w:tc>
          <w:tcPr>
            <w:tcW w:w="2349" w:type="dxa"/>
          </w:tcPr>
          <w:p w14:paraId="5730DEBE" w14:textId="77777777" w:rsidR="00D32F08" w:rsidRPr="007E689D" w:rsidRDefault="00000000">
            <w:pPr>
              <w:pStyle w:val="Compact"/>
              <w:rPr>
                <w:sz w:val="20"/>
                <w:szCs w:val="20"/>
              </w:rPr>
            </w:pPr>
            <w:r w:rsidRPr="007E689D">
              <w:rPr>
                <w:sz w:val="20"/>
                <w:szCs w:val="20"/>
              </w:rPr>
              <w:t>Tier 2 (restriction)</w:t>
            </w:r>
          </w:p>
        </w:tc>
        <w:tc>
          <w:tcPr>
            <w:tcW w:w="709" w:type="dxa"/>
          </w:tcPr>
          <w:p w14:paraId="08DE109E" w14:textId="77777777" w:rsidR="00D32F08" w:rsidRPr="007E689D" w:rsidRDefault="00000000">
            <w:pPr>
              <w:pStyle w:val="Compact"/>
              <w:rPr>
                <w:sz w:val="20"/>
                <w:szCs w:val="20"/>
              </w:rPr>
            </w:pPr>
            <w:r w:rsidRPr="007E689D">
              <w:rPr>
                <w:sz w:val="20"/>
                <w:szCs w:val="20"/>
              </w:rPr>
              <w:t>6</w:t>
            </w:r>
          </w:p>
        </w:tc>
        <w:tc>
          <w:tcPr>
            <w:tcW w:w="1596" w:type="dxa"/>
          </w:tcPr>
          <w:p w14:paraId="4A303EF6" w14:textId="77777777" w:rsidR="00D32F08" w:rsidRPr="007E689D" w:rsidRDefault="00000000">
            <w:pPr>
              <w:pStyle w:val="Compact"/>
              <w:rPr>
                <w:sz w:val="20"/>
                <w:szCs w:val="20"/>
              </w:rPr>
            </w:pPr>
            <w:r w:rsidRPr="007E689D">
              <w:rPr>
                <w:sz w:val="20"/>
                <w:szCs w:val="20"/>
              </w:rPr>
              <w:t>10.5</w:t>
            </w:r>
          </w:p>
        </w:tc>
        <w:tc>
          <w:tcPr>
            <w:tcW w:w="1596" w:type="dxa"/>
          </w:tcPr>
          <w:p w14:paraId="37EC3ABC" w14:textId="77777777" w:rsidR="00D32F08" w:rsidRPr="007E689D" w:rsidRDefault="00000000">
            <w:pPr>
              <w:pStyle w:val="Compact"/>
              <w:rPr>
                <w:sz w:val="20"/>
                <w:szCs w:val="20"/>
              </w:rPr>
            </w:pPr>
            <w:r w:rsidRPr="007E689D">
              <w:rPr>
                <w:sz w:val="20"/>
                <w:szCs w:val="20"/>
              </w:rPr>
              <w:t>0.0</w:t>
            </w:r>
          </w:p>
        </w:tc>
        <w:tc>
          <w:tcPr>
            <w:tcW w:w="1596" w:type="dxa"/>
          </w:tcPr>
          <w:p w14:paraId="7C961031" w14:textId="77777777" w:rsidR="00D32F08" w:rsidRPr="007E689D" w:rsidRDefault="00000000">
            <w:pPr>
              <w:pStyle w:val="Compact"/>
              <w:rPr>
                <w:sz w:val="20"/>
                <w:szCs w:val="20"/>
              </w:rPr>
            </w:pPr>
            <w:r w:rsidRPr="007E689D">
              <w:rPr>
                <w:sz w:val="20"/>
                <w:szCs w:val="20"/>
              </w:rPr>
              <w:t>33.3</w:t>
            </w:r>
          </w:p>
        </w:tc>
      </w:tr>
      <w:tr w:rsidR="00D32F08" w:rsidRPr="007E689D" w14:paraId="04C3029C" w14:textId="77777777" w:rsidTr="007E689D">
        <w:tc>
          <w:tcPr>
            <w:tcW w:w="1586" w:type="dxa"/>
          </w:tcPr>
          <w:p w14:paraId="7F747EF1" w14:textId="77777777" w:rsidR="00D32F08" w:rsidRPr="007E689D" w:rsidRDefault="00000000">
            <w:pPr>
              <w:pStyle w:val="Compact"/>
              <w:rPr>
                <w:sz w:val="20"/>
                <w:szCs w:val="20"/>
              </w:rPr>
            </w:pPr>
            <w:r w:rsidRPr="007E689D">
              <w:rPr>
                <w:sz w:val="20"/>
                <w:szCs w:val="20"/>
              </w:rPr>
              <w:t>TGA tier</w:t>
            </w:r>
          </w:p>
        </w:tc>
        <w:tc>
          <w:tcPr>
            <w:tcW w:w="2349" w:type="dxa"/>
          </w:tcPr>
          <w:p w14:paraId="3336D6CB" w14:textId="77777777" w:rsidR="00D32F08" w:rsidRPr="007E689D" w:rsidRDefault="00000000">
            <w:pPr>
              <w:pStyle w:val="Compact"/>
              <w:rPr>
                <w:sz w:val="20"/>
                <w:szCs w:val="20"/>
              </w:rPr>
            </w:pPr>
            <w:r w:rsidRPr="007E689D">
              <w:rPr>
                <w:sz w:val="20"/>
                <w:szCs w:val="20"/>
              </w:rPr>
              <w:t>Tier 3 (PI update)</w:t>
            </w:r>
          </w:p>
        </w:tc>
        <w:tc>
          <w:tcPr>
            <w:tcW w:w="709" w:type="dxa"/>
          </w:tcPr>
          <w:p w14:paraId="59DAEB4F" w14:textId="77777777" w:rsidR="00D32F08" w:rsidRPr="007E689D" w:rsidRDefault="00000000">
            <w:pPr>
              <w:pStyle w:val="Compact"/>
              <w:rPr>
                <w:sz w:val="20"/>
                <w:szCs w:val="20"/>
              </w:rPr>
            </w:pPr>
            <w:r w:rsidRPr="007E689D">
              <w:rPr>
                <w:sz w:val="20"/>
                <w:szCs w:val="20"/>
              </w:rPr>
              <w:t>14</w:t>
            </w:r>
          </w:p>
        </w:tc>
        <w:tc>
          <w:tcPr>
            <w:tcW w:w="1596" w:type="dxa"/>
          </w:tcPr>
          <w:p w14:paraId="3E820D11" w14:textId="77777777" w:rsidR="00D32F08" w:rsidRPr="007E689D" w:rsidRDefault="00000000">
            <w:pPr>
              <w:pStyle w:val="Compact"/>
              <w:rPr>
                <w:sz w:val="20"/>
                <w:szCs w:val="20"/>
              </w:rPr>
            </w:pPr>
            <w:r w:rsidRPr="007E689D">
              <w:rPr>
                <w:sz w:val="20"/>
                <w:szCs w:val="20"/>
              </w:rPr>
              <w:t>25.5</w:t>
            </w:r>
          </w:p>
        </w:tc>
        <w:tc>
          <w:tcPr>
            <w:tcW w:w="1596" w:type="dxa"/>
          </w:tcPr>
          <w:p w14:paraId="1E3C1713" w14:textId="77777777" w:rsidR="00D32F08" w:rsidRPr="007E689D" w:rsidRDefault="00000000">
            <w:pPr>
              <w:pStyle w:val="Compact"/>
              <w:rPr>
                <w:sz w:val="20"/>
                <w:szCs w:val="20"/>
              </w:rPr>
            </w:pPr>
            <w:r w:rsidRPr="007E689D">
              <w:rPr>
                <w:sz w:val="20"/>
                <w:szCs w:val="20"/>
              </w:rPr>
              <w:t>3.0</w:t>
            </w:r>
          </w:p>
        </w:tc>
        <w:tc>
          <w:tcPr>
            <w:tcW w:w="1596" w:type="dxa"/>
          </w:tcPr>
          <w:p w14:paraId="024DFBD6" w14:textId="77777777" w:rsidR="00D32F08" w:rsidRPr="007E689D" w:rsidRDefault="00000000">
            <w:pPr>
              <w:pStyle w:val="Compact"/>
              <w:rPr>
                <w:sz w:val="20"/>
                <w:szCs w:val="20"/>
              </w:rPr>
            </w:pPr>
            <w:r w:rsidRPr="007E689D">
              <w:rPr>
                <w:sz w:val="20"/>
                <w:szCs w:val="20"/>
              </w:rPr>
              <w:t>71.4</w:t>
            </w:r>
          </w:p>
        </w:tc>
      </w:tr>
    </w:tbl>
    <w:p w14:paraId="4847C130" w14:textId="77777777" w:rsidR="00D32F08" w:rsidRDefault="00000000">
      <w:pPr>
        <w:pStyle w:val="Heading3"/>
      </w:pPr>
      <w:bookmarkStart w:id="14" w:name="Xf16fbcd06d3953754f69ae42cd13eb20bc40f91"/>
      <w:bookmarkEnd w:id="13"/>
      <w:r>
        <w:t>eTable S5. COVID-19 temporal masking analysis</w:t>
      </w:r>
    </w:p>
    <w:p w14:paraId="03CB26D9" w14:textId="77777777" w:rsidR="00D32F08" w:rsidRDefault="00000000">
      <w:pPr>
        <w:pStyle w:val="FirstParagraph"/>
      </w:pPr>
      <w:r>
        <w:t>No signals shifted when COVID-19 vaccine reports were excluded (0/23 pairs affected). See accompanying CSV in the supplementary archive (COVID-19 masking results).</w:t>
      </w:r>
    </w:p>
    <w:p w14:paraId="239E03EA" w14:textId="77777777" w:rsidR="00D32F08" w:rsidRDefault="00000000">
      <w:pPr>
        <w:pStyle w:val="Heading3"/>
      </w:pPr>
      <w:bookmarkStart w:id="15" w:name="etable-s6.-daen-faers-concordance-matrix"/>
      <w:bookmarkEnd w:id="14"/>
      <w:r>
        <w:t>eTable S6. DAEN-FAERS concordance matrix</w:t>
      </w:r>
    </w:p>
    <w:tbl>
      <w:tblPr>
        <w:tblStyle w:val="Table"/>
        <w:tblW w:w="0" w:type="auto"/>
        <w:tblLook w:val="0020" w:firstRow="1" w:lastRow="0" w:firstColumn="0" w:lastColumn="0" w:noHBand="0" w:noVBand="0"/>
      </w:tblPr>
      <w:tblGrid>
        <w:gridCol w:w="1865"/>
        <w:gridCol w:w="1600"/>
        <w:gridCol w:w="1926"/>
      </w:tblGrid>
      <w:tr w:rsidR="00D32F08" w:rsidRPr="007E689D" w14:paraId="4E26602C" w14:textId="77777777" w:rsidTr="00D32F08">
        <w:trPr>
          <w:cnfStyle w:val="100000000000" w:firstRow="1" w:lastRow="0" w:firstColumn="0" w:lastColumn="0" w:oddVBand="0" w:evenVBand="0" w:oddHBand="0" w:evenHBand="0" w:firstRowFirstColumn="0" w:firstRowLastColumn="0" w:lastRowFirstColumn="0" w:lastRowLastColumn="0"/>
          <w:tblHeader/>
        </w:trPr>
        <w:tc>
          <w:tcPr>
            <w:tcW w:w="0" w:type="auto"/>
          </w:tcPr>
          <w:p w14:paraId="0008DA84" w14:textId="77777777" w:rsidR="00D32F08" w:rsidRPr="007E689D" w:rsidRDefault="00D32F08">
            <w:pPr>
              <w:pStyle w:val="Compact"/>
              <w:rPr>
                <w:sz w:val="20"/>
                <w:szCs w:val="20"/>
              </w:rPr>
            </w:pPr>
          </w:p>
        </w:tc>
        <w:tc>
          <w:tcPr>
            <w:tcW w:w="0" w:type="auto"/>
          </w:tcPr>
          <w:p w14:paraId="6EB39766" w14:textId="77777777" w:rsidR="00D32F08" w:rsidRPr="007E689D" w:rsidRDefault="00000000">
            <w:pPr>
              <w:pStyle w:val="Compact"/>
              <w:rPr>
                <w:sz w:val="20"/>
                <w:szCs w:val="20"/>
              </w:rPr>
            </w:pPr>
            <w:r w:rsidRPr="007E689D">
              <w:rPr>
                <w:sz w:val="20"/>
                <w:szCs w:val="20"/>
              </w:rPr>
              <w:t>FAERS detected</w:t>
            </w:r>
          </w:p>
        </w:tc>
        <w:tc>
          <w:tcPr>
            <w:tcW w:w="0" w:type="auto"/>
          </w:tcPr>
          <w:p w14:paraId="7AC40CA7" w14:textId="77777777" w:rsidR="00D32F08" w:rsidRPr="007E689D" w:rsidRDefault="00000000">
            <w:pPr>
              <w:pStyle w:val="Compact"/>
              <w:rPr>
                <w:sz w:val="20"/>
                <w:szCs w:val="20"/>
              </w:rPr>
            </w:pPr>
            <w:r w:rsidRPr="007E689D">
              <w:rPr>
                <w:sz w:val="20"/>
                <w:szCs w:val="20"/>
              </w:rPr>
              <w:t>FAERS not detected</w:t>
            </w:r>
          </w:p>
        </w:tc>
      </w:tr>
      <w:tr w:rsidR="00D32F08" w:rsidRPr="007E689D" w14:paraId="2780C6AD" w14:textId="77777777">
        <w:tc>
          <w:tcPr>
            <w:tcW w:w="0" w:type="auto"/>
          </w:tcPr>
          <w:p w14:paraId="31445B6A" w14:textId="77777777" w:rsidR="00D32F08" w:rsidRPr="007E689D" w:rsidRDefault="00000000">
            <w:pPr>
              <w:pStyle w:val="Compact"/>
              <w:rPr>
                <w:sz w:val="20"/>
                <w:szCs w:val="20"/>
              </w:rPr>
            </w:pPr>
            <w:r w:rsidRPr="007E689D">
              <w:rPr>
                <w:sz w:val="20"/>
                <w:szCs w:val="20"/>
              </w:rPr>
              <w:t>DAEN detected</w:t>
            </w:r>
          </w:p>
        </w:tc>
        <w:tc>
          <w:tcPr>
            <w:tcW w:w="0" w:type="auto"/>
          </w:tcPr>
          <w:p w14:paraId="2673CCC6" w14:textId="77777777" w:rsidR="00D32F08" w:rsidRPr="007E689D" w:rsidRDefault="00000000">
            <w:pPr>
              <w:pStyle w:val="Compact"/>
              <w:rPr>
                <w:sz w:val="20"/>
                <w:szCs w:val="20"/>
              </w:rPr>
            </w:pPr>
            <w:r w:rsidRPr="007E689D">
              <w:rPr>
                <w:sz w:val="20"/>
                <w:szCs w:val="20"/>
              </w:rPr>
              <w:t>22</w:t>
            </w:r>
          </w:p>
        </w:tc>
        <w:tc>
          <w:tcPr>
            <w:tcW w:w="0" w:type="auto"/>
          </w:tcPr>
          <w:p w14:paraId="4383848C" w14:textId="77777777" w:rsidR="00D32F08" w:rsidRPr="007E689D" w:rsidRDefault="00000000">
            <w:pPr>
              <w:pStyle w:val="Compact"/>
              <w:rPr>
                <w:sz w:val="20"/>
                <w:szCs w:val="20"/>
              </w:rPr>
            </w:pPr>
            <w:r w:rsidRPr="007E689D">
              <w:rPr>
                <w:sz w:val="20"/>
                <w:szCs w:val="20"/>
              </w:rPr>
              <w:t>1</w:t>
            </w:r>
          </w:p>
        </w:tc>
      </w:tr>
      <w:tr w:rsidR="00D32F08" w:rsidRPr="007E689D" w14:paraId="362176DF" w14:textId="77777777">
        <w:tc>
          <w:tcPr>
            <w:tcW w:w="0" w:type="auto"/>
          </w:tcPr>
          <w:p w14:paraId="1252B032" w14:textId="77777777" w:rsidR="00D32F08" w:rsidRPr="007E689D" w:rsidRDefault="00000000">
            <w:pPr>
              <w:pStyle w:val="Compact"/>
              <w:rPr>
                <w:sz w:val="20"/>
                <w:szCs w:val="20"/>
              </w:rPr>
            </w:pPr>
            <w:r w:rsidRPr="007E689D">
              <w:rPr>
                <w:sz w:val="20"/>
                <w:szCs w:val="20"/>
              </w:rPr>
              <w:t>DAEN not detected</w:t>
            </w:r>
          </w:p>
        </w:tc>
        <w:tc>
          <w:tcPr>
            <w:tcW w:w="0" w:type="auto"/>
          </w:tcPr>
          <w:p w14:paraId="093E1D5F" w14:textId="77777777" w:rsidR="00D32F08" w:rsidRPr="007E689D" w:rsidRDefault="00000000">
            <w:pPr>
              <w:pStyle w:val="Compact"/>
              <w:rPr>
                <w:sz w:val="20"/>
                <w:szCs w:val="20"/>
              </w:rPr>
            </w:pPr>
            <w:r w:rsidRPr="007E689D">
              <w:rPr>
                <w:sz w:val="20"/>
                <w:szCs w:val="20"/>
              </w:rPr>
              <w:t>8</w:t>
            </w:r>
          </w:p>
        </w:tc>
        <w:tc>
          <w:tcPr>
            <w:tcW w:w="0" w:type="auto"/>
          </w:tcPr>
          <w:p w14:paraId="2EF9899F" w14:textId="77777777" w:rsidR="00D32F08" w:rsidRPr="007E689D" w:rsidRDefault="00000000">
            <w:pPr>
              <w:pStyle w:val="Compact"/>
              <w:rPr>
                <w:sz w:val="20"/>
                <w:szCs w:val="20"/>
              </w:rPr>
            </w:pPr>
            <w:r w:rsidRPr="007E689D">
              <w:rPr>
                <w:sz w:val="20"/>
                <w:szCs w:val="20"/>
              </w:rPr>
              <w:t>0</w:t>
            </w:r>
          </w:p>
        </w:tc>
      </w:tr>
    </w:tbl>
    <w:p w14:paraId="3CDA283F" w14:textId="77777777" w:rsidR="00D32F08" w:rsidRDefault="00000000">
      <w:pPr>
        <w:pStyle w:val="BodyText"/>
      </w:pPr>
      <w:r>
        <w:t>Cohen’s kappa = 0.09 (slight agreement). The low concordance reflects FAERS’s ability to detect signals in 8 pairs where DAEN reporting was too sparse.</w:t>
      </w:r>
    </w:p>
    <w:p w14:paraId="1846CD8F" w14:textId="77777777" w:rsidR="00D32F08" w:rsidRDefault="00000000">
      <w:pPr>
        <w:pStyle w:val="Heading3"/>
      </w:pPr>
      <w:bookmarkStart w:id="16" w:name="X31e15408958eee1c5caf35f1b078d141a991cd7"/>
      <w:bookmarkEnd w:id="15"/>
      <w:r>
        <w:t>eTable S7. Ensemble confidence vs positive predictive value (corrected; original inversion retracted)</w:t>
      </w:r>
    </w:p>
    <w:p w14:paraId="6F48A42A" w14:textId="6AD9B289" w:rsidR="00D32F08" w:rsidRDefault="00000000">
      <w:pPr>
        <w:pStyle w:val="FirstParagraph"/>
      </w:pPr>
      <w:r w:rsidRPr="007E689D">
        <w:t>Corrected unstratified table</w:t>
      </w:r>
      <w:r w:rsidR="007E689D">
        <w:t>:</w:t>
      </w:r>
      <w:r>
        <w:t xml:space="preserve"> Reanalysis from the persisted confirmatory CSVs gives the following table for all 120 confirmed detections (110 confirmed positives across Tiers A + B + C minus a small number of multi-tier pairs, plus 10 confirmed false positives):</w:t>
      </w:r>
    </w:p>
    <w:tbl>
      <w:tblPr>
        <w:tblStyle w:val="Table"/>
        <w:tblW w:w="0" w:type="auto"/>
        <w:tblLook w:val="0020" w:firstRow="1" w:lastRow="0" w:firstColumn="0" w:lastColumn="0" w:noHBand="0" w:noVBand="0"/>
      </w:tblPr>
      <w:tblGrid>
        <w:gridCol w:w="1485"/>
        <w:gridCol w:w="1142"/>
        <w:gridCol w:w="537"/>
        <w:gridCol w:w="437"/>
        <w:gridCol w:w="701"/>
      </w:tblGrid>
      <w:tr w:rsidR="00D32F08" w:rsidRPr="007E689D" w14:paraId="1E8D40F9" w14:textId="77777777" w:rsidTr="00D32F08">
        <w:trPr>
          <w:cnfStyle w:val="100000000000" w:firstRow="1" w:lastRow="0" w:firstColumn="0" w:lastColumn="0" w:oddVBand="0" w:evenVBand="0" w:oddHBand="0" w:evenHBand="0" w:firstRowFirstColumn="0" w:firstRowLastColumn="0" w:lastRowFirstColumn="0" w:lastRowLastColumn="0"/>
          <w:tblHeader/>
        </w:trPr>
        <w:tc>
          <w:tcPr>
            <w:tcW w:w="0" w:type="auto"/>
          </w:tcPr>
          <w:p w14:paraId="50CEC875" w14:textId="77777777" w:rsidR="00D32F08" w:rsidRPr="007E689D" w:rsidRDefault="00000000">
            <w:pPr>
              <w:pStyle w:val="Compact"/>
              <w:rPr>
                <w:sz w:val="20"/>
                <w:szCs w:val="20"/>
              </w:rPr>
            </w:pPr>
            <w:r w:rsidRPr="007E689D">
              <w:rPr>
                <w:sz w:val="20"/>
                <w:szCs w:val="20"/>
              </w:rPr>
              <w:t>Confidence</w:t>
            </w:r>
          </w:p>
        </w:tc>
        <w:tc>
          <w:tcPr>
            <w:tcW w:w="0" w:type="auto"/>
          </w:tcPr>
          <w:p w14:paraId="27ED0B3E" w14:textId="77777777" w:rsidR="00D32F08" w:rsidRPr="007E689D" w:rsidRDefault="00000000">
            <w:pPr>
              <w:pStyle w:val="Compact"/>
              <w:rPr>
                <w:sz w:val="20"/>
                <w:szCs w:val="20"/>
              </w:rPr>
            </w:pPr>
            <w:r w:rsidRPr="007E689D">
              <w:rPr>
                <w:sz w:val="20"/>
                <w:szCs w:val="20"/>
              </w:rPr>
              <w:t>n detected</w:t>
            </w:r>
          </w:p>
        </w:tc>
        <w:tc>
          <w:tcPr>
            <w:tcW w:w="0" w:type="auto"/>
          </w:tcPr>
          <w:p w14:paraId="4BD52217" w14:textId="77777777" w:rsidR="00D32F08" w:rsidRPr="007E689D" w:rsidRDefault="00000000">
            <w:pPr>
              <w:pStyle w:val="Compact"/>
              <w:rPr>
                <w:sz w:val="20"/>
                <w:szCs w:val="20"/>
              </w:rPr>
            </w:pPr>
            <w:r w:rsidRPr="007E689D">
              <w:rPr>
                <w:sz w:val="20"/>
                <w:szCs w:val="20"/>
              </w:rPr>
              <w:t>TP</w:t>
            </w:r>
          </w:p>
        </w:tc>
        <w:tc>
          <w:tcPr>
            <w:tcW w:w="0" w:type="auto"/>
          </w:tcPr>
          <w:p w14:paraId="4A899AA8" w14:textId="77777777" w:rsidR="00D32F08" w:rsidRPr="007E689D" w:rsidRDefault="00000000">
            <w:pPr>
              <w:pStyle w:val="Compact"/>
              <w:rPr>
                <w:sz w:val="20"/>
                <w:szCs w:val="20"/>
              </w:rPr>
            </w:pPr>
            <w:r w:rsidRPr="007E689D">
              <w:rPr>
                <w:sz w:val="20"/>
                <w:szCs w:val="20"/>
              </w:rPr>
              <w:t>FP</w:t>
            </w:r>
          </w:p>
        </w:tc>
        <w:tc>
          <w:tcPr>
            <w:tcW w:w="0" w:type="auto"/>
          </w:tcPr>
          <w:p w14:paraId="1BFEF1C1" w14:textId="77777777" w:rsidR="00D32F08" w:rsidRPr="007E689D" w:rsidRDefault="00000000">
            <w:pPr>
              <w:pStyle w:val="Compact"/>
              <w:rPr>
                <w:sz w:val="20"/>
                <w:szCs w:val="20"/>
              </w:rPr>
            </w:pPr>
            <w:r w:rsidRPr="007E689D">
              <w:rPr>
                <w:sz w:val="20"/>
                <w:szCs w:val="20"/>
              </w:rPr>
              <w:t>PPV</w:t>
            </w:r>
          </w:p>
        </w:tc>
      </w:tr>
      <w:tr w:rsidR="00D32F08" w:rsidRPr="007E689D" w14:paraId="20563D28" w14:textId="77777777">
        <w:tc>
          <w:tcPr>
            <w:tcW w:w="0" w:type="auto"/>
          </w:tcPr>
          <w:p w14:paraId="2C024B5A" w14:textId="77777777" w:rsidR="00D32F08" w:rsidRPr="007E689D" w:rsidRDefault="00000000">
            <w:pPr>
              <w:pStyle w:val="Compact"/>
              <w:rPr>
                <w:sz w:val="20"/>
                <w:szCs w:val="20"/>
              </w:rPr>
            </w:pPr>
            <w:r w:rsidRPr="007E689D">
              <w:rPr>
                <w:sz w:val="20"/>
                <w:szCs w:val="20"/>
              </w:rPr>
              <w:t>High (3/3)</w:t>
            </w:r>
          </w:p>
        </w:tc>
        <w:tc>
          <w:tcPr>
            <w:tcW w:w="0" w:type="auto"/>
          </w:tcPr>
          <w:p w14:paraId="6F118CB1" w14:textId="77777777" w:rsidR="00D32F08" w:rsidRPr="007E689D" w:rsidRDefault="00000000">
            <w:pPr>
              <w:pStyle w:val="Compact"/>
              <w:rPr>
                <w:sz w:val="20"/>
                <w:szCs w:val="20"/>
              </w:rPr>
            </w:pPr>
            <w:r w:rsidRPr="007E689D">
              <w:rPr>
                <w:sz w:val="20"/>
                <w:szCs w:val="20"/>
              </w:rPr>
              <w:t>14</w:t>
            </w:r>
          </w:p>
        </w:tc>
        <w:tc>
          <w:tcPr>
            <w:tcW w:w="0" w:type="auto"/>
          </w:tcPr>
          <w:p w14:paraId="0F4F49B5" w14:textId="77777777" w:rsidR="00D32F08" w:rsidRPr="007E689D" w:rsidRDefault="00000000">
            <w:pPr>
              <w:pStyle w:val="Compact"/>
              <w:rPr>
                <w:sz w:val="20"/>
                <w:szCs w:val="20"/>
              </w:rPr>
            </w:pPr>
            <w:r w:rsidRPr="007E689D">
              <w:rPr>
                <w:sz w:val="20"/>
                <w:szCs w:val="20"/>
              </w:rPr>
              <w:t>12</w:t>
            </w:r>
          </w:p>
        </w:tc>
        <w:tc>
          <w:tcPr>
            <w:tcW w:w="0" w:type="auto"/>
          </w:tcPr>
          <w:p w14:paraId="6FCB4B57" w14:textId="77777777" w:rsidR="00D32F08" w:rsidRPr="007E689D" w:rsidRDefault="00000000">
            <w:pPr>
              <w:pStyle w:val="Compact"/>
              <w:rPr>
                <w:sz w:val="20"/>
                <w:szCs w:val="20"/>
              </w:rPr>
            </w:pPr>
            <w:r w:rsidRPr="007E689D">
              <w:rPr>
                <w:sz w:val="20"/>
                <w:szCs w:val="20"/>
              </w:rPr>
              <w:t>2</w:t>
            </w:r>
          </w:p>
        </w:tc>
        <w:tc>
          <w:tcPr>
            <w:tcW w:w="0" w:type="auto"/>
          </w:tcPr>
          <w:p w14:paraId="65163759" w14:textId="77777777" w:rsidR="00D32F08" w:rsidRPr="007E689D" w:rsidRDefault="00000000">
            <w:pPr>
              <w:pStyle w:val="Compact"/>
              <w:rPr>
                <w:sz w:val="20"/>
                <w:szCs w:val="20"/>
              </w:rPr>
            </w:pPr>
            <w:r w:rsidRPr="007E689D">
              <w:rPr>
                <w:sz w:val="20"/>
                <w:szCs w:val="20"/>
              </w:rPr>
              <w:t>0.857</w:t>
            </w:r>
          </w:p>
        </w:tc>
      </w:tr>
      <w:tr w:rsidR="00D32F08" w:rsidRPr="007E689D" w14:paraId="38A1249D" w14:textId="77777777">
        <w:tc>
          <w:tcPr>
            <w:tcW w:w="0" w:type="auto"/>
          </w:tcPr>
          <w:p w14:paraId="2774E99F" w14:textId="77777777" w:rsidR="00D32F08" w:rsidRPr="007E689D" w:rsidRDefault="00000000">
            <w:pPr>
              <w:pStyle w:val="Compact"/>
              <w:rPr>
                <w:sz w:val="20"/>
                <w:szCs w:val="20"/>
              </w:rPr>
            </w:pPr>
            <w:r w:rsidRPr="007E689D">
              <w:rPr>
                <w:sz w:val="20"/>
                <w:szCs w:val="20"/>
              </w:rPr>
              <w:t>Moderate (2/3)</w:t>
            </w:r>
          </w:p>
        </w:tc>
        <w:tc>
          <w:tcPr>
            <w:tcW w:w="0" w:type="auto"/>
          </w:tcPr>
          <w:p w14:paraId="4B33342E" w14:textId="77777777" w:rsidR="00D32F08" w:rsidRPr="007E689D" w:rsidRDefault="00000000">
            <w:pPr>
              <w:pStyle w:val="Compact"/>
              <w:rPr>
                <w:sz w:val="20"/>
                <w:szCs w:val="20"/>
              </w:rPr>
            </w:pPr>
            <w:r w:rsidRPr="007E689D">
              <w:rPr>
                <w:sz w:val="20"/>
                <w:szCs w:val="20"/>
              </w:rPr>
              <w:t>27</w:t>
            </w:r>
          </w:p>
        </w:tc>
        <w:tc>
          <w:tcPr>
            <w:tcW w:w="0" w:type="auto"/>
          </w:tcPr>
          <w:p w14:paraId="0665A421" w14:textId="77777777" w:rsidR="00D32F08" w:rsidRPr="007E689D" w:rsidRDefault="00000000">
            <w:pPr>
              <w:pStyle w:val="Compact"/>
              <w:rPr>
                <w:sz w:val="20"/>
                <w:szCs w:val="20"/>
              </w:rPr>
            </w:pPr>
            <w:r w:rsidRPr="007E689D">
              <w:rPr>
                <w:sz w:val="20"/>
                <w:szCs w:val="20"/>
              </w:rPr>
              <w:t>25</w:t>
            </w:r>
          </w:p>
        </w:tc>
        <w:tc>
          <w:tcPr>
            <w:tcW w:w="0" w:type="auto"/>
          </w:tcPr>
          <w:p w14:paraId="04562A2F" w14:textId="77777777" w:rsidR="00D32F08" w:rsidRPr="007E689D" w:rsidRDefault="00000000">
            <w:pPr>
              <w:pStyle w:val="Compact"/>
              <w:rPr>
                <w:sz w:val="20"/>
                <w:szCs w:val="20"/>
              </w:rPr>
            </w:pPr>
            <w:r w:rsidRPr="007E689D">
              <w:rPr>
                <w:sz w:val="20"/>
                <w:szCs w:val="20"/>
              </w:rPr>
              <w:t>2</w:t>
            </w:r>
          </w:p>
        </w:tc>
        <w:tc>
          <w:tcPr>
            <w:tcW w:w="0" w:type="auto"/>
          </w:tcPr>
          <w:p w14:paraId="789CF648" w14:textId="77777777" w:rsidR="00D32F08" w:rsidRPr="007E689D" w:rsidRDefault="00000000">
            <w:pPr>
              <w:pStyle w:val="Compact"/>
              <w:rPr>
                <w:sz w:val="20"/>
                <w:szCs w:val="20"/>
              </w:rPr>
            </w:pPr>
            <w:r w:rsidRPr="007E689D">
              <w:rPr>
                <w:sz w:val="20"/>
                <w:szCs w:val="20"/>
              </w:rPr>
              <w:t>0.926</w:t>
            </w:r>
          </w:p>
        </w:tc>
      </w:tr>
      <w:tr w:rsidR="00D32F08" w:rsidRPr="007E689D" w14:paraId="2A7F746A" w14:textId="77777777">
        <w:tc>
          <w:tcPr>
            <w:tcW w:w="0" w:type="auto"/>
          </w:tcPr>
          <w:p w14:paraId="190669A3" w14:textId="77777777" w:rsidR="00D32F08" w:rsidRPr="007E689D" w:rsidRDefault="00000000">
            <w:pPr>
              <w:pStyle w:val="Compact"/>
              <w:rPr>
                <w:sz w:val="20"/>
                <w:szCs w:val="20"/>
              </w:rPr>
            </w:pPr>
            <w:r w:rsidRPr="007E689D">
              <w:rPr>
                <w:sz w:val="20"/>
                <w:szCs w:val="20"/>
              </w:rPr>
              <w:t>Low (1/3)</w:t>
            </w:r>
          </w:p>
        </w:tc>
        <w:tc>
          <w:tcPr>
            <w:tcW w:w="0" w:type="auto"/>
          </w:tcPr>
          <w:p w14:paraId="260F5A73" w14:textId="77777777" w:rsidR="00D32F08" w:rsidRPr="007E689D" w:rsidRDefault="00000000">
            <w:pPr>
              <w:pStyle w:val="Compact"/>
              <w:rPr>
                <w:sz w:val="20"/>
                <w:szCs w:val="20"/>
              </w:rPr>
            </w:pPr>
            <w:r w:rsidRPr="007E689D">
              <w:rPr>
                <w:sz w:val="20"/>
                <w:szCs w:val="20"/>
              </w:rPr>
              <w:t>79</w:t>
            </w:r>
          </w:p>
        </w:tc>
        <w:tc>
          <w:tcPr>
            <w:tcW w:w="0" w:type="auto"/>
          </w:tcPr>
          <w:p w14:paraId="360DA526" w14:textId="77777777" w:rsidR="00D32F08" w:rsidRPr="007E689D" w:rsidRDefault="00000000">
            <w:pPr>
              <w:pStyle w:val="Compact"/>
              <w:rPr>
                <w:sz w:val="20"/>
                <w:szCs w:val="20"/>
              </w:rPr>
            </w:pPr>
            <w:r w:rsidRPr="007E689D">
              <w:rPr>
                <w:sz w:val="20"/>
                <w:szCs w:val="20"/>
              </w:rPr>
              <w:t>73</w:t>
            </w:r>
          </w:p>
        </w:tc>
        <w:tc>
          <w:tcPr>
            <w:tcW w:w="0" w:type="auto"/>
          </w:tcPr>
          <w:p w14:paraId="4485858F" w14:textId="77777777" w:rsidR="00D32F08" w:rsidRPr="007E689D" w:rsidRDefault="00000000">
            <w:pPr>
              <w:pStyle w:val="Compact"/>
              <w:rPr>
                <w:sz w:val="20"/>
                <w:szCs w:val="20"/>
              </w:rPr>
            </w:pPr>
            <w:r w:rsidRPr="007E689D">
              <w:rPr>
                <w:sz w:val="20"/>
                <w:szCs w:val="20"/>
              </w:rPr>
              <w:t>6</w:t>
            </w:r>
          </w:p>
        </w:tc>
        <w:tc>
          <w:tcPr>
            <w:tcW w:w="0" w:type="auto"/>
          </w:tcPr>
          <w:p w14:paraId="5161A839" w14:textId="77777777" w:rsidR="00D32F08" w:rsidRPr="007E689D" w:rsidRDefault="00000000">
            <w:pPr>
              <w:pStyle w:val="Compact"/>
              <w:rPr>
                <w:sz w:val="20"/>
                <w:szCs w:val="20"/>
              </w:rPr>
            </w:pPr>
            <w:r w:rsidRPr="007E689D">
              <w:rPr>
                <w:sz w:val="20"/>
                <w:szCs w:val="20"/>
              </w:rPr>
              <w:t>0.924</w:t>
            </w:r>
          </w:p>
        </w:tc>
      </w:tr>
      <w:tr w:rsidR="00D32F08" w:rsidRPr="007E689D" w14:paraId="514DD28A" w14:textId="77777777">
        <w:tc>
          <w:tcPr>
            <w:tcW w:w="0" w:type="auto"/>
          </w:tcPr>
          <w:p w14:paraId="76A1DAF3" w14:textId="77777777" w:rsidR="00D32F08" w:rsidRPr="007E689D" w:rsidRDefault="00000000">
            <w:pPr>
              <w:pStyle w:val="Compact"/>
              <w:rPr>
                <w:sz w:val="20"/>
                <w:szCs w:val="20"/>
              </w:rPr>
            </w:pPr>
            <w:r w:rsidRPr="007E689D">
              <w:rPr>
                <w:sz w:val="20"/>
                <w:szCs w:val="20"/>
              </w:rPr>
              <w:t>All</w:t>
            </w:r>
          </w:p>
        </w:tc>
        <w:tc>
          <w:tcPr>
            <w:tcW w:w="0" w:type="auto"/>
          </w:tcPr>
          <w:p w14:paraId="3A599151" w14:textId="77777777" w:rsidR="00D32F08" w:rsidRPr="007E689D" w:rsidRDefault="00000000">
            <w:pPr>
              <w:pStyle w:val="Compact"/>
              <w:rPr>
                <w:sz w:val="20"/>
                <w:szCs w:val="20"/>
              </w:rPr>
            </w:pPr>
            <w:r w:rsidRPr="007E689D">
              <w:rPr>
                <w:sz w:val="20"/>
                <w:szCs w:val="20"/>
              </w:rPr>
              <w:t>120</w:t>
            </w:r>
          </w:p>
        </w:tc>
        <w:tc>
          <w:tcPr>
            <w:tcW w:w="0" w:type="auto"/>
          </w:tcPr>
          <w:p w14:paraId="19289FC7" w14:textId="77777777" w:rsidR="00D32F08" w:rsidRPr="007E689D" w:rsidRDefault="00000000">
            <w:pPr>
              <w:pStyle w:val="Compact"/>
              <w:rPr>
                <w:sz w:val="20"/>
                <w:szCs w:val="20"/>
              </w:rPr>
            </w:pPr>
            <w:r w:rsidRPr="007E689D">
              <w:rPr>
                <w:sz w:val="20"/>
                <w:szCs w:val="20"/>
              </w:rPr>
              <w:t>110</w:t>
            </w:r>
          </w:p>
        </w:tc>
        <w:tc>
          <w:tcPr>
            <w:tcW w:w="0" w:type="auto"/>
          </w:tcPr>
          <w:p w14:paraId="4686567B" w14:textId="77777777" w:rsidR="00D32F08" w:rsidRPr="007E689D" w:rsidRDefault="00000000">
            <w:pPr>
              <w:pStyle w:val="Compact"/>
              <w:rPr>
                <w:sz w:val="20"/>
                <w:szCs w:val="20"/>
              </w:rPr>
            </w:pPr>
            <w:r w:rsidRPr="007E689D">
              <w:rPr>
                <w:sz w:val="20"/>
                <w:szCs w:val="20"/>
              </w:rPr>
              <w:t>10</w:t>
            </w:r>
          </w:p>
        </w:tc>
        <w:tc>
          <w:tcPr>
            <w:tcW w:w="0" w:type="auto"/>
          </w:tcPr>
          <w:p w14:paraId="2AB08793" w14:textId="77777777" w:rsidR="00D32F08" w:rsidRPr="007E689D" w:rsidRDefault="00000000">
            <w:pPr>
              <w:pStyle w:val="Compact"/>
              <w:rPr>
                <w:sz w:val="20"/>
                <w:szCs w:val="20"/>
              </w:rPr>
            </w:pPr>
            <w:r w:rsidRPr="007E689D">
              <w:rPr>
                <w:sz w:val="20"/>
                <w:szCs w:val="20"/>
              </w:rPr>
              <w:t>0.917</w:t>
            </w:r>
          </w:p>
        </w:tc>
      </w:tr>
    </w:tbl>
    <w:p w14:paraId="3192E48E" w14:textId="77777777" w:rsidR="00D32F08" w:rsidRPr="007E689D" w:rsidRDefault="00000000">
      <w:pPr>
        <w:pStyle w:val="BodyText"/>
      </w:pPr>
      <w:r w:rsidRPr="007E689D">
        <w:t>Cochran-Armitage trend test on the corrected table: z = −0.67, two-sided p = 0.50 (non-significant). Chi-square test of independence: χ² = 0.74, p = 0.69. The original submission’s claim of a significant confidence-PPV inversion (trend p = 0.004 across 108 pairs split 45/38/25 with PPVs 69%/76%/84%) could not be reproduced from the persisted data and is retracted. The reason the original numbers could not be reproduced is unclear without re-running the v1 analysis pipeline in its 2026-04-14 state, which we did not retain; the persisted v1 supplementary CSVs were overwritten by the confirmatory rerun. We treat this as a discovered data-handling error in the original submission and report it transparently rather than asserting the corrected table is what was always meant.</w:t>
      </w:r>
    </w:p>
    <w:p w14:paraId="6B56EF0E" w14:textId="77777777" w:rsidR="00D32F08" w:rsidRDefault="00000000">
      <w:pPr>
        <w:pStyle w:val="BodyText"/>
      </w:pPr>
      <w:r>
        <w:rPr>
          <w:b/>
          <w:bCs/>
        </w:rPr>
        <w:lastRenderedPageBreak/>
        <w:t>Density-stratified table (corrected data, for completeness):</w:t>
      </w:r>
    </w:p>
    <w:tbl>
      <w:tblPr>
        <w:tblStyle w:val="Table"/>
        <w:tblW w:w="5000" w:type="pct"/>
        <w:tblLayout w:type="fixed"/>
        <w:tblLook w:val="0020" w:firstRow="1" w:lastRow="0" w:firstColumn="0" w:lastColumn="0" w:noHBand="0" w:noVBand="0"/>
      </w:tblPr>
      <w:tblGrid>
        <w:gridCol w:w="2394"/>
        <w:gridCol w:w="2394"/>
        <w:gridCol w:w="2394"/>
        <w:gridCol w:w="2394"/>
      </w:tblGrid>
      <w:tr w:rsidR="00D32F08" w:rsidRPr="007E689D" w14:paraId="1141FC28" w14:textId="77777777" w:rsidTr="00D32F08">
        <w:trPr>
          <w:cnfStyle w:val="100000000000" w:firstRow="1" w:lastRow="0" w:firstColumn="0" w:lastColumn="0" w:oddVBand="0" w:evenVBand="0" w:oddHBand="0" w:evenHBand="0" w:firstRowFirstColumn="0" w:firstRowLastColumn="0" w:lastRowFirstColumn="0" w:lastRowLastColumn="0"/>
          <w:tblHeader/>
        </w:trPr>
        <w:tc>
          <w:tcPr>
            <w:tcW w:w="1980" w:type="dxa"/>
          </w:tcPr>
          <w:p w14:paraId="011DD344" w14:textId="77777777" w:rsidR="00D32F08" w:rsidRPr="007E689D" w:rsidRDefault="00000000">
            <w:pPr>
              <w:pStyle w:val="Compact"/>
              <w:rPr>
                <w:sz w:val="20"/>
                <w:szCs w:val="20"/>
              </w:rPr>
            </w:pPr>
            <w:r w:rsidRPr="007E689D">
              <w:rPr>
                <w:sz w:val="20"/>
                <w:szCs w:val="20"/>
              </w:rPr>
              <w:t>Density tertile (n_reports)</w:t>
            </w:r>
          </w:p>
        </w:tc>
        <w:tc>
          <w:tcPr>
            <w:tcW w:w="1980" w:type="dxa"/>
          </w:tcPr>
          <w:p w14:paraId="703E8FD2" w14:textId="77777777" w:rsidR="00D32F08" w:rsidRPr="007E689D" w:rsidRDefault="00000000">
            <w:pPr>
              <w:pStyle w:val="Compact"/>
              <w:rPr>
                <w:sz w:val="20"/>
                <w:szCs w:val="20"/>
              </w:rPr>
            </w:pPr>
            <w:r w:rsidRPr="007E689D">
              <w:rPr>
                <w:sz w:val="20"/>
                <w:szCs w:val="20"/>
              </w:rPr>
              <w:t>High-conf PPV (n)</w:t>
            </w:r>
          </w:p>
        </w:tc>
        <w:tc>
          <w:tcPr>
            <w:tcW w:w="1980" w:type="dxa"/>
          </w:tcPr>
          <w:p w14:paraId="2B206D5E" w14:textId="77777777" w:rsidR="00D32F08" w:rsidRPr="007E689D" w:rsidRDefault="00000000">
            <w:pPr>
              <w:pStyle w:val="Compact"/>
              <w:rPr>
                <w:sz w:val="20"/>
                <w:szCs w:val="20"/>
              </w:rPr>
            </w:pPr>
            <w:r w:rsidRPr="007E689D">
              <w:rPr>
                <w:sz w:val="20"/>
                <w:szCs w:val="20"/>
              </w:rPr>
              <w:t>Moderate-conf PPV (n)</w:t>
            </w:r>
          </w:p>
        </w:tc>
        <w:tc>
          <w:tcPr>
            <w:tcW w:w="1980" w:type="dxa"/>
          </w:tcPr>
          <w:p w14:paraId="16107AC1" w14:textId="77777777" w:rsidR="00D32F08" w:rsidRPr="007E689D" w:rsidRDefault="00000000">
            <w:pPr>
              <w:pStyle w:val="Compact"/>
              <w:rPr>
                <w:sz w:val="20"/>
                <w:szCs w:val="20"/>
              </w:rPr>
            </w:pPr>
            <w:r w:rsidRPr="007E689D">
              <w:rPr>
                <w:sz w:val="20"/>
                <w:szCs w:val="20"/>
              </w:rPr>
              <w:t>Low-conf PPV (n)</w:t>
            </w:r>
          </w:p>
        </w:tc>
      </w:tr>
      <w:tr w:rsidR="00D32F08" w:rsidRPr="007E689D" w14:paraId="30C86712" w14:textId="77777777">
        <w:tc>
          <w:tcPr>
            <w:tcW w:w="1980" w:type="dxa"/>
          </w:tcPr>
          <w:p w14:paraId="2B734D4B" w14:textId="77777777" w:rsidR="00D32F08" w:rsidRPr="007E689D" w:rsidRDefault="00000000">
            <w:pPr>
              <w:pStyle w:val="Compact"/>
              <w:rPr>
                <w:sz w:val="20"/>
                <w:szCs w:val="20"/>
              </w:rPr>
            </w:pPr>
            <w:r w:rsidRPr="007E689D">
              <w:rPr>
                <w:sz w:val="20"/>
                <w:szCs w:val="20"/>
              </w:rPr>
              <w:t>Sparse (≤20)</w:t>
            </w:r>
          </w:p>
        </w:tc>
        <w:tc>
          <w:tcPr>
            <w:tcW w:w="1980" w:type="dxa"/>
          </w:tcPr>
          <w:p w14:paraId="01690A05" w14:textId="77777777" w:rsidR="00D32F08" w:rsidRPr="007E689D" w:rsidRDefault="00000000">
            <w:pPr>
              <w:pStyle w:val="Compact"/>
              <w:rPr>
                <w:sz w:val="20"/>
                <w:szCs w:val="20"/>
              </w:rPr>
            </w:pPr>
            <w:r w:rsidRPr="007E689D">
              <w:rPr>
                <w:sz w:val="20"/>
                <w:szCs w:val="20"/>
              </w:rPr>
              <w:t>0.67 (6)</w:t>
            </w:r>
          </w:p>
        </w:tc>
        <w:tc>
          <w:tcPr>
            <w:tcW w:w="1980" w:type="dxa"/>
          </w:tcPr>
          <w:p w14:paraId="35B21824" w14:textId="77777777" w:rsidR="00D32F08" w:rsidRPr="007E689D" w:rsidRDefault="00000000">
            <w:pPr>
              <w:pStyle w:val="Compact"/>
              <w:rPr>
                <w:sz w:val="20"/>
                <w:szCs w:val="20"/>
              </w:rPr>
            </w:pPr>
            <w:r w:rsidRPr="007E689D">
              <w:rPr>
                <w:sz w:val="20"/>
                <w:szCs w:val="20"/>
              </w:rPr>
              <w:t>1.00 (8)</w:t>
            </w:r>
          </w:p>
        </w:tc>
        <w:tc>
          <w:tcPr>
            <w:tcW w:w="1980" w:type="dxa"/>
          </w:tcPr>
          <w:p w14:paraId="0C54EB02" w14:textId="77777777" w:rsidR="00D32F08" w:rsidRPr="007E689D" w:rsidRDefault="00000000">
            <w:pPr>
              <w:pStyle w:val="Compact"/>
              <w:rPr>
                <w:sz w:val="20"/>
                <w:szCs w:val="20"/>
              </w:rPr>
            </w:pPr>
            <w:r w:rsidRPr="007E689D">
              <w:rPr>
                <w:sz w:val="20"/>
                <w:szCs w:val="20"/>
              </w:rPr>
              <w:t>0.96 (28)</w:t>
            </w:r>
          </w:p>
        </w:tc>
      </w:tr>
      <w:tr w:rsidR="00D32F08" w:rsidRPr="007E689D" w14:paraId="480FB952" w14:textId="77777777">
        <w:tc>
          <w:tcPr>
            <w:tcW w:w="1980" w:type="dxa"/>
          </w:tcPr>
          <w:p w14:paraId="1326F1FC" w14:textId="77777777" w:rsidR="00D32F08" w:rsidRPr="007E689D" w:rsidRDefault="00000000">
            <w:pPr>
              <w:pStyle w:val="Compact"/>
              <w:rPr>
                <w:sz w:val="20"/>
                <w:szCs w:val="20"/>
              </w:rPr>
            </w:pPr>
            <w:r w:rsidRPr="007E689D">
              <w:rPr>
                <w:sz w:val="20"/>
                <w:szCs w:val="20"/>
              </w:rPr>
              <w:t>Moderate (20–50)</w:t>
            </w:r>
          </w:p>
        </w:tc>
        <w:tc>
          <w:tcPr>
            <w:tcW w:w="1980" w:type="dxa"/>
          </w:tcPr>
          <w:p w14:paraId="581E1F38" w14:textId="77777777" w:rsidR="00D32F08" w:rsidRPr="007E689D" w:rsidRDefault="00000000">
            <w:pPr>
              <w:pStyle w:val="Compact"/>
              <w:rPr>
                <w:sz w:val="20"/>
                <w:szCs w:val="20"/>
              </w:rPr>
            </w:pPr>
            <w:r w:rsidRPr="007E689D">
              <w:rPr>
                <w:sz w:val="20"/>
                <w:szCs w:val="20"/>
              </w:rPr>
              <w:t>1.00 (3)</w:t>
            </w:r>
          </w:p>
        </w:tc>
        <w:tc>
          <w:tcPr>
            <w:tcW w:w="1980" w:type="dxa"/>
          </w:tcPr>
          <w:p w14:paraId="16A09CE9" w14:textId="77777777" w:rsidR="00D32F08" w:rsidRPr="007E689D" w:rsidRDefault="00000000">
            <w:pPr>
              <w:pStyle w:val="Compact"/>
              <w:rPr>
                <w:sz w:val="20"/>
                <w:szCs w:val="20"/>
              </w:rPr>
            </w:pPr>
            <w:r w:rsidRPr="007E689D">
              <w:rPr>
                <w:sz w:val="20"/>
                <w:szCs w:val="20"/>
              </w:rPr>
              <w:t>0.86 (14)</w:t>
            </w:r>
          </w:p>
        </w:tc>
        <w:tc>
          <w:tcPr>
            <w:tcW w:w="1980" w:type="dxa"/>
          </w:tcPr>
          <w:p w14:paraId="2AB049E6" w14:textId="77777777" w:rsidR="00D32F08" w:rsidRPr="007E689D" w:rsidRDefault="00000000">
            <w:pPr>
              <w:pStyle w:val="Compact"/>
              <w:rPr>
                <w:sz w:val="20"/>
                <w:szCs w:val="20"/>
              </w:rPr>
            </w:pPr>
            <w:r w:rsidRPr="007E689D">
              <w:rPr>
                <w:sz w:val="20"/>
                <w:szCs w:val="20"/>
              </w:rPr>
              <w:t>0.90 (21)</w:t>
            </w:r>
          </w:p>
        </w:tc>
      </w:tr>
      <w:tr w:rsidR="00D32F08" w:rsidRPr="007E689D" w14:paraId="582034CF" w14:textId="77777777">
        <w:tc>
          <w:tcPr>
            <w:tcW w:w="1980" w:type="dxa"/>
          </w:tcPr>
          <w:p w14:paraId="1E45648B" w14:textId="77777777" w:rsidR="00D32F08" w:rsidRPr="007E689D" w:rsidRDefault="00000000">
            <w:pPr>
              <w:pStyle w:val="Compact"/>
              <w:rPr>
                <w:sz w:val="20"/>
                <w:szCs w:val="20"/>
              </w:rPr>
            </w:pPr>
            <w:r w:rsidRPr="007E689D">
              <w:rPr>
                <w:sz w:val="20"/>
                <w:szCs w:val="20"/>
              </w:rPr>
              <w:t>Dense (&gt;50)</w:t>
            </w:r>
          </w:p>
        </w:tc>
        <w:tc>
          <w:tcPr>
            <w:tcW w:w="1980" w:type="dxa"/>
          </w:tcPr>
          <w:p w14:paraId="672EF598" w14:textId="77777777" w:rsidR="00D32F08" w:rsidRPr="007E689D" w:rsidRDefault="00000000">
            <w:pPr>
              <w:pStyle w:val="Compact"/>
              <w:rPr>
                <w:sz w:val="20"/>
                <w:szCs w:val="20"/>
              </w:rPr>
            </w:pPr>
            <w:r w:rsidRPr="007E689D">
              <w:rPr>
                <w:sz w:val="20"/>
                <w:szCs w:val="20"/>
              </w:rPr>
              <w:t>1.00 (5)</w:t>
            </w:r>
          </w:p>
        </w:tc>
        <w:tc>
          <w:tcPr>
            <w:tcW w:w="1980" w:type="dxa"/>
          </w:tcPr>
          <w:p w14:paraId="0F90C4E7" w14:textId="77777777" w:rsidR="00D32F08" w:rsidRPr="007E689D" w:rsidRDefault="00000000">
            <w:pPr>
              <w:pStyle w:val="Compact"/>
              <w:rPr>
                <w:sz w:val="20"/>
                <w:szCs w:val="20"/>
              </w:rPr>
            </w:pPr>
            <w:r w:rsidRPr="007E689D">
              <w:rPr>
                <w:sz w:val="20"/>
                <w:szCs w:val="20"/>
              </w:rPr>
              <w:t>1.00 (5)</w:t>
            </w:r>
          </w:p>
        </w:tc>
        <w:tc>
          <w:tcPr>
            <w:tcW w:w="1980" w:type="dxa"/>
          </w:tcPr>
          <w:p w14:paraId="3FDE8EFC" w14:textId="77777777" w:rsidR="00D32F08" w:rsidRPr="007E689D" w:rsidRDefault="00000000">
            <w:pPr>
              <w:pStyle w:val="Compact"/>
              <w:rPr>
                <w:sz w:val="20"/>
                <w:szCs w:val="20"/>
              </w:rPr>
            </w:pPr>
            <w:r w:rsidRPr="007E689D">
              <w:rPr>
                <w:sz w:val="20"/>
                <w:szCs w:val="20"/>
              </w:rPr>
              <w:t>0.90 (30)</w:t>
            </w:r>
          </w:p>
        </w:tc>
      </w:tr>
    </w:tbl>
    <w:p w14:paraId="6696CC2D" w14:textId="77777777" w:rsidR="00D32F08" w:rsidRDefault="00000000">
      <w:pPr>
        <w:pStyle w:val="BodyText"/>
      </w:pPr>
      <w:r>
        <w:t>Cochran-Mantel-Haenszel test (high vs lower confidence, controlling for density): pooled OR = 0.47, p = 0.36. The CMH is underpowered (high-confidence n = 6 / 3 / 5 across density tertiles) and cannot demonstrate either presence or absence of an inversion at the stratum level. The qualitative observation that the high-confidence PPV is lower in the sparse tertile (0.67 with n = 6) is consistent with the mechanistic concern that three detectors on a sparse series can latch onto the same isolated count spike spuriously, but is not statistically supported by these data.</w:t>
      </w:r>
    </w:p>
    <w:p w14:paraId="4223D887" w14:textId="77777777" w:rsidR="00D32F08" w:rsidRDefault="00000000">
      <w:pPr>
        <w:pStyle w:val="Heading3"/>
      </w:pPr>
      <w:bookmarkStart w:id="17" w:name="Xaaa6b5017fc13b717ab10588654853cf93459b1"/>
      <w:bookmarkEnd w:id="16"/>
      <w:r>
        <w:t>eTable S8. Pooling benefit by signal strength subgroup</w:t>
      </w:r>
    </w:p>
    <w:tbl>
      <w:tblPr>
        <w:tblStyle w:val="Table"/>
        <w:tblW w:w="0" w:type="auto"/>
        <w:tblLook w:val="0020" w:firstRow="1" w:lastRow="0" w:firstColumn="0" w:lastColumn="0" w:noHBand="0" w:noVBand="0"/>
      </w:tblPr>
      <w:tblGrid>
        <w:gridCol w:w="4034"/>
        <w:gridCol w:w="4462"/>
      </w:tblGrid>
      <w:tr w:rsidR="00D32F08" w14:paraId="08C93308" w14:textId="77777777" w:rsidTr="00D32F08">
        <w:trPr>
          <w:cnfStyle w:val="100000000000" w:firstRow="1" w:lastRow="0" w:firstColumn="0" w:lastColumn="0" w:oddVBand="0" w:evenVBand="0" w:oddHBand="0" w:evenHBand="0" w:firstRowFirstColumn="0" w:firstRowLastColumn="0" w:lastRowFirstColumn="0" w:lastRowLastColumn="0"/>
          <w:tblHeader/>
        </w:trPr>
        <w:tc>
          <w:tcPr>
            <w:tcW w:w="0" w:type="auto"/>
          </w:tcPr>
          <w:p w14:paraId="74368862" w14:textId="77777777" w:rsidR="00D32F08" w:rsidRDefault="00000000">
            <w:pPr>
              <w:pStyle w:val="Compact"/>
            </w:pPr>
            <w:r>
              <w:t>Subgroup</w:t>
            </w:r>
          </w:p>
        </w:tc>
        <w:tc>
          <w:tcPr>
            <w:tcW w:w="0" w:type="auto"/>
          </w:tcPr>
          <w:p w14:paraId="6B1B1388" w14:textId="77777777" w:rsidR="00D32F08" w:rsidRDefault="00000000">
            <w:pPr>
              <w:pStyle w:val="Compact"/>
            </w:pPr>
            <w:r>
              <w:t>Median pooling benefit vs DAEN alone (q)</w:t>
            </w:r>
          </w:p>
        </w:tc>
      </w:tr>
      <w:tr w:rsidR="00D32F08" w14:paraId="23D5B625" w14:textId="77777777">
        <w:tc>
          <w:tcPr>
            <w:tcW w:w="0" w:type="auto"/>
          </w:tcPr>
          <w:p w14:paraId="29B77FAB" w14:textId="77777777" w:rsidR="00D32F08" w:rsidRDefault="00000000">
            <w:pPr>
              <w:pStyle w:val="Compact"/>
            </w:pPr>
            <w:r>
              <w:t>Below-median EBGM (weak signals)</w:t>
            </w:r>
          </w:p>
        </w:tc>
        <w:tc>
          <w:tcPr>
            <w:tcW w:w="0" w:type="auto"/>
          </w:tcPr>
          <w:p w14:paraId="7FA97AB7" w14:textId="77777777" w:rsidR="00D32F08" w:rsidRDefault="00000000">
            <w:pPr>
              <w:pStyle w:val="Compact"/>
            </w:pPr>
            <w:r>
              <w:t>15.0</w:t>
            </w:r>
          </w:p>
        </w:tc>
      </w:tr>
      <w:tr w:rsidR="00D32F08" w14:paraId="5ADA5FCB" w14:textId="77777777">
        <w:tc>
          <w:tcPr>
            <w:tcW w:w="0" w:type="auto"/>
          </w:tcPr>
          <w:p w14:paraId="58B96010" w14:textId="77777777" w:rsidR="00D32F08" w:rsidRDefault="00000000">
            <w:pPr>
              <w:pStyle w:val="Compact"/>
            </w:pPr>
            <w:r>
              <w:t>Above-median EBGM (strong signals)</w:t>
            </w:r>
          </w:p>
        </w:tc>
        <w:tc>
          <w:tcPr>
            <w:tcW w:w="0" w:type="auto"/>
          </w:tcPr>
          <w:p w14:paraId="5AA72F9C" w14:textId="77777777" w:rsidR="00D32F08" w:rsidRDefault="00000000">
            <w:pPr>
              <w:pStyle w:val="Compact"/>
            </w:pPr>
            <w:r>
              <w:t>4.0</w:t>
            </w:r>
          </w:p>
        </w:tc>
      </w:tr>
      <w:tr w:rsidR="00D32F08" w14:paraId="54B488A2" w14:textId="77777777">
        <w:tc>
          <w:tcPr>
            <w:tcW w:w="0" w:type="auto"/>
          </w:tcPr>
          <w:p w14:paraId="0699CCB6" w14:textId="77777777" w:rsidR="00D32F08" w:rsidRDefault="00000000">
            <w:pPr>
              <w:pStyle w:val="Compact"/>
            </w:pPr>
            <w:r>
              <w:t>All pairs</w:t>
            </w:r>
          </w:p>
        </w:tc>
        <w:tc>
          <w:tcPr>
            <w:tcW w:w="0" w:type="auto"/>
          </w:tcPr>
          <w:p w14:paraId="554F0D0D" w14:textId="77777777" w:rsidR="00D32F08" w:rsidRDefault="00000000">
            <w:pPr>
              <w:pStyle w:val="Compact"/>
            </w:pPr>
            <w:r>
              <w:t>8.0</w:t>
            </w:r>
          </w:p>
        </w:tc>
      </w:tr>
    </w:tbl>
    <w:p w14:paraId="2CEA91AF" w14:textId="77777777" w:rsidR="00D32F08" w:rsidRPr="007E689D" w:rsidRDefault="00000000">
      <w:pPr>
        <w:pStyle w:val="BodyText"/>
      </w:pPr>
      <w:r w:rsidRPr="007E689D">
        <w:t>Wilcoxon p &lt; 0.0001 for all pairs. But see eTable S9 — this benefit is a database-size effect, not a pooling synergy.</w:t>
      </w:r>
    </w:p>
    <w:p w14:paraId="3DE3B074" w14:textId="77777777" w:rsidR="00D32F08" w:rsidRDefault="00000000">
      <w:pPr>
        <w:pStyle w:val="Heading3"/>
      </w:pPr>
      <w:bookmarkStart w:id="18" w:name="X353fe25d410ba9bc2bccc9f5b7d67cbe95cc94e"/>
      <w:bookmarkEnd w:id="17"/>
      <w:r>
        <w:t>eTable S9. Pooling vs components: full contrast table (revised analysis)</w:t>
      </w:r>
    </w:p>
    <w:tbl>
      <w:tblPr>
        <w:tblStyle w:val="Table"/>
        <w:tblW w:w="0" w:type="auto"/>
        <w:tblLook w:val="0020" w:firstRow="1" w:lastRow="0" w:firstColumn="0" w:lastColumn="0" w:noHBand="0" w:noVBand="0"/>
      </w:tblPr>
      <w:tblGrid>
        <w:gridCol w:w="4422"/>
        <w:gridCol w:w="712"/>
        <w:gridCol w:w="1447"/>
        <w:gridCol w:w="2851"/>
      </w:tblGrid>
      <w:tr w:rsidR="00D32F08" w:rsidRPr="007E689D" w14:paraId="5F7C23EF" w14:textId="77777777" w:rsidTr="00D32F08">
        <w:trPr>
          <w:cnfStyle w:val="100000000000" w:firstRow="1" w:lastRow="0" w:firstColumn="0" w:lastColumn="0" w:oddVBand="0" w:evenVBand="0" w:oddHBand="0" w:evenHBand="0" w:firstRowFirstColumn="0" w:firstRowLastColumn="0" w:lastRowFirstColumn="0" w:lastRowLastColumn="0"/>
          <w:tblHeader/>
        </w:trPr>
        <w:tc>
          <w:tcPr>
            <w:tcW w:w="0" w:type="auto"/>
          </w:tcPr>
          <w:p w14:paraId="62F52FB9" w14:textId="77777777" w:rsidR="00D32F08" w:rsidRPr="007E689D" w:rsidRDefault="00000000">
            <w:pPr>
              <w:pStyle w:val="Compact"/>
              <w:rPr>
                <w:sz w:val="20"/>
                <w:szCs w:val="20"/>
              </w:rPr>
            </w:pPr>
            <w:r w:rsidRPr="007E689D">
              <w:rPr>
                <w:sz w:val="20"/>
                <w:szCs w:val="20"/>
              </w:rPr>
              <w:t>Contrast</w:t>
            </w:r>
          </w:p>
        </w:tc>
        <w:tc>
          <w:tcPr>
            <w:tcW w:w="0" w:type="auto"/>
          </w:tcPr>
          <w:p w14:paraId="7334C763" w14:textId="77777777" w:rsidR="00D32F08" w:rsidRPr="007E689D" w:rsidRDefault="00000000">
            <w:pPr>
              <w:pStyle w:val="Compact"/>
              <w:rPr>
                <w:sz w:val="20"/>
                <w:szCs w:val="20"/>
              </w:rPr>
            </w:pPr>
            <w:r w:rsidRPr="007E689D">
              <w:rPr>
                <w:sz w:val="20"/>
                <w:szCs w:val="20"/>
              </w:rPr>
              <w:t>n</w:t>
            </w:r>
          </w:p>
        </w:tc>
        <w:tc>
          <w:tcPr>
            <w:tcW w:w="0" w:type="auto"/>
          </w:tcPr>
          <w:p w14:paraId="4AD2127B" w14:textId="77777777" w:rsidR="00D32F08" w:rsidRPr="007E689D" w:rsidRDefault="00000000">
            <w:pPr>
              <w:pStyle w:val="Compact"/>
              <w:rPr>
                <w:sz w:val="20"/>
                <w:szCs w:val="20"/>
              </w:rPr>
            </w:pPr>
            <w:r w:rsidRPr="007E689D">
              <w:rPr>
                <w:sz w:val="20"/>
                <w:szCs w:val="20"/>
              </w:rPr>
              <w:t>Median diff (q)</w:t>
            </w:r>
          </w:p>
        </w:tc>
        <w:tc>
          <w:tcPr>
            <w:tcW w:w="0" w:type="auto"/>
          </w:tcPr>
          <w:p w14:paraId="781BD9B6" w14:textId="77777777" w:rsidR="00D32F08" w:rsidRPr="007E689D" w:rsidRDefault="00000000">
            <w:pPr>
              <w:pStyle w:val="Compact"/>
              <w:rPr>
                <w:sz w:val="20"/>
                <w:szCs w:val="20"/>
              </w:rPr>
            </w:pPr>
            <w:r w:rsidRPr="007E689D">
              <w:rPr>
                <w:sz w:val="20"/>
                <w:szCs w:val="20"/>
              </w:rPr>
              <w:t>Wilcoxon p (one-sided greater)</w:t>
            </w:r>
          </w:p>
        </w:tc>
      </w:tr>
      <w:tr w:rsidR="00D32F08" w:rsidRPr="007E689D" w14:paraId="5E4214C4" w14:textId="77777777">
        <w:tc>
          <w:tcPr>
            <w:tcW w:w="0" w:type="auto"/>
          </w:tcPr>
          <w:p w14:paraId="387B7BBD" w14:textId="77777777" w:rsidR="00D32F08" w:rsidRPr="007E689D" w:rsidRDefault="00000000">
            <w:pPr>
              <w:pStyle w:val="Compact"/>
              <w:rPr>
                <w:sz w:val="20"/>
                <w:szCs w:val="20"/>
              </w:rPr>
            </w:pPr>
            <w:r w:rsidRPr="007E689D">
              <w:rPr>
                <w:sz w:val="20"/>
                <w:szCs w:val="20"/>
              </w:rPr>
              <w:t>Pooled vs DAEN alone</w:t>
            </w:r>
          </w:p>
        </w:tc>
        <w:tc>
          <w:tcPr>
            <w:tcW w:w="0" w:type="auto"/>
          </w:tcPr>
          <w:p w14:paraId="7446DB6C" w14:textId="77777777" w:rsidR="00D32F08" w:rsidRPr="007E689D" w:rsidRDefault="00000000">
            <w:pPr>
              <w:pStyle w:val="Compact"/>
              <w:rPr>
                <w:sz w:val="20"/>
                <w:szCs w:val="20"/>
              </w:rPr>
            </w:pPr>
            <w:r w:rsidRPr="007E689D">
              <w:rPr>
                <w:sz w:val="20"/>
                <w:szCs w:val="20"/>
              </w:rPr>
              <w:t>31</w:t>
            </w:r>
          </w:p>
        </w:tc>
        <w:tc>
          <w:tcPr>
            <w:tcW w:w="0" w:type="auto"/>
          </w:tcPr>
          <w:p w14:paraId="5D5CAF4D" w14:textId="77777777" w:rsidR="00D32F08" w:rsidRPr="007E689D" w:rsidRDefault="00000000">
            <w:pPr>
              <w:pStyle w:val="Compact"/>
              <w:rPr>
                <w:sz w:val="20"/>
                <w:szCs w:val="20"/>
              </w:rPr>
            </w:pPr>
            <w:r w:rsidRPr="007E689D">
              <w:rPr>
                <w:sz w:val="20"/>
                <w:szCs w:val="20"/>
              </w:rPr>
              <w:t>+8.0</w:t>
            </w:r>
          </w:p>
        </w:tc>
        <w:tc>
          <w:tcPr>
            <w:tcW w:w="0" w:type="auto"/>
          </w:tcPr>
          <w:p w14:paraId="47BDFA8F" w14:textId="77777777" w:rsidR="00D32F08" w:rsidRPr="007E689D" w:rsidRDefault="00000000">
            <w:pPr>
              <w:pStyle w:val="Compact"/>
              <w:rPr>
                <w:sz w:val="20"/>
                <w:szCs w:val="20"/>
              </w:rPr>
            </w:pPr>
            <w:r w:rsidRPr="007E689D">
              <w:rPr>
                <w:sz w:val="20"/>
                <w:szCs w:val="20"/>
              </w:rPr>
              <w:t>7 × 10⁻⁶</w:t>
            </w:r>
          </w:p>
        </w:tc>
      </w:tr>
      <w:tr w:rsidR="00D32F08" w:rsidRPr="007E689D" w14:paraId="0A098A28" w14:textId="77777777">
        <w:tc>
          <w:tcPr>
            <w:tcW w:w="0" w:type="auto"/>
          </w:tcPr>
          <w:p w14:paraId="282394B9" w14:textId="77777777" w:rsidR="00D32F08" w:rsidRPr="007E689D" w:rsidRDefault="00000000">
            <w:pPr>
              <w:pStyle w:val="Compact"/>
              <w:rPr>
                <w:sz w:val="20"/>
                <w:szCs w:val="20"/>
              </w:rPr>
            </w:pPr>
            <w:r w:rsidRPr="007E689D">
              <w:rPr>
                <w:sz w:val="20"/>
                <w:szCs w:val="20"/>
              </w:rPr>
              <w:t>Pooled vs FAERS alone (larger component)</w:t>
            </w:r>
          </w:p>
        </w:tc>
        <w:tc>
          <w:tcPr>
            <w:tcW w:w="0" w:type="auto"/>
          </w:tcPr>
          <w:p w14:paraId="780D37CC" w14:textId="77777777" w:rsidR="00D32F08" w:rsidRPr="007E689D" w:rsidRDefault="00000000">
            <w:pPr>
              <w:pStyle w:val="Compact"/>
              <w:rPr>
                <w:sz w:val="20"/>
                <w:szCs w:val="20"/>
              </w:rPr>
            </w:pPr>
            <w:r w:rsidRPr="007E689D">
              <w:rPr>
                <w:sz w:val="20"/>
                <w:szCs w:val="20"/>
              </w:rPr>
              <w:t>31</w:t>
            </w:r>
          </w:p>
        </w:tc>
        <w:tc>
          <w:tcPr>
            <w:tcW w:w="0" w:type="auto"/>
          </w:tcPr>
          <w:p w14:paraId="2E228EF6" w14:textId="77777777" w:rsidR="00D32F08" w:rsidRPr="007E689D" w:rsidRDefault="00000000">
            <w:pPr>
              <w:pStyle w:val="Compact"/>
              <w:rPr>
                <w:sz w:val="20"/>
                <w:szCs w:val="20"/>
              </w:rPr>
            </w:pPr>
            <w:r w:rsidRPr="007E689D">
              <w:rPr>
                <w:sz w:val="20"/>
                <w:szCs w:val="20"/>
              </w:rPr>
              <w:t>0.0</w:t>
            </w:r>
          </w:p>
        </w:tc>
        <w:tc>
          <w:tcPr>
            <w:tcW w:w="0" w:type="auto"/>
          </w:tcPr>
          <w:p w14:paraId="7ED344F6" w14:textId="77777777" w:rsidR="00D32F08" w:rsidRPr="007E689D" w:rsidRDefault="00000000">
            <w:pPr>
              <w:pStyle w:val="Compact"/>
              <w:rPr>
                <w:sz w:val="20"/>
                <w:szCs w:val="20"/>
              </w:rPr>
            </w:pPr>
            <w:r w:rsidRPr="007E689D">
              <w:rPr>
                <w:sz w:val="20"/>
                <w:szCs w:val="20"/>
              </w:rPr>
              <w:t>0.28</w:t>
            </w:r>
          </w:p>
        </w:tc>
      </w:tr>
      <w:tr w:rsidR="00D32F08" w:rsidRPr="007E689D" w14:paraId="32CF116F" w14:textId="77777777">
        <w:tc>
          <w:tcPr>
            <w:tcW w:w="0" w:type="auto"/>
          </w:tcPr>
          <w:p w14:paraId="2B05CC84" w14:textId="77777777" w:rsidR="00D32F08" w:rsidRPr="007E689D" w:rsidRDefault="00000000">
            <w:pPr>
              <w:pStyle w:val="Compact"/>
              <w:rPr>
                <w:sz w:val="20"/>
                <w:szCs w:val="20"/>
              </w:rPr>
            </w:pPr>
            <w:r w:rsidRPr="007E689D">
              <w:rPr>
                <w:sz w:val="20"/>
                <w:szCs w:val="20"/>
              </w:rPr>
              <w:t>Pooled vs max(DAEN, FAERS) [strict synergy test]</w:t>
            </w:r>
          </w:p>
        </w:tc>
        <w:tc>
          <w:tcPr>
            <w:tcW w:w="0" w:type="auto"/>
          </w:tcPr>
          <w:p w14:paraId="1883AF55" w14:textId="77777777" w:rsidR="00D32F08" w:rsidRPr="007E689D" w:rsidRDefault="00000000">
            <w:pPr>
              <w:pStyle w:val="Compact"/>
              <w:rPr>
                <w:sz w:val="20"/>
                <w:szCs w:val="20"/>
              </w:rPr>
            </w:pPr>
            <w:r w:rsidRPr="007E689D">
              <w:rPr>
                <w:sz w:val="20"/>
                <w:szCs w:val="20"/>
              </w:rPr>
              <w:t>31</w:t>
            </w:r>
          </w:p>
        </w:tc>
        <w:tc>
          <w:tcPr>
            <w:tcW w:w="0" w:type="auto"/>
          </w:tcPr>
          <w:p w14:paraId="0EEA1F62" w14:textId="77777777" w:rsidR="00D32F08" w:rsidRPr="007E689D" w:rsidRDefault="00000000">
            <w:pPr>
              <w:pStyle w:val="Compact"/>
              <w:rPr>
                <w:sz w:val="20"/>
                <w:szCs w:val="20"/>
              </w:rPr>
            </w:pPr>
            <w:r w:rsidRPr="007E689D">
              <w:rPr>
                <w:sz w:val="20"/>
                <w:szCs w:val="20"/>
              </w:rPr>
              <w:t>0.0</w:t>
            </w:r>
          </w:p>
        </w:tc>
        <w:tc>
          <w:tcPr>
            <w:tcW w:w="0" w:type="auto"/>
          </w:tcPr>
          <w:p w14:paraId="46C29B5D" w14:textId="77777777" w:rsidR="00D32F08" w:rsidRPr="007E689D" w:rsidRDefault="00000000">
            <w:pPr>
              <w:pStyle w:val="Compact"/>
              <w:rPr>
                <w:sz w:val="20"/>
                <w:szCs w:val="20"/>
              </w:rPr>
            </w:pPr>
            <w:r w:rsidRPr="007E689D">
              <w:rPr>
                <w:sz w:val="20"/>
                <w:szCs w:val="20"/>
              </w:rPr>
              <w:t>0.51</w:t>
            </w:r>
          </w:p>
        </w:tc>
      </w:tr>
      <w:tr w:rsidR="00D32F08" w:rsidRPr="007E689D" w14:paraId="33922A1D" w14:textId="77777777">
        <w:tc>
          <w:tcPr>
            <w:tcW w:w="0" w:type="auto"/>
          </w:tcPr>
          <w:p w14:paraId="4CDC9036" w14:textId="77777777" w:rsidR="00D32F08" w:rsidRPr="007E689D" w:rsidRDefault="00000000">
            <w:pPr>
              <w:pStyle w:val="Compact"/>
              <w:rPr>
                <w:sz w:val="20"/>
                <w:szCs w:val="20"/>
              </w:rPr>
            </w:pPr>
            <w:r w:rsidRPr="007E689D">
              <w:rPr>
                <w:sz w:val="20"/>
                <w:szCs w:val="20"/>
              </w:rPr>
              <w:t>Median |pooled − DAEN|</w:t>
            </w:r>
          </w:p>
        </w:tc>
        <w:tc>
          <w:tcPr>
            <w:tcW w:w="0" w:type="auto"/>
          </w:tcPr>
          <w:p w14:paraId="44954CFF" w14:textId="77777777" w:rsidR="00D32F08" w:rsidRPr="007E689D" w:rsidRDefault="00000000">
            <w:pPr>
              <w:pStyle w:val="Compact"/>
              <w:rPr>
                <w:sz w:val="20"/>
                <w:szCs w:val="20"/>
              </w:rPr>
            </w:pPr>
            <w:r w:rsidRPr="007E689D">
              <w:rPr>
                <w:sz w:val="20"/>
                <w:szCs w:val="20"/>
              </w:rPr>
              <w:t>31</w:t>
            </w:r>
          </w:p>
        </w:tc>
        <w:tc>
          <w:tcPr>
            <w:tcW w:w="0" w:type="auto"/>
          </w:tcPr>
          <w:p w14:paraId="2EB7A343" w14:textId="77777777" w:rsidR="00D32F08" w:rsidRPr="007E689D" w:rsidRDefault="00000000">
            <w:pPr>
              <w:pStyle w:val="Compact"/>
              <w:rPr>
                <w:sz w:val="20"/>
                <w:szCs w:val="20"/>
              </w:rPr>
            </w:pPr>
            <w:r w:rsidRPr="007E689D">
              <w:rPr>
                <w:sz w:val="20"/>
                <w:szCs w:val="20"/>
              </w:rPr>
              <w:t>8.0</w:t>
            </w:r>
          </w:p>
        </w:tc>
        <w:tc>
          <w:tcPr>
            <w:tcW w:w="0" w:type="auto"/>
          </w:tcPr>
          <w:p w14:paraId="55FF05E6" w14:textId="77777777" w:rsidR="00D32F08" w:rsidRPr="007E689D" w:rsidRDefault="00000000">
            <w:pPr>
              <w:pStyle w:val="Compact"/>
              <w:rPr>
                <w:sz w:val="20"/>
                <w:szCs w:val="20"/>
              </w:rPr>
            </w:pPr>
            <w:r w:rsidRPr="007E689D">
              <w:rPr>
                <w:sz w:val="20"/>
                <w:szCs w:val="20"/>
              </w:rPr>
              <w:t>—</w:t>
            </w:r>
          </w:p>
        </w:tc>
      </w:tr>
      <w:tr w:rsidR="00D32F08" w:rsidRPr="007E689D" w14:paraId="13B2E406" w14:textId="77777777">
        <w:tc>
          <w:tcPr>
            <w:tcW w:w="0" w:type="auto"/>
          </w:tcPr>
          <w:p w14:paraId="0966610C" w14:textId="77777777" w:rsidR="00D32F08" w:rsidRPr="007E689D" w:rsidRDefault="00000000">
            <w:pPr>
              <w:pStyle w:val="Compact"/>
              <w:rPr>
                <w:sz w:val="20"/>
                <w:szCs w:val="20"/>
              </w:rPr>
            </w:pPr>
            <w:r w:rsidRPr="007E689D">
              <w:rPr>
                <w:sz w:val="20"/>
                <w:szCs w:val="20"/>
              </w:rPr>
              <w:t>Median |pooled − FAERS|</w:t>
            </w:r>
          </w:p>
        </w:tc>
        <w:tc>
          <w:tcPr>
            <w:tcW w:w="0" w:type="auto"/>
          </w:tcPr>
          <w:p w14:paraId="37A5B9EA" w14:textId="77777777" w:rsidR="00D32F08" w:rsidRPr="007E689D" w:rsidRDefault="00000000">
            <w:pPr>
              <w:pStyle w:val="Compact"/>
              <w:rPr>
                <w:sz w:val="20"/>
                <w:szCs w:val="20"/>
              </w:rPr>
            </w:pPr>
            <w:r w:rsidRPr="007E689D">
              <w:rPr>
                <w:sz w:val="20"/>
                <w:szCs w:val="20"/>
              </w:rPr>
              <w:t>31</w:t>
            </w:r>
          </w:p>
        </w:tc>
        <w:tc>
          <w:tcPr>
            <w:tcW w:w="0" w:type="auto"/>
          </w:tcPr>
          <w:p w14:paraId="6BDA1475" w14:textId="77777777" w:rsidR="00D32F08" w:rsidRPr="007E689D" w:rsidRDefault="00000000">
            <w:pPr>
              <w:pStyle w:val="Compact"/>
              <w:rPr>
                <w:sz w:val="20"/>
                <w:szCs w:val="20"/>
              </w:rPr>
            </w:pPr>
            <w:r w:rsidRPr="007E689D">
              <w:rPr>
                <w:sz w:val="20"/>
                <w:szCs w:val="20"/>
              </w:rPr>
              <w:t>0.0</w:t>
            </w:r>
          </w:p>
        </w:tc>
        <w:tc>
          <w:tcPr>
            <w:tcW w:w="0" w:type="auto"/>
          </w:tcPr>
          <w:p w14:paraId="284FAD2A" w14:textId="77777777" w:rsidR="00D32F08" w:rsidRPr="007E689D" w:rsidRDefault="00000000">
            <w:pPr>
              <w:pStyle w:val="Compact"/>
              <w:rPr>
                <w:sz w:val="20"/>
                <w:szCs w:val="20"/>
              </w:rPr>
            </w:pPr>
            <w:r w:rsidRPr="007E689D">
              <w:rPr>
                <w:sz w:val="20"/>
                <w:szCs w:val="20"/>
              </w:rPr>
              <w:t>—</w:t>
            </w:r>
          </w:p>
        </w:tc>
      </w:tr>
      <w:tr w:rsidR="00D32F08" w:rsidRPr="007E689D" w14:paraId="2FA69AB6" w14:textId="77777777">
        <w:tc>
          <w:tcPr>
            <w:tcW w:w="0" w:type="auto"/>
          </w:tcPr>
          <w:p w14:paraId="50E283C2" w14:textId="77777777" w:rsidR="00D32F08" w:rsidRPr="007E689D" w:rsidRDefault="00000000">
            <w:pPr>
              <w:pStyle w:val="Compact"/>
              <w:rPr>
                <w:sz w:val="20"/>
                <w:szCs w:val="20"/>
              </w:rPr>
            </w:pPr>
            <w:r w:rsidRPr="007E689D">
              <w:rPr>
                <w:sz w:val="20"/>
                <w:szCs w:val="20"/>
              </w:rPr>
              <w:t>Pairs where pooled = FAERS quarter exactly</w:t>
            </w:r>
          </w:p>
        </w:tc>
        <w:tc>
          <w:tcPr>
            <w:tcW w:w="0" w:type="auto"/>
          </w:tcPr>
          <w:p w14:paraId="1CE5918E" w14:textId="77777777" w:rsidR="00D32F08" w:rsidRPr="007E689D" w:rsidRDefault="00000000">
            <w:pPr>
              <w:pStyle w:val="Compact"/>
              <w:rPr>
                <w:sz w:val="20"/>
                <w:szCs w:val="20"/>
              </w:rPr>
            </w:pPr>
            <w:r w:rsidRPr="007E689D">
              <w:rPr>
                <w:sz w:val="20"/>
                <w:szCs w:val="20"/>
              </w:rPr>
              <w:t>27/31</w:t>
            </w:r>
          </w:p>
        </w:tc>
        <w:tc>
          <w:tcPr>
            <w:tcW w:w="0" w:type="auto"/>
          </w:tcPr>
          <w:p w14:paraId="2E0DB387" w14:textId="77777777" w:rsidR="00D32F08" w:rsidRPr="007E689D" w:rsidRDefault="00000000">
            <w:pPr>
              <w:pStyle w:val="Compact"/>
              <w:rPr>
                <w:sz w:val="20"/>
                <w:szCs w:val="20"/>
              </w:rPr>
            </w:pPr>
            <w:r w:rsidRPr="007E689D">
              <w:rPr>
                <w:sz w:val="20"/>
                <w:szCs w:val="20"/>
              </w:rPr>
              <w:t>—</w:t>
            </w:r>
          </w:p>
        </w:tc>
        <w:tc>
          <w:tcPr>
            <w:tcW w:w="0" w:type="auto"/>
          </w:tcPr>
          <w:p w14:paraId="5EAD0BB2" w14:textId="77777777" w:rsidR="00D32F08" w:rsidRPr="007E689D" w:rsidRDefault="00000000">
            <w:pPr>
              <w:pStyle w:val="Compact"/>
              <w:rPr>
                <w:sz w:val="20"/>
                <w:szCs w:val="20"/>
              </w:rPr>
            </w:pPr>
            <w:r w:rsidRPr="007E689D">
              <w:rPr>
                <w:sz w:val="20"/>
                <w:szCs w:val="20"/>
              </w:rPr>
              <w:t>—</w:t>
            </w:r>
          </w:p>
        </w:tc>
      </w:tr>
      <w:tr w:rsidR="00D32F08" w:rsidRPr="007E689D" w14:paraId="4C4A3FF4" w14:textId="77777777">
        <w:tc>
          <w:tcPr>
            <w:tcW w:w="0" w:type="auto"/>
          </w:tcPr>
          <w:p w14:paraId="2589F2F0" w14:textId="77777777" w:rsidR="00D32F08" w:rsidRPr="007E689D" w:rsidRDefault="00000000">
            <w:pPr>
              <w:pStyle w:val="Compact"/>
              <w:rPr>
                <w:sz w:val="20"/>
                <w:szCs w:val="20"/>
              </w:rPr>
            </w:pPr>
            <w:r w:rsidRPr="007E689D">
              <w:rPr>
                <w:sz w:val="20"/>
                <w:szCs w:val="20"/>
              </w:rPr>
              <w:t>Pairs where pooled within ±1 q of FAERS</w:t>
            </w:r>
          </w:p>
        </w:tc>
        <w:tc>
          <w:tcPr>
            <w:tcW w:w="0" w:type="auto"/>
          </w:tcPr>
          <w:p w14:paraId="3839AB38" w14:textId="77777777" w:rsidR="00D32F08" w:rsidRPr="007E689D" w:rsidRDefault="00000000">
            <w:pPr>
              <w:pStyle w:val="Compact"/>
              <w:rPr>
                <w:sz w:val="20"/>
                <w:szCs w:val="20"/>
              </w:rPr>
            </w:pPr>
            <w:r w:rsidRPr="007E689D">
              <w:rPr>
                <w:sz w:val="20"/>
                <w:szCs w:val="20"/>
              </w:rPr>
              <w:t>29/31</w:t>
            </w:r>
          </w:p>
        </w:tc>
        <w:tc>
          <w:tcPr>
            <w:tcW w:w="0" w:type="auto"/>
          </w:tcPr>
          <w:p w14:paraId="176A4881" w14:textId="77777777" w:rsidR="00D32F08" w:rsidRPr="007E689D" w:rsidRDefault="00000000">
            <w:pPr>
              <w:pStyle w:val="Compact"/>
              <w:rPr>
                <w:sz w:val="20"/>
                <w:szCs w:val="20"/>
              </w:rPr>
            </w:pPr>
            <w:r w:rsidRPr="007E689D">
              <w:rPr>
                <w:sz w:val="20"/>
                <w:szCs w:val="20"/>
              </w:rPr>
              <w:t>—</w:t>
            </w:r>
          </w:p>
        </w:tc>
        <w:tc>
          <w:tcPr>
            <w:tcW w:w="0" w:type="auto"/>
          </w:tcPr>
          <w:p w14:paraId="636C4970" w14:textId="77777777" w:rsidR="00D32F08" w:rsidRPr="007E689D" w:rsidRDefault="00000000">
            <w:pPr>
              <w:pStyle w:val="Compact"/>
              <w:rPr>
                <w:sz w:val="20"/>
                <w:szCs w:val="20"/>
              </w:rPr>
            </w:pPr>
            <w:r w:rsidRPr="007E689D">
              <w:rPr>
                <w:sz w:val="20"/>
                <w:szCs w:val="20"/>
              </w:rPr>
              <w:t>—</w:t>
            </w:r>
          </w:p>
        </w:tc>
      </w:tr>
    </w:tbl>
    <w:p w14:paraId="57844D8E" w14:textId="77777777" w:rsidR="00D32F08" w:rsidRDefault="00000000">
      <w:pPr>
        <w:pStyle w:val="BodyText"/>
      </w:pPr>
      <w:r>
        <w:rPr>
          <w:b/>
          <w:bCs/>
        </w:rPr>
        <w:t>Interpretation.</w:t>
      </w:r>
      <w:r>
        <w:t xml:space="preserve"> Pooled detection tracks FAERS to within a quarter in 29 of 31 pairs. The “pooling benefit” is the FAERS-access benefit. The only Tier A pair where pooling materially differs from FAERS is clozapine–myocarditis, where DAEN reporting volume happens to equal FAERS (n_DAEN = 2,466 vs n_FAERS = 2,577); there, pooling tracks DAEN. We reframe the practical implication in the main text §3.6 and §4.4 around access to a larger contributor rather than around pooling per se.</w:t>
      </w:r>
    </w:p>
    <w:p w14:paraId="09A0193B" w14:textId="77777777" w:rsidR="00D32F08" w:rsidRDefault="00000000">
      <w:pPr>
        <w:pStyle w:val="Heading3"/>
      </w:pPr>
      <w:bookmarkStart w:id="19" w:name="Xc730281d5a4eb3fabf4b1b96cbe26b8b5cf7ab0"/>
      <w:bookmarkEnd w:id="18"/>
      <w:r>
        <w:lastRenderedPageBreak/>
        <w:t>eTable S10. Cross-database detection timing (full results)</w:t>
      </w:r>
    </w:p>
    <w:p w14:paraId="5DF49B56" w14:textId="77777777" w:rsidR="00D32F08" w:rsidRDefault="00000000">
      <w:pPr>
        <w:pStyle w:val="FirstParagraph"/>
      </w:pPr>
      <w:r>
        <w:t>See accompanying CSV in the supplementary archive (cross-database detection timing).</w:t>
      </w:r>
    </w:p>
    <w:p w14:paraId="0BF82735" w14:textId="77777777" w:rsidR="00D32F08" w:rsidRDefault="00000000">
      <w:pPr>
        <w:pStyle w:val="Heading3"/>
      </w:pPr>
      <w:bookmarkStart w:id="20" w:name="Xc5cb28a7bdc328e1b3794d3175b1e455bb36d65"/>
      <w:bookmarkEnd w:id="19"/>
      <w:r>
        <w:t>eTable S11. Prospective simulation results (full results)</w:t>
      </w:r>
    </w:p>
    <w:p w14:paraId="4A04E47C" w14:textId="77777777" w:rsidR="00D32F08" w:rsidRDefault="00000000">
      <w:pPr>
        <w:pStyle w:val="FirstParagraph"/>
      </w:pPr>
      <w:r>
        <w:t>See accompanying CSV in the supplementary archive (prospective simulation results).</w:t>
      </w:r>
    </w:p>
    <w:p w14:paraId="38BE46C8" w14:textId="77777777" w:rsidR="00D32F08" w:rsidRDefault="00000000">
      <w:pPr>
        <w:pStyle w:val="Heading3"/>
      </w:pPr>
      <w:bookmarkStart w:id="21" w:name="Xc467df4b3e90c02a4e77048a58491786e06d70d"/>
      <w:bookmarkEnd w:id="20"/>
      <w:r>
        <w:t>eTable S12. Harmonised-input BOCPD sensitivity (revised analysis)</w:t>
      </w:r>
    </w:p>
    <w:p w14:paraId="76AE4969" w14:textId="77777777" w:rsidR="00D32F08" w:rsidRDefault="00000000">
      <w:pPr>
        <w:pStyle w:val="FirstParagraph"/>
      </w:pPr>
      <w:r>
        <w:t>Re-running BOCPD on the drug-specific proportion series (auto-scaled to pseudo-counts) rather than on raw counts, to harmonise the input series across PELT, CUSUM, and BOCPD:</w:t>
      </w:r>
    </w:p>
    <w:tbl>
      <w:tblPr>
        <w:tblStyle w:val="Table"/>
        <w:tblW w:w="3757" w:type="pct"/>
        <w:tblLayout w:type="fixed"/>
        <w:tblLook w:val="0020" w:firstRow="1" w:lastRow="0" w:firstColumn="0" w:lastColumn="0" w:noHBand="0" w:noVBand="0"/>
      </w:tblPr>
      <w:tblGrid>
        <w:gridCol w:w="3216"/>
        <w:gridCol w:w="1846"/>
        <w:gridCol w:w="2133"/>
      </w:tblGrid>
      <w:tr w:rsidR="00D32F08" w:rsidRPr="007E689D" w14:paraId="5AF4962E" w14:textId="77777777" w:rsidTr="007E689D">
        <w:trPr>
          <w:cnfStyle w:val="100000000000" w:firstRow="1" w:lastRow="0" w:firstColumn="0" w:lastColumn="0" w:oddVBand="0" w:evenVBand="0" w:oddHBand="0" w:evenHBand="0" w:firstRowFirstColumn="0" w:firstRowLastColumn="0" w:lastRowFirstColumn="0" w:lastRowLastColumn="0"/>
          <w:tblHeader/>
        </w:trPr>
        <w:tc>
          <w:tcPr>
            <w:tcW w:w="3217" w:type="dxa"/>
          </w:tcPr>
          <w:p w14:paraId="17432A6C" w14:textId="77777777" w:rsidR="00D32F08" w:rsidRPr="007E689D" w:rsidRDefault="00000000">
            <w:pPr>
              <w:pStyle w:val="Compact"/>
              <w:rPr>
                <w:sz w:val="20"/>
                <w:szCs w:val="20"/>
              </w:rPr>
            </w:pPr>
            <w:r w:rsidRPr="007E689D">
              <w:rPr>
                <w:sz w:val="20"/>
                <w:szCs w:val="20"/>
              </w:rPr>
              <w:t>Metric</w:t>
            </w:r>
          </w:p>
        </w:tc>
        <w:tc>
          <w:tcPr>
            <w:tcW w:w="1846" w:type="dxa"/>
          </w:tcPr>
          <w:p w14:paraId="06BF2CA8" w14:textId="77777777" w:rsidR="00D32F08" w:rsidRPr="007E689D" w:rsidRDefault="00000000">
            <w:pPr>
              <w:pStyle w:val="Compact"/>
              <w:rPr>
                <w:sz w:val="20"/>
                <w:szCs w:val="20"/>
              </w:rPr>
            </w:pPr>
            <w:r w:rsidRPr="007E689D">
              <w:rPr>
                <w:sz w:val="20"/>
                <w:szCs w:val="20"/>
              </w:rPr>
              <w:t>Count-input BOCPD (primary)</w:t>
            </w:r>
          </w:p>
        </w:tc>
        <w:tc>
          <w:tcPr>
            <w:tcW w:w="2133" w:type="dxa"/>
          </w:tcPr>
          <w:p w14:paraId="6F20DE14" w14:textId="77777777" w:rsidR="00D32F08" w:rsidRPr="007E689D" w:rsidRDefault="00000000">
            <w:pPr>
              <w:pStyle w:val="Compact"/>
              <w:rPr>
                <w:sz w:val="20"/>
                <w:szCs w:val="20"/>
              </w:rPr>
            </w:pPr>
            <w:r w:rsidRPr="007E689D">
              <w:rPr>
                <w:sz w:val="20"/>
                <w:szCs w:val="20"/>
              </w:rPr>
              <w:t>Proportion-input BOCPD (harmonised)</w:t>
            </w:r>
          </w:p>
        </w:tc>
      </w:tr>
      <w:tr w:rsidR="00D32F08" w:rsidRPr="007E689D" w14:paraId="36C91E56" w14:textId="77777777" w:rsidTr="007E689D">
        <w:tc>
          <w:tcPr>
            <w:tcW w:w="3217" w:type="dxa"/>
          </w:tcPr>
          <w:p w14:paraId="743258B8" w14:textId="77777777" w:rsidR="00D32F08" w:rsidRPr="007E689D" w:rsidRDefault="00000000">
            <w:pPr>
              <w:pStyle w:val="Compact"/>
              <w:rPr>
                <w:sz w:val="20"/>
                <w:szCs w:val="20"/>
              </w:rPr>
            </w:pPr>
            <w:r w:rsidRPr="007E689D">
              <w:rPr>
                <w:sz w:val="20"/>
                <w:szCs w:val="20"/>
              </w:rPr>
              <w:t>Pairs detected (n=23 confirmed)</w:t>
            </w:r>
          </w:p>
        </w:tc>
        <w:tc>
          <w:tcPr>
            <w:tcW w:w="1846" w:type="dxa"/>
          </w:tcPr>
          <w:p w14:paraId="4A828E45" w14:textId="77777777" w:rsidR="00D32F08" w:rsidRPr="007E689D" w:rsidRDefault="00000000">
            <w:pPr>
              <w:pStyle w:val="Compact"/>
              <w:rPr>
                <w:sz w:val="20"/>
                <w:szCs w:val="20"/>
              </w:rPr>
            </w:pPr>
            <w:r w:rsidRPr="007E689D">
              <w:rPr>
                <w:sz w:val="20"/>
                <w:szCs w:val="20"/>
              </w:rPr>
              <w:t>22</w:t>
            </w:r>
          </w:p>
        </w:tc>
        <w:tc>
          <w:tcPr>
            <w:tcW w:w="2133" w:type="dxa"/>
          </w:tcPr>
          <w:p w14:paraId="0D98B7A0" w14:textId="77777777" w:rsidR="00D32F08" w:rsidRPr="007E689D" w:rsidRDefault="00000000">
            <w:pPr>
              <w:pStyle w:val="Compact"/>
              <w:rPr>
                <w:sz w:val="20"/>
                <w:szCs w:val="20"/>
              </w:rPr>
            </w:pPr>
            <w:r w:rsidRPr="007E689D">
              <w:rPr>
                <w:sz w:val="20"/>
                <w:szCs w:val="20"/>
              </w:rPr>
              <w:t>23</w:t>
            </w:r>
          </w:p>
        </w:tc>
      </w:tr>
      <w:tr w:rsidR="00D32F08" w:rsidRPr="007E689D" w14:paraId="0E1128E0" w14:textId="77777777" w:rsidTr="007E689D">
        <w:tc>
          <w:tcPr>
            <w:tcW w:w="3217" w:type="dxa"/>
          </w:tcPr>
          <w:p w14:paraId="5C9D9F55" w14:textId="77777777" w:rsidR="00D32F08" w:rsidRPr="007E689D" w:rsidRDefault="00000000">
            <w:pPr>
              <w:pStyle w:val="Compact"/>
              <w:rPr>
                <w:sz w:val="20"/>
                <w:szCs w:val="20"/>
              </w:rPr>
            </w:pPr>
            <w:r w:rsidRPr="007E689D">
              <w:rPr>
                <w:sz w:val="20"/>
                <w:szCs w:val="20"/>
              </w:rPr>
              <w:t>PELT–BOCPD concordance (±2 q)</w:t>
            </w:r>
          </w:p>
        </w:tc>
        <w:tc>
          <w:tcPr>
            <w:tcW w:w="1846" w:type="dxa"/>
          </w:tcPr>
          <w:p w14:paraId="25F674C5" w14:textId="77777777" w:rsidR="00D32F08" w:rsidRPr="007E689D" w:rsidRDefault="00000000">
            <w:pPr>
              <w:pStyle w:val="Compact"/>
              <w:rPr>
                <w:sz w:val="20"/>
                <w:szCs w:val="20"/>
              </w:rPr>
            </w:pPr>
            <w:r w:rsidRPr="007E689D">
              <w:rPr>
                <w:sz w:val="20"/>
                <w:szCs w:val="20"/>
              </w:rPr>
              <w:t>48%</w:t>
            </w:r>
          </w:p>
        </w:tc>
        <w:tc>
          <w:tcPr>
            <w:tcW w:w="2133" w:type="dxa"/>
          </w:tcPr>
          <w:p w14:paraId="7AEA6AD3" w14:textId="77777777" w:rsidR="00D32F08" w:rsidRPr="007E689D" w:rsidRDefault="00000000">
            <w:pPr>
              <w:pStyle w:val="Compact"/>
              <w:rPr>
                <w:sz w:val="20"/>
                <w:szCs w:val="20"/>
              </w:rPr>
            </w:pPr>
            <w:r w:rsidRPr="007E689D">
              <w:rPr>
                <w:sz w:val="20"/>
                <w:szCs w:val="20"/>
              </w:rPr>
              <w:t>65%</w:t>
            </w:r>
          </w:p>
        </w:tc>
      </w:tr>
      <w:tr w:rsidR="00D32F08" w:rsidRPr="007E689D" w14:paraId="5D3AE361" w14:textId="77777777" w:rsidTr="007E689D">
        <w:tc>
          <w:tcPr>
            <w:tcW w:w="3217" w:type="dxa"/>
          </w:tcPr>
          <w:p w14:paraId="4359D58B" w14:textId="77777777" w:rsidR="00D32F08" w:rsidRPr="007E689D" w:rsidRDefault="00000000">
            <w:pPr>
              <w:pStyle w:val="Compact"/>
              <w:rPr>
                <w:sz w:val="20"/>
                <w:szCs w:val="20"/>
              </w:rPr>
            </w:pPr>
            <w:r w:rsidRPr="007E689D">
              <w:rPr>
                <w:sz w:val="20"/>
                <w:szCs w:val="20"/>
              </w:rPr>
              <w:t>CUSUM–BOCPD concordance</w:t>
            </w:r>
          </w:p>
        </w:tc>
        <w:tc>
          <w:tcPr>
            <w:tcW w:w="1846" w:type="dxa"/>
          </w:tcPr>
          <w:p w14:paraId="686209DD" w14:textId="77777777" w:rsidR="00D32F08" w:rsidRPr="007E689D" w:rsidRDefault="00000000">
            <w:pPr>
              <w:pStyle w:val="Compact"/>
              <w:rPr>
                <w:sz w:val="20"/>
                <w:szCs w:val="20"/>
              </w:rPr>
            </w:pPr>
            <w:r w:rsidRPr="007E689D">
              <w:rPr>
                <w:sz w:val="20"/>
                <w:szCs w:val="20"/>
              </w:rPr>
              <w:t>52%</w:t>
            </w:r>
          </w:p>
        </w:tc>
        <w:tc>
          <w:tcPr>
            <w:tcW w:w="2133" w:type="dxa"/>
          </w:tcPr>
          <w:p w14:paraId="1421515C" w14:textId="77777777" w:rsidR="00D32F08" w:rsidRPr="007E689D" w:rsidRDefault="00000000">
            <w:pPr>
              <w:pStyle w:val="Compact"/>
              <w:rPr>
                <w:sz w:val="20"/>
                <w:szCs w:val="20"/>
              </w:rPr>
            </w:pPr>
            <w:r w:rsidRPr="007E689D">
              <w:rPr>
                <w:sz w:val="20"/>
                <w:szCs w:val="20"/>
              </w:rPr>
              <w:t>39%</w:t>
            </w:r>
          </w:p>
        </w:tc>
      </w:tr>
      <w:tr w:rsidR="00D32F08" w:rsidRPr="007E689D" w14:paraId="709F9C5E" w14:textId="77777777" w:rsidTr="007E689D">
        <w:tc>
          <w:tcPr>
            <w:tcW w:w="3217" w:type="dxa"/>
          </w:tcPr>
          <w:p w14:paraId="3731D97B" w14:textId="77777777" w:rsidR="00D32F08" w:rsidRPr="007E689D" w:rsidRDefault="00000000">
            <w:pPr>
              <w:pStyle w:val="Compact"/>
              <w:rPr>
                <w:sz w:val="20"/>
                <w:szCs w:val="20"/>
              </w:rPr>
            </w:pPr>
            <w:r w:rsidRPr="007E689D">
              <w:rPr>
                <w:sz w:val="20"/>
                <w:szCs w:val="20"/>
              </w:rPr>
              <w:t>Pairs where ensemble consensus changed</w:t>
            </w:r>
          </w:p>
        </w:tc>
        <w:tc>
          <w:tcPr>
            <w:tcW w:w="1846" w:type="dxa"/>
          </w:tcPr>
          <w:p w14:paraId="0E7103FA" w14:textId="77777777" w:rsidR="00D32F08" w:rsidRPr="007E689D" w:rsidRDefault="00000000">
            <w:pPr>
              <w:pStyle w:val="Compact"/>
              <w:rPr>
                <w:sz w:val="20"/>
                <w:szCs w:val="20"/>
              </w:rPr>
            </w:pPr>
            <w:r w:rsidRPr="007E689D">
              <w:rPr>
                <w:sz w:val="20"/>
                <w:szCs w:val="20"/>
              </w:rPr>
              <w:t>—</w:t>
            </w:r>
          </w:p>
        </w:tc>
        <w:tc>
          <w:tcPr>
            <w:tcW w:w="2133" w:type="dxa"/>
          </w:tcPr>
          <w:p w14:paraId="20B23B74" w14:textId="77777777" w:rsidR="00D32F08" w:rsidRPr="007E689D" w:rsidRDefault="00000000">
            <w:pPr>
              <w:pStyle w:val="Compact"/>
              <w:rPr>
                <w:sz w:val="20"/>
                <w:szCs w:val="20"/>
              </w:rPr>
            </w:pPr>
            <w:r w:rsidRPr="007E689D">
              <w:rPr>
                <w:sz w:val="20"/>
                <w:szCs w:val="20"/>
              </w:rPr>
              <w:t>4/32</w:t>
            </w:r>
          </w:p>
        </w:tc>
      </w:tr>
      <w:tr w:rsidR="00D32F08" w:rsidRPr="007E689D" w14:paraId="171C3F8E" w14:textId="77777777" w:rsidTr="007E689D">
        <w:tc>
          <w:tcPr>
            <w:tcW w:w="3217" w:type="dxa"/>
          </w:tcPr>
          <w:p w14:paraId="363EAA13" w14:textId="77777777" w:rsidR="00D32F08" w:rsidRPr="007E689D" w:rsidRDefault="00000000">
            <w:pPr>
              <w:pStyle w:val="Compact"/>
              <w:rPr>
                <w:sz w:val="20"/>
                <w:szCs w:val="20"/>
              </w:rPr>
            </w:pPr>
            <w:r w:rsidRPr="007E689D">
              <w:rPr>
                <w:sz w:val="20"/>
                <w:szCs w:val="20"/>
              </w:rPr>
              <w:t>Median |shift| count vs proportion</w:t>
            </w:r>
          </w:p>
        </w:tc>
        <w:tc>
          <w:tcPr>
            <w:tcW w:w="1846" w:type="dxa"/>
          </w:tcPr>
          <w:p w14:paraId="1D0F7259" w14:textId="77777777" w:rsidR="00D32F08" w:rsidRPr="007E689D" w:rsidRDefault="00000000">
            <w:pPr>
              <w:pStyle w:val="Compact"/>
              <w:rPr>
                <w:sz w:val="20"/>
                <w:szCs w:val="20"/>
              </w:rPr>
            </w:pPr>
            <w:r w:rsidRPr="007E689D">
              <w:rPr>
                <w:sz w:val="20"/>
                <w:szCs w:val="20"/>
              </w:rPr>
              <w:t>—</w:t>
            </w:r>
          </w:p>
        </w:tc>
        <w:tc>
          <w:tcPr>
            <w:tcW w:w="2133" w:type="dxa"/>
          </w:tcPr>
          <w:p w14:paraId="74A272D5" w14:textId="77777777" w:rsidR="00D32F08" w:rsidRPr="007E689D" w:rsidRDefault="00000000">
            <w:pPr>
              <w:pStyle w:val="Compact"/>
              <w:rPr>
                <w:sz w:val="20"/>
                <w:szCs w:val="20"/>
              </w:rPr>
            </w:pPr>
            <w:r w:rsidRPr="007E689D">
              <w:rPr>
                <w:sz w:val="20"/>
                <w:szCs w:val="20"/>
              </w:rPr>
              <w:t>0 q</w:t>
            </w:r>
          </w:p>
        </w:tc>
      </w:tr>
      <w:tr w:rsidR="00D32F08" w:rsidRPr="007E689D" w14:paraId="409A1A10" w14:textId="77777777" w:rsidTr="007E689D">
        <w:tc>
          <w:tcPr>
            <w:tcW w:w="3217" w:type="dxa"/>
          </w:tcPr>
          <w:p w14:paraId="31BEECE6" w14:textId="77777777" w:rsidR="00D32F08" w:rsidRPr="007E689D" w:rsidRDefault="00000000">
            <w:pPr>
              <w:pStyle w:val="Compact"/>
              <w:rPr>
                <w:sz w:val="20"/>
                <w:szCs w:val="20"/>
              </w:rPr>
            </w:pPr>
            <w:r w:rsidRPr="007E689D">
              <w:rPr>
                <w:sz w:val="20"/>
                <w:szCs w:val="20"/>
              </w:rPr>
              <w:t>High-confidence (3/3) pairs</w:t>
            </w:r>
          </w:p>
        </w:tc>
        <w:tc>
          <w:tcPr>
            <w:tcW w:w="1846" w:type="dxa"/>
          </w:tcPr>
          <w:p w14:paraId="049303E2" w14:textId="77777777" w:rsidR="00D32F08" w:rsidRPr="007E689D" w:rsidRDefault="00000000">
            <w:pPr>
              <w:pStyle w:val="Compact"/>
              <w:rPr>
                <w:sz w:val="20"/>
                <w:szCs w:val="20"/>
              </w:rPr>
            </w:pPr>
            <w:r w:rsidRPr="007E689D">
              <w:rPr>
                <w:sz w:val="20"/>
                <w:szCs w:val="20"/>
              </w:rPr>
              <w:t>7</w:t>
            </w:r>
          </w:p>
        </w:tc>
        <w:tc>
          <w:tcPr>
            <w:tcW w:w="2133" w:type="dxa"/>
          </w:tcPr>
          <w:p w14:paraId="17089DCA" w14:textId="77777777" w:rsidR="00D32F08" w:rsidRPr="007E689D" w:rsidRDefault="00000000">
            <w:pPr>
              <w:pStyle w:val="Compact"/>
              <w:rPr>
                <w:sz w:val="20"/>
                <w:szCs w:val="20"/>
              </w:rPr>
            </w:pPr>
            <w:r w:rsidRPr="007E689D">
              <w:rPr>
                <w:sz w:val="20"/>
                <w:szCs w:val="20"/>
              </w:rPr>
              <w:t>6</w:t>
            </w:r>
          </w:p>
        </w:tc>
      </w:tr>
    </w:tbl>
    <w:p w14:paraId="72E69CD2" w14:textId="77777777" w:rsidR="00D32F08" w:rsidRDefault="00000000">
      <w:pPr>
        <w:pStyle w:val="BodyText"/>
      </w:pPr>
      <w:r>
        <w:t>The headline detection counts and the genuine-emergence subgroup CPD-vs-PRR contrast are robust to input harmonisation. We retain the count-input BOCPD as primary (consistent with the Poisson-Gamma observation model and the pre-registered protocol) and report this table as the principal sensitivity. See accompanying CSV in the supplementary archive (harmonised BOCPD per-pair results).</w:t>
      </w:r>
    </w:p>
    <w:p w14:paraId="141B094C" w14:textId="77777777" w:rsidR="00D32F08" w:rsidRDefault="00000000">
      <w:pPr>
        <w:pStyle w:val="Heading3"/>
      </w:pPr>
      <w:bookmarkStart w:id="22" w:name="X56adc3c2472e85d2df0b0199c948413811cc9ff"/>
      <w:bookmarkEnd w:id="21"/>
      <w:r>
        <w:t>eTable S13. Benjamini-Hochberg FDR adjustment across the secondary/exploratory test family</w:t>
      </w:r>
    </w:p>
    <w:p w14:paraId="6C405663" w14:textId="77777777" w:rsidR="00D32F08" w:rsidRDefault="00000000">
      <w:pPr>
        <w:pStyle w:val="FirstParagraph"/>
      </w:pPr>
      <w:r>
        <w:t>The pre-registered H1 primary (overall CPD vs PRR on Tier A, raw p = 0.47) is reported at raw α = 0.05 and is not part of any multiple-comparison family. BH-FDR at q = 0.05 is applied across the family of pre-registered secondaries and post-hoc tests:</w:t>
      </w:r>
    </w:p>
    <w:tbl>
      <w:tblPr>
        <w:tblStyle w:val="Table"/>
        <w:tblW w:w="4867" w:type="pct"/>
        <w:tblLayout w:type="fixed"/>
        <w:tblLook w:val="0020" w:firstRow="1" w:lastRow="0" w:firstColumn="0" w:lastColumn="0" w:noHBand="0" w:noVBand="0"/>
      </w:tblPr>
      <w:tblGrid>
        <w:gridCol w:w="3368"/>
        <w:gridCol w:w="850"/>
        <w:gridCol w:w="847"/>
        <w:gridCol w:w="1346"/>
        <w:gridCol w:w="1346"/>
        <w:gridCol w:w="1564"/>
      </w:tblGrid>
      <w:tr w:rsidR="00D32F08" w:rsidRPr="007E689D" w14:paraId="77688C3C" w14:textId="77777777" w:rsidTr="007E689D">
        <w:trPr>
          <w:cnfStyle w:val="100000000000" w:firstRow="1" w:lastRow="0" w:firstColumn="0" w:lastColumn="0" w:oddVBand="0" w:evenVBand="0" w:oddHBand="0" w:evenHBand="0" w:firstRowFirstColumn="0" w:firstRowLastColumn="0" w:lastRowFirstColumn="0" w:lastRowLastColumn="0"/>
          <w:tblHeader/>
        </w:trPr>
        <w:tc>
          <w:tcPr>
            <w:tcW w:w="3369" w:type="dxa"/>
          </w:tcPr>
          <w:p w14:paraId="7B3F137D" w14:textId="77777777" w:rsidR="00D32F08" w:rsidRPr="007E689D" w:rsidRDefault="00000000">
            <w:pPr>
              <w:pStyle w:val="Compact"/>
              <w:rPr>
                <w:sz w:val="20"/>
                <w:szCs w:val="20"/>
              </w:rPr>
            </w:pPr>
            <w:r w:rsidRPr="007E689D">
              <w:rPr>
                <w:sz w:val="20"/>
                <w:szCs w:val="20"/>
              </w:rPr>
              <w:t>Test</w:t>
            </w:r>
          </w:p>
        </w:tc>
        <w:tc>
          <w:tcPr>
            <w:tcW w:w="850" w:type="dxa"/>
          </w:tcPr>
          <w:p w14:paraId="3DDBA89B" w14:textId="77777777" w:rsidR="00D32F08" w:rsidRPr="007E689D" w:rsidRDefault="00000000">
            <w:pPr>
              <w:pStyle w:val="Compact"/>
              <w:rPr>
                <w:sz w:val="20"/>
                <w:szCs w:val="20"/>
              </w:rPr>
            </w:pPr>
            <w:r w:rsidRPr="007E689D">
              <w:rPr>
                <w:sz w:val="20"/>
                <w:szCs w:val="20"/>
              </w:rPr>
              <w:t>Raw p</w:t>
            </w:r>
          </w:p>
        </w:tc>
        <w:tc>
          <w:tcPr>
            <w:tcW w:w="847" w:type="dxa"/>
          </w:tcPr>
          <w:p w14:paraId="2EE02870" w14:textId="77777777" w:rsidR="00D32F08" w:rsidRPr="007E689D" w:rsidRDefault="00000000">
            <w:pPr>
              <w:pStyle w:val="Compact"/>
              <w:rPr>
                <w:sz w:val="20"/>
                <w:szCs w:val="20"/>
              </w:rPr>
            </w:pPr>
            <w:r w:rsidRPr="007E689D">
              <w:rPr>
                <w:sz w:val="20"/>
                <w:szCs w:val="20"/>
              </w:rPr>
              <w:t>BH rank</w:t>
            </w:r>
          </w:p>
        </w:tc>
        <w:tc>
          <w:tcPr>
            <w:tcW w:w="1346" w:type="dxa"/>
          </w:tcPr>
          <w:p w14:paraId="687C1A44" w14:textId="77777777" w:rsidR="00D32F08" w:rsidRPr="007E689D" w:rsidRDefault="00000000">
            <w:pPr>
              <w:pStyle w:val="Compact"/>
              <w:rPr>
                <w:sz w:val="20"/>
                <w:szCs w:val="20"/>
              </w:rPr>
            </w:pPr>
            <w:r w:rsidRPr="007E689D">
              <w:rPr>
                <w:sz w:val="20"/>
                <w:szCs w:val="20"/>
              </w:rPr>
              <w:t>BH threshold (q = 0.05)</w:t>
            </w:r>
          </w:p>
        </w:tc>
        <w:tc>
          <w:tcPr>
            <w:tcW w:w="1346" w:type="dxa"/>
          </w:tcPr>
          <w:p w14:paraId="7C088AC6" w14:textId="77777777" w:rsidR="00D32F08" w:rsidRPr="007E689D" w:rsidRDefault="00000000">
            <w:pPr>
              <w:pStyle w:val="Compact"/>
              <w:rPr>
                <w:sz w:val="20"/>
                <w:szCs w:val="20"/>
              </w:rPr>
            </w:pPr>
            <w:r w:rsidRPr="007E689D">
              <w:rPr>
                <w:sz w:val="20"/>
                <w:szCs w:val="20"/>
              </w:rPr>
              <w:t>BH-adjusted p</w:t>
            </w:r>
          </w:p>
        </w:tc>
        <w:tc>
          <w:tcPr>
            <w:tcW w:w="1564" w:type="dxa"/>
          </w:tcPr>
          <w:p w14:paraId="6EC0D998" w14:textId="77777777" w:rsidR="00D32F08" w:rsidRPr="007E689D" w:rsidRDefault="00000000">
            <w:pPr>
              <w:pStyle w:val="Compact"/>
              <w:rPr>
                <w:sz w:val="20"/>
                <w:szCs w:val="20"/>
              </w:rPr>
            </w:pPr>
            <w:r w:rsidRPr="007E689D">
              <w:rPr>
                <w:sz w:val="20"/>
                <w:szCs w:val="20"/>
              </w:rPr>
              <w:t>FDR-significant</w:t>
            </w:r>
          </w:p>
        </w:tc>
      </w:tr>
      <w:tr w:rsidR="00D32F08" w:rsidRPr="007E689D" w14:paraId="184EF913" w14:textId="77777777" w:rsidTr="007E689D">
        <w:tc>
          <w:tcPr>
            <w:tcW w:w="3369" w:type="dxa"/>
          </w:tcPr>
          <w:p w14:paraId="00D8C8EB" w14:textId="77777777" w:rsidR="00D32F08" w:rsidRPr="007E689D" w:rsidRDefault="00000000">
            <w:pPr>
              <w:pStyle w:val="Compact"/>
              <w:rPr>
                <w:sz w:val="20"/>
                <w:szCs w:val="20"/>
              </w:rPr>
            </w:pPr>
            <w:r w:rsidRPr="007E689D">
              <w:rPr>
                <w:sz w:val="20"/>
                <w:szCs w:val="20"/>
              </w:rPr>
              <w:t>Wilcoxon: DAEN vs FAERS lead</w:t>
            </w:r>
          </w:p>
        </w:tc>
        <w:tc>
          <w:tcPr>
            <w:tcW w:w="850" w:type="dxa"/>
          </w:tcPr>
          <w:p w14:paraId="17A0A13C" w14:textId="77777777" w:rsidR="00D32F08" w:rsidRPr="007E689D" w:rsidRDefault="00000000">
            <w:pPr>
              <w:pStyle w:val="Compact"/>
              <w:rPr>
                <w:sz w:val="20"/>
                <w:szCs w:val="20"/>
              </w:rPr>
            </w:pPr>
            <w:r w:rsidRPr="007E689D">
              <w:rPr>
                <w:sz w:val="20"/>
                <w:szCs w:val="20"/>
              </w:rPr>
              <w:t>&lt;0.001</w:t>
            </w:r>
          </w:p>
        </w:tc>
        <w:tc>
          <w:tcPr>
            <w:tcW w:w="847" w:type="dxa"/>
          </w:tcPr>
          <w:p w14:paraId="085647AE" w14:textId="77777777" w:rsidR="00D32F08" w:rsidRPr="007E689D" w:rsidRDefault="00000000">
            <w:pPr>
              <w:pStyle w:val="Compact"/>
              <w:rPr>
                <w:sz w:val="20"/>
                <w:szCs w:val="20"/>
              </w:rPr>
            </w:pPr>
            <w:r w:rsidRPr="007E689D">
              <w:rPr>
                <w:sz w:val="20"/>
                <w:szCs w:val="20"/>
              </w:rPr>
              <w:t>1</w:t>
            </w:r>
          </w:p>
        </w:tc>
        <w:tc>
          <w:tcPr>
            <w:tcW w:w="1346" w:type="dxa"/>
          </w:tcPr>
          <w:p w14:paraId="710884C2" w14:textId="77777777" w:rsidR="00D32F08" w:rsidRPr="007E689D" w:rsidRDefault="00000000">
            <w:pPr>
              <w:pStyle w:val="Compact"/>
              <w:rPr>
                <w:sz w:val="20"/>
                <w:szCs w:val="20"/>
              </w:rPr>
            </w:pPr>
            <w:r w:rsidRPr="007E689D">
              <w:rPr>
                <w:sz w:val="20"/>
                <w:szCs w:val="20"/>
              </w:rPr>
              <w:t>0.006</w:t>
            </w:r>
          </w:p>
        </w:tc>
        <w:tc>
          <w:tcPr>
            <w:tcW w:w="1346" w:type="dxa"/>
          </w:tcPr>
          <w:p w14:paraId="6EDA04EA" w14:textId="77777777" w:rsidR="00D32F08" w:rsidRPr="007E689D" w:rsidRDefault="00000000">
            <w:pPr>
              <w:pStyle w:val="Compact"/>
              <w:rPr>
                <w:sz w:val="20"/>
                <w:szCs w:val="20"/>
              </w:rPr>
            </w:pPr>
            <w:r w:rsidRPr="007E689D">
              <w:rPr>
                <w:sz w:val="20"/>
                <w:szCs w:val="20"/>
              </w:rPr>
              <w:t>&lt;0.001</w:t>
            </w:r>
          </w:p>
        </w:tc>
        <w:tc>
          <w:tcPr>
            <w:tcW w:w="1564" w:type="dxa"/>
          </w:tcPr>
          <w:p w14:paraId="3CFB85F6" w14:textId="77777777" w:rsidR="00D32F08" w:rsidRPr="007E689D" w:rsidRDefault="00000000">
            <w:pPr>
              <w:pStyle w:val="Compact"/>
              <w:rPr>
                <w:sz w:val="20"/>
                <w:szCs w:val="20"/>
              </w:rPr>
            </w:pPr>
            <w:r w:rsidRPr="007E689D">
              <w:rPr>
                <w:sz w:val="20"/>
                <w:szCs w:val="20"/>
              </w:rPr>
              <w:t>✓</w:t>
            </w:r>
          </w:p>
        </w:tc>
      </w:tr>
      <w:tr w:rsidR="00D32F08" w:rsidRPr="007E689D" w14:paraId="1915C24A" w14:textId="77777777" w:rsidTr="007E689D">
        <w:tc>
          <w:tcPr>
            <w:tcW w:w="3369" w:type="dxa"/>
          </w:tcPr>
          <w:p w14:paraId="28B6050D" w14:textId="77777777" w:rsidR="00D32F08" w:rsidRPr="007E689D" w:rsidRDefault="00000000">
            <w:pPr>
              <w:pStyle w:val="Compact"/>
              <w:rPr>
                <w:sz w:val="20"/>
                <w:szCs w:val="20"/>
              </w:rPr>
            </w:pPr>
            <w:r w:rsidRPr="007E689D">
              <w:rPr>
                <w:sz w:val="20"/>
                <w:szCs w:val="20"/>
              </w:rPr>
              <w:t>Wilcoxon: Pooled vs DAEN alone</w:t>
            </w:r>
          </w:p>
        </w:tc>
        <w:tc>
          <w:tcPr>
            <w:tcW w:w="850" w:type="dxa"/>
          </w:tcPr>
          <w:p w14:paraId="69EC9192" w14:textId="77777777" w:rsidR="00D32F08" w:rsidRPr="007E689D" w:rsidRDefault="00000000">
            <w:pPr>
              <w:pStyle w:val="Compact"/>
              <w:rPr>
                <w:sz w:val="20"/>
                <w:szCs w:val="20"/>
              </w:rPr>
            </w:pPr>
            <w:r w:rsidRPr="007E689D">
              <w:rPr>
                <w:sz w:val="20"/>
                <w:szCs w:val="20"/>
              </w:rPr>
              <w:t>&lt;0.001</w:t>
            </w:r>
          </w:p>
        </w:tc>
        <w:tc>
          <w:tcPr>
            <w:tcW w:w="847" w:type="dxa"/>
          </w:tcPr>
          <w:p w14:paraId="339983AD" w14:textId="77777777" w:rsidR="00D32F08" w:rsidRPr="007E689D" w:rsidRDefault="00000000">
            <w:pPr>
              <w:pStyle w:val="Compact"/>
              <w:rPr>
                <w:sz w:val="20"/>
                <w:szCs w:val="20"/>
              </w:rPr>
            </w:pPr>
            <w:r w:rsidRPr="007E689D">
              <w:rPr>
                <w:sz w:val="20"/>
                <w:szCs w:val="20"/>
              </w:rPr>
              <w:t>2</w:t>
            </w:r>
          </w:p>
        </w:tc>
        <w:tc>
          <w:tcPr>
            <w:tcW w:w="1346" w:type="dxa"/>
          </w:tcPr>
          <w:p w14:paraId="235D646F" w14:textId="77777777" w:rsidR="00D32F08" w:rsidRPr="007E689D" w:rsidRDefault="00000000">
            <w:pPr>
              <w:pStyle w:val="Compact"/>
              <w:rPr>
                <w:sz w:val="20"/>
                <w:szCs w:val="20"/>
              </w:rPr>
            </w:pPr>
            <w:r w:rsidRPr="007E689D">
              <w:rPr>
                <w:sz w:val="20"/>
                <w:szCs w:val="20"/>
              </w:rPr>
              <w:t>0.013</w:t>
            </w:r>
          </w:p>
        </w:tc>
        <w:tc>
          <w:tcPr>
            <w:tcW w:w="1346" w:type="dxa"/>
          </w:tcPr>
          <w:p w14:paraId="50E2AEF8" w14:textId="77777777" w:rsidR="00D32F08" w:rsidRPr="007E689D" w:rsidRDefault="00000000">
            <w:pPr>
              <w:pStyle w:val="Compact"/>
              <w:rPr>
                <w:sz w:val="20"/>
                <w:szCs w:val="20"/>
              </w:rPr>
            </w:pPr>
            <w:r w:rsidRPr="007E689D">
              <w:rPr>
                <w:sz w:val="20"/>
                <w:szCs w:val="20"/>
              </w:rPr>
              <w:t>&lt;0.001</w:t>
            </w:r>
          </w:p>
        </w:tc>
        <w:tc>
          <w:tcPr>
            <w:tcW w:w="1564" w:type="dxa"/>
          </w:tcPr>
          <w:p w14:paraId="235F4639" w14:textId="77777777" w:rsidR="00D32F08" w:rsidRPr="007E689D" w:rsidRDefault="00000000">
            <w:pPr>
              <w:pStyle w:val="Compact"/>
              <w:rPr>
                <w:sz w:val="20"/>
                <w:szCs w:val="20"/>
              </w:rPr>
            </w:pPr>
            <w:r w:rsidRPr="007E689D">
              <w:rPr>
                <w:sz w:val="20"/>
                <w:szCs w:val="20"/>
              </w:rPr>
              <w:t>✓</w:t>
            </w:r>
          </w:p>
        </w:tc>
      </w:tr>
      <w:tr w:rsidR="00D32F08" w:rsidRPr="007E689D" w14:paraId="39BC2286" w14:textId="77777777" w:rsidTr="007E689D">
        <w:tc>
          <w:tcPr>
            <w:tcW w:w="3369" w:type="dxa"/>
          </w:tcPr>
          <w:p w14:paraId="72CB5298" w14:textId="77777777" w:rsidR="00D32F08" w:rsidRPr="007E689D" w:rsidRDefault="00000000">
            <w:pPr>
              <w:pStyle w:val="Compact"/>
              <w:rPr>
                <w:sz w:val="20"/>
                <w:szCs w:val="20"/>
              </w:rPr>
            </w:pPr>
            <w:r w:rsidRPr="007E689D">
              <w:rPr>
                <w:sz w:val="20"/>
                <w:szCs w:val="20"/>
              </w:rPr>
              <w:t>Spearman: action year vs CPD lead (truncation-aware tail p)</w:t>
            </w:r>
          </w:p>
        </w:tc>
        <w:tc>
          <w:tcPr>
            <w:tcW w:w="850" w:type="dxa"/>
          </w:tcPr>
          <w:p w14:paraId="7D2C7685" w14:textId="77777777" w:rsidR="00D32F08" w:rsidRPr="007E689D" w:rsidRDefault="00000000">
            <w:pPr>
              <w:pStyle w:val="Compact"/>
              <w:rPr>
                <w:sz w:val="20"/>
                <w:szCs w:val="20"/>
              </w:rPr>
            </w:pPr>
            <w:r w:rsidRPr="007E689D">
              <w:rPr>
                <w:sz w:val="20"/>
                <w:szCs w:val="20"/>
              </w:rPr>
              <w:t>0.014</w:t>
            </w:r>
          </w:p>
        </w:tc>
        <w:tc>
          <w:tcPr>
            <w:tcW w:w="847" w:type="dxa"/>
          </w:tcPr>
          <w:p w14:paraId="2DCBBC56" w14:textId="77777777" w:rsidR="00D32F08" w:rsidRPr="007E689D" w:rsidRDefault="00000000">
            <w:pPr>
              <w:pStyle w:val="Compact"/>
              <w:rPr>
                <w:sz w:val="20"/>
                <w:szCs w:val="20"/>
              </w:rPr>
            </w:pPr>
            <w:r w:rsidRPr="007E689D">
              <w:rPr>
                <w:sz w:val="20"/>
                <w:szCs w:val="20"/>
              </w:rPr>
              <w:t>3</w:t>
            </w:r>
          </w:p>
        </w:tc>
        <w:tc>
          <w:tcPr>
            <w:tcW w:w="1346" w:type="dxa"/>
          </w:tcPr>
          <w:p w14:paraId="7C04F7FF" w14:textId="77777777" w:rsidR="00D32F08" w:rsidRPr="007E689D" w:rsidRDefault="00000000">
            <w:pPr>
              <w:pStyle w:val="Compact"/>
              <w:rPr>
                <w:sz w:val="20"/>
                <w:szCs w:val="20"/>
              </w:rPr>
            </w:pPr>
            <w:r w:rsidRPr="007E689D">
              <w:rPr>
                <w:sz w:val="20"/>
                <w:szCs w:val="20"/>
              </w:rPr>
              <w:t>0.019</w:t>
            </w:r>
          </w:p>
        </w:tc>
        <w:tc>
          <w:tcPr>
            <w:tcW w:w="1346" w:type="dxa"/>
          </w:tcPr>
          <w:p w14:paraId="65AAD9C9" w14:textId="77777777" w:rsidR="00D32F08" w:rsidRPr="007E689D" w:rsidRDefault="00000000">
            <w:pPr>
              <w:pStyle w:val="Compact"/>
              <w:rPr>
                <w:sz w:val="20"/>
                <w:szCs w:val="20"/>
              </w:rPr>
            </w:pPr>
            <w:r w:rsidRPr="007E689D">
              <w:rPr>
                <w:sz w:val="20"/>
                <w:szCs w:val="20"/>
              </w:rPr>
              <w:t>0.025</w:t>
            </w:r>
          </w:p>
        </w:tc>
        <w:tc>
          <w:tcPr>
            <w:tcW w:w="1564" w:type="dxa"/>
          </w:tcPr>
          <w:p w14:paraId="6671E070" w14:textId="77777777" w:rsidR="00D32F08" w:rsidRPr="007E689D" w:rsidRDefault="00000000">
            <w:pPr>
              <w:pStyle w:val="Compact"/>
              <w:rPr>
                <w:sz w:val="20"/>
                <w:szCs w:val="20"/>
              </w:rPr>
            </w:pPr>
            <w:r w:rsidRPr="007E689D">
              <w:rPr>
                <w:sz w:val="20"/>
                <w:szCs w:val="20"/>
              </w:rPr>
              <w:t>✓</w:t>
            </w:r>
          </w:p>
        </w:tc>
      </w:tr>
      <w:tr w:rsidR="00D32F08" w:rsidRPr="007E689D" w14:paraId="2FFE0913" w14:textId="77777777" w:rsidTr="007E689D">
        <w:tc>
          <w:tcPr>
            <w:tcW w:w="3369" w:type="dxa"/>
          </w:tcPr>
          <w:p w14:paraId="01852F7F" w14:textId="77777777" w:rsidR="00D32F08" w:rsidRPr="007E689D" w:rsidRDefault="00000000">
            <w:pPr>
              <w:pStyle w:val="Compact"/>
              <w:rPr>
                <w:sz w:val="20"/>
                <w:szCs w:val="20"/>
              </w:rPr>
            </w:pPr>
            <w:r w:rsidRPr="007E689D">
              <w:rPr>
                <w:sz w:val="20"/>
                <w:szCs w:val="20"/>
              </w:rPr>
              <w:t>H4 vs PRR (Tier A genuine emergence CPD–PRR, directional secondary)</w:t>
            </w:r>
          </w:p>
        </w:tc>
        <w:tc>
          <w:tcPr>
            <w:tcW w:w="850" w:type="dxa"/>
          </w:tcPr>
          <w:p w14:paraId="6D7BD32E" w14:textId="77777777" w:rsidR="00D32F08" w:rsidRPr="007E689D" w:rsidRDefault="00000000">
            <w:pPr>
              <w:pStyle w:val="Compact"/>
              <w:rPr>
                <w:sz w:val="20"/>
                <w:szCs w:val="20"/>
              </w:rPr>
            </w:pPr>
            <w:r w:rsidRPr="007E689D">
              <w:rPr>
                <w:sz w:val="20"/>
                <w:szCs w:val="20"/>
              </w:rPr>
              <w:t>0.015</w:t>
            </w:r>
          </w:p>
        </w:tc>
        <w:tc>
          <w:tcPr>
            <w:tcW w:w="847" w:type="dxa"/>
          </w:tcPr>
          <w:p w14:paraId="426186D2" w14:textId="77777777" w:rsidR="00D32F08" w:rsidRPr="007E689D" w:rsidRDefault="00000000">
            <w:pPr>
              <w:pStyle w:val="Compact"/>
              <w:rPr>
                <w:sz w:val="20"/>
                <w:szCs w:val="20"/>
              </w:rPr>
            </w:pPr>
            <w:r w:rsidRPr="007E689D">
              <w:rPr>
                <w:sz w:val="20"/>
                <w:szCs w:val="20"/>
              </w:rPr>
              <w:t>4</w:t>
            </w:r>
          </w:p>
        </w:tc>
        <w:tc>
          <w:tcPr>
            <w:tcW w:w="1346" w:type="dxa"/>
          </w:tcPr>
          <w:p w14:paraId="327DF617" w14:textId="77777777" w:rsidR="00D32F08" w:rsidRPr="007E689D" w:rsidRDefault="00000000">
            <w:pPr>
              <w:pStyle w:val="Compact"/>
              <w:rPr>
                <w:sz w:val="20"/>
                <w:szCs w:val="20"/>
              </w:rPr>
            </w:pPr>
            <w:r w:rsidRPr="007E689D">
              <w:rPr>
                <w:sz w:val="20"/>
                <w:szCs w:val="20"/>
              </w:rPr>
              <w:t>0.025</w:t>
            </w:r>
          </w:p>
        </w:tc>
        <w:tc>
          <w:tcPr>
            <w:tcW w:w="1346" w:type="dxa"/>
          </w:tcPr>
          <w:p w14:paraId="255694FE" w14:textId="77777777" w:rsidR="00D32F08" w:rsidRPr="007E689D" w:rsidRDefault="00000000">
            <w:pPr>
              <w:pStyle w:val="Compact"/>
              <w:rPr>
                <w:sz w:val="20"/>
                <w:szCs w:val="20"/>
              </w:rPr>
            </w:pPr>
            <w:r w:rsidRPr="007E689D">
              <w:rPr>
                <w:sz w:val="20"/>
                <w:szCs w:val="20"/>
              </w:rPr>
              <w:t>0.036</w:t>
            </w:r>
          </w:p>
        </w:tc>
        <w:tc>
          <w:tcPr>
            <w:tcW w:w="1564" w:type="dxa"/>
          </w:tcPr>
          <w:p w14:paraId="059E9670" w14:textId="77777777" w:rsidR="00D32F08" w:rsidRPr="007E689D" w:rsidRDefault="00000000">
            <w:pPr>
              <w:pStyle w:val="Compact"/>
              <w:rPr>
                <w:sz w:val="20"/>
                <w:szCs w:val="20"/>
              </w:rPr>
            </w:pPr>
            <w:r w:rsidRPr="007E689D">
              <w:rPr>
                <w:sz w:val="20"/>
                <w:szCs w:val="20"/>
              </w:rPr>
              <w:t>✓</w:t>
            </w:r>
          </w:p>
        </w:tc>
      </w:tr>
      <w:tr w:rsidR="00D32F08" w:rsidRPr="007E689D" w14:paraId="522AF46B" w14:textId="77777777" w:rsidTr="007E689D">
        <w:tc>
          <w:tcPr>
            <w:tcW w:w="3369" w:type="dxa"/>
          </w:tcPr>
          <w:p w14:paraId="3FAEF532" w14:textId="77777777" w:rsidR="00D32F08" w:rsidRPr="007E689D" w:rsidRDefault="00000000">
            <w:pPr>
              <w:pStyle w:val="Compact"/>
              <w:rPr>
                <w:sz w:val="20"/>
                <w:szCs w:val="20"/>
              </w:rPr>
            </w:pPr>
            <w:r w:rsidRPr="007E689D">
              <w:rPr>
                <w:sz w:val="20"/>
                <w:szCs w:val="20"/>
              </w:rPr>
              <w:lastRenderedPageBreak/>
              <w:t>H4 vs BCPNN-IC (Tier A genuine emergence CPD–BCPNN, post hoc)</w:t>
            </w:r>
          </w:p>
        </w:tc>
        <w:tc>
          <w:tcPr>
            <w:tcW w:w="850" w:type="dxa"/>
          </w:tcPr>
          <w:p w14:paraId="36014A18" w14:textId="77777777" w:rsidR="00D32F08" w:rsidRPr="007E689D" w:rsidRDefault="00000000">
            <w:pPr>
              <w:pStyle w:val="Compact"/>
              <w:rPr>
                <w:sz w:val="20"/>
                <w:szCs w:val="20"/>
              </w:rPr>
            </w:pPr>
            <w:r w:rsidRPr="007E689D">
              <w:rPr>
                <w:sz w:val="20"/>
                <w:szCs w:val="20"/>
              </w:rPr>
              <w:t>0.018</w:t>
            </w:r>
          </w:p>
        </w:tc>
        <w:tc>
          <w:tcPr>
            <w:tcW w:w="847" w:type="dxa"/>
          </w:tcPr>
          <w:p w14:paraId="6A8446C5" w14:textId="77777777" w:rsidR="00D32F08" w:rsidRPr="007E689D" w:rsidRDefault="00000000">
            <w:pPr>
              <w:pStyle w:val="Compact"/>
              <w:rPr>
                <w:sz w:val="20"/>
                <w:szCs w:val="20"/>
              </w:rPr>
            </w:pPr>
            <w:r w:rsidRPr="007E689D">
              <w:rPr>
                <w:sz w:val="20"/>
                <w:szCs w:val="20"/>
              </w:rPr>
              <w:t>5</w:t>
            </w:r>
          </w:p>
        </w:tc>
        <w:tc>
          <w:tcPr>
            <w:tcW w:w="1346" w:type="dxa"/>
          </w:tcPr>
          <w:p w14:paraId="6F9BDB6A" w14:textId="77777777" w:rsidR="00D32F08" w:rsidRPr="007E689D" w:rsidRDefault="00000000">
            <w:pPr>
              <w:pStyle w:val="Compact"/>
              <w:rPr>
                <w:sz w:val="20"/>
                <w:szCs w:val="20"/>
              </w:rPr>
            </w:pPr>
            <w:r w:rsidRPr="007E689D">
              <w:rPr>
                <w:sz w:val="20"/>
                <w:szCs w:val="20"/>
              </w:rPr>
              <w:t>0.031</w:t>
            </w:r>
          </w:p>
        </w:tc>
        <w:tc>
          <w:tcPr>
            <w:tcW w:w="1346" w:type="dxa"/>
          </w:tcPr>
          <w:p w14:paraId="493D6845" w14:textId="77777777" w:rsidR="00D32F08" w:rsidRPr="007E689D" w:rsidRDefault="00000000">
            <w:pPr>
              <w:pStyle w:val="Compact"/>
              <w:rPr>
                <w:sz w:val="20"/>
                <w:szCs w:val="20"/>
              </w:rPr>
            </w:pPr>
            <w:r w:rsidRPr="007E689D">
              <w:rPr>
                <w:sz w:val="20"/>
                <w:szCs w:val="20"/>
              </w:rPr>
              <w:t>0.036</w:t>
            </w:r>
          </w:p>
        </w:tc>
        <w:tc>
          <w:tcPr>
            <w:tcW w:w="1564" w:type="dxa"/>
          </w:tcPr>
          <w:p w14:paraId="53D5F528" w14:textId="77777777" w:rsidR="00D32F08" w:rsidRPr="007E689D" w:rsidRDefault="00000000">
            <w:pPr>
              <w:pStyle w:val="Compact"/>
              <w:rPr>
                <w:sz w:val="20"/>
                <w:szCs w:val="20"/>
              </w:rPr>
            </w:pPr>
            <w:r w:rsidRPr="007E689D">
              <w:rPr>
                <w:sz w:val="20"/>
                <w:szCs w:val="20"/>
              </w:rPr>
              <w:t>✓</w:t>
            </w:r>
          </w:p>
        </w:tc>
      </w:tr>
      <w:tr w:rsidR="00D32F08" w:rsidRPr="007E689D" w14:paraId="10232C71" w14:textId="77777777" w:rsidTr="007E689D">
        <w:tc>
          <w:tcPr>
            <w:tcW w:w="3369" w:type="dxa"/>
          </w:tcPr>
          <w:p w14:paraId="54EF947F" w14:textId="77777777" w:rsidR="00D32F08" w:rsidRPr="007E689D" w:rsidRDefault="00000000">
            <w:pPr>
              <w:pStyle w:val="Compact"/>
              <w:rPr>
                <w:sz w:val="20"/>
                <w:szCs w:val="20"/>
              </w:rPr>
            </w:pPr>
            <w:r w:rsidRPr="007E689D">
              <w:rPr>
                <w:sz w:val="20"/>
                <w:szCs w:val="20"/>
              </w:rPr>
              <w:t>Kruskal-Wallis: lead by action tier</w:t>
            </w:r>
          </w:p>
        </w:tc>
        <w:tc>
          <w:tcPr>
            <w:tcW w:w="850" w:type="dxa"/>
          </w:tcPr>
          <w:p w14:paraId="0620ADFF" w14:textId="77777777" w:rsidR="00D32F08" w:rsidRPr="007E689D" w:rsidRDefault="00000000">
            <w:pPr>
              <w:pStyle w:val="Compact"/>
              <w:rPr>
                <w:sz w:val="20"/>
                <w:szCs w:val="20"/>
              </w:rPr>
            </w:pPr>
            <w:r w:rsidRPr="007E689D">
              <w:rPr>
                <w:sz w:val="20"/>
                <w:szCs w:val="20"/>
              </w:rPr>
              <w:t>0.17</w:t>
            </w:r>
          </w:p>
        </w:tc>
        <w:tc>
          <w:tcPr>
            <w:tcW w:w="847" w:type="dxa"/>
          </w:tcPr>
          <w:p w14:paraId="2EBFCBA8" w14:textId="77777777" w:rsidR="00D32F08" w:rsidRPr="007E689D" w:rsidRDefault="00000000">
            <w:pPr>
              <w:pStyle w:val="Compact"/>
              <w:rPr>
                <w:sz w:val="20"/>
                <w:szCs w:val="20"/>
              </w:rPr>
            </w:pPr>
            <w:r w:rsidRPr="007E689D">
              <w:rPr>
                <w:sz w:val="20"/>
                <w:szCs w:val="20"/>
              </w:rPr>
              <w:t>6</w:t>
            </w:r>
          </w:p>
        </w:tc>
        <w:tc>
          <w:tcPr>
            <w:tcW w:w="1346" w:type="dxa"/>
          </w:tcPr>
          <w:p w14:paraId="0EF4B278" w14:textId="77777777" w:rsidR="00D32F08" w:rsidRPr="007E689D" w:rsidRDefault="00000000">
            <w:pPr>
              <w:pStyle w:val="Compact"/>
              <w:rPr>
                <w:sz w:val="20"/>
                <w:szCs w:val="20"/>
              </w:rPr>
            </w:pPr>
            <w:r w:rsidRPr="007E689D">
              <w:rPr>
                <w:sz w:val="20"/>
                <w:szCs w:val="20"/>
              </w:rPr>
              <w:t>0.038</w:t>
            </w:r>
          </w:p>
        </w:tc>
        <w:tc>
          <w:tcPr>
            <w:tcW w:w="1346" w:type="dxa"/>
          </w:tcPr>
          <w:p w14:paraId="5C6F4F2D" w14:textId="77777777" w:rsidR="00D32F08" w:rsidRPr="007E689D" w:rsidRDefault="00000000">
            <w:pPr>
              <w:pStyle w:val="Compact"/>
              <w:rPr>
                <w:sz w:val="20"/>
                <w:szCs w:val="20"/>
              </w:rPr>
            </w:pPr>
            <w:r w:rsidRPr="007E689D">
              <w:rPr>
                <w:sz w:val="20"/>
                <w:szCs w:val="20"/>
              </w:rPr>
              <w:t>0.213</w:t>
            </w:r>
          </w:p>
        </w:tc>
        <w:tc>
          <w:tcPr>
            <w:tcW w:w="1564" w:type="dxa"/>
          </w:tcPr>
          <w:p w14:paraId="353D6A48" w14:textId="77777777" w:rsidR="00D32F08" w:rsidRPr="007E689D" w:rsidRDefault="00000000">
            <w:pPr>
              <w:pStyle w:val="Compact"/>
              <w:rPr>
                <w:sz w:val="20"/>
                <w:szCs w:val="20"/>
              </w:rPr>
            </w:pPr>
            <w:r w:rsidRPr="007E689D">
              <w:rPr>
                <w:sz w:val="20"/>
                <w:szCs w:val="20"/>
              </w:rPr>
              <w:t>—</w:t>
            </w:r>
          </w:p>
        </w:tc>
      </w:tr>
      <w:tr w:rsidR="00D32F08" w:rsidRPr="007E689D" w14:paraId="01967D9C" w14:textId="77777777" w:rsidTr="007E689D">
        <w:tc>
          <w:tcPr>
            <w:tcW w:w="3369" w:type="dxa"/>
          </w:tcPr>
          <w:p w14:paraId="306CAE30" w14:textId="77777777" w:rsidR="00D32F08" w:rsidRPr="007E689D" w:rsidRDefault="00000000">
            <w:pPr>
              <w:pStyle w:val="Compact"/>
              <w:rPr>
                <w:sz w:val="20"/>
                <w:szCs w:val="20"/>
              </w:rPr>
            </w:pPr>
            <w:r w:rsidRPr="007E689D">
              <w:rPr>
                <w:sz w:val="20"/>
                <w:szCs w:val="20"/>
              </w:rPr>
              <w:t>Trend: confidence vs PPV (corrected; original inversion retracted)</w:t>
            </w:r>
          </w:p>
        </w:tc>
        <w:tc>
          <w:tcPr>
            <w:tcW w:w="850" w:type="dxa"/>
          </w:tcPr>
          <w:p w14:paraId="546337AF" w14:textId="77777777" w:rsidR="00D32F08" w:rsidRPr="007E689D" w:rsidRDefault="00000000">
            <w:pPr>
              <w:pStyle w:val="Compact"/>
              <w:rPr>
                <w:sz w:val="20"/>
                <w:szCs w:val="20"/>
              </w:rPr>
            </w:pPr>
            <w:r w:rsidRPr="007E689D">
              <w:rPr>
                <w:sz w:val="20"/>
                <w:szCs w:val="20"/>
              </w:rPr>
              <w:t>0.50</w:t>
            </w:r>
          </w:p>
        </w:tc>
        <w:tc>
          <w:tcPr>
            <w:tcW w:w="847" w:type="dxa"/>
          </w:tcPr>
          <w:p w14:paraId="7D5C2304" w14:textId="77777777" w:rsidR="00D32F08" w:rsidRPr="007E689D" w:rsidRDefault="00000000">
            <w:pPr>
              <w:pStyle w:val="Compact"/>
              <w:rPr>
                <w:sz w:val="20"/>
                <w:szCs w:val="20"/>
              </w:rPr>
            </w:pPr>
            <w:r w:rsidRPr="007E689D">
              <w:rPr>
                <w:sz w:val="20"/>
                <w:szCs w:val="20"/>
              </w:rPr>
              <w:t>7</w:t>
            </w:r>
          </w:p>
        </w:tc>
        <w:tc>
          <w:tcPr>
            <w:tcW w:w="1346" w:type="dxa"/>
          </w:tcPr>
          <w:p w14:paraId="52B8469D" w14:textId="77777777" w:rsidR="00D32F08" w:rsidRPr="007E689D" w:rsidRDefault="00000000">
            <w:pPr>
              <w:pStyle w:val="Compact"/>
              <w:rPr>
                <w:sz w:val="20"/>
                <w:szCs w:val="20"/>
              </w:rPr>
            </w:pPr>
            <w:r w:rsidRPr="007E689D">
              <w:rPr>
                <w:sz w:val="20"/>
                <w:szCs w:val="20"/>
              </w:rPr>
              <w:t>0.044</w:t>
            </w:r>
          </w:p>
        </w:tc>
        <w:tc>
          <w:tcPr>
            <w:tcW w:w="1346" w:type="dxa"/>
          </w:tcPr>
          <w:p w14:paraId="0279E01D" w14:textId="77777777" w:rsidR="00D32F08" w:rsidRPr="007E689D" w:rsidRDefault="00000000">
            <w:pPr>
              <w:pStyle w:val="Compact"/>
              <w:rPr>
                <w:sz w:val="20"/>
                <w:szCs w:val="20"/>
              </w:rPr>
            </w:pPr>
            <w:r w:rsidRPr="007E689D">
              <w:rPr>
                <w:sz w:val="20"/>
                <w:szCs w:val="20"/>
              </w:rPr>
              <w:t>0.583</w:t>
            </w:r>
          </w:p>
        </w:tc>
        <w:tc>
          <w:tcPr>
            <w:tcW w:w="1564" w:type="dxa"/>
          </w:tcPr>
          <w:p w14:paraId="18975B4E" w14:textId="77777777" w:rsidR="00D32F08" w:rsidRPr="007E689D" w:rsidRDefault="00000000">
            <w:pPr>
              <w:pStyle w:val="Compact"/>
              <w:rPr>
                <w:sz w:val="20"/>
                <w:szCs w:val="20"/>
              </w:rPr>
            </w:pPr>
            <w:r w:rsidRPr="007E689D">
              <w:rPr>
                <w:sz w:val="20"/>
                <w:szCs w:val="20"/>
              </w:rPr>
              <w:t>—</w:t>
            </w:r>
          </w:p>
        </w:tc>
      </w:tr>
      <w:tr w:rsidR="00D32F08" w:rsidRPr="007E689D" w14:paraId="48C4BBD6" w14:textId="77777777" w:rsidTr="007E689D">
        <w:tc>
          <w:tcPr>
            <w:tcW w:w="3369" w:type="dxa"/>
          </w:tcPr>
          <w:p w14:paraId="055D6B9E" w14:textId="77777777" w:rsidR="00D32F08" w:rsidRPr="007E689D" w:rsidRDefault="00000000">
            <w:pPr>
              <w:pStyle w:val="Compact"/>
              <w:rPr>
                <w:sz w:val="20"/>
                <w:szCs w:val="20"/>
              </w:rPr>
            </w:pPr>
            <w:r w:rsidRPr="007E689D">
              <w:rPr>
                <w:sz w:val="20"/>
                <w:szCs w:val="20"/>
              </w:rPr>
              <w:t>Log-rank: KM CPD vs PRR overall</w:t>
            </w:r>
          </w:p>
        </w:tc>
        <w:tc>
          <w:tcPr>
            <w:tcW w:w="850" w:type="dxa"/>
          </w:tcPr>
          <w:p w14:paraId="6BF64ABD" w14:textId="77777777" w:rsidR="00D32F08" w:rsidRPr="007E689D" w:rsidRDefault="00000000">
            <w:pPr>
              <w:pStyle w:val="Compact"/>
              <w:rPr>
                <w:sz w:val="20"/>
                <w:szCs w:val="20"/>
              </w:rPr>
            </w:pPr>
            <w:r w:rsidRPr="007E689D">
              <w:rPr>
                <w:sz w:val="20"/>
                <w:szCs w:val="20"/>
              </w:rPr>
              <w:t>0.71</w:t>
            </w:r>
          </w:p>
        </w:tc>
        <w:tc>
          <w:tcPr>
            <w:tcW w:w="847" w:type="dxa"/>
          </w:tcPr>
          <w:p w14:paraId="629E1ECA" w14:textId="77777777" w:rsidR="00D32F08" w:rsidRPr="007E689D" w:rsidRDefault="00000000">
            <w:pPr>
              <w:pStyle w:val="Compact"/>
              <w:rPr>
                <w:sz w:val="20"/>
                <w:szCs w:val="20"/>
              </w:rPr>
            </w:pPr>
            <w:r w:rsidRPr="007E689D">
              <w:rPr>
                <w:sz w:val="20"/>
                <w:szCs w:val="20"/>
              </w:rPr>
              <w:t>8</w:t>
            </w:r>
          </w:p>
        </w:tc>
        <w:tc>
          <w:tcPr>
            <w:tcW w:w="1346" w:type="dxa"/>
          </w:tcPr>
          <w:p w14:paraId="67101C26" w14:textId="77777777" w:rsidR="00D32F08" w:rsidRPr="007E689D" w:rsidRDefault="00000000">
            <w:pPr>
              <w:pStyle w:val="Compact"/>
              <w:rPr>
                <w:sz w:val="20"/>
                <w:szCs w:val="20"/>
              </w:rPr>
            </w:pPr>
            <w:r w:rsidRPr="007E689D">
              <w:rPr>
                <w:sz w:val="20"/>
                <w:szCs w:val="20"/>
              </w:rPr>
              <w:t>0.050</w:t>
            </w:r>
          </w:p>
        </w:tc>
        <w:tc>
          <w:tcPr>
            <w:tcW w:w="1346" w:type="dxa"/>
          </w:tcPr>
          <w:p w14:paraId="7014C5CD" w14:textId="77777777" w:rsidR="00D32F08" w:rsidRPr="007E689D" w:rsidRDefault="00000000">
            <w:pPr>
              <w:pStyle w:val="Compact"/>
              <w:rPr>
                <w:sz w:val="20"/>
                <w:szCs w:val="20"/>
              </w:rPr>
            </w:pPr>
            <w:r w:rsidRPr="007E689D">
              <w:rPr>
                <w:sz w:val="20"/>
                <w:szCs w:val="20"/>
              </w:rPr>
              <w:t>0.71</w:t>
            </w:r>
          </w:p>
        </w:tc>
        <w:tc>
          <w:tcPr>
            <w:tcW w:w="1564" w:type="dxa"/>
          </w:tcPr>
          <w:p w14:paraId="67F54E2B" w14:textId="77777777" w:rsidR="00D32F08" w:rsidRPr="007E689D" w:rsidRDefault="00000000">
            <w:pPr>
              <w:pStyle w:val="Compact"/>
              <w:rPr>
                <w:sz w:val="20"/>
                <w:szCs w:val="20"/>
              </w:rPr>
            </w:pPr>
            <w:r w:rsidRPr="007E689D">
              <w:rPr>
                <w:sz w:val="20"/>
                <w:szCs w:val="20"/>
              </w:rPr>
              <w:t>—</w:t>
            </w:r>
          </w:p>
        </w:tc>
      </w:tr>
    </w:tbl>
    <w:p w14:paraId="3E66D004" w14:textId="77777777" w:rsidR="00D32F08" w:rsidRDefault="00000000">
      <w:pPr>
        <w:pStyle w:val="BodyText"/>
      </w:pPr>
      <w:r>
        <w:t>Five of eight tests survive BH-FDR control at q = 0.05. The pre-registered H4 directional secondary survives against both DPA comparators.</w:t>
      </w:r>
    </w:p>
    <w:p w14:paraId="09470A0A" w14:textId="77777777" w:rsidR="00D32F08" w:rsidRDefault="00000000">
      <w:pPr>
        <w:pStyle w:val="Heading3"/>
      </w:pPr>
      <w:bookmarkStart w:id="23" w:name="X16dc6fb4d311d12601fcb7cd85cb2ec2cd07022"/>
      <w:bookmarkEnd w:id="22"/>
      <w:r>
        <w:t>eTable S14. Truncation-aware null simulation for the widening detection gap</w:t>
      </w:r>
    </w:p>
    <w:tbl>
      <w:tblPr>
        <w:tblStyle w:val="Table"/>
        <w:tblW w:w="4833" w:type="pct"/>
        <w:tblLayout w:type="fixed"/>
        <w:tblLook w:val="0020" w:firstRow="1" w:lastRow="0" w:firstColumn="0" w:lastColumn="0" w:noHBand="0" w:noVBand="0"/>
      </w:tblPr>
      <w:tblGrid>
        <w:gridCol w:w="2595"/>
        <w:gridCol w:w="846"/>
        <w:gridCol w:w="709"/>
        <w:gridCol w:w="1352"/>
        <w:gridCol w:w="974"/>
        <w:gridCol w:w="1428"/>
        <w:gridCol w:w="1352"/>
      </w:tblGrid>
      <w:tr w:rsidR="00D32F08" w:rsidRPr="007E689D" w14:paraId="7936E865" w14:textId="77777777" w:rsidTr="007E689D">
        <w:trPr>
          <w:cnfStyle w:val="100000000000" w:firstRow="1" w:lastRow="0" w:firstColumn="0" w:lastColumn="0" w:oddVBand="0" w:evenVBand="0" w:oddHBand="0" w:evenHBand="0" w:firstRowFirstColumn="0" w:firstRowLastColumn="0" w:lastRowFirstColumn="0" w:lastRowLastColumn="0"/>
          <w:tblHeader/>
        </w:trPr>
        <w:tc>
          <w:tcPr>
            <w:tcW w:w="2596" w:type="dxa"/>
          </w:tcPr>
          <w:p w14:paraId="0558DA48" w14:textId="77777777" w:rsidR="00D32F08" w:rsidRPr="007E689D" w:rsidRDefault="00000000">
            <w:pPr>
              <w:pStyle w:val="Compact"/>
              <w:rPr>
                <w:sz w:val="20"/>
                <w:szCs w:val="20"/>
              </w:rPr>
            </w:pPr>
            <w:r w:rsidRPr="007E689D">
              <w:rPr>
                <w:sz w:val="20"/>
                <w:szCs w:val="20"/>
              </w:rPr>
              <w:t>Model</w:t>
            </w:r>
          </w:p>
        </w:tc>
        <w:tc>
          <w:tcPr>
            <w:tcW w:w="846" w:type="dxa"/>
          </w:tcPr>
          <w:p w14:paraId="3CBABBEC" w14:textId="77777777" w:rsidR="00D32F08" w:rsidRPr="007E689D" w:rsidRDefault="00000000">
            <w:pPr>
              <w:pStyle w:val="Compact"/>
              <w:rPr>
                <w:sz w:val="20"/>
                <w:szCs w:val="20"/>
              </w:rPr>
            </w:pPr>
            <w:r w:rsidRPr="007E689D">
              <w:rPr>
                <w:sz w:val="20"/>
                <w:szCs w:val="20"/>
              </w:rPr>
              <w:t>n pairs</w:t>
            </w:r>
          </w:p>
        </w:tc>
        <w:tc>
          <w:tcPr>
            <w:tcW w:w="709" w:type="dxa"/>
          </w:tcPr>
          <w:p w14:paraId="62C81650" w14:textId="77777777" w:rsidR="00D32F08" w:rsidRPr="007E689D" w:rsidRDefault="00000000">
            <w:pPr>
              <w:pStyle w:val="Compact"/>
              <w:rPr>
                <w:sz w:val="20"/>
                <w:szCs w:val="20"/>
              </w:rPr>
            </w:pPr>
            <w:r w:rsidRPr="007E689D">
              <w:rPr>
                <w:sz w:val="20"/>
                <w:szCs w:val="20"/>
              </w:rPr>
              <w:t>rho</w:t>
            </w:r>
          </w:p>
        </w:tc>
        <w:tc>
          <w:tcPr>
            <w:tcW w:w="1352" w:type="dxa"/>
          </w:tcPr>
          <w:p w14:paraId="310CE324" w14:textId="77777777" w:rsidR="00D32F08" w:rsidRPr="007E689D" w:rsidRDefault="00000000">
            <w:pPr>
              <w:pStyle w:val="Compact"/>
              <w:rPr>
                <w:sz w:val="20"/>
                <w:szCs w:val="20"/>
              </w:rPr>
            </w:pPr>
            <w:r w:rsidRPr="007E689D">
              <w:rPr>
                <w:sz w:val="20"/>
                <w:szCs w:val="20"/>
              </w:rPr>
              <w:t>Two-sided p</w:t>
            </w:r>
          </w:p>
        </w:tc>
        <w:tc>
          <w:tcPr>
            <w:tcW w:w="974" w:type="dxa"/>
          </w:tcPr>
          <w:p w14:paraId="56729B04" w14:textId="77777777" w:rsidR="00D32F08" w:rsidRPr="007E689D" w:rsidRDefault="00000000">
            <w:pPr>
              <w:pStyle w:val="Compact"/>
              <w:rPr>
                <w:sz w:val="20"/>
                <w:szCs w:val="20"/>
              </w:rPr>
            </w:pPr>
            <w:r w:rsidRPr="007E689D">
              <w:rPr>
                <w:sz w:val="20"/>
                <w:szCs w:val="20"/>
              </w:rPr>
              <w:t>Null mean rho</w:t>
            </w:r>
          </w:p>
        </w:tc>
        <w:tc>
          <w:tcPr>
            <w:tcW w:w="1428" w:type="dxa"/>
          </w:tcPr>
          <w:p w14:paraId="05B1D87A" w14:textId="77777777" w:rsidR="00D32F08" w:rsidRPr="007E689D" w:rsidRDefault="00000000">
            <w:pPr>
              <w:pStyle w:val="Compact"/>
              <w:rPr>
                <w:sz w:val="20"/>
                <w:szCs w:val="20"/>
              </w:rPr>
            </w:pPr>
            <w:r w:rsidRPr="007E689D">
              <w:rPr>
                <w:sz w:val="20"/>
                <w:szCs w:val="20"/>
              </w:rPr>
              <w:t>Null 95% interval</w:t>
            </w:r>
          </w:p>
        </w:tc>
        <w:tc>
          <w:tcPr>
            <w:tcW w:w="1352" w:type="dxa"/>
          </w:tcPr>
          <w:p w14:paraId="12CA62A4" w14:textId="77777777" w:rsidR="00D32F08" w:rsidRPr="007E689D" w:rsidRDefault="00000000">
            <w:pPr>
              <w:pStyle w:val="Compact"/>
              <w:rPr>
                <w:sz w:val="20"/>
                <w:szCs w:val="20"/>
              </w:rPr>
            </w:pPr>
            <w:r w:rsidRPr="007E689D">
              <w:rPr>
                <w:sz w:val="20"/>
                <w:szCs w:val="20"/>
              </w:rPr>
              <w:t>Tail p (one-sided)</w:t>
            </w:r>
          </w:p>
        </w:tc>
      </w:tr>
      <w:tr w:rsidR="00D32F08" w:rsidRPr="007E689D" w14:paraId="4B6E155B" w14:textId="77777777" w:rsidTr="007E689D">
        <w:tc>
          <w:tcPr>
            <w:tcW w:w="2596" w:type="dxa"/>
          </w:tcPr>
          <w:p w14:paraId="4A7E5B15" w14:textId="77777777" w:rsidR="00D32F08" w:rsidRPr="007E689D" w:rsidRDefault="00000000">
            <w:pPr>
              <w:pStyle w:val="Compact"/>
              <w:rPr>
                <w:sz w:val="20"/>
                <w:szCs w:val="20"/>
              </w:rPr>
            </w:pPr>
            <w:r w:rsidRPr="007E689D">
              <w:rPr>
                <w:sz w:val="20"/>
                <w:szCs w:val="20"/>
              </w:rPr>
              <w:t>Observed</w:t>
            </w:r>
          </w:p>
        </w:tc>
        <w:tc>
          <w:tcPr>
            <w:tcW w:w="846" w:type="dxa"/>
          </w:tcPr>
          <w:p w14:paraId="6C792026" w14:textId="77777777" w:rsidR="00D32F08" w:rsidRPr="007E689D" w:rsidRDefault="00000000">
            <w:pPr>
              <w:pStyle w:val="Compact"/>
              <w:rPr>
                <w:sz w:val="20"/>
                <w:szCs w:val="20"/>
              </w:rPr>
            </w:pPr>
            <w:r w:rsidRPr="007E689D">
              <w:rPr>
                <w:sz w:val="20"/>
                <w:szCs w:val="20"/>
              </w:rPr>
              <w:t>20</w:t>
            </w:r>
          </w:p>
        </w:tc>
        <w:tc>
          <w:tcPr>
            <w:tcW w:w="709" w:type="dxa"/>
          </w:tcPr>
          <w:p w14:paraId="7DD344BE" w14:textId="77777777" w:rsidR="00D32F08" w:rsidRPr="007E689D" w:rsidRDefault="00000000">
            <w:pPr>
              <w:pStyle w:val="Compact"/>
              <w:rPr>
                <w:sz w:val="20"/>
                <w:szCs w:val="20"/>
              </w:rPr>
            </w:pPr>
            <w:r w:rsidRPr="007E689D">
              <w:rPr>
                <w:sz w:val="20"/>
                <w:szCs w:val="20"/>
              </w:rPr>
              <w:t>0.70</w:t>
            </w:r>
          </w:p>
        </w:tc>
        <w:tc>
          <w:tcPr>
            <w:tcW w:w="1352" w:type="dxa"/>
          </w:tcPr>
          <w:p w14:paraId="2D011F71" w14:textId="77777777" w:rsidR="00D32F08" w:rsidRPr="007E689D" w:rsidRDefault="00000000">
            <w:pPr>
              <w:pStyle w:val="Compact"/>
              <w:rPr>
                <w:sz w:val="20"/>
                <w:szCs w:val="20"/>
              </w:rPr>
            </w:pPr>
            <w:r w:rsidRPr="007E689D">
              <w:rPr>
                <w:sz w:val="20"/>
                <w:szCs w:val="20"/>
              </w:rPr>
              <w:t>&lt;0.001</w:t>
            </w:r>
          </w:p>
        </w:tc>
        <w:tc>
          <w:tcPr>
            <w:tcW w:w="974" w:type="dxa"/>
          </w:tcPr>
          <w:p w14:paraId="1F1FF39E" w14:textId="77777777" w:rsidR="00D32F08" w:rsidRPr="007E689D" w:rsidRDefault="00000000">
            <w:pPr>
              <w:pStyle w:val="Compact"/>
              <w:rPr>
                <w:sz w:val="20"/>
                <w:szCs w:val="20"/>
              </w:rPr>
            </w:pPr>
            <w:r w:rsidRPr="007E689D">
              <w:rPr>
                <w:sz w:val="20"/>
                <w:szCs w:val="20"/>
              </w:rPr>
              <w:t>—</w:t>
            </w:r>
          </w:p>
        </w:tc>
        <w:tc>
          <w:tcPr>
            <w:tcW w:w="1428" w:type="dxa"/>
          </w:tcPr>
          <w:p w14:paraId="27D1A567" w14:textId="77777777" w:rsidR="00D32F08" w:rsidRPr="007E689D" w:rsidRDefault="00000000">
            <w:pPr>
              <w:pStyle w:val="Compact"/>
              <w:rPr>
                <w:sz w:val="20"/>
                <w:szCs w:val="20"/>
              </w:rPr>
            </w:pPr>
            <w:r w:rsidRPr="007E689D">
              <w:rPr>
                <w:sz w:val="20"/>
                <w:szCs w:val="20"/>
              </w:rPr>
              <w:t>—</w:t>
            </w:r>
          </w:p>
        </w:tc>
        <w:tc>
          <w:tcPr>
            <w:tcW w:w="1352" w:type="dxa"/>
          </w:tcPr>
          <w:p w14:paraId="30C33251" w14:textId="77777777" w:rsidR="00D32F08" w:rsidRPr="007E689D" w:rsidRDefault="00000000">
            <w:pPr>
              <w:pStyle w:val="Compact"/>
              <w:rPr>
                <w:sz w:val="20"/>
                <w:szCs w:val="20"/>
              </w:rPr>
            </w:pPr>
            <w:r w:rsidRPr="007E689D">
              <w:rPr>
                <w:sz w:val="20"/>
                <w:szCs w:val="20"/>
              </w:rPr>
              <w:t>—</w:t>
            </w:r>
          </w:p>
        </w:tc>
      </w:tr>
      <w:tr w:rsidR="00D32F08" w:rsidRPr="007E689D" w14:paraId="73620C3F" w14:textId="77777777" w:rsidTr="007E689D">
        <w:tc>
          <w:tcPr>
            <w:tcW w:w="2596" w:type="dxa"/>
          </w:tcPr>
          <w:p w14:paraId="59362C48" w14:textId="77777777" w:rsidR="00D32F08" w:rsidRPr="007E689D" w:rsidRDefault="00000000">
            <w:pPr>
              <w:pStyle w:val="Compact"/>
              <w:rPr>
                <w:sz w:val="20"/>
                <w:szCs w:val="20"/>
              </w:rPr>
            </w:pPr>
            <w:r w:rsidRPr="007E689D">
              <w:rPr>
                <w:sz w:val="20"/>
                <w:szCs w:val="20"/>
              </w:rPr>
              <w:t>Null 1: permuted leads (no truncation correction)</w:t>
            </w:r>
          </w:p>
        </w:tc>
        <w:tc>
          <w:tcPr>
            <w:tcW w:w="846" w:type="dxa"/>
          </w:tcPr>
          <w:p w14:paraId="0E4DB966" w14:textId="77777777" w:rsidR="00D32F08" w:rsidRPr="007E689D" w:rsidRDefault="00000000">
            <w:pPr>
              <w:pStyle w:val="Compact"/>
              <w:rPr>
                <w:sz w:val="20"/>
                <w:szCs w:val="20"/>
              </w:rPr>
            </w:pPr>
            <w:r w:rsidRPr="007E689D">
              <w:rPr>
                <w:sz w:val="20"/>
                <w:szCs w:val="20"/>
              </w:rPr>
              <w:t>20</w:t>
            </w:r>
          </w:p>
        </w:tc>
        <w:tc>
          <w:tcPr>
            <w:tcW w:w="709" w:type="dxa"/>
          </w:tcPr>
          <w:p w14:paraId="56CE3F77" w14:textId="77777777" w:rsidR="00D32F08" w:rsidRPr="007E689D" w:rsidRDefault="00000000">
            <w:pPr>
              <w:pStyle w:val="Compact"/>
              <w:rPr>
                <w:sz w:val="20"/>
                <w:szCs w:val="20"/>
              </w:rPr>
            </w:pPr>
            <w:r w:rsidRPr="007E689D">
              <w:rPr>
                <w:sz w:val="20"/>
                <w:szCs w:val="20"/>
              </w:rPr>
              <w:t>—</w:t>
            </w:r>
          </w:p>
        </w:tc>
        <w:tc>
          <w:tcPr>
            <w:tcW w:w="1352" w:type="dxa"/>
          </w:tcPr>
          <w:p w14:paraId="4165A806" w14:textId="77777777" w:rsidR="00D32F08" w:rsidRPr="007E689D" w:rsidRDefault="00000000">
            <w:pPr>
              <w:pStyle w:val="Compact"/>
              <w:rPr>
                <w:sz w:val="20"/>
                <w:szCs w:val="20"/>
              </w:rPr>
            </w:pPr>
            <w:r w:rsidRPr="007E689D">
              <w:rPr>
                <w:sz w:val="20"/>
                <w:szCs w:val="20"/>
              </w:rPr>
              <w:t>—</w:t>
            </w:r>
          </w:p>
        </w:tc>
        <w:tc>
          <w:tcPr>
            <w:tcW w:w="974" w:type="dxa"/>
          </w:tcPr>
          <w:p w14:paraId="73EBC851" w14:textId="77777777" w:rsidR="00D32F08" w:rsidRPr="007E689D" w:rsidRDefault="00000000">
            <w:pPr>
              <w:pStyle w:val="Compact"/>
              <w:rPr>
                <w:sz w:val="20"/>
                <w:szCs w:val="20"/>
              </w:rPr>
            </w:pPr>
            <w:r w:rsidRPr="007E689D">
              <w:rPr>
                <w:sz w:val="20"/>
                <w:szCs w:val="20"/>
              </w:rPr>
              <w:t>-0.00</w:t>
            </w:r>
          </w:p>
        </w:tc>
        <w:tc>
          <w:tcPr>
            <w:tcW w:w="1428" w:type="dxa"/>
          </w:tcPr>
          <w:p w14:paraId="3770B8F9" w14:textId="77777777" w:rsidR="00D32F08" w:rsidRPr="007E689D" w:rsidRDefault="00000000">
            <w:pPr>
              <w:pStyle w:val="Compact"/>
              <w:rPr>
                <w:sz w:val="20"/>
                <w:szCs w:val="20"/>
              </w:rPr>
            </w:pPr>
            <w:r w:rsidRPr="007E689D">
              <w:rPr>
                <w:sz w:val="20"/>
                <w:szCs w:val="20"/>
              </w:rPr>
              <w:t>-0.45 to +0.44</w:t>
            </w:r>
          </w:p>
        </w:tc>
        <w:tc>
          <w:tcPr>
            <w:tcW w:w="1352" w:type="dxa"/>
          </w:tcPr>
          <w:p w14:paraId="7A74F182" w14:textId="77777777" w:rsidR="00D32F08" w:rsidRPr="007E689D" w:rsidRDefault="00000000">
            <w:pPr>
              <w:pStyle w:val="Compact"/>
              <w:rPr>
                <w:sz w:val="20"/>
                <w:szCs w:val="20"/>
              </w:rPr>
            </w:pPr>
            <w:r w:rsidRPr="007E689D">
              <w:rPr>
                <w:sz w:val="20"/>
                <w:szCs w:val="20"/>
              </w:rPr>
              <w:t>0.0004</w:t>
            </w:r>
          </w:p>
        </w:tc>
      </w:tr>
      <w:tr w:rsidR="00D32F08" w:rsidRPr="007E689D" w14:paraId="61C2C34B" w14:textId="77777777" w:rsidTr="007E689D">
        <w:tc>
          <w:tcPr>
            <w:tcW w:w="2596" w:type="dxa"/>
          </w:tcPr>
          <w:p w14:paraId="137CCF31" w14:textId="77777777" w:rsidR="00D32F08" w:rsidRPr="007E689D" w:rsidRDefault="00000000">
            <w:pPr>
              <w:pStyle w:val="Compact"/>
              <w:rPr>
                <w:sz w:val="20"/>
                <w:szCs w:val="20"/>
              </w:rPr>
            </w:pPr>
            <w:r w:rsidRPr="007E689D">
              <w:rPr>
                <w:sz w:val="20"/>
                <w:szCs w:val="20"/>
              </w:rPr>
              <w:t>Null 2: truncation-aware (gaps capped at max-observable)</w:t>
            </w:r>
          </w:p>
        </w:tc>
        <w:tc>
          <w:tcPr>
            <w:tcW w:w="846" w:type="dxa"/>
          </w:tcPr>
          <w:p w14:paraId="3625397B" w14:textId="77777777" w:rsidR="00D32F08" w:rsidRPr="007E689D" w:rsidRDefault="00000000">
            <w:pPr>
              <w:pStyle w:val="Compact"/>
              <w:rPr>
                <w:sz w:val="20"/>
                <w:szCs w:val="20"/>
              </w:rPr>
            </w:pPr>
            <w:r w:rsidRPr="007E689D">
              <w:rPr>
                <w:sz w:val="20"/>
                <w:szCs w:val="20"/>
              </w:rPr>
              <w:t>20</w:t>
            </w:r>
          </w:p>
        </w:tc>
        <w:tc>
          <w:tcPr>
            <w:tcW w:w="709" w:type="dxa"/>
          </w:tcPr>
          <w:p w14:paraId="4D1B03BE" w14:textId="77777777" w:rsidR="00D32F08" w:rsidRPr="007E689D" w:rsidRDefault="00000000">
            <w:pPr>
              <w:pStyle w:val="Compact"/>
              <w:rPr>
                <w:sz w:val="20"/>
                <w:szCs w:val="20"/>
              </w:rPr>
            </w:pPr>
            <w:r w:rsidRPr="007E689D">
              <w:rPr>
                <w:sz w:val="20"/>
                <w:szCs w:val="20"/>
              </w:rPr>
              <w:t>—</w:t>
            </w:r>
          </w:p>
        </w:tc>
        <w:tc>
          <w:tcPr>
            <w:tcW w:w="1352" w:type="dxa"/>
          </w:tcPr>
          <w:p w14:paraId="206B649F" w14:textId="77777777" w:rsidR="00D32F08" w:rsidRPr="007E689D" w:rsidRDefault="00000000">
            <w:pPr>
              <w:pStyle w:val="Compact"/>
              <w:rPr>
                <w:sz w:val="20"/>
                <w:szCs w:val="20"/>
              </w:rPr>
            </w:pPr>
            <w:r w:rsidRPr="007E689D">
              <w:rPr>
                <w:sz w:val="20"/>
                <w:szCs w:val="20"/>
              </w:rPr>
              <w:t>—</w:t>
            </w:r>
          </w:p>
        </w:tc>
        <w:tc>
          <w:tcPr>
            <w:tcW w:w="974" w:type="dxa"/>
          </w:tcPr>
          <w:p w14:paraId="52FFDE02" w14:textId="77777777" w:rsidR="00D32F08" w:rsidRPr="007E689D" w:rsidRDefault="00000000">
            <w:pPr>
              <w:pStyle w:val="Compact"/>
              <w:rPr>
                <w:sz w:val="20"/>
                <w:szCs w:val="20"/>
              </w:rPr>
            </w:pPr>
            <w:r w:rsidRPr="007E689D">
              <w:rPr>
                <w:sz w:val="20"/>
                <w:szCs w:val="20"/>
              </w:rPr>
              <w:t>+0.31</w:t>
            </w:r>
          </w:p>
        </w:tc>
        <w:tc>
          <w:tcPr>
            <w:tcW w:w="1428" w:type="dxa"/>
          </w:tcPr>
          <w:p w14:paraId="3CF4E00C" w14:textId="77777777" w:rsidR="00D32F08" w:rsidRPr="007E689D" w:rsidRDefault="00000000">
            <w:pPr>
              <w:pStyle w:val="Compact"/>
              <w:rPr>
                <w:sz w:val="20"/>
                <w:szCs w:val="20"/>
              </w:rPr>
            </w:pPr>
            <w:r w:rsidRPr="007E689D">
              <w:rPr>
                <w:sz w:val="20"/>
                <w:szCs w:val="20"/>
              </w:rPr>
              <w:t>-0.12 to +0.67</w:t>
            </w:r>
          </w:p>
        </w:tc>
        <w:tc>
          <w:tcPr>
            <w:tcW w:w="1352" w:type="dxa"/>
          </w:tcPr>
          <w:p w14:paraId="194406BA" w14:textId="77777777" w:rsidR="00D32F08" w:rsidRPr="007E689D" w:rsidRDefault="00000000">
            <w:pPr>
              <w:pStyle w:val="Compact"/>
              <w:rPr>
                <w:sz w:val="20"/>
                <w:szCs w:val="20"/>
              </w:rPr>
            </w:pPr>
            <w:r w:rsidRPr="007E689D">
              <w:rPr>
                <w:sz w:val="20"/>
                <w:szCs w:val="20"/>
              </w:rPr>
              <w:t>0.014</w:t>
            </w:r>
          </w:p>
        </w:tc>
      </w:tr>
      <w:tr w:rsidR="00D32F08" w:rsidRPr="007E689D" w14:paraId="2BC38B1C" w14:textId="77777777" w:rsidTr="007E689D">
        <w:tc>
          <w:tcPr>
            <w:tcW w:w="2596" w:type="dxa"/>
          </w:tcPr>
          <w:p w14:paraId="07CAF728" w14:textId="77777777" w:rsidR="00D32F08" w:rsidRPr="007E689D" w:rsidRDefault="00000000">
            <w:pPr>
              <w:pStyle w:val="Compact"/>
              <w:rPr>
                <w:sz w:val="20"/>
                <w:szCs w:val="20"/>
              </w:rPr>
            </w:pPr>
            <w:r w:rsidRPr="007E689D">
              <w:rPr>
                <w:sz w:val="20"/>
                <w:szCs w:val="20"/>
              </w:rPr>
              <w:t>Restricted: drugs entered DAEN ≥ 2004 with ≥ 8q pre-action observation</w:t>
            </w:r>
          </w:p>
        </w:tc>
        <w:tc>
          <w:tcPr>
            <w:tcW w:w="846" w:type="dxa"/>
          </w:tcPr>
          <w:p w14:paraId="10786405" w14:textId="77777777" w:rsidR="00D32F08" w:rsidRPr="007E689D" w:rsidRDefault="00000000">
            <w:pPr>
              <w:pStyle w:val="Compact"/>
              <w:rPr>
                <w:sz w:val="20"/>
                <w:szCs w:val="20"/>
              </w:rPr>
            </w:pPr>
            <w:r w:rsidRPr="007E689D">
              <w:rPr>
                <w:sz w:val="20"/>
                <w:szCs w:val="20"/>
              </w:rPr>
              <w:t>20</w:t>
            </w:r>
          </w:p>
        </w:tc>
        <w:tc>
          <w:tcPr>
            <w:tcW w:w="709" w:type="dxa"/>
          </w:tcPr>
          <w:p w14:paraId="75A1C6EA" w14:textId="77777777" w:rsidR="00D32F08" w:rsidRPr="007E689D" w:rsidRDefault="00000000">
            <w:pPr>
              <w:pStyle w:val="Compact"/>
              <w:rPr>
                <w:sz w:val="20"/>
                <w:szCs w:val="20"/>
              </w:rPr>
            </w:pPr>
            <w:r w:rsidRPr="007E689D">
              <w:rPr>
                <w:sz w:val="20"/>
                <w:szCs w:val="20"/>
              </w:rPr>
              <w:t>0.70</w:t>
            </w:r>
          </w:p>
        </w:tc>
        <w:tc>
          <w:tcPr>
            <w:tcW w:w="1352" w:type="dxa"/>
          </w:tcPr>
          <w:p w14:paraId="5A58FA90" w14:textId="77777777" w:rsidR="00D32F08" w:rsidRPr="007E689D" w:rsidRDefault="00000000">
            <w:pPr>
              <w:pStyle w:val="Compact"/>
              <w:rPr>
                <w:sz w:val="20"/>
                <w:szCs w:val="20"/>
              </w:rPr>
            </w:pPr>
            <w:r w:rsidRPr="007E689D">
              <w:rPr>
                <w:sz w:val="20"/>
                <w:szCs w:val="20"/>
              </w:rPr>
              <w:t>&lt;0.001</w:t>
            </w:r>
          </w:p>
        </w:tc>
        <w:tc>
          <w:tcPr>
            <w:tcW w:w="974" w:type="dxa"/>
          </w:tcPr>
          <w:p w14:paraId="22915462" w14:textId="77777777" w:rsidR="00D32F08" w:rsidRPr="007E689D" w:rsidRDefault="00000000">
            <w:pPr>
              <w:pStyle w:val="Compact"/>
              <w:rPr>
                <w:sz w:val="20"/>
                <w:szCs w:val="20"/>
              </w:rPr>
            </w:pPr>
            <w:r w:rsidRPr="007E689D">
              <w:rPr>
                <w:sz w:val="20"/>
                <w:szCs w:val="20"/>
              </w:rPr>
              <w:t>—</w:t>
            </w:r>
          </w:p>
        </w:tc>
        <w:tc>
          <w:tcPr>
            <w:tcW w:w="1428" w:type="dxa"/>
          </w:tcPr>
          <w:p w14:paraId="3C5F06EC" w14:textId="77777777" w:rsidR="00D32F08" w:rsidRPr="007E689D" w:rsidRDefault="00000000">
            <w:pPr>
              <w:pStyle w:val="Compact"/>
              <w:rPr>
                <w:sz w:val="20"/>
                <w:szCs w:val="20"/>
              </w:rPr>
            </w:pPr>
            <w:r w:rsidRPr="007E689D">
              <w:rPr>
                <w:sz w:val="20"/>
                <w:szCs w:val="20"/>
              </w:rPr>
              <w:t>—</w:t>
            </w:r>
          </w:p>
        </w:tc>
        <w:tc>
          <w:tcPr>
            <w:tcW w:w="1352" w:type="dxa"/>
          </w:tcPr>
          <w:p w14:paraId="249964FA" w14:textId="77777777" w:rsidR="00D32F08" w:rsidRPr="007E689D" w:rsidRDefault="00000000">
            <w:pPr>
              <w:pStyle w:val="Compact"/>
              <w:rPr>
                <w:sz w:val="20"/>
                <w:szCs w:val="20"/>
              </w:rPr>
            </w:pPr>
            <w:r w:rsidRPr="007E689D">
              <w:rPr>
                <w:sz w:val="20"/>
                <w:szCs w:val="20"/>
              </w:rPr>
              <w:t>—</w:t>
            </w:r>
          </w:p>
        </w:tc>
      </w:tr>
    </w:tbl>
    <w:p w14:paraId="07BC852C" w14:textId="2E6E9305" w:rsidR="00D32F08" w:rsidRDefault="00000000">
      <w:pPr>
        <w:pStyle w:val="BodyText"/>
      </w:pPr>
      <w:r>
        <w:t>Interpretation in main text §3.7 and §4.1</w:t>
      </w:r>
      <w:r w:rsidR="007E689D">
        <w:t>:</w:t>
      </w:r>
      <w:r>
        <w:t xml:space="preserve"> The observed rho exceeds both nulls, but the truncation-aware null has an expected rho of +0.31 (not zero), so a substantial portion of the apparent correlation is structurally expected under stationary regulatory response. Spearman rank correlations are not additively decomposable, so we do not present a precise variance decomposition; the qualitative conclusion is that the bare rho = 0.70 overstates the underlying signal, and the residual association (p_null2 = 0.014) is real but small. We frame this as hypothesis-generating, not confirmatory.</w:t>
      </w:r>
    </w:p>
    <w:p w14:paraId="0800B08B" w14:textId="77777777" w:rsidR="007E689D" w:rsidRDefault="007E689D">
      <w:pPr>
        <w:pStyle w:val="Heading3"/>
        <w:sectPr w:rsidR="007E689D">
          <w:footnotePr>
            <w:numRestart w:val="eachSect"/>
          </w:footnotePr>
          <w:pgSz w:w="12240" w:h="15840"/>
          <w:pgMar w:top="1440" w:right="1440" w:bottom="1440" w:left="1440" w:header="720" w:footer="720" w:gutter="0"/>
          <w:cols w:space="720"/>
        </w:sectPr>
      </w:pPr>
      <w:bookmarkStart w:id="24" w:name="X97433ab4e404774fe8f97d42aa9a35b38f60137"/>
      <w:bookmarkEnd w:id="23"/>
    </w:p>
    <w:p w14:paraId="664D8DD9" w14:textId="77777777" w:rsidR="00D32F08" w:rsidRDefault="00000000">
      <w:pPr>
        <w:pStyle w:val="Heading3"/>
      </w:pPr>
      <w:r>
        <w:lastRenderedPageBreak/>
        <w:t>eTable S15. CPD vs rolling BCPNN-IC (post hoc shrinkage comparator)</w:t>
      </w:r>
    </w:p>
    <w:p w14:paraId="4847A5C2" w14:textId="77777777" w:rsidR="00D32F08" w:rsidRDefault="00000000">
      <w:pPr>
        <w:pStyle w:val="FirstParagraph"/>
      </w:pPr>
      <w:r>
        <w:t>Rolling BCPNN-IC computed at end of each quarter using cumulative 2×2 cell counts (Bate 1998 IC and Var(IC)). Signal: IC025 = IC − 1.96·√Var(IC) &gt; 0 AND cumulative drug-AE count ≥ 3 (matching the rolling-PRR trigger threshold for fair comparison).</w:t>
      </w:r>
    </w:p>
    <w:tbl>
      <w:tblPr>
        <w:tblStyle w:val="Table"/>
        <w:tblW w:w="4865" w:type="pct"/>
        <w:tblLayout w:type="fixed"/>
        <w:tblLook w:val="0020" w:firstRow="1" w:lastRow="0" w:firstColumn="0" w:lastColumn="0" w:noHBand="0" w:noVBand="0"/>
      </w:tblPr>
      <w:tblGrid>
        <w:gridCol w:w="2669"/>
        <w:gridCol w:w="2969"/>
        <w:gridCol w:w="1197"/>
        <w:gridCol w:w="1197"/>
        <w:gridCol w:w="1197"/>
        <w:gridCol w:w="1197"/>
        <w:gridCol w:w="1197"/>
        <w:gridCol w:w="1197"/>
      </w:tblGrid>
      <w:tr w:rsidR="00D32F08" w:rsidRPr="007E689D" w14:paraId="256AB02D" w14:textId="77777777" w:rsidTr="007E689D">
        <w:trPr>
          <w:cnfStyle w:val="100000000000" w:firstRow="1" w:lastRow="0" w:firstColumn="0" w:lastColumn="0" w:oddVBand="0" w:evenVBand="0" w:oddHBand="0" w:evenHBand="0" w:firstRowFirstColumn="0" w:firstRowLastColumn="0" w:lastRowFirstColumn="0" w:lastRowLastColumn="0"/>
          <w:tblHeader/>
        </w:trPr>
        <w:tc>
          <w:tcPr>
            <w:tcW w:w="2668" w:type="dxa"/>
          </w:tcPr>
          <w:p w14:paraId="7FAEDAD7" w14:textId="77777777" w:rsidR="00D32F08" w:rsidRPr="007E689D" w:rsidRDefault="00000000">
            <w:pPr>
              <w:pStyle w:val="Compact"/>
              <w:rPr>
                <w:sz w:val="20"/>
                <w:szCs w:val="20"/>
              </w:rPr>
            </w:pPr>
            <w:r w:rsidRPr="007E689D">
              <w:rPr>
                <w:sz w:val="20"/>
                <w:szCs w:val="20"/>
              </w:rPr>
              <w:t>Contrast (Wilcoxon paired, two-sided)</w:t>
            </w:r>
          </w:p>
        </w:tc>
        <w:tc>
          <w:tcPr>
            <w:tcW w:w="2969" w:type="dxa"/>
          </w:tcPr>
          <w:p w14:paraId="720E625D" w14:textId="77777777" w:rsidR="00D32F08" w:rsidRPr="007E689D" w:rsidRDefault="00000000">
            <w:pPr>
              <w:pStyle w:val="Compact"/>
              <w:rPr>
                <w:sz w:val="20"/>
                <w:szCs w:val="20"/>
              </w:rPr>
            </w:pPr>
            <w:r w:rsidRPr="007E689D">
              <w:rPr>
                <w:sz w:val="20"/>
                <w:szCs w:val="20"/>
              </w:rPr>
              <w:t>n</w:t>
            </w:r>
          </w:p>
        </w:tc>
        <w:tc>
          <w:tcPr>
            <w:tcW w:w="1197" w:type="dxa"/>
          </w:tcPr>
          <w:p w14:paraId="2CE07828" w14:textId="77777777" w:rsidR="00D32F08" w:rsidRPr="007E689D" w:rsidRDefault="00000000">
            <w:pPr>
              <w:pStyle w:val="Compact"/>
              <w:rPr>
                <w:sz w:val="20"/>
                <w:szCs w:val="20"/>
              </w:rPr>
            </w:pPr>
            <w:r w:rsidRPr="007E689D">
              <w:rPr>
                <w:sz w:val="20"/>
                <w:szCs w:val="20"/>
              </w:rPr>
              <w:t>Method-A earlier</w:t>
            </w:r>
          </w:p>
        </w:tc>
        <w:tc>
          <w:tcPr>
            <w:tcW w:w="1197" w:type="dxa"/>
          </w:tcPr>
          <w:p w14:paraId="3A6E5F70" w14:textId="77777777" w:rsidR="00D32F08" w:rsidRPr="007E689D" w:rsidRDefault="00000000">
            <w:pPr>
              <w:pStyle w:val="Compact"/>
              <w:rPr>
                <w:sz w:val="20"/>
                <w:szCs w:val="20"/>
              </w:rPr>
            </w:pPr>
            <w:r w:rsidRPr="007E689D">
              <w:rPr>
                <w:sz w:val="20"/>
                <w:szCs w:val="20"/>
              </w:rPr>
              <w:t>Method-B earlier</w:t>
            </w:r>
          </w:p>
        </w:tc>
        <w:tc>
          <w:tcPr>
            <w:tcW w:w="1197" w:type="dxa"/>
          </w:tcPr>
          <w:p w14:paraId="37501B69" w14:textId="77777777" w:rsidR="00D32F08" w:rsidRPr="007E689D" w:rsidRDefault="00000000">
            <w:pPr>
              <w:pStyle w:val="Compact"/>
              <w:rPr>
                <w:sz w:val="20"/>
                <w:szCs w:val="20"/>
              </w:rPr>
            </w:pPr>
            <w:r w:rsidRPr="007E689D">
              <w:rPr>
                <w:sz w:val="20"/>
                <w:szCs w:val="20"/>
              </w:rPr>
              <w:t>Ties</w:t>
            </w:r>
          </w:p>
        </w:tc>
        <w:tc>
          <w:tcPr>
            <w:tcW w:w="1197" w:type="dxa"/>
          </w:tcPr>
          <w:p w14:paraId="17386F2D" w14:textId="77777777" w:rsidR="00D32F08" w:rsidRPr="007E689D" w:rsidRDefault="00000000">
            <w:pPr>
              <w:pStyle w:val="Compact"/>
              <w:rPr>
                <w:sz w:val="20"/>
                <w:szCs w:val="20"/>
              </w:rPr>
            </w:pPr>
            <w:r w:rsidRPr="007E689D">
              <w:rPr>
                <w:sz w:val="20"/>
                <w:szCs w:val="20"/>
              </w:rPr>
              <w:t>Median diff (q)</w:t>
            </w:r>
          </w:p>
        </w:tc>
        <w:tc>
          <w:tcPr>
            <w:tcW w:w="1197" w:type="dxa"/>
          </w:tcPr>
          <w:p w14:paraId="6B0DD7A1" w14:textId="77777777" w:rsidR="00D32F08" w:rsidRPr="007E689D" w:rsidRDefault="00000000">
            <w:pPr>
              <w:pStyle w:val="Compact"/>
              <w:rPr>
                <w:sz w:val="20"/>
                <w:szCs w:val="20"/>
              </w:rPr>
            </w:pPr>
            <w:r w:rsidRPr="007E689D">
              <w:rPr>
                <w:sz w:val="20"/>
                <w:szCs w:val="20"/>
              </w:rPr>
              <w:t>Bootstrap 95% CI</w:t>
            </w:r>
          </w:p>
        </w:tc>
        <w:tc>
          <w:tcPr>
            <w:tcW w:w="1197" w:type="dxa"/>
          </w:tcPr>
          <w:p w14:paraId="0D1623DE" w14:textId="77777777" w:rsidR="00D32F08" w:rsidRPr="007E689D" w:rsidRDefault="00000000">
            <w:pPr>
              <w:pStyle w:val="Compact"/>
              <w:rPr>
                <w:sz w:val="20"/>
                <w:szCs w:val="20"/>
              </w:rPr>
            </w:pPr>
            <w:r w:rsidRPr="007E689D">
              <w:rPr>
                <w:sz w:val="20"/>
                <w:szCs w:val="20"/>
              </w:rPr>
              <w:t>p</w:t>
            </w:r>
          </w:p>
        </w:tc>
      </w:tr>
      <w:tr w:rsidR="00D32F08" w:rsidRPr="007E689D" w14:paraId="4636DD53" w14:textId="77777777" w:rsidTr="007E689D">
        <w:tc>
          <w:tcPr>
            <w:tcW w:w="2668" w:type="dxa"/>
          </w:tcPr>
          <w:p w14:paraId="08F56E7D" w14:textId="77777777" w:rsidR="00D32F08" w:rsidRPr="007E689D" w:rsidRDefault="00000000">
            <w:pPr>
              <w:pStyle w:val="Compact"/>
              <w:rPr>
                <w:sz w:val="20"/>
                <w:szCs w:val="20"/>
              </w:rPr>
            </w:pPr>
            <w:r w:rsidRPr="007E689D">
              <w:rPr>
                <w:sz w:val="20"/>
                <w:szCs w:val="20"/>
              </w:rPr>
              <w:t>H1 primary equivalent: CPD vs BCPNN-IC overall (Tier A confirmed)</w:t>
            </w:r>
          </w:p>
        </w:tc>
        <w:tc>
          <w:tcPr>
            <w:tcW w:w="2969" w:type="dxa"/>
          </w:tcPr>
          <w:p w14:paraId="4A9C7778" w14:textId="77777777" w:rsidR="00D32F08" w:rsidRPr="007E689D" w:rsidRDefault="00000000">
            <w:pPr>
              <w:pStyle w:val="Compact"/>
              <w:rPr>
                <w:sz w:val="20"/>
                <w:szCs w:val="20"/>
              </w:rPr>
            </w:pPr>
            <w:r w:rsidRPr="007E689D">
              <w:rPr>
                <w:sz w:val="20"/>
                <w:szCs w:val="20"/>
              </w:rPr>
              <w:t>23</w:t>
            </w:r>
          </w:p>
        </w:tc>
        <w:tc>
          <w:tcPr>
            <w:tcW w:w="1197" w:type="dxa"/>
          </w:tcPr>
          <w:p w14:paraId="6FA00A10" w14:textId="77777777" w:rsidR="00D32F08" w:rsidRPr="007E689D" w:rsidRDefault="00000000">
            <w:pPr>
              <w:pStyle w:val="Compact"/>
              <w:rPr>
                <w:sz w:val="20"/>
                <w:szCs w:val="20"/>
              </w:rPr>
            </w:pPr>
            <w:r w:rsidRPr="007E689D">
              <w:rPr>
                <w:sz w:val="20"/>
                <w:szCs w:val="20"/>
              </w:rPr>
              <w:t>11</w:t>
            </w:r>
          </w:p>
        </w:tc>
        <w:tc>
          <w:tcPr>
            <w:tcW w:w="1197" w:type="dxa"/>
          </w:tcPr>
          <w:p w14:paraId="69AEEEFD" w14:textId="77777777" w:rsidR="00D32F08" w:rsidRPr="007E689D" w:rsidRDefault="00000000">
            <w:pPr>
              <w:pStyle w:val="Compact"/>
              <w:rPr>
                <w:sz w:val="20"/>
                <w:szCs w:val="20"/>
              </w:rPr>
            </w:pPr>
            <w:r w:rsidRPr="007E689D">
              <w:rPr>
                <w:sz w:val="20"/>
                <w:szCs w:val="20"/>
              </w:rPr>
              <w:t>7</w:t>
            </w:r>
          </w:p>
        </w:tc>
        <w:tc>
          <w:tcPr>
            <w:tcW w:w="1197" w:type="dxa"/>
          </w:tcPr>
          <w:p w14:paraId="77133E64" w14:textId="77777777" w:rsidR="00D32F08" w:rsidRPr="007E689D" w:rsidRDefault="00000000">
            <w:pPr>
              <w:pStyle w:val="Compact"/>
              <w:rPr>
                <w:sz w:val="20"/>
                <w:szCs w:val="20"/>
              </w:rPr>
            </w:pPr>
            <w:r w:rsidRPr="007E689D">
              <w:rPr>
                <w:sz w:val="20"/>
                <w:szCs w:val="20"/>
              </w:rPr>
              <w:t>5</w:t>
            </w:r>
          </w:p>
        </w:tc>
        <w:tc>
          <w:tcPr>
            <w:tcW w:w="1197" w:type="dxa"/>
          </w:tcPr>
          <w:p w14:paraId="384D8468" w14:textId="77777777" w:rsidR="00D32F08" w:rsidRPr="007E689D" w:rsidRDefault="00000000">
            <w:pPr>
              <w:pStyle w:val="Compact"/>
              <w:rPr>
                <w:sz w:val="20"/>
                <w:szCs w:val="20"/>
              </w:rPr>
            </w:pPr>
            <w:r w:rsidRPr="007E689D">
              <w:rPr>
                <w:sz w:val="20"/>
                <w:szCs w:val="20"/>
              </w:rPr>
              <w:t>0</w:t>
            </w:r>
          </w:p>
        </w:tc>
        <w:tc>
          <w:tcPr>
            <w:tcW w:w="1197" w:type="dxa"/>
          </w:tcPr>
          <w:p w14:paraId="10DD49D9" w14:textId="77777777" w:rsidR="00D32F08" w:rsidRPr="007E689D" w:rsidRDefault="00000000">
            <w:pPr>
              <w:pStyle w:val="Compact"/>
              <w:rPr>
                <w:sz w:val="20"/>
                <w:szCs w:val="20"/>
              </w:rPr>
            </w:pPr>
            <w:r w:rsidRPr="007E689D">
              <w:rPr>
                <w:sz w:val="20"/>
                <w:szCs w:val="20"/>
              </w:rPr>
              <w:t>0 to 3</w:t>
            </w:r>
          </w:p>
        </w:tc>
        <w:tc>
          <w:tcPr>
            <w:tcW w:w="1197" w:type="dxa"/>
          </w:tcPr>
          <w:p w14:paraId="1466C8ED" w14:textId="77777777" w:rsidR="00D32F08" w:rsidRPr="007E689D" w:rsidRDefault="00000000">
            <w:pPr>
              <w:pStyle w:val="Compact"/>
              <w:rPr>
                <w:sz w:val="20"/>
                <w:szCs w:val="20"/>
              </w:rPr>
            </w:pPr>
            <w:r w:rsidRPr="007E689D">
              <w:rPr>
                <w:sz w:val="20"/>
                <w:szCs w:val="20"/>
              </w:rPr>
              <w:t>0.53</w:t>
            </w:r>
          </w:p>
        </w:tc>
      </w:tr>
      <w:tr w:rsidR="00D32F08" w:rsidRPr="007E689D" w14:paraId="4AC11AF4" w14:textId="77777777" w:rsidTr="007E689D">
        <w:tc>
          <w:tcPr>
            <w:tcW w:w="2668" w:type="dxa"/>
          </w:tcPr>
          <w:p w14:paraId="41D59FF4" w14:textId="77777777" w:rsidR="00D32F08" w:rsidRPr="007E689D" w:rsidRDefault="00000000">
            <w:pPr>
              <w:pStyle w:val="Compact"/>
              <w:rPr>
                <w:sz w:val="20"/>
                <w:szCs w:val="20"/>
              </w:rPr>
            </w:pPr>
            <w:r w:rsidRPr="007E689D">
              <w:rPr>
                <w:sz w:val="20"/>
                <w:szCs w:val="20"/>
              </w:rPr>
              <w:t>**H4 secondary vs BCPNN-IC</w:t>
            </w:r>
          </w:p>
        </w:tc>
        <w:tc>
          <w:tcPr>
            <w:tcW w:w="2969" w:type="dxa"/>
          </w:tcPr>
          <w:p w14:paraId="3B663593" w14:textId="77777777" w:rsidR="00D32F08" w:rsidRPr="007E689D" w:rsidRDefault="00000000">
            <w:pPr>
              <w:pStyle w:val="Compact"/>
              <w:rPr>
                <w:sz w:val="20"/>
                <w:szCs w:val="20"/>
              </w:rPr>
            </w:pPr>
            <w:r w:rsidRPr="007E689D">
              <w:rPr>
                <w:sz w:val="20"/>
                <w:szCs w:val="20"/>
              </w:rPr>
              <w:t>Tier A genuine-emergence subgroup**</w:t>
            </w:r>
          </w:p>
        </w:tc>
        <w:tc>
          <w:tcPr>
            <w:tcW w:w="1197" w:type="dxa"/>
          </w:tcPr>
          <w:p w14:paraId="5B220B63" w14:textId="77777777" w:rsidR="00D32F08" w:rsidRPr="007E689D" w:rsidRDefault="00000000">
            <w:pPr>
              <w:pStyle w:val="Compact"/>
              <w:rPr>
                <w:sz w:val="20"/>
                <w:szCs w:val="20"/>
              </w:rPr>
            </w:pPr>
            <w:r w:rsidRPr="007E689D">
              <w:rPr>
                <w:sz w:val="20"/>
                <w:szCs w:val="20"/>
              </w:rPr>
              <w:t>14</w:t>
            </w:r>
          </w:p>
        </w:tc>
        <w:tc>
          <w:tcPr>
            <w:tcW w:w="1197" w:type="dxa"/>
          </w:tcPr>
          <w:p w14:paraId="441BBDA4" w14:textId="77777777" w:rsidR="00D32F08" w:rsidRPr="007E689D" w:rsidRDefault="00000000">
            <w:pPr>
              <w:pStyle w:val="Compact"/>
              <w:rPr>
                <w:sz w:val="20"/>
                <w:szCs w:val="20"/>
              </w:rPr>
            </w:pPr>
            <w:r w:rsidRPr="007E689D">
              <w:rPr>
                <w:sz w:val="20"/>
                <w:szCs w:val="20"/>
              </w:rPr>
              <w:t>9</w:t>
            </w:r>
          </w:p>
        </w:tc>
        <w:tc>
          <w:tcPr>
            <w:tcW w:w="1197" w:type="dxa"/>
          </w:tcPr>
          <w:p w14:paraId="77470CE6" w14:textId="77777777" w:rsidR="00D32F08" w:rsidRPr="007E689D" w:rsidRDefault="00000000">
            <w:pPr>
              <w:pStyle w:val="Compact"/>
              <w:rPr>
                <w:sz w:val="20"/>
                <w:szCs w:val="20"/>
              </w:rPr>
            </w:pPr>
            <w:r w:rsidRPr="007E689D">
              <w:rPr>
                <w:sz w:val="20"/>
                <w:szCs w:val="20"/>
              </w:rPr>
              <w:t>1</w:t>
            </w:r>
          </w:p>
        </w:tc>
        <w:tc>
          <w:tcPr>
            <w:tcW w:w="1197" w:type="dxa"/>
          </w:tcPr>
          <w:p w14:paraId="7BC6C8F7" w14:textId="77777777" w:rsidR="00D32F08" w:rsidRPr="007E689D" w:rsidRDefault="00000000">
            <w:pPr>
              <w:pStyle w:val="Compact"/>
              <w:rPr>
                <w:sz w:val="20"/>
                <w:szCs w:val="20"/>
              </w:rPr>
            </w:pPr>
            <w:r w:rsidRPr="007E689D">
              <w:rPr>
                <w:sz w:val="20"/>
                <w:szCs w:val="20"/>
              </w:rPr>
              <w:t>4</w:t>
            </w:r>
          </w:p>
        </w:tc>
        <w:tc>
          <w:tcPr>
            <w:tcW w:w="1197" w:type="dxa"/>
          </w:tcPr>
          <w:p w14:paraId="14189DD9" w14:textId="77777777" w:rsidR="00D32F08" w:rsidRPr="007E689D" w:rsidRDefault="00000000">
            <w:pPr>
              <w:pStyle w:val="Compact"/>
              <w:rPr>
                <w:sz w:val="20"/>
                <w:szCs w:val="20"/>
              </w:rPr>
            </w:pPr>
            <w:r w:rsidRPr="007E689D">
              <w:rPr>
                <w:sz w:val="20"/>
                <w:szCs w:val="20"/>
              </w:rPr>
              <w:t>+3.0</w:t>
            </w:r>
          </w:p>
        </w:tc>
        <w:tc>
          <w:tcPr>
            <w:tcW w:w="1197" w:type="dxa"/>
          </w:tcPr>
          <w:p w14:paraId="0F6C59E3" w14:textId="77777777" w:rsidR="00D32F08" w:rsidRPr="007E689D" w:rsidRDefault="00000000">
            <w:pPr>
              <w:pStyle w:val="Compact"/>
              <w:rPr>
                <w:sz w:val="20"/>
                <w:szCs w:val="20"/>
              </w:rPr>
            </w:pPr>
            <w:r w:rsidRPr="007E689D">
              <w:rPr>
                <w:sz w:val="20"/>
                <w:szCs w:val="20"/>
              </w:rPr>
              <w:t>0.0 to 7.0</w:t>
            </w:r>
          </w:p>
        </w:tc>
      </w:tr>
      <w:tr w:rsidR="00D32F08" w:rsidRPr="007E689D" w14:paraId="3AC41566" w14:textId="77777777" w:rsidTr="007E689D">
        <w:tc>
          <w:tcPr>
            <w:tcW w:w="2668" w:type="dxa"/>
          </w:tcPr>
          <w:p w14:paraId="6D33D309" w14:textId="77777777" w:rsidR="00D32F08" w:rsidRPr="007E689D" w:rsidRDefault="00000000">
            <w:pPr>
              <w:pStyle w:val="Compact"/>
              <w:rPr>
                <w:sz w:val="20"/>
                <w:szCs w:val="20"/>
              </w:rPr>
            </w:pPr>
            <w:r w:rsidRPr="007E689D">
              <w:rPr>
                <w:sz w:val="20"/>
                <w:szCs w:val="20"/>
              </w:rPr>
              <w:t>CPD vs BCPNN-IC</w:t>
            </w:r>
          </w:p>
        </w:tc>
        <w:tc>
          <w:tcPr>
            <w:tcW w:w="2969" w:type="dxa"/>
          </w:tcPr>
          <w:p w14:paraId="7833FCA6" w14:textId="77777777" w:rsidR="00D32F08" w:rsidRPr="007E689D" w:rsidRDefault="00000000">
            <w:pPr>
              <w:pStyle w:val="Compact"/>
              <w:rPr>
                <w:sz w:val="20"/>
                <w:szCs w:val="20"/>
              </w:rPr>
            </w:pPr>
            <w:r w:rsidRPr="007E689D">
              <w:rPr>
                <w:sz w:val="20"/>
                <w:szCs w:val="20"/>
              </w:rPr>
              <w:t>Tier A new-drug subgroup</w:t>
            </w:r>
          </w:p>
        </w:tc>
        <w:tc>
          <w:tcPr>
            <w:tcW w:w="1197" w:type="dxa"/>
          </w:tcPr>
          <w:p w14:paraId="7D705A39" w14:textId="77777777" w:rsidR="00D32F08" w:rsidRPr="007E689D" w:rsidRDefault="00000000">
            <w:pPr>
              <w:pStyle w:val="Compact"/>
              <w:rPr>
                <w:sz w:val="20"/>
                <w:szCs w:val="20"/>
              </w:rPr>
            </w:pPr>
            <w:r w:rsidRPr="007E689D">
              <w:rPr>
                <w:sz w:val="20"/>
                <w:szCs w:val="20"/>
              </w:rPr>
              <w:t>7</w:t>
            </w:r>
          </w:p>
        </w:tc>
        <w:tc>
          <w:tcPr>
            <w:tcW w:w="1197" w:type="dxa"/>
          </w:tcPr>
          <w:p w14:paraId="5A422887" w14:textId="77777777" w:rsidR="00D32F08" w:rsidRPr="007E689D" w:rsidRDefault="00000000">
            <w:pPr>
              <w:pStyle w:val="Compact"/>
              <w:rPr>
                <w:sz w:val="20"/>
                <w:szCs w:val="20"/>
              </w:rPr>
            </w:pPr>
            <w:r w:rsidRPr="007E689D">
              <w:rPr>
                <w:sz w:val="20"/>
                <w:szCs w:val="20"/>
              </w:rPr>
              <w:t>2</w:t>
            </w:r>
          </w:p>
        </w:tc>
        <w:tc>
          <w:tcPr>
            <w:tcW w:w="1197" w:type="dxa"/>
          </w:tcPr>
          <w:p w14:paraId="3719AB92" w14:textId="77777777" w:rsidR="00D32F08" w:rsidRPr="007E689D" w:rsidRDefault="00000000">
            <w:pPr>
              <w:pStyle w:val="Compact"/>
              <w:rPr>
                <w:sz w:val="20"/>
                <w:szCs w:val="20"/>
              </w:rPr>
            </w:pPr>
            <w:r w:rsidRPr="007E689D">
              <w:rPr>
                <w:sz w:val="20"/>
                <w:szCs w:val="20"/>
              </w:rPr>
              <w:t>4</w:t>
            </w:r>
          </w:p>
        </w:tc>
        <w:tc>
          <w:tcPr>
            <w:tcW w:w="1197" w:type="dxa"/>
          </w:tcPr>
          <w:p w14:paraId="6ED7C26C" w14:textId="77777777" w:rsidR="00D32F08" w:rsidRPr="007E689D" w:rsidRDefault="00000000">
            <w:pPr>
              <w:pStyle w:val="Compact"/>
              <w:rPr>
                <w:sz w:val="20"/>
                <w:szCs w:val="20"/>
              </w:rPr>
            </w:pPr>
            <w:r w:rsidRPr="007E689D">
              <w:rPr>
                <w:sz w:val="20"/>
                <w:szCs w:val="20"/>
              </w:rPr>
              <w:t>1</w:t>
            </w:r>
          </w:p>
        </w:tc>
        <w:tc>
          <w:tcPr>
            <w:tcW w:w="1197" w:type="dxa"/>
          </w:tcPr>
          <w:p w14:paraId="664AA6E3" w14:textId="77777777" w:rsidR="00D32F08" w:rsidRPr="007E689D" w:rsidRDefault="00000000">
            <w:pPr>
              <w:pStyle w:val="Compact"/>
              <w:rPr>
                <w:sz w:val="20"/>
                <w:szCs w:val="20"/>
              </w:rPr>
            </w:pPr>
            <w:r w:rsidRPr="007E689D">
              <w:rPr>
                <w:sz w:val="20"/>
                <w:szCs w:val="20"/>
              </w:rPr>
              <w:t>−2.0</w:t>
            </w:r>
          </w:p>
        </w:tc>
        <w:tc>
          <w:tcPr>
            <w:tcW w:w="1197" w:type="dxa"/>
          </w:tcPr>
          <w:p w14:paraId="58F143D5" w14:textId="77777777" w:rsidR="00D32F08" w:rsidRPr="007E689D" w:rsidRDefault="00000000">
            <w:pPr>
              <w:pStyle w:val="Compact"/>
              <w:rPr>
                <w:sz w:val="20"/>
                <w:szCs w:val="20"/>
              </w:rPr>
            </w:pPr>
            <w:r w:rsidRPr="007E689D">
              <w:rPr>
                <w:sz w:val="20"/>
                <w:szCs w:val="20"/>
              </w:rPr>
              <w:t>−3 to 2</w:t>
            </w:r>
          </w:p>
        </w:tc>
      </w:tr>
      <w:tr w:rsidR="00D32F08" w:rsidRPr="007E689D" w14:paraId="4674808A" w14:textId="77777777" w:rsidTr="007E689D">
        <w:tc>
          <w:tcPr>
            <w:tcW w:w="2668" w:type="dxa"/>
          </w:tcPr>
          <w:p w14:paraId="0F75CDCA" w14:textId="77777777" w:rsidR="00D32F08" w:rsidRPr="007E689D" w:rsidRDefault="00000000">
            <w:pPr>
              <w:pStyle w:val="Compact"/>
              <w:rPr>
                <w:sz w:val="20"/>
                <w:szCs w:val="20"/>
              </w:rPr>
            </w:pPr>
            <w:r w:rsidRPr="007E689D">
              <w:rPr>
                <w:sz w:val="20"/>
                <w:szCs w:val="20"/>
              </w:rPr>
              <w:t>Reference: BCPNN-IC vs rolling PRR overall (concordance check)</w:t>
            </w:r>
          </w:p>
        </w:tc>
        <w:tc>
          <w:tcPr>
            <w:tcW w:w="2969" w:type="dxa"/>
          </w:tcPr>
          <w:p w14:paraId="356468CB" w14:textId="77777777" w:rsidR="00D32F08" w:rsidRPr="007E689D" w:rsidRDefault="00000000">
            <w:pPr>
              <w:pStyle w:val="Compact"/>
              <w:rPr>
                <w:sz w:val="20"/>
                <w:szCs w:val="20"/>
              </w:rPr>
            </w:pPr>
            <w:r w:rsidRPr="007E689D">
              <w:rPr>
                <w:sz w:val="20"/>
                <w:szCs w:val="20"/>
              </w:rPr>
              <w:t>23</w:t>
            </w:r>
          </w:p>
        </w:tc>
        <w:tc>
          <w:tcPr>
            <w:tcW w:w="1197" w:type="dxa"/>
          </w:tcPr>
          <w:p w14:paraId="6815063D" w14:textId="77777777" w:rsidR="00D32F08" w:rsidRPr="007E689D" w:rsidRDefault="00000000">
            <w:pPr>
              <w:pStyle w:val="Compact"/>
              <w:rPr>
                <w:sz w:val="20"/>
                <w:szCs w:val="20"/>
              </w:rPr>
            </w:pPr>
            <w:r w:rsidRPr="007E689D">
              <w:rPr>
                <w:sz w:val="20"/>
                <w:szCs w:val="20"/>
              </w:rPr>
              <w:t>2</w:t>
            </w:r>
          </w:p>
        </w:tc>
        <w:tc>
          <w:tcPr>
            <w:tcW w:w="1197" w:type="dxa"/>
          </w:tcPr>
          <w:p w14:paraId="099D51D7" w14:textId="77777777" w:rsidR="00D32F08" w:rsidRPr="007E689D" w:rsidRDefault="00000000">
            <w:pPr>
              <w:pStyle w:val="Compact"/>
              <w:rPr>
                <w:sz w:val="20"/>
                <w:szCs w:val="20"/>
              </w:rPr>
            </w:pPr>
            <w:r w:rsidRPr="007E689D">
              <w:rPr>
                <w:sz w:val="20"/>
                <w:szCs w:val="20"/>
              </w:rPr>
              <w:t>0</w:t>
            </w:r>
          </w:p>
        </w:tc>
        <w:tc>
          <w:tcPr>
            <w:tcW w:w="1197" w:type="dxa"/>
          </w:tcPr>
          <w:p w14:paraId="73596C5C" w14:textId="77777777" w:rsidR="00D32F08" w:rsidRPr="007E689D" w:rsidRDefault="00000000">
            <w:pPr>
              <w:pStyle w:val="Compact"/>
              <w:rPr>
                <w:sz w:val="20"/>
                <w:szCs w:val="20"/>
              </w:rPr>
            </w:pPr>
            <w:r w:rsidRPr="007E689D">
              <w:rPr>
                <w:sz w:val="20"/>
                <w:szCs w:val="20"/>
              </w:rPr>
              <w:t>21</w:t>
            </w:r>
          </w:p>
        </w:tc>
        <w:tc>
          <w:tcPr>
            <w:tcW w:w="1197" w:type="dxa"/>
          </w:tcPr>
          <w:p w14:paraId="489EFBA9" w14:textId="77777777" w:rsidR="00D32F08" w:rsidRPr="007E689D" w:rsidRDefault="00000000">
            <w:pPr>
              <w:pStyle w:val="Compact"/>
              <w:rPr>
                <w:sz w:val="20"/>
                <w:szCs w:val="20"/>
              </w:rPr>
            </w:pPr>
            <w:r w:rsidRPr="007E689D">
              <w:rPr>
                <w:sz w:val="20"/>
                <w:szCs w:val="20"/>
              </w:rPr>
              <w:t>0</w:t>
            </w:r>
          </w:p>
        </w:tc>
        <w:tc>
          <w:tcPr>
            <w:tcW w:w="1197" w:type="dxa"/>
          </w:tcPr>
          <w:p w14:paraId="16294E26" w14:textId="77777777" w:rsidR="00D32F08" w:rsidRPr="007E689D" w:rsidRDefault="00000000">
            <w:pPr>
              <w:pStyle w:val="Compact"/>
              <w:rPr>
                <w:sz w:val="20"/>
                <w:szCs w:val="20"/>
              </w:rPr>
            </w:pPr>
            <w:r w:rsidRPr="007E689D">
              <w:rPr>
                <w:sz w:val="20"/>
                <w:szCs w:val="20"/>
              </w:rPr>
              <w:t>0 to 0</w:t>
            </w:r>
          </w:p>
        </w:tc>
        <w:tc>
          <w:tcPr>
            <w:tcW w:w="1197" w:type="dxa"/>
          </w:tcPr>
          <w:p w14:paraId="49A7D3C8" w14:textId="77777777" w:rsidR="00D32F08" w:rsidRPr="007E689D" w:rsidRDefault="00000000">
            <w:pPr>
              <w:pStyle w:val="Compact"/>
              <w:rPr>
                <w:sz w:val="20"/>
                <w:szCs w:val="20"/>
              </w:rPr>
            </w:pPr>
            <w:r w:rsidRPr="007E689D">
              <w:rPr>
                <w:sz w:val="20"/>
                <w:szCs w:val="20"/>
              </w:rPr>
              <w:t>0.45</w:t>
            </w:r>
          </w:p>
        </w:tc>
      </w:tr>
      <w:tr w:rsidR="00D32F08" w:rsidRPr="007E689D" w14:paraId="646A7CAB" w14:textId="77777777" w:rsidTr="007E689D">
        <w:tc>
          <w:tcPr>
            <w:tcW w:w="2668" w:type="dxa"/>
          </w:tcPr>
          <w:p w14:paraId="7E7402A6" w14:textId="77777777" w:rsidR="00D32F08" w:rsidRPr="007E689D" w:rsidRDefault="00000000">
            <w:pPr>
              <w:pStyle w:val="Compact"/>
              <w:rPr>
                <w:sz w:val="20"/>
                <w:szCs w:val="20"/>
              </w:rPr>
            </w:pPr>
            <w:r w:rsidRPr="007E689D">
              <w:rPr>
                <w:sz w:val="20"/>
                <w:szCs w:val="20"/>
              </w:rPr>
              <w:t>Reference: CPD vs rolling PRR overall (replicates §3.2)</w:t>
            </w:r>
          </w:p>
        </w:tc>
        <w:tc>
          <w:tcPr>
            <w:tcW w:w="2969" w:type="dxa"/>
          </w:tcPr>
          <w:p w14:paraId="43969650" w14:textId="77777777" w:rsidR="00D32F08" w:rsidRPr="007E689D" w:rsidRDefault="00000000">
            <w:pPr>
              <w:pStyle w:val="Compact"/>
              <w:rPr>
                <w:sz w:val="20"/>
                <w:szCs w:val="20"/>
              </w:rPr>
            </w:pPr>
            <w:r w:rsidRPr="007E689D">
              <w:rPr>
                <w:sz w:val="20"/>
                <w:szCs w:val="20"/>
              </w:rPr>
              <w:t>23</w:t>
            </w:r>
          </w:p>
        </w:tc>
        <w:tc>
          <w:tcPr>
            <w:tcW w:w="1197" w:type="dxa"/>
          </w:tcPr>
          <w:p w14:paraId="03114638" w14:textId="77777777" w:rsidR="00D32F08" w:rsidRPr="007E689D" w:rsidRDefault="00000000">
            <w:pPr>
              <w:pStyle w:val="Compact"/>
              <w:rPr>
                <w:sz w:val="20"/>
                <w:szCs w:val="20"/>
              </w:rPr>
            </w:pPr>
            <w:r w:rsidRPr="007E689D">
              <w:rPr>
                <w:sz w:val="20"/>
                <w:szCs w:val="20"/>
              </w:rPr>
              <w:t>11</w:t>
            </w:r>
          </w:p>
        </w:tc>
        <w:tc>
          <w:tcPr>
            <w:tcW w:w="1197" w:type="dxa"/>
          </w:tcPr>
          <w:p w14:paraId="48BF8CF0" w14:textId="77777777" w:rsidR="00D32F08" w:rsidRPr="007E689D" w:rsidRDefault="00000000">
            <w:pPr>
              <w:pStyle w:val="Compact"/>
              <w:rPr>
                <w:sz w:val="20"/>
                <w:szCs w:val="20"/>
              </w:rPr>
            </w:pPr>
            <w:r w:rsidRPr="007E689D">
              <w:rPr>
                <w:sz w:val="20"/>
                <w:szCs w:val="20"/>
              </w:rPr>
              <w:t>7</w:t>
            </w:r>
          </w:p>
        </w:tc>
        <w:tc>
          <w:tcPr>
            <w:tcW w:w="1197" w:type="dxa"/>
          </w:tcPr>
          <w:p w14:paraId="778EAEAD" w14:textId="77777777" w:rsidR="00D32F08" w:rsidRPr="007E689D" w:rsidRDefault="00000000">
            <w:pPr>
              <w:pStyle w:val="Compact"/>
              <w:rPr>
                <w:sz w:val="20"/>
                <w:szCs w:val="20"/>
              </w:rPr>
            </w:pPr>
            <w:r w:rsidRPr="007E689D">
              <w:rPr>
                <w:sz w:val="20"/>
                <w:szCs w:val="20"/>
              </w:rPr>
              <w:t>5</w:t>
            </w:r>
          </w:p>
        </w:tc>
        <w:tc>
          <w:tcPr>
            <w:tcW w:w="1197" w:type="dxa"/>
          </w:tcPr>
          <w:p w14:paraId="37D00B60" w14:textId="77777777" w:rsidR="00D32F08" w:rsidRPr="007E689D" w:rsidRDefault="00000000">
            <w:pPr>
              <w:pStyle w:val="Compact"/>
              <w:rPr>
                <w:sz w:val="20"/>
                <w:szCs w:val="20"/>
              </w:rPr>
            </w:pPr>
            <w:r w:rsidRPr="007E689D">
              <w:rPr>
                <w:sz w:val="20"/>
                <w:szCs w:val="20"/>
              </w:rPr>
              <w:t>0</w:t>
            </w:r>
          </w:p>
        </w:tc>
        <w:tc>
          <w:tcPr>
            <w:tcW w:w="1197" w:type="dxa"/>
          </w:tcPr>
          <w:p w14:paraId="43512456" w14:textId="77777777" w:rsidR="00D32F08" w:rsidRPr="007E689D" w:rsidRDefault="00000000">
            <w:pPr>
              <w:pStyle w:val="Compact"/>
              <w:rPr>
                <w:sz w:val="20"/>
                <w:szCs w:val="20"/>
              </w:rPr>
            </w:pPr>
            <w:r w:rsidRPr="007E689D">
              <w:rPr>
                <w:sz w:val="20"/>
                <w:szCs w:val="20"/>
              </w:rPr>
              <w:t>0 to 3</w:t>
            </w:r>
          </w:p>
        </w:tc>
        <w:tc>
          <w:tcPr>
            <w:tcW w:w="1197" w:type="dxa"/>
          </w:tcPr>
          <w:p w14:paraId="1AEBD581" w14:textId="77777777" w:rsidR="00D32F08" w:rsidRPr="007E689D" w:rsidRDefault="00000000">
            <w:pPr>
              <w:pStyle w:val="Compact"/>
              <w:rPr>
                <w:sz w:val="20"/>
                <w:szCs w:val="20"/>
              </w:rPr>
            </w:pPr>
            <w:r w:rsidRPr="007E689D">
              <w:rPr>
                <w:sz w:val="20"/>
                <w:szCs w:val="20"/>
              </w:rPr>
              <w:t>0.47</w:t>
            </w:r>
          </w:p>
        </w:tc>
      </w:tr>
      <w:tr w:rsidR="00D32F08" w:rsidRPr="007E689D" w14:paraId="6F207ECF" w14:textId="77777777" w:rsidTr="007E689D">
        <w:tc>
          <w:tcPr>
            <w:tcW w:w="2668" w:type="dxa"/>
          </w:tcPr>
          <w:p w14:paraId="643D9EE9" w14:textId="77777777" w:rsidR="00D32F08" w:rsidRPr="007E689D" w:rsidRDefault="00000000">
            <w:pPr>
              <w:pStyle w:val="Compact"/>
              <w:rPr>
                <w:sz w:val="20"/>
                <w:szCs w:val="20"/>
              </w:rPr>
            </w:pPr>
            <w:r w:rsidRPr="007E689D">
              <w:rPr>
                <w:sz w:val="20"/>
                <w:szCs w:val="20"/>
              </w:rPr>
              <w:t>Reference: CPD vs rolling PRR</w:t>
            </w:r>
          </w:p>
        </w:tc>
        <w:tc>
          <w:tcPr>
            <w:tcW w:w="2969" w:type="dxa"/>
          </w:tcPr>
          <w:p w14:paraId="2B0634FA" w14:textId="77777777" w:rsidR="00D32F08" w:rsidRPr="007E689D" w:rsidRDefault="00000000">
            <w:pPr>
              <w:pStyle w:val="Compact"/>
              <w:rPr>
                <w:sz w:val="20"/>
                <w:szCs w:val="20"/>
              </w:rPr>
            </w:pPr>
            <w:r w:rsidRPr="007E689D">
              <w:rPr>
                <w:sz w:val="20"/>
                <w:szCs w:val="20"/>
              </w:rPr>
              <w:t>Tier A genuine-emergence subgroup</w:t>
            </w:r>
          </w:p>
        </w:tc>
        <w:tc>
          <w:tcPr>
            <w:tcW w:w="1197" w:type="dxa"/>
          </w:tcPr>
          <w:p w14:paraId="282B169D" w14:textId="77777777" w:rsidR="00D32F08" w:rsidRPr="007E689D" w:rsidRDefault="00000000">
            <w:pPr>
              <w:pStyle w:val="Compact"/>
              <w:rPr>
                <w:sz w:val="20"/>
                <w:szCs w:val="20"/>
              </w:rPr>
            </w:pPr>
            <w:r w:rsidRPr="007E689D">
              <w:rPr>
                <w:sz w:val="20"/>
                <w:szCs w:val="20"/>
              </w:rPr>
              <w:t>14</w:t>
            </w:r>
          </w:p>
        </w:tc>
        <w:tc>
          <w:tcPr>
            <w:tcW w:w="1197" w:type="dxa"/>
          </w:tcPr>
          <w:p w14:paraId="180F5CEE" w14:textId="77777777" w:rsidR="00D32F08" w:rsidRPr="007E689D" w:rsidRDefault="00000000">
            <w:pPr>
              <w:pStyle w:val="Compact"/>
              <w:rPr>
                <w:sz w:val="20"/>
                <w:szCs w:val="20"/>
              </w:rPr>
            </w:pPr>
            <w:r w:rsidRPr="007E689D">
              <w:rPr>
                <w:sz w:val="20"/>
                <w:szCs w:val="20"/>
              </w:rPr>
              <w:t>9</w:t>
            </w:r>
          </w:p>
        </w:tc>
        <w:tc>
          <w:tcPr>
            <w:tcW w:w="1197" w:type="dxa"/>
          </w:tcPr>
          <w:p w14:paraId="206CCC69" w14:textId="77777777" w:rsidR="00D32F08" w:rsidRPr="007E689D" w:rsidRDefault="00000000">
            <w:pPr>
              <w:pStyle w:val="Compact"/>
              <w:rPr>
                <w:sz w:val="20"/>
                <w:szCs w:val="20"/>
              </w:rPr>
            </w:pPr>
            <w:r w:rsidRPr="007E689D">
              <w:rPr>
                <w:sz w:val="20"/>
                <w:szCs w:val="20"/>
              </w:rPr>
              <w:t>1</w:t>
            </w:r>
          </w:p>
        </w:tc>
        <w:tc>
          <w:tcPr>
            <w:tcW w:w="1197" w:type="dxa"/>
          </w:tcPr>
          <w:p w14:paraId="08EAA998" w14:textId="77777777" w:rsidR="00D32F08" w:rsidRPr="007E689D" w:rsidRDefault="00000000">
            <w:pPr>
              <w:pStyle w:val="Compact"/>
              <w:rPr>
                <w:sz w:val="20"/>
                <w:szCs w:val="20"/>
              </w:rPr>
            </w:pPr>
            <w:r w:rsidRPr="007E689D">
              <w:rPr>
                <w:sz w:val="20"/>
                <w:szCs w:val="20"/>
              </w:rPr>
              <w:t>4</w:t>
            </w:r>
          </w:p>
        </w:tc>
        <w:tc>
          <w:tcPr>
            <w:tcW w:w="1197" w:type="dxa"/>
          </w:tcPr>
          <w:p w14:paraId="2D78F0B4" w14:textId="77777777" w:rsidR="00D32F08" w:rsidRPr="007E689D" w:rsidRDefault="00000000">
            <w:pPr>
              <w:pStyle w:val="Compact"/>
              <w:rPr>
                <w:sz w:val="20"/>
                <w:szCs w:val="20"/>
              </w:rPr>
            </w:pPr>
            <w:r w:rsidRPr="007E689D">
              <w:rPr>
                <w:sz w:val="20"/>
                <w:szCs w:val="20"/>
              </w:rPr>
              <w:t>+3.5</w:t>
            </w:r>
          </w:p>
        </w:tc>
        <w:tc>
          <w:tcPr>
            <w:tcW w:w="1197" w:type="dxa"/>
          </w:tcPr>
          <w:p w14:paraId="13B703FB" w14:textId="77777777" w:rsidR="00D32F08" w:rsidRPr="007E689D" w:rsidRDefault="00000000">
            <w:pPr>
              <w:pStyle w:val="Compact"/>
              <w:rPr>
                <w:sz w:val="20"/>
                <w:szCs w:val="20"/>
              </w:rPr>
            </w:pPr>
            <w:r w:rsidRPr="007E689D">
              <w:rPr>
                <w:sz w:val="20"/>
                <w:szCs w:val="20"/>
              </w:rPr>
              <w:t>0.0 to 8.0</w:t>
            </w:r>
          </w:p>
        </w:tc>
      </w:tr>
    </w:tbl>
    <w:p w14:paraId="4CADC81B" w14:textId="77777777" w:rsidR="00D32F08" w:rsidRDefault="00000000">
      <w:pPr>
        <w:pStyle w:val="BodyText"/>
      </w:pPr>
      <w:r>
        <w:rPr>
          <w:b/>
          <w:bCs/>
        </w:rPr>
        <w:t>Interpretation.</w:t>
      </w:r>
      <w:r>
        <w:t xml:space="preserve"> BCPNN-IC tracks PRR to within ±0 quarters in 21/23 confirmed pairs — at the IC025 &gt; 0 trigger with ≥3 cumulative cases, the shrinkage stabilises the lower-bound estimate but does not delay it relative to PRR. The H1-equivalent overall comparison against BCPNN-IC is null, matching the pre-registered H1 vs PRR result. The H4 directional secondary advantage of CPD on the Tier A genuine-emergence subgroup is preserved against BCPNN-IC with nearly the same margin as against PRR (+3.0 q vs +3.5 q), consistent with the genuine-emergence advantage reflecting CPD’s structural fit for distributional-shift detection rather than PRR-specific instability at low cell counts. The pre-specified across-tiers sensitivity (n = 40 genuine emergence pooled across Tier A + B + C) gives a convergent +5.0-quarter CPD-vs-PRR advantage (p = 0.002); the BCPNN-IC comparison was constructed against the TGA regulatory-action validation set so is Tier A only. See accompanying CSV: </w:t>
      </w:r>
      <w:r>
        <w:rPr>
          <w:rStyle w:val="VerbatimChar"/>
        </w:rPr>
        <w:t>cpd_vs_bcpnn.csv</w:t>
      </w:r>
      <w:r>
        <w:t xml:space="preserve"> and bootstrap CIs at </w:t>
      </w:r>
      <w:r>
        <w:rPr>
          <w:rStyle w:val="VerbatimChar"/>
        </w:rPr>
        <w:t>h4_bootstrap_cis.csv</w:t>
      </w:r>
      <w:r>
        <w:t>.</w:t>
      </w:r>
    </w:p>
    <w:p w14:paraId="41E285DB" w14:textId="77777777" w:rsidR="00D32F08" w:rsidRDefault="00E678DE">
      <w:r>
        <w:rPr>
          <w:noProof/>
        </w:rPr>
        <w:pict w14:anchorId="415B4128">
          <v:rect id="_x0000_i1025" alt="" style="width:451.3pt;height:.05pt;mso-width-percent:0;mso-height-percent:0;mso-width-percent:0;mso-height-percent:0" o:hralign="center" o:hrstd="t" o:hr="t"/>
        </w:pict>
      </w:r>
    </w:p>
    <w:p w14:paraId="2A35F86E" w14:textId="77777777" w:rsidR="00D32F08" w:rsidRDefault="00000000">
      <w:pPr>
        <w:pStyle w:val="Heading2"/>
      </w:pPr>
      <w:bookmarkStart w:id="25" w:name="supplementary-figures"/>
      <w:bookmarkEnd w:id="9"/>
      <w:bookmarkEnd w:id="24"/>
      <w:r>
        <w:lastRenderedPageBreak/>
        <w:t>Supplementary Figures</w:t>
      </w:r>
    </w:p>
    <w:p w14:paraId="73884D94" w14:textId="77777777" w:rsidR="00D32F08" w:rsidRDefault="00000000">
      <w:pPr>
        <w:pStyle w:val="Heading3"/>
      </w:pPr>
      <w:bookmarkStart w:id="26" w:name="X87b9c4c726d31856f7c047f69bac2edd6974f93"/>
      <w:r>
        <w:t>eFigure S1. Kaplan-Meier time-to-detection curves</w:t>
      </w:r>
    </w:p>
    <w:p w14:paraId="4F151AC1" w14:textId="77777777" w:rsidR="00D32F08" w:rsidRDefault="00000000">
      <w:pPr>
        <w:pStyle w:val="FirstParagraph"/>
      </w:pPr>
      <w:r>
        <w:rPr>
          <w:noProof/>
        </w:rPr>
        <w:drawing>
          <wp:inline distT="0" distB="0" distL="0" distR="0" wp14:anchorId="270382CE" wp14:editId="4CBDE975">
            <wp:extent cx="5334000" cy="3173801"/>
            <wp:effectExtent l="0" t="0" r="0" b="0"/>
            <wp:docPr id="34" name="Picture"/>
            <wp:cNvGraphicFramePr/>
            <a:graphic xmlns:a="http://schemas.openxmlformats.org/drawingml/2006/main">
              <a:graphicData uri="http://schemas.openxmlformats.org/drawingml/2006/picture">
                <pic:pic xmlns:pic="http://schemas.openxmlformats.org/drawingml/2006/picture">
                  <pic:nvPicPr>
                    <pic:cNvPr id="35" name="Picture" descr="figures/eFigure_S1_km_curves.png"/>
                    <pic:cNvPicPr>
                      <a:picLocks noChangeAspect="1" noChangeArrowheads="1"/>
                    </pic:cNvPicPr>
                  </pic:nvPicPr>
                  <pic:blipFill>
                    <a:blip r:embed="rId5"/>
                    <a:stretch>
                      <a:fillRect/>
                    </a:stretch>
                  </pic:blipFill>
                  <pic:spPr bwMode="auto">
                    <a:xfrm>
                      <a:off x="0" y="0"/>
                      <a:ext cx="5334000" cy="3173801"/>
                    </a:xfrm>
                    <a:prstGeom prst="rect">
                      <a:avLst/>
                    </a:prstGeom>
                    <a:noFill/>
                    <a:ln w="9525">
                      <a:noFill/>
                      <a:headEnd/>
                      <a:tailEnd/>
                    </a:ln>
                  </pic:spPr>
                </pic:pic>
              </a:graphicData>
            </a:graphic>
          </wp:inline>
        </w:drawing>
      </w:r>
    </w:p>
    <w:p w14:paraId="77B03ED8" w14:textId="77777777" w:rsidR="00D32F08" w:rsidRDefault="00000000">
      <w:pPr>
        <w:pStyle w:val="BodyText"/>
      </w:pPr>
      <w:r>
        <w:t>Kaplan-Meier curves comparing time-to-detection for CPD and PRR across all confirmed pairs. Log-rank p = 0.71 (BH-adjusted p = 0.71). The aggregate comparison masks the divergence by signal type that is the principal finding of the paper (§3.2): CPD wins on the pre-specified genuine-emergence subgroup, PRR on new drugs.</w:t>
      </w:r>
    </w:p>
    <w:p w14:paraId="3F67D16A" w14:textId="77777777" w:rsidR="00D32F08" w:rsidRDefault="00000000">
      <w:pPr>
        <w:pStyle w:val="Heading3"/>
      </w:pPr>
      <w:bookmarkStart w:id="27" w:name="X6e0567730298772c427a84d9a5bf9d6662d2352"/>
      <w:bookmarkEnd w:id="26"/>
      <w:r>
        <w:lastRenderedPageBreak/>
        <w:t>eFigure S2. CPD parameter sensitivity plots</w:t>
      </w:r>
    </w:p>
    <w:p w14:paraId="0CD9AD8C" w14:textId="77777777" w:rsidR="00D32F08" w:rsidRDefault="00000000">
      <w:pPr>
        <w:pStyle w:val="FirstParagraph"/>
      </w:pPr>
      <w:r>
        <w:rPr>
          <w:noProof/>
        </w:rPr>
        <w:drawing>
          <wp:inline distT="0" distB="0" distL="0" distR="0" wp14:anchorId="2CB2186E" wp14:editId="475FEF27">
            <wp:extent cx="5334000" cy="1766738"/>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39" name="Picture" descr="figures/eFigure_S2_sensitivity.png"/>
                    <pic:cNvPicPr>
                      <a:picLocks noChangeAspect="1" noChangeArrowheads="1"/>
                    </pic:cNvPicPr>
                  </pic:nvPicPr>
                  <pic:blipFill>
                    <a:blip r:embed="rId6"/>
                    <a:stretch>
                      <a:fillRect/>
                    </a:stretch>
                  </pic:blipFill>
                  <pic:spPr bwMode="auto">
                    <a:xfrm>
                      <a:off x="0" y="0"/>
                      <a:ext cx="5334000" cy="1766738"/>
                    </a:xfrm>
                    <a:prstGeom prst="rect">
                      <a:avLst/>
                    </a:prstGeom>
                    <a:noFill/>
                    <a:ln w="9525">
                      <a:noFill/>
                      <a:headEnd/>
                      <a:tailEnd/>
                    </a:ln>
                  </pic:spPr>
                </pic:pic>
              </a:graphicData>
            </a:graphic>
          </wp:inline>
        </w:drawing>
      </w:r>
    </w:p>
    <w:p w14:paraId="15E385C4" w14:textId="77777777" w:rsidR="00D32F08" w:rsidRDefault="00000000">
      <w:pPr>
        <w:pStyle w:val="BodyText"/>
      </w:pPr>
      <w:r>
        <w:t>Sensitivity of detection to CPD parameter choices. PELT detections stable across penalty multipliers (0.25–2.0). BOCPD robust for hazard lambda 12–20. CUSUM shows graceful degradation with increasing threshold h. CUSUM baseline-window sensitivity (10%–40%) added in revision (eTable S3) and confirms stability.</w:t>
      </w:r>
    </w:p>
    <w:p w14:paraId="548F62A1" w14:textId="77777777" w:rsidR="00D32F08" w:rsidRDefault="00000000">
      <w:pPr>
        <w:pStyle w:val="Heading3"/>
      </w:pPr>
      <w:bookmarkStart w:id="28" w:name="X77939d28be64eb485bc9780d5344a53d3a54581"/>
      <w:bookmarkEnd w:id="27"/>
      <w:r>
        <w:t>eFigure S4. Detection performance by validation tier</w:t>
      </w:r>
    </w:p>
    <w:p w14:paraId="1BC79DB2" w14:textId="77777777" w:rsidR="00D32F08" w:rsidRDefault="00000000">
      <w:pPr>
        <w:pStyle w:val="FirstParagraph"/>
      </w:pPr>
      <w:r>
        <w:rPr>
          <w:noProof/>
        </w:rPr>
        <w:drawing>
          <wp:inline distT="0" distB="0" distL="0" distR="0" wp14:anchorId="4666980A" wp14:editId="68E38E8C">
            <wp:extent cx="5334000" cy="2272836"/>
            <wp:effectExtent l="0" t="0" r="0" b="0"/>
            <wp:docPr id="42" name="Picture"/>
            <wp:cNvGraphicFramePr/>
            <a:graphic xmlns:a="http://schemas.openxmlformats.org/drawingml/2006/main">
              <a:graphicData uri="http://schemas.openxmlformats.org/drawingml/2006/picture">
                <pic:pic xmlns:pic="http://schemas.openxmlformats.org/drawingml/2006/picture">
                  <pic:nvPicPr>
                    <pic:cNvPr id="43" name="Picture" descr="figures/eFigure_S4_performance_by_tier.png"/>
                    <pic:cNvPicPr>
                      <a:picLocks noChangeAspect="1" noChangeArrowheads="1"/>
                    </pic:cNvPicPr>
                  </pic:nvPicPr>
                  <pic:blipFill>
                    <a:blip r:embed="rId7"/>
                    <a:stretch>
                      <a:fillRect/>
                    </a:stretch>
                  </pic:blipFill>
                  <pic:spPr bwMode="auto">
                    <a:xfrm>
                      <a:off x="0" y="0"/>
                      <a:ext cx="5334000" cy="2272836"/>
                    </a:xfrm>
                    <a:prstGeom prst="rect">
                      <a:avLst/>
                    </a:prstGeom>
                    <a:noFill/>
                    <a:ln w="9525">
                      <a:noFill/>
                      <a:headEnd/>
                      <a:tailEnd/>
                    </a:ln>
                  </pic:spPr>
                </pic:pic>
              </a:graphicData>
            </a:graphic>
          </wp:inline>
        </w:drawing>
      </w:r>
    </w:p>
    <w:p w14:paraId="53F97C05" w14:textId="77777777" w:rsidR="00D32F08" w:rsidRDefault="00000000">
      <w:pPr>
        <w:pStyle w:val="BodyText"/>
      </w:pPr>
      <w:r>
        <w:lastRenderedPageBreak/>
        <w:t>Detection performance under primary (≥10 reports) and sensitivity analysis (≥10 reports AND ≥2 non-zero post-detection quarters) confirmation criteria across all validation tiers. Tier C (the only fully independent benchmark) is highlighted.</w:t>
      </w:r>
    </w:p>
    <w:p w14:paraId="2517BB29" w14:textId="77777777" w:rsidR="00D32F08" w:rsidRDefault="00000000">
      <w:pPr>
        <w:pStyle w:val="Heading3"/>
      </w:pPr>
      <w:bookmarkStart w:id="29" w:name="Xf97fab03a7a25376a3287f6ccf5423c52bfd286"/>
      <w:bookmarkEnd w:id="28"/>
      <w:r>
        <w:t>eFigure S5. Prospective simulation timeline</w:t>
      </w:r>
    </w:p>
    <w:p w14:paraId="1A73EA97" w14:textId="77777777" w:rsidR="00D32F08" w:rsidRDefault="00000000">
      <w:pPr>
        <w:pStyle w:val="FirstParagraph"/>
      </w:pPr>
      <w:r>
        <w:rPr>
          <w:noProof/>
        </w:rPr>
        <w:drawing>
          <wp:inline distT="0" distB="0" distL="0" distR="0" wp14:anchorId="7CE085AB" wp14:editId="4C74F824">
            <wp:extent cx="5334000" cy="4180944"/>
            <wp:effectExtent l="0" t="0" r="0" b="0"/>
            <wp:docPr id="46" name="Picture"/>
            <wp:cNvGraphicFramePr/>
            <a:graphic xmlns:a="http://schemas.openxmlformats.org/drawingml/2006/main">
              <a:graphicData uri="http://schemas.openxmlformats.org/drawingml/2006/picture">
                <pic:pic xmlns:pic="http://schemas.openxmlformats.org/drawingml/2006/picture">
                  <pic:nvPicPr>
                    <pic:cNvPr id="47" name="Picture" descr="figures/Figure2_prospective_simulation.png"/>
                    <pic:cNvPicPr>
                      <a:picLocks noChangeAspect="1" noChangeArrowheads="1"/>
                    </pic:cNvPicPr>
                  </pic:nvPicPr>
                  <pic:blipFill>
                    <a:blip r:embed="rId8"/>
                    <a:stretch>
                      <a:fillRect/>
                    </a:stretch>
                  </pic:blipFill>
                  <pic:spPr bwMode="auto">
                    <a:xfrm>
                      <a:off x="0" y="0"/>
                      <a:ext cx="5334000" cy="4180944"/>
                    </a:xfrm>
                    <a:prstGeom prst="rect">
                      <a:avLst/>
                    </a:prstGeom>
                    <a:noFill/>
                    <a:ln w="9525">
                      <a:noFill/>
                      <a:headEnd/>
                      <a:tailEnd/>
                    </a:ln>
                  </pic:spPr>
                </pic:pic>
              </a:graphicData>
            </a:graphic>
          </wp:inline>
        </w:drawing>
      </w:r>
    </w:p>
    <w:p w14:paraId="6BFB5C66" w14:textId="77777777" w:rsidR="00D32F08" w:rsidRDefault="00000000">
      <w:pPr>
        <w:pStyle w:val="BodyText"/>
      </w:pPr>
      <w:r>
        <w:t>Prospective simulation timeline showing BOCPD alerts (purple diamond), PRR signals (red circle), and TGA regulatory action dates (black square) under real-time monitoring conditions. Green lines indicate BOCPD detected before TGA action. The online BOCPD algorithm detected 21/22 eligible Tier A pairs (95%); 18 (86%) preceded TGA action. Detection quarters matched the retrospective analysis in 19/21 pairs (90%).</w:t>
      </w:r>
    </w:p>
    <w:p w14:paraId="1D816ED5" w14:textId="77777777" w:rsidR="007E689D" w:rsidRDefault="007E689D">
      <w:pPr>
        <w:pStyle w:val="Heading3"/>
        <w:sectPr w:rsidR="007E689D" w:rsidSect="007E689D">
          <w:footnotePr>
            <w:numRestart w:val="eachSect"/>
          </w:footnotePr>
          <w:pgSz w:w="15840" w:h="12240" w:orient="landscape"/>
          <w:pgMar w:top="1440" w:right="1440" w:bottom="1440" w:left="1440" w:header="720" w:footer="720" w:gutter="0"/>
          <w:cols w:space="720"/>
          <w:docGrid w:linePitch="326"/>
        </w:sectPr>
      </w:pPr>
      <w:bookmarkStart w:id="30" w:name="efigure-s6.-signal-accumulation-curves"/>
      <w:bookmarkEnd w:id="29"/>
    </w:p>
    <w:p w14:paraId="2514A214" w14:textId="77777777" w:rsidR="00D32F08" w:rsidRDefault="00000000">
      <w:pPr>
        <w:pStyle w:val="Heading3"/>
      </w:pPr>
      <w:r>
        <w:lastRenderedPageBreak/>
        <w:t>eFigure S6. Signal accumulation curves</w:t>
      </w:r>
    </w:p>
    <w:p w14:paraId="239A97D5" w14:textId="77777777" w:rsidR="00D32F08" w:rsidRDefault="00000000">
      <w:pPr>
        <w:pStyle w:val="FirstParagraph"/>
      </w:pPr>
      <w:r>
        <w:rPr>
          <w:noProof/>
        </w:rPr>
        <w:drawing>
          <wp:inline distT="0" distB="0" distL="0" distR="0" wp14:anchorId="3E606335" wp14:editId="12CAB1D6">
            <wp:extent cx="5334000" cy="6821513"/>
            <wp:effectExtent l="0" t="0" r="0" b="0"/>
            <wp:docPr id="50" name="Picture"/>
            <wp:cNvGraphicFramePr/>
            <a:graphic xmlns:a="http://schemas.openxmlformats.org/drawingml/2006/main">
              <a:graphicData uri="http://schemas.openxmlformats.org/drawingml/2006/picture">
                <pic:pic xmlns:pic="http://schemas.openxmlformats.org/drawingml/2006/picture">
                  <pic:nvPicPr>
                    <pic:cNvPr id="51" name="Picture" descr="figures/Figure5_accumulation_curves.png"/>
                    <pic:cNvPicPr>
                      <a:picLocks noChangeAspect="1" noChangeArrowheads="1"/>
                    </pic:cNvPicPr>
                  </pic:nvPicPr>
                  <pic:blipFill>
                    <a:blip r:embed="rId9"/>
                    <a:stretch>
                      <a:fillRect/>
                    </a:stretch>
                  </pic:blipFill>
                  <pic:spPr bwMode="auto">
                    <a:xfrm>
                      <a:off x="0" y="0"/>
                      <a:ext cx="5334000" cy="6821513"/>
                    </a:xfrm>
                    <a:prstGeom prst="rect">
                      <a:avLst/>
                    </a:prstGeom>
                    <a:noFill/>
                    <a:ln w="9525">
                      <a:noFill/>
                      <a:headEnd/>
                      <a:tailEnd/>
                    </a:ln>
                  </pic:spPr>
                </pic:pic>
              </a:graphicData>
            </a:graphic>
          </wp:inline>
        </w:drawing>
      </w:r>
    </w:p>
    <w:p w14:paraId="7CBF938D" w14:textId="77777777" w:rsidR="00D32F08" w:rsidRDefault="00000000">
      <w:pPr>
        <w:pStyle w:val="BodyText"/>
      </w:pPr>
      <w:r>
        <w:t>Signal accumulation curves for five representative drug-adverse event pairs, showing quarterly report counts (blue bars) and cumulative totals (red line) relative to TGA regulatory action (black vertical line).</w:t>
      </w:r>
    </w:p>
    <w:p w14:paraId="5C8C8BDF" w14:textId="77777777" w:rsidR="00D32F08" w:rsidRDefault="00000000">
      <w:pPr>
        <w:pStyle w:val="Heading3"/>
      </w:pPr>
      <w:bookmarkStart w:id="31" w:name="Xd601fe3c6fe6ede7487f4ef4ec64cb81a7b998d"/>
      <w:bookmarkEnd w:id="30"/>
      <w:r>
        <w:lastRenderedPageBreak/>
        <w:t>eFigure S7. Cross-database detection timing</w:t>
      </w:r>
    </w:p>
    <w:p w14:paraId="16DEC966" w14:textId="77777777" w:rsidR="00D32F08" w:rsidRDefault="00000000">
      <w:pPr>
        <w:pStyle w:val="FirstParagraph"/>
      </w:pPr>
      <w:r>
        <w:rPr>
          <w:noProof/>
        </w:rPr>
        <w:drawing>
          <wp:inline distT="0" distB="0" distL="0" distR="0" wp14:anchorId="05152075" wp14:editId="168AE772">
            <wp:extent cx="5334000" cy="5335631"/>
            <wp:effectExtent l="0" t="0" r="0" b="0"/>
            <wp:docPr id="54" name="Picture"/>
            <wp:cNvGraphicFramePr/>
            <a:graphic xmlns:a="http://schemas.openxmlformats.org/drawingml/2006/main">
              <a:graphicData uri="http://schemas.openxmlformats.org/drawingml/2006/picture">
                <pic:pic xmlns:pic="http://schemas.openxmlformats.org/drawingml/2006/picture">
                  <pic:nvPicPr>
                    <pic:cNvPr id="55" name="Picture" descr="figures/Figure3_cross_database.png"/>
                    <pic:cNvPicPr>
                      <a:picLocks noChangeAspect="1" noChangeArrowheads="1"/>
                    </pic:cNvPicPr>
                  </pic:nvPicPr>
                  <pic:blipFill>
                    <a:blip r:embed="rId10"/>
                    <a:stretch>
                      <a:fillRect/>
                    </a:stretch>
                  </pic:blipFill>
                  <pic:spPr bwMode="auto">
                    <a:xfrm>
                      <a:off x="0" y="0"/>
                      <a:ext cx="5334000" cy="5335631"/>
                    </a:xfrm>
                    <a:prstGeom prst="rect">
                      <a:avLst/>
                    </a:prstGeom>
                    <a:noFill/>
                    <a:ln w="9525">
                      <a:noFill/>
                      <a:headEnd/>
                      <a:tailEnd/>
                    </a:ln>
                  </pic:spPr>
                </pic:pic>
              </a:graphicData>
            </a:graphic>
          </wp:inline>
        </w:drawing>
      </w:r>
    </w:p>
    <w:p w14:paraId="7BE10A4B" w14:textId="77777777" w:rsidR="00D32F08" w:rsidRDefault="00000000">
      <w:pPr>
        <w:pStyle w:val="BodyText"/>
      </w:pPr>
      <w:r>
        <w:t>Cross-database detection timing: DAEN lead time versus FAERS lead time for Tier A pairs. Points above the diagonal indicate FAERS detected earlier. The majority of pairs cluster above the diagonal, reflecting FAERS’s larger reporting volume. Notable DAEN-first detections include clozapine-myocarditis (11 quarters earlier in DAEN) and isotretinoin-depression (6 quarters earlier).</w:t>
      </w:r>
    </w:p>
    <w:p w14:paraId="0354E0F3" w14:textId="77777777" w:rsidR="00D32F08" w:rsidRDefault="00000000">
      <w:pPr>
        <w:pStyle w:val="BodyText"/>
      </w:pPr>
      <w:r>
        <w:t>Formal concordance between DAEN and FAERS was slight (Cohen’s kappa = 0.09; 22 pairs detected in both, 8 FAERS-only, 1 DAEN-only).</w:t>
      </w:r>
    </w:p>
    <w:p w14:paraId="6A468DEF" w14:textId="77777777" w:rsidR="00D32F08" w:rsidRDefault="00000000">
      <w:pPr>
        <w:pStyle w:val="Heading3"/>
      </w:pPr>
      <w:bookmarkStart w:id="32" w:name="X345bbb6b0d41adac826cc6a61175b04dd644a3d"/>
      <w:bookmarkEnd w:id="31"/>
      <w:r>
        <w:lastRenderedPageBreak/>
        <w:t>eFigure S8. Detection-to-action gap over time (truncation-aware)</w:t>
      </w:r>
    </w:p>
    <w:p w14:paraId="2FC00ADB" w14:textId="77777777" w:rsidR="00D32F08" w:rsidRDefault="00000000">
      <w:pPr>
        <w:pStyle w:val="FirstParagraph"/>
      </w:pPr>
      <w:r>
        <w:rPr>
          <w:noProof/>
        </w:rPr>
        <w:drawing>
          <wp:inline distT="0" distB="0" distL="0" distR="0" wp14:anchorId="69DDCA11" wp14:editId="7C9DDD37">
            <wp:extent cx="5334000" cy="3748731"/>
            <wp:effectExtent l="0" t="0" r="0" b="0"/>
            <wp:docPr id="58" name="Picture"/>
            <wp:cNvGraphicFramePr/>
            <a:graphic xmlns:a="http://schemas.openxmlformats.org/drawingml/2006/main">
              <a:graphicData uri="http://schemas.openxmlformats.org/drawingml/2006/picture">
                <pic:pic xmlns:pic="http://schemas.openxmlformats.org/drawingml/2006/picture">
                  <pic:nvPicPr>
                    <pic:cNvPr id="59" name="Picture" descr="figures/Figure4_temporal_trend.png"/>
                    <pic:cNvPicPr>
                      <a:picLocks noChangeAspect="1" noChangeArrowheads="1"/>
                    </pic:cNvPicPr>
                  </pic:nvPicPr>
                  <pic:blipFill>
                    <a:blip r:embed="rId11"/>
                    <a:stretch>
                      <a:fillRect/>
                    </a:stretch>
                  </pic:blipFill>
                  <pic:spPr bwMode="auto">
                    <a:xfrm>
                      <a:off x="0" y="0"/>
                      <a:ext cx="5334000" cy="3748731"/>
                    </a:xfrm>
                    <a:prstGeom prst="rect">
                      <a:avLst/>
                    </a:prstGeom>
                    <a:noFill/>
                    <a:ln w="9525">
                      <a:noFill/>
                      <a:headEnd/>
                      <a:tailEnd/>
                    </a:ln>
                  </pic:spPr>
                </pic:pic>
              </a:graphicData>
            </a:graphic>
          </wp:inline>
        </w:drawing>
      </w:r>
    </w:p>
    <w:p w14:paraId="756D35CB" w14:textId="77777777" w:rsidR="00D32F08" w:rsidRDefault="00000000">
      <w:pPr>
        <w:pStyle w:val="BodyText"/>
      </w:pPr>
      <w:r>
        <w:t>Temporal trend in the CPD-to-TGA-action gap: lead time (quarters) versus year of TGA action. Raw Spearman rho = 0.70 (p &lt; 0.001), but the truncation-aware Monte Carlo null is itself centred at +0.31 (rather than at zero), reflecting structural inflation from the 2004Q1 left-truncation of the observation window (eTable S14; main text §3.7). The residual tail p = 0.014. Spearman rho is not additively decomposable, so we do not partition this further. We frame this as hypothesis-generating, not confirmatory.</w:t>
      </w:r>
      <w:bookmarkEnd w:id="0"/>
      <w:bookmarkEnd w:id="25"/>
      <w:bookmarkEnd w:id="32"/>
    </w:p>
    <w:sectPr w:rsidR="00D32F08" w:rsidSect="007E689D">
      <w:footnotePr>
        <w:numRestart w:val="eachSect"/>
      </w:footnotePr>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5583EC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454B1E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D5CC8B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88296796">
    <w:abstractNumId w:val="0"/>
  </w:num>
  <w:num w:numId="2" w16cid:durableId="1210337652">
    <w:abstractNumId w:val="1"/>
  </w:num>
  <w:num w:numId="3" w16cid:durableId="2091655652">
    <w:abstractNumId w:val="1"/>
  </w:num>
  <w:num w:numId="4" w16cid:durableId="1758866569">
    <w:abstractNumId w:val="1"/>
  </w:num>
  <w:num w:numId="5" w16cid:durableId="749928655">
    <w:abstractNumId w:val="1"/>
  </w:num>
  <w:num w:numId="6" w16cid:durableId="1438327708">
    <w:abstractNumId w:val="1"/>
  </w:num>
  <w:num w:numId="7" w16cid:durableId="160240992">
    <w:abstractNumId w:val="1"/>
  </w:num>
  <w:num w:numId="8" w16cid:durableId="1634366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D32F08"/>
    <w:rsid w:val="003E0D55"/>
    <w:rsid w:val="007E689D"/>
    <w:rsid w:val="00D32F08"/>
    <w:rsid w:val="00E67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B547"/>
  <w15:docId w15:val="{B997A39D-0674-2E4D-AFF3-27BA6F72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3669</Words>
  <Characters>20916</Characters>
  <Application>Microsoft Office Word</Application>
  <DocSecurity>0</DocSecurity>
  <Lines>174</Lines>
  <Paragraphs>49</Paragraphs>
  <ScaleCrop>false</ScaleCrop>
  <Company/>
  <LinksUpToDate>false</LinksUpToDate>
  <CharactersWithSpaces>24536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Hayden Farquhar</cp:lastModifiedBy>
  <cp:revision>2</cp:revision>
  <dcterms:created xsi:type="dcterms:W3CDTF">2026-06-03T04:01:00Z</dcterms:created>
  <dcterms:modified xsi:type="dcterms:W3CDTF">2026-06-04T01:20:00Z</dcterms:modified>
</cp:coreProperties>
</file>