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04E5" w:rsidRPr="00536F31" w:rsidRDefault="00000000" w:rsidP="00536F31">
      <w:pPr>
        <w:spacing w:after="120"/>
        <w:jc w:val="both"/>
        <w:rPr>
          <w:sz w:val="24"/>
          <w:szCs w:val="24"/>
        </w:rPr>
      </w:pPr>
      <w:r w:rsidRPr="00536F31">
        <w:rPr>
          <w:b/>
          <w:bCs/>
          <w:sz w:val="24"/>
          <w:szCs w:val="24"/>
        </w:rPr>
        <w:t>Supplementary Table S</w:t>
      </w:r>
      <w:r w:rsidR="009312DB">
        <w:rPr>
          <w:b/>
          <w:bCs/>
          <w:sz w:val="24"/>
          <w:szCs w:val="24"/>
        </w:rPr>
        <w:t>2</w:t>
      </w:r>
      <w:r w:rsidRPr="00536F31">
        <w:rPr>
          <w:b/>
          <w:bCs/>
          <w:sz w:val="24"/>
          <w:szCs w:val="24"/>
        </w:rPr>
        <w:t xml:space="preserve">. </w:t>
      </w:r>
      <w:r w:rsidRPr="008851BE">
        <w:rPr>
          <w:b/>
          <w:bCs/>
          <w:sz w:val="24"/>
          <w:szCs w:val="24"/>
        </w:rPr>
        <w:t>Baseline characteristics after propensity score matching.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1923"/>
        <w:gridCol w:w="2522"/>
        <w:gridCol w:w="753"/>
        <w:gridCol w:w="751"/>
      </w:tblGrid>
      <w:tr w:rsidR="00A030B7" w:rsidTr="008851BE">
        <w:tc>
          <w:tcPr>
            <w:tcW w:w="2046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b/>
                <w:bCs/>
              </w:rPr>
              <w:t>Characteristic</w:t>
            </w:r>
          </w:p>
        </w:tc>
        <w:tc>
          <w:tcPr>
            <w:tcW w:w="955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rPr>
                <w:b/>
                <w:bCs/>
              </w:rPr>
              <w:t>HMA (n = 508)</w:t>
            </w:r>
          </w:p>
        </w:tc>
        <w:tc>
          <w:tcPr>
            <w:tcW w:w="1252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rPr>
                <w:b/>
                <w:bCs/>
              </w:rPr>
              <w:t>VEN-based (n = 508)</w:t>
            </w:r>
          </w:p>
        </w:tc>
        <w:tc>
          <w:tcPr>
            <w:tcW w:w="374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rPr>
                <w:b/>
                <w:bCs/>
                <w:i/>
                <w:iCs/>
              </w:rPr>
              <w:t>P</w:t>
            </w:r>
          </w:p>
        </w:tc>
        <w:tc>
          <w:tcPr>
            <w:tcW w:w="373" w:type="pct"/>
            <w:tcBorders>
              <w:top w:val="single" w:sz="1" w:space="0" w:color="000000"/>
              <w:bottom w:val="single" w:sz="1" w:space="0" w:color="000000"/>
            </w:tcBorders>
            <w:shd w:val="clear" w:color="auto" w:fill="D1D1D1" w:themeFill="background2" w:themeFillShade="E6"/>
          </w:tcPr>
          <w:p w:rsidR="00A030B7" w:rsidRPr="008851BE" w:rsidRDefault="00A030B7">
            <w:pPr>
              <w:spacing w:line="230" w:lineRule="auto"/>
              <w:jc w:val="center"/>
              <w:rPr>
                <w:b/>
                <w:bCs/>
                <w:i/>
                <w:iCs/>
              </w:rPr>
            </w:pPr>
            <w:r w:rsidRPr="008851BE">
              <w:rPr>
                <w:b/>
                <w:bCs/>
                <w:i/>
                <w:iCs/>
              </w:rPr>
              <w:t>SMD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Sex, male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306 (60.2)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287 (56.5)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0.252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0.075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Age group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&lt;75 years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247 (48.6)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247 (48.6)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≥75 years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261 (51.4)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261 (51.4)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Age, years — median (range)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75 (17–90)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75 (20–91)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0.14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*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ECOG PS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0–2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478 (94.1)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478 (94.1)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3–4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30 (5.9)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30 (5.9)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AML type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0.34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</w:t>
            </w:r>
            <w:r w:rsidR="000479B5" w:rsidRPr="008851BE">
              <w:t>66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De novo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264 (54.2)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244 (50.9)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Secondary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223 (45.8)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235 (49.1)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Extramedullary disease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39 (11.3)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28 (8.0)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0.174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0.112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Prior HMA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14 (4.3)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12 (4.1)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0.010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WBC category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&lt;15 × 10⁹/L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325 (64.0)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325 (64.0)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≥15 × 10⁹/L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183 (36.0)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183 (36.0)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WBC, ×10⁹/L — median (range)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6.4 (0.1–27.2)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6.1 (0.2–174)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0.184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*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Hemoglobin, g/dL — median (range)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8.8 (4.1–15)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8.6 (3.7–16)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0.135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*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BM blasts, % — median (range)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40 (0–100)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40 (0–100)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rPr>
                <w:b/>
                <w:bCs/>
              </w:rPr>
              <w:t>0.043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  <w:rPr>
                <w:b/>
                <w:bCs/>
              </w:rPr>
            </w:pPr>
            <w:r w:rsidRPr="008851BE">
              <w:t>*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b/>
                <w:bCs/>
                <w:i/>
                <w:iCs/>
              </w:rPr>
              <w:t>Cytogenetic and molecular features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>MRC cytogenetic risk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Low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 (1.4)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 (1.4)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Intermediate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333 (65.6)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333 (65.6)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t xml:space="preserve">  High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168 (33.1)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168 (33.1)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NPM1</w:t>
            </w:r>
            <w:r w:rsidRPr="008851BE">
              <w:t xml:space="preserve"> positive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68 (20.2)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76 (18.5)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0.625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0.043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FLT3-ITD</w:t>
            </w:r>
            <w:r w:rsidRPr="008851BE">
              <w:t xml:space="preserve"> positive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34 (9.9)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44 (10.5)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0.864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0.020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FLT3-TKD</w:t>
            </w:r>
            <w:r w:rsidRPr="008851BE">
              <w:t xml:space="preserve"> positive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16 (5.7)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21 (5.9)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0.009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IDH1</w:t>
            </w:r>
            <w:r w:rsidRPr="008851BE">
              <w:t xml:space="preserve"> positive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31 (11.4)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38 (11.1)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1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0.009</w:t>
            </w:r>
          </w:p>
        </w:tc>
      </w:tr>
      <w:tr w:rsidR="00A030B7" w:rsidTr="008851BE">
        <w:tc>
          <w:tcPr>
            <w:tcW w:w="2046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IDH2</w:t>
            </w:r>
            <w:r w:rsidRPr="008851BE">
              <w:t xml:space="preserve"> positive — n (%)</w:t>
            </w:r>
          </w:p>
        </w:tc>
        <w:tc>
          <w:tcPr>
            <w:tcW w:w="955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47 (17.2)</w:t>
            </w:r>
          </w:p>
        </w:tc>
        <w:tc>
          <w:tcPr>
            <w:tcW w:w="1252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62 (18.1)</w:t>
            </w:r>
          </w:p>
        </w:tc>
        <w:tc>
          <w:tcPr>
            <w:tcW w:w="374" w:type="pct"/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0.834</w:t>
            </w:r>
          </w:p>
        </w:tc>
        <w:tc>
          <w:tcPr>
            <w:tcW w:w="373" w:type="pct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0.024</w:t>
            </w:r>
          </w:p>
        </w:tc>
      </w:tr>
      <w:tr w:rsidR="00A030B7" w:rsidTr="008851BE">
        <w:tc>
          <w:tcPr>
            <w:tcW w:w="2046" w:type="pct"/>
            <w:tcBorders>
              <w:bottom w:val="single" w:sz="1" w:space="0" w:color="000000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</w:pPr>
            <w:r w:rsidRPr="008851BE">
              <w:rPr>
                <w:i/>
                <w:iCs/>
              </w:rPr>
              <w:t>TP53</w:t>
            </w:r>
            <w:r w:rsidRPr="008851BE">
              <w:t xml:space="preserve"> positive — n (%)</w:t>
            </w:r>
          </w:p>
        </w:tc>
        <w:tc>
          <w:tcPr>
            <w:tcW w:w="955" w:type="pct"/>
            <w:tcBorders>
              <w:bottom w:val="single" w:sz="1" w:space="0" w:color="000000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73 (14.4)</w:t>
            </w:r>
          </w:p>
        </w:tc>
        <w:tc>
          <w:tcPr>
            <w:tcW w:w="1252" w:type="pct"/>
            <w:tcBorders>
              <w:bottom w:val="single" w:sz="1" w:space="0" w:color="000000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83 (16.3)</w:t>
            </w:r>
          </w:p>
        </w:tc>
        <w:tc>
          <w:tcPr>
            <w:tcW w:w="374" w:type="pct"/>
            <w:tcBorders>
              <w:bottom w:val="single" w:sz="1" w:space="0" w:color="000000"/>
            </w:tcBorders>
            <w:tcMar>
              <w:top w:w="25" w:type="dxa"/>
              <w:left w:w="50" w:type="dxa"/>
              <w:bottom w:w="25" w:type="dxa"/>
              <w:right w:w="50" w:type="dxa"/>
            </w:tcMar>
            <w:vAlign w:val="center"/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0.434</w:t>
            </w:r>
          </w:p>
        </w:tc>
        <w:tc>
          <w:tcPr>
            <w:tcW w:w="373" w:type="pct"/>
            <w:tcBorders>
              <w:bottom w:val="single" w:sz="1" w:space="0" w:color="000000"/>
            </w:tcBorders>
          </w:tcPr>
          <w:p w:rsidR="00A030B7" w:rsidRPr="008851BE" w:rsidRDefault="00A030B7">
            <w:pPr>
              <w:spacing w:line="230" w:lineRule="auto"/>
              <w:jc w:val="center"/>
            </w:pPr>
            <w:r w:rsidRPr="008851BE">
              <w:t>0.053</w:t>
            </w:r>
          </w:p>
        </w:tc>
      </w:tr>
    </w:tbl>
    <w:p w:rsidR="00B004E5" w:rsidRPr="00536F31" w:rsidRDefault="007D470C" w:rsidP="007D470C">
      <w:pPr>
        <w:spacing w:before="80"/>
        <w:jc w:val="both"/>
      </w:pPr>
      <w:r>
        <w:t>Matching was performed using nearest-neighbor propensity score matching (1:1 ratio) on age (≥75 years), cytogenetic risk (MRC 2010), WBC (≥15 × 10⁹/L), and ECOG (3–4). Only HMA patients diagnosed between 2010 and 2020 were eligible for matching. Continuous variables are presented as median (range); categorical variables as n (%). SMD, standardized mean difference; values &lt;0.1 indicate adequate balance. *SMD not calculated for continuous variables presented as medians; matching was performed on their categorical versions, for which SMDs are reported. Bold P-values indicate statistical significance (P &lt; 0.05).</w:t>
      </w:r>
    </w:p>
    <w:sectPr w:rsidR="00B004E5" w:rsidRPr="00536F31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F63"/>
    <w:multiLevelType w:val="hybridMultilevel"/>
    <w:tmpl w:val="F5542BD6"/>
    <w:lvl w:ilvl="0" w:tplc="2D128708">
      <w:start w:val="1"/>
      <w:numFmt w:val="bullet"/>
      <w:lvlText w:val="●"/>
      <w:lvlJc w:val="left"/>
      <w:pPr>
        <w:ind w:left="720" w:hanging="360"/>
      </w:pPr>
    </w:lvl>
    <w:lvl w:ilvl="1" w:tplc="A07EA6DA">
      <w:start w:val="1"/>
      <w:numFmt w:val="bullet"/>
      <w:lvlText w:val="○"/>
      <w:lvlJc w:val="left"/>
      <w:pPr>
        <w:ind w:left="1440" w:hanging="360"/>
      </w:pPr>
    </w:lvl>
    <w:lvl w:ilvl="2" w:tplc="A620A05E">
      <w:start w:val="1"/>
      <w:numFmt w:val="bullet"/>
      <w:lvlText w:val="■"/>
      <w:lvlJc w:val="left"/>
      <w:pPr>
        <w:ind w:left="2160" w:hanging="360"/>
      </w:pPr>
    </w:lvl>
    <w:lvl w:ilvl="3" w:tplc="D86AE388">
      <w:start w:val="1"/>
      <w:numFmt w:val="bullet"/>
      <w:lvlText w:val="●"/>
      <w:lvlJc w:val="left"/>
      <w:pPr>
        <w:ind w:left="2880" w:hanging="360"/>
      </w:pPr>
    </w:lvl>
    <w:lvl w:ilvl="4" w:tplc="624E9E3C">
      <w:start w:val="1"/>
      <w:numFmt w:val="bullet"/>
      <w:lvlText w:val="○"/>
      <w:lvlJc w:val="left"/>
      <w:pPr>
        <w:ind w:left="3600" w:hanging="360"/>
      </w:pPr>
    </w:lvl>
    <w:lvl w:ilvl="5" w:tplc="069CD5BC">
      <w:start w:val="1"/>
      <w:numFmt w:val="bullet"/>
      <w:lvlText w:val="■"/>
      <w:lvlJc w:val="left"/>
      <w:pPr>
        <w:ind w:left="4320" w:hanging="360"/>
      </w:pPr>
    </w:lvl>
    <w:lvl w:ilvl="6" w:tplc="408EDD42">
      <w:start w:val="1"/>
      <w:numFmt w:val="bullet"/>
      <w:lvlText w:val="●"/>
      <w:lvlJc w:val="left"/>
      <w:pPr>
        <w:ind w:left="5040" w:hanging="360"/>
      </w:pPr>
    </w:lvl>
    <w:lvl w:ilvl="7" w:tplc="A9D28854">
      <w:start w:val="1"/>
      <w:numFmt w:val="bullet"/>
      <w:lvlText w:val="●"/>
      <w:lvlJc w:val="left"/>
      <w:pPr>
        <w:ind w:left="5760" w:hanging="360"/>
      </w:pPr>
    </w:lvl>
    <w:lvl w:ilvl="8" w:tplc="7F00B85A">
      <w:start w:val="1"/>
      <w:numFmt w:val="bullet"/>
      <w:lvlText w:val="●"/>
      <w:lvlJc w:val="left"/>
      <w:pPr>
        <w:ind w:left="6480" w:hanging="360"/>
      </w:pPr>
    </w:lvl>
  </w:abstractNum>
  <w:num w:numId="1" w16cid:durableId="15732727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E5"/>
    <w:rsid w:val="000479B5"/>
    <w:rsid w:val="0029430E"/>
    <w:rsid w:val="00536F31"/>
    <w:rsid w:val="005E6332"/>
    <w:rsid w:val="007D470C"/>
    <w:rsid w:val="008851BE"/>
    <w:rsid w:val="009312DB"/>
    <w:rsid w:val="009341DA"/>
    <w:rsid w:val="00A030B7"/>
    <w:rsid w:val="00B004E5"/>
    <w:rsid w:val="00D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5C062"/>
  <w15:docId w15:val="{2867CD3B-DEB1-314F-8C5D-5604770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FR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1769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ASPAS REQUENA GASPAR</cp:lastModifiedBy>
  <cp:revision>8</cp:revision>
  <dcterms:created xsi:type="dcterms:W3CDTF">2026-03-27T15:44:00Z</dcterms:created>
  <dcterms:modified xsi:type="dcterms:W3CDTF">2026-05-10T21:53:00Z</dcterms:modified>
</cp:coreProperties>
</file>