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77936" w14:textId="77777777" w:rsidR="00362604" w:rsidRPr="00362604" w:rsidRDefault="00362604" w:rsidP="00362604">
      <w:pPr>
        <w:rPr>
          <w:b/>
          <w:bCs/>
          <w:lang w:val="en-US"/>
        </w:rPr>
      </w:pPr>
      <w:r w:rsidRPr="00362604">
        <w:rPr>
          <w:b/>
          <w:bCs/>
          <w:lang w:val="en-US"/>
        </w:rPr>
        <w:t>SUPPLEMENTARY MATERIAL</w:t>
      </w:r>
    </w:p>
    <w:p w14:paraId="35A1EF60" w14:textId="77777777" w:rsidR="00362604" w:rsidRPr="00362604" w:rsidRDefault="00362604" w:rsidP="00362604">
      <w:pPr>
        <w:rPr>
          <w:lang w:val="en-US"/>
        </w:rPr>
      </w:pPr>
      <w:r w:rsidRPr="00362604">
        <w:rPr>
          <w:b/>
          <w:bCs/>
          <w:lang w:val="en-US"/>
        </w:rPr>
        <w:t xml:space="preserve">Supplementary Table S1. </w:t>
      </w:r>
      <w:r w:rsidRPr="00362604">
        <w:rPr>
          <w:lang w:val="en-US"/>
        </w:rPr>
        <w:t>Response rates and overall survival according to specific treatment regimens (AZA+VEN, DEC+VEN, LDAC+VEN, AZA alone, DEC alone).</w:t>
      </w:r>
    </w:p>
    <w:p w14:paraId="2068F8F0" w14:textId="77777777" w:rsidR="00362604" w:rsidRPr="00362604" w:rsidRDefault="00362604" w:rsidP="00362604">
      <w:pPr>
        <w:rPr>
          <w:lang w:val="en-US"/>
        </w:rPr>
      </w:pPr>
      <w:r w:rsidRPr="00362604">
        <w:rPr>
          <w:b/>
          <w:bCs/>
          <w:lang w:val="en-US"/>
        </w:rPr>
        <w:t>Supplementary Table S2.</w:t>
      </w:r>
      <w:r w:rsidRPr="00362604">
        <w:rPr>
          <w:lang w:val="en-US"/>
        </w:rPr>
        <w:t xml:space="preserve"> Baseline characteristics after propensity score matching (n = 508 per group), with standardized mean differences. </w:t>
      </w:r>
    </w:p>
    <w:p w14:paraId="7622D877" w14:textId="77777777" w:rsidR="00362604" w:rsidRPr="00362604" w:rsidRDefault="00362604" w:rsidP="00362604">
      <w:pPr>
        <w:rPr>
          <w:lang w:val="fr-FR"/>
        </w:rPr>
      </w:pPr>
      <w:r w:rsidRPr="00362604">
        <w:rPr>
          <w:b/>
          <w:bCs/>
          <w:lang w:val="fr-FR"/>
        </w:rPr>
        <w:t xml:space="preserve">Supplementary Figure S1. </w:t>
      </w:r>
      <w:r w:rsidRPr="00362604">
        <w:rPr>
          <w:lang w:val="fr-FR"/>
        </w:rPr>
        <w:t xml:space="preserve">Overall survival according to AML type. </w:t>
      </w:r>
      <w:r w:rsidRPr="00362604">
        <w:rPr>
          <w:lang w:val="en-US"/>
        </w:rPr>
        <w:t xml:space="preserve">Kaplan–Meier estimates of OS for VEN-based therapy versus HMA monotherapy in </w:t>
      </w:r>
      <w:r w:rsidRPr="00362604">
        <w:rPr>
          <w:b/>
          <w:bCs/>
          <w:lang w:val="en-US"/>
        </w:rPr>
        <w:t>(A)</w:t>
      </w:r>
      <w:r w:rsidRPr="00362604">
        <w:rPr>
          <w:lang w:val="en-US"/>
        </w:rPr>
        <w:t xml:space="preserve"> de novo AML and </w:t>
      </w:r>
      <w:r w:rsidRPr="00362604">
        <w:rPr>
          <w:b/>
          <w:bCs/>
          <w:lang w:val="en-US"/>
        </w:rPr>
        <w:t>(B)</w:t>
      </w:r>
      <w:r w:rsidRPr="00362604">
        <w:rPr>
          <w:lang w:val="en-US"/>
        </w:rPr>
        <w:t xml:space="preserve"> secondary AML. </w:t>
      </w:r>
      <w:r w:rsidRPr="00362604">
        <w:rPr>
          <w:lang w:val="fr-FR"/>
        </w:rPr>
        <w:t>P-interaction = 0.030.</w:t>
      </w:r>
    </w:p>
    <w:p w14:paraId="31D73FCC" w14:textId="77777777" w:rsidR="00362604" w:rsidRPr="00362604" w:rsidRDefault="00362604" w:rsidP="00362604">
      <w:pPr>
        <w:rPr>
          <w:b/>
          <w:bCs/>
          <w:lang w:val="fr-FR"/>
        </w:rPr>
      </w:pPr>
      <w:r w:rsidRPr="00362604">
        <w:rPr>
          <w:b/>
          <w:bCs/>
          <w:lang w:val="fr-FR"/>
        </w:rPr>
        <w:t xml:space="preserve">Supplementary Figure S2. </w:t>
      </w:r>
      <w:r w:rsidRPr="00362604">
        <w:rPr>
          <w:lang w:val="fr-FR"/>
        </w:rPr>
        <w:t xml:space="preserve">Overall survival in sAML according to etiology. Kaplan–Meier estimates of OS for VEN-based therapy versus HMA monotherapy in </w:t>
      </w:r>
      <w:r w:rsidRPr="00362604">
        <w:rPr>
          <w:b/>
          <w:bCs/>
          <w:lang w:val="fr-FR"/>
        </w:rPr>
        <w:t>(A)</w:t>
      </w:r>
      <w:r w:rsidRPr="00362604">
        <w:rPr>
          <w:lang w:val="fr-FR"/>
        </w:rPr>
        <w:t xml:space="preserve"> AML evolved from MDS, </w:t>
      </w:r>
      <w:r w:rsidRPr="00362604">
        <w:rPr>
          <w:b/>
          <w:bCs/>
          <w:lang w:val="fr-FR"/>
        </w:rPr>
        <w:t>(B)</w:t>
      </w:r>
      <w:r w:rsidRPr="00362604">
        <w:rPr>
          <w:lang w:val="fr-FR"/>
        </w:rPr>
        <w:t xml:space="preserve"> AML evolved from MDS/MPN, </w:t>
      </w:r>
      <w:r w:rsidRPr="00362604">
        <w:rPr>
          <w:b/>
          <w:bCs/>
          <w:lang w:val="fr-FR"/>
        </w:rPr>
        <w:t>(C)</w:t>
      </w:r>
      <w:r w:rsidRPr="00362604">
        <w:rPr>
          <w:lang w:val="fr-FR"/>
        </w:rPr>
        <w:t xml:space="preserve"> AML evolved from MPN, and </w:t>
      </w:r>
      <w:r w:rsidRPr="00362604">
        <w:rPr>
          <w:b/>
          <w:bCs/>
          <w:lang w:val="fr-FR"/>
        </w:rPr>
        <w:t xml:space="preserve">(D) </w:t>
      </w:r>
      <w:r w:rsidRPr="00362604">
        <w:rPr>
          <w:lang w:val="fr-FR"/>
        </w:rPr>
        <w:t>t-AML.</w:t>
      </w:r>
    </w:p>
    <w:p w14:paraId="29B7449C" w14:textId="77777777" w:rsidR="00362604" w:rsidRPr="00362604" w:rsidRDefault="00362604" w:rsidP="00362604">
      <w:pPr>
        <w:rPr>
          <w:b/>
          <w:bCs/>
          <w:lang w:val="fr-FR"/>
        </w:rPr>
      </w:pPr>
      <w:r w:rsidRPr="00362604">
        <w:rPr>
          <w:b/>
          <w:bCs/>
          <w:lang w:val="fr-FR"/>
        </w:rPr>
        <w:t xml:space="preserve">Supplementary Figure S3. </w:t>
      </w:r>
      <w:r w:rsidRPr="00362604">
        <w:rPr>
          <w:lang w:val="fr-FR"/>
        </w:rPr>
        <w:t>Overall survival according to prior HMA exposure.  Kaplan–Meier estimates of OS for VEN-based therapy versus HMA monotherapy in</w:t>
      </w:r>
      <w:r w:rsidRPr="00362604">
        <w:rPr>
          <w:b/>
          <w:bCs/>
          <w:lang w:val="fr-FR"/>
        </w:rPr>
        <w:t xml:space="preserve"> (A) </w:t>
      </w:r>
      <w:r w:rsidRPr="00362604">
        <w:rPr>
          <w:lang w:val="fr-FR"/>
        </w:rPr>
        <w:t>HMA-naïve patients and</w:t>
      </w:r>
      <w:r w:rsidRPr="00362604">
        <w:rPr>
          <w:b/>
          <w:bCs/>
          <w:lang w:val="fr-FR"/>
        </w:rPr>
        <w:t xml:space="preserve"> (B) </w:t>
      </w:r>
      <w:r w:rsidRPr="00362604">
        <w:rPr>
          <w:lang w:val="fr-FR"/>
        </w:rPr>
        <w:t>patients with prior HMA exposure during an antecedent myeloid disorder.</w:t>
      </w:r>
    </w:p>
    <w:p w14:paraId="76CFE3CB" w14:textId="77777777" w:rsidR="00362604" w:rsidRPr="00362604" w:rsidRDefault="00362604" w:rsidP="00362604">
      <w:pPr>
        <w:rPr>
          <w:b/>
          <w:bCs/>
          <w:lang w:val="fr-FR"/>
        </w:rPr>
      </w:pPr>
      <w:r w:rsidRPr="00362604">
        <w:rPr>
          <w:b/>
          <w:bCs/>
          <w:lang w:val="fr-FR"/>
        </w:rPr>
        <w:t xml:space="preserve">Supplementary Figure S4. </w:t>
      </w:r>
      <w:r w:rsidRPr="00362604">
        <w:rPr>
          <w:lang w:val="fr-FR"/>
        </w:rPr>
        <w:t>Overall survival according to cytogenetic risk (MRC 2010).  Kaplan–Meier estimates of OS for VEN-based therapy versus HMA monotherapy in</w:t>
      </w:r>
      <w:r w:rsidRPr="00362604">
        <w:rPr>
          <w:b/>
          <w:bCs/>
          <w:lang w:val="fr-FR"/>
        </w:rPr>
        <w:t xml:space="preserve"> (A) </w:t>
      </w:r>
      <w:r w:rsidRPr="00362604">
        <w:rPr>
          <w:lang w:val="fr-FR"/>
        </w:rPr>
        <w:t>favorable-risk,</w:t>
      </w:r>
      <w:r w:rsidRPr="00362604">
        <w:rPr>
          <w:b/>
          <w:bCs/>
          <w:lang w:val="fr-FR"/>
        </w:rPr>
        <w:t xml:space="preserve"> (B) </w:t>
      </w:r>
      <w:r w:rsidRPr="00362604">
        <w:rPr>
          <w:lang w:val="fr-FR"/>
        </w:rPr>
        <w:t>intermediate-risk, and</w:t>
      </w:r>
      <w:r w:rsidRPr="00362604">
        <w:rPr>
          <w:b/>
          <w:bCs/>
          <w:lang w:val="fr-FR"/>
        </w:rPr>
        <w:t xml:space="preserve"> (C) </w:t>
      </w:r>
      <w:r w:rsidRPr="00362604">
        <w:rPr>
          <w:lang w:val="fr-FR"/>
        </w:rPr>
        <w:t>adverse-risk cytogenetics.</w:t>
      </w:r>
    </w:p>
    <w:p w14:paraId="2062DBC2" w14:textId="77777777" w:rsidR="00362604" w:rsidRPr="00362604" w:rsidRDefault="00362604" w:rsidP="00362604">
      <w:pPr>
        <w:rPr>
          <w:lang w:val="fr-FR"/>
        </w:rPr>
      </w:pPr>
      <w:r w:rsidRPr="00362604">
        <w:rPr>
          <w:b/>
          <w:bCs/>
          <w:lang w:val="fr-FR"/>
        </w:rPr>
        <w:t xml:space="preserve">Supplementary Figure S5. </w:t>
      </w:r>
      <w:r w:rsidRPr="00362604">
        <w:rPr>
          <w:lang w:val="fr-FR"/>
        </w:rPr>
        <w:t xml:space="preserve">Overall survival according to molecular subgroups in mutation-positive patients. Kaplan–Meier estimates of OS for VEN-based therapy versus HMA monotherapy in </w:t>
      </w:r>
      <w:r w:rsidRPr="00362604">
        <w:rPr>
          <w:b/>
          <w:bCs/>
          <w:lang w:val="fr-FR"/>
        </w:rPr>
        <w:t>(A)</w:t>
      </w:r>
      <w:r w:rsidRPr="00362604">
        <w:rPr>
          <w:lang w:val="fr-FR"/>
        </w:rPr>
        <w:t xml:space="preserve"> </w:t>
      </w:r>
      <w:r w:rsidRPr="00362604">
        <w:rPr>
          <w:i/>
          <w:iCs/>
          <w:lang w:val="fr-FR"/>
        </w:rPr>
        <w:t>NPM1</w:t>
      </w:r>
      <w:r w:rsidRPr="00362604">
        <w:rPr>
          <w:lang w:val="fr-FR"/>
        </w:rPr>
        <w:t xml:space="preserve">-mutated, </w:t>
      </w:r>
      <w:r w:rsidRPr="00362604">
        <w:rPr>
          <w:b/>
          <w:bCs/>
          <w:lang w:val="fr-FR"/>
        </w:rPr>
        <w:t>(B)</w:t>
      </w:r>
      <w:r w:rsidRPr="00362604">
        <w:rPr>
          <w:lang w:val="fr-FR"/>
        </w:rPr>
        <w:t xml:space="preserve"> </w:t>
      </w:r>
      <w:r w:rsidRPr="00362604">
        <w:rPr>
          <w:i/>
          <w:iCs/>
          <w:lang w:val="fr-FR"/>
        </w:rPr>
        <w:t>IDH1</w:t>
      </w:r>
      <w:r w:rsidRPr="00362604">
        <w:rPr>
          <w:lang w:val="fr-FR"/>
        </w:rPr>
        <w:t xml:space="preserve">-mutated, </w:t>
      </w:r>
      <w:r w:rsidRPr="00362604">
        <w:rPr>
          <w:b/>
          <w:bCs/>
          <w:lang w:val="fr-FR"/>
        </w:rPr>
        <w:t>(C)</w:t>
      </w:r>
      <w:r w:rsidRPr="00362604">
        <w:rPr>
          <w:lang w:val="fr-FR"/>
        </w:rPr>
        <w:t xml:space="preserve"> </w:t>
      </w:r>
      <w:r w:rsidRPr="00362604">
        <w:rPr>
          <w:i/>
          <w:iCs/>
          <w:lang w:val="fr-FR"/>
        </w:rPr>
        <w:t>IDH2</w:t>
      </w:r>
      <w:r w:rsidRPr="00362604">
        <w:rPr>
          <w:lang w:val="fr-FR"/>
        </w:rPr>
        <w:t xml:space="preserve">-mutated, </w:t>
      </w:r>
      <w:r w:rsidRPr="00362604">
        <w:rPr>
          <w:b/>
          <w:bCs/>
          <w:lang w:val="fr-FR"/>
        </w:rPr>
        <w:t xml:space="preserve">(D) </w:t>
      </w:r>
      <w:r w:rsidRPr="00362604">
        <w:rPr>
          <w:i/>
          <w:iCs/>
          <w:lang w:val="fr-FR"/>
        </w:rPr>
        <w:t>FLT3</w:t>
      </w:r>
      <w:r w:rsidRPr="00362604">
        <w:rPr>
          <w:lang w:val="fr-FR"/>
        </w:rPr>
        <w:t xml:space="preserve">-ITD-positive, and </w:t>
      </w:r>
      <w:r w:rsidRPr="00362604">
        <w:rPr>
          <w:b/>
          <w:bCs/>
          <w:lang w:val="fr-FR"/>
        </w:rPr>
        <w:t>(E)</w:t>
      </w:r>
      <w:r w:rsidRPr="00362604">
        <w:rPr>
          <w:lang w:val="fr-FR"/>
        </w:rPr>
        <w:t xml:space="preserve"> </w:t>
      </w:r>
      <w:r w:rsidRPr="00362604">
        <w:rPr>
          <w:i/>
          <w:iCs/>
          <w:lang w:val="fr-FR"/>
        </w:rPr>
        <w:t>TP53</w:t>
      </w:r>
      <w:r w:rsidRPr="00362604">
        <w:rPr>
          <w:lang w:val="fr-FR"/>
        </w:rPr>
        <w:t>-mutated patients.</w:t>
      </w:r>
    </w:p>
    <w:p w14:paraId="0B956271" w14:textId="77777777" w:rsidR="00362604" w:rsidRPr="00362604" w:rsidRDefault="00362604" w:rsidP="00362604">
      <w:pPr>
        <w:rPr>
          <w:lang w:val="fr-FR"/>
        </w:rPr>
      </w:pPr>
      <w:r w:rsidRPr="00362604">
        <w:rPr>
          <w:b/>
          <w:bCs/>
          <w:lang w:val="fr-FR"/>
        </w:rPr>
        <w:t xml:space="preserve">Supplementary Figure S6. </w:t>
      </w:r>
      <w:r w:rsidRPr="00362604">
        <w:rPr>
          <w:lang w:val="fr-FR"/>
        </w:rPr>
        <w:t>Overall survival after allogeneic stem cell transplantation. Kaplan–Meier estimates of post-transplant OS for patients receiving allo-HSCT in first CRc after VEN-based therapy versus HMA monotherapy.</w:t>
      </w:r>
    </w:p>
    <w:p w14:paraId="7CEE4F08" w14:textId="77777777" w:rsidR="00362604" w:rsidRPr="00362604" w:rsidRDefault="00362604" w:rsidP="00362604">
      <w:pPr>
        <w:rPr>
          <w:b/>
          <w:bCs/>
          <w:lang w:val="fr-FR"/>
        </w:rPr>
      </w:pPr>
      <w:r w:rsidRPr="00362604">
        <w:rPr>
          <w:b/>
          <w:bCs/>
          <w:lang w:val="fr-FR"/>
        </w:rPr>
        <w:t xml:space="preserve">Supplementary Figure S7. </w:t>
      </w:r>
      <w:r w:rsidRPr="00362604">
        <w:rPr>
          <w:lang w:val="fr-FR"/>
        </w:rPr>
        <w:t>Disease-free survival. Kaplan–Meier estimates of DFS among patients achieving CRc, comparing VEN-based therapy versus HMA monotherapy.</w:t>
      </w:r>
    </w:p>
    <w:p w14:paraId="5D5AD8C5" w14:textId="77777777" w:rsidR="00362604" w:rsidRPr="00362604" w:rsidRDefault="00362604" w:rsidP="00362604">
      <w:pPr>
        <w:rPr>
          <w:lang w:val="en-US"/>
        </w:rPr>
      </w:pPr>
      <w:r w:rsidRPr="00362604">
        <w:rPr>
          <w:b/>
          <w:bCs/>
          <w:lang w:val="fr-FR"/>
        </w:rPr>
        <w:t xml:space="preserve">Supplementary Figure S8. </w:t>
      </w:r>
      <w:r w:rsidRPr="00362604">
        <w:rPr>
          <w:lang w:val="fr-FR"/>
        </w:rPr>
        <w:t xml:space="preserve">Propensity score–matched analysis. Kaplan–Meier estimates of </w:t>
      </w:r>
      <w:r w:rsidRPr="00362604">
        <w:rPr>
          <w:b/>
          <w:bCs/>
          <w:lang w:val="fr-FR"/>
        </w:rPr>
        <w:t>(A)</w:t>
      </w:r>
      <w:r w:rsidRPr="00362604">
        <w:rPr>
          <w:lang w:val="fr-FR"/>
        </w:rPr>
        <w:t xml:space="preserve"> overall survival and </w:t>
      </w:r>
      <w:r w:rsidRPr="00362604">
        <w:rPr>
          <w:b/>
          <w:bCs/>
          <w:lang w:val="fr-FR"/>
        </w:rPr>
        <w:t>(B)</w:t>
      </w:r>
      <w:r w:rsidRPr="00362604">
        <w:rPr>
          <w:lang w:val="fr-FR"/>
        </w:rPr>
        <w:t xml:space="preserve"> disease-free survival in the propensity score–matched cohort (n = 508 per group). </w:t>
      </w:r>
    </w:p>
    <w:p w14:paraId="2371043E" w14:textId="77777777" w:rsidR="00767E38" w:rsidRDefault="00767E38"/>
    <w:sectPr w:rsidR="0076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604"/>
    <w:rsid w:val="00362604"/>
    <w:rsid w:val="00406DA0"/>
    <w:rsid w:val="00767E38"/>
    <w:rsid w:val="00866F7D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145D7"/>
  <w15:chartTrackingRefBased/>
  <w15:docId w15:val="{3CAB4901-CE85-4602-B0DA-36462B81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6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6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6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6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6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6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6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6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6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6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6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6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6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2026-06-12T14:21:00Z</dcterms:created>
  <dcterms:modified xsi:type="dcterms:W3CDTF">2026-06-12T14:21:00Z</dcterms:modified>
</cp:coreProperties>
</file>