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1226D" w14:textId="7BF2D079" w:rsidR="00E32BE2" w:rsidRDefault="005F17E1" w:rsidP="00A271A3">
      <w:pPr>
        <w:jc w:val="both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D34B229" wp14:editId="7DEF1F5A">
            <wp:extent cx="5943600" cy="5764530"/>
            <wp:effectExtent l="0" t="0" r="0" b="1270"/>
            <wp:docPr id="2143474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74582" name="Picture 21434745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4868" w14:textId="359FD111" w:rsidR="00564793" w:rsidRDefault="00354C41" w:rsidP="00354C41">
      <w:pPr>
        <w:spacing w:line="360" w:lineRule="auto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r w:rsidRPr="00354C41">
        <w:rPr>
          <w:rStyle w:val="Strong"/>
          <w:rFonts w:ascii="Arial" w:hAnsi="Arial" w:cs="Arial"/>
          <w:sz w:val="20"/>
          <w:szCs w:val="20"/>
        </w:rPr>
        <w:t xml:space="preserve">Figure S1. Structural classification and quality assessment of </w:t>
      </w:r>
      <w:r w:rsidR="005523DF" w:rsidRPr="00354C41">
        <w:rPr>
          <w:rStyle w:val="Strong"/>
          <w:rFonts w:ascii="Arial" w:hAnsi="Arial" w:cs="Arial"/>
          <w:sz w:val="20"/>
          <w:szCs w:val="20"/>
        </w:rPr>
        <w:t>fibroblasts</w:t>
      </w:r>
      <w:r w:rsidRPr="00354C41">
        <w:rPr>
          <w:rStyle w:val="Strong"/>
          <w:rFonts w:ascii="Arial" w:hAnsi="Arial" w:cs="Arial"/>
          <w:sz w:val="20"/>
          <w:szCs w:val="20"/>
        </w:rPr>
        <w:t xml:space="preserve"> and </w:t>
      </w:r>
      <w:r w:rsidR="005523DF" w:rsidRPr="00354C41">
        <w:rPr>
          <w:rStyle w:val="Strong"/>
          <w:rFonts w:ascii="Arial" w:hAnsi="Arial" w:cs="Arial"/>
          <w:sz w:val="20"/>
          <w:szCs w:val="20"/>
        </w:rPr>
        <w:t>keratinocytes</w:t>
      </w:r>
      <w:r w:rsidRPr="00354C41">
        <w:rPr>
          <w:rStyle w:val="Strong"/>
          <w:rFonts w:ascii="Arial" w:hAnsi="Arial" w:cs="Arial"/>
          <w:sz w:val="20"/>
          <w:szCs w:val="20"/>
        </w:rPr>
        <w:t xml:space="preserve"> isoforms.</w:t>
      </w:r>
      <w:r w:rsidR="005523D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5523DF">
        <w:rPr>
          <w:rStyle w:val="Strong"/>
          <w:rFonts w:ascii="Arial" w:hAnsi="Arial" w:cs="Arial"/>
          <w:sz w:val="20"/>
          <w:szCs w:val="20"/>
        </w:rPr>
        <w:t>(A)</w:t>
      </w:r>
      <w:r w:rsidRPr="005523DF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Proportions of SQANTI3 structural categories in fibroblasts (FBs) and keratinocytes (KCs). </w:t>
      </w:r>
      <w:r w:rsidRPr="00FD1863">
        <w:rPr>
          <w:rStyle w:val="Strong"/>
          <w:rFonts w:ascii="Arial" w:hAnsi="Arial" w:cs="Arial"/>
          <w:sz w:val="20"/>
          <w:szCs w:val="20"/>
        </w:rPr>
        <w:t>(B)</w:t>
      </w:r>
      <w:r w:rsidRPr="005523DF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Transcript length distributions in FBs and KCs. </w:t>
      </w:r>
      <w:r w:rsidRPr="00FD1863">
        <w:rPr>
          <w:rStyle w:val="Strong"/>
          <w:rFonts w:ascii="Arial" w:hAnsi="Arial" w:cs="Arial"/>
          <w:sz w:val="20"/>
          <w:szCs w:val="20"/>
        </w:rPr>
        <w:t>(C,</w:t>
      </w:r>
      <w:r w:rsidR="00567006">
        <w:rPr>
          <w:rStyle w:val="Strong"/>
          <w:rFonts w:ascii="Arial" w:hAnsi="Arial" w:cs="Arial"/>
          <w:sz w:val="20"/>
          <w:szCs w:val="20"/>
        </w:rPr>
        <w:t xml:space="preserve"> </w:t>
      </w:r>
      <w:r w:rsidRPr="00FD1863">
        <w:rPr>
          <w:rStyle w:val="Strong"/>
          <w:rFonts w:ascii="Arial" w:hAnsi="Arial" w:cs="Arial"/>
          <w:sz w:val="20"/>
          <w:szCs w:val="20"/>
        </w:rPr>
        <w:t>D)</w:t>
      </w:r>
      <w:r w:rsidRPr="005523DF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SQANTI3 quality metrics for predicted isoforms in FBs </w:t>
      </w:r>
      <w:r w:rsidRPr="00DD1ADF">
        <w:rPr>
          <w:rStyle w:val="Strong"/>
          <w:rFonts w:ascii="Arial" w:hAnsi="Arial" w:cs="Arial"/>
          <w:sz w:val="20"/>
          <w:szCs w:val="20"/>
        </w:rPr>
        <w:t>(C)</w:t>
      </w:r>
      <w:r w:rsidRPr="005523DF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and KCs </w:t>
      </w:r>
      <w:r w:rsidRPr="00DD1ADF">
        <w:rPr>
          <w:rStyle w:val="Strong"/>
          <w:rFonts w:ascii="Arial" w:hAnsi="Arial" w:cs="Arial"/>
          <w:sz w:val="20"/>
          <w:szCs w:val="20"/>
        </w:rPr>
        <w:t>(D)</w:t>
      </w:r>
      <w:r w:rsidRPr="005523DF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including reverse-transcriptase </w:t>
      </w:r>
      <w:r w:rsidRPr="005523DF">
        <w:rPr>
          <w:rStyle w:val="Strong"/>
          <w:rFonts w:ascii="Arial" w:hAnsi="Arial" w:cs="Arial" w:hint="eastAsia"/>
          <w:b w:val="0"/>
          <w:bCs w:val="0"/>
          <w:sz w:val="20"/>
          <w:szCs w:val="20"/>
        </w:rPr>
        <w:t>template switching, non-canonical splice junctions, 5</w:t>
      </w:r>
      <w:r w:rsidRPr="005523DF">
        <w:rPr>
          <w:rStyle w:val="Strong"/>
          <w:rFonts w:ascii="Arial" w:hAnsi="Arial" w:cs="Arial" w:hint="eastAsia"/>
          <w:b w:val="0"/>
          <w:bCs w:val="0"/>
          <w:sz w:val="20"/>
          <w:szCs w:val="20"/>
        </w:rPr>
        <w:t>′</w:t>
      </w:r>
      <w:r w:rsidRPr="005523DF">
        <w:rPr>
          <w:rStyle w:val="Strong"/>
          <w:rFonts w:ascii="Arial" w:hAnsi="Arial" w:cs="Arial" w:hint="eastAsia"/>
          <w:b w:val="0"/>
          <w:bCs w:val="0"/>
          <w:sz w:val="20"/>
          <w:szCs w:val="20"/>
        </w:rPr>
        <w:t xml:space="preserve"> end support by nearby CAGE peaks, and polyadenylation signal presence. </w:t>
      </w:r>
      <w:r w:rsidRPr="00291CC8">
        <w:rPr>
          <w:rStyle w:val="Strong"/>
          <w:rFonts w:ascii="Arial" w:hAnsi="Arial" w:cs="Arial" w:hint="eastAsia"/>
          <w:sz w:val="20"/>
          <w:szCs w:val="20"/>
        </w:rPr>
        <w:t>(E,</w:t>
      </w:r>
      <w:r w:rsidR="00567006">
        <w:rPr>
          <w:rStyle w:val="Strong"/>
          <w:rFonts w:ascii="Arial" w:hAnsi="Arial" w:cs="Arial"/>
          <w:sz w:val="20"/>
          <w:szCs w:val="20"/>
        </w:rPr>
        <w:t xml:space="preserve"> </w:t>
      </w:r>
      <w:r w:rsidRPr="00291CC8">
        <w:rPr>
          <w:rStyle w:val="Strong"/>
          <w:rFonts w:ascii="Arial" w:hAnsi="Arial" w:cs="Arial" w:hint="eastAsia"/>
          <w:sz w:val="20"/>
          <w:szCs w:val="20"/>
        </w:rPr>
        <w:t>F)</w:t>
      </w:r>
      <w:r w:rsidRPr="005523DF">
        <w:rPr>
          <w:rStyle w:val="Strong"/>
          <w:rFonts w:ascii="Arial" w:hAnsi="Arial" w:cs="Arial" w:hint="eastAsia"/>
          <w:b w:val="0"/>
          <w:bCs w:val="0"/>
          <w:sz w:val="20"/>
          <w:szCs w:val="20"/>
        </w:rPr>
        <w:t xml:space="preserve"> Distribution of these quality metrics across intergenic, antisense, genic, and fusion transcript categories in FBs </w:t>
      </w:r>
      <w:r w:rsidRPr="00291CC8">
        <w:rPr>
          <w:rStyle w:val="Strong"/>
          <w:rFonts w:ascii="Arial" w:hAnsi="Arial" w:cs="Arial" w:hint="eastAsia"/>
          <w:sz w:val="20"/>
          <w:szCs w:val="20"/>
        </w:rPr>
        <w:t>(E)</w:t>
      </w:r>
      <w:r w:rsidRPr="005523DF">
        <w:rPr>
          <w:rStyle w:val="Strong"/>
          <w:rFonts w:ascii="Arial" w:hAnsi="Arial" w:cs="Arial" w:hint="eastAsia"/>
          <w:b w:val="0"/>
          <w:bCs w:val="0"/>
          <w:sz w:val="20"/>
          <w:szCs w:val="20"/>
        </w:rPr>
        <w:t xml:space="preserve"> and K</w:t>
      </w:r>
      <w:r w:rsidRPr="005523DF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Cs </w:t>
      </w:r>
      <w:r w:rsidRPr="00291CC8">
        <w:rPr>
          <w:rStyle w:val="Strong"/>
          <w:rFonts w:ascii="Arial" w:hAnsi="Arial" w:cs="Arial"/>
          <w:sz w:val="20"/>
          <w:szCs w:val="20"/>
        </w:rPr>
        <w:t>(F)</w:t>
      </w:r>
      <w:r w:rsidRPr="005523DF">
        <w:rPr>
          <w:rStyle w:val="Strong"/>
          <w:rFonts w:ascii="Arial" w:hAnsi="Arial" w:cs="Arial"/>
          <w:b w:val="0"/>
          <w:bCs w:val="0"/>
          <w:sz w:val="20"/>
          <w:szCs w:val="20"/>
        </w:rPr>
        <w:t>.</w:t>
      </w:r>
    </w:p>
    <w:p w14:paraId="6A0AB652" w14:textId="77777777" w:rsidR="00564793" w:rsidRDefault="00564793">
      <w:pPr>
        <w:rPr>
          <w:rStyle w:val="Strong"/>
          <w:rFonts w:ascii="Arial" w:hAnsi="Arial" w:cs="Arial"/>
          <w:b w:val="0"/>
          <w:bCs w:val="0"/>
          <w:sz w:val="20"/>
          <w:szCs w:val="20"/>
        </w:rPr>
      </w:pPr>
      <w:r>
        <w:rPr>
          <w:rStyle w:val="Strong"/>
          <w:rFonts w:ascii="Arial" w:hAnsi="Arial" w:cs="Arial"/>
          <w:b w:val="0"/>
          <w:bCs w:val="0"/>
          <w:sz w:val="20"/>
          <w:szCs w:val="20"/>
        </w:rPr>
        <w:br w:type="page"/>
      </w:r>
    </w:p>
    <w:p w14:paraId="22B43EFC" w14:textId="3BF367BC" w:rsidR="005011EF" w:rsidRDefault="00C20591" w:rsidP="005D3764">
      <w:pPr>
        <w:spacing w:line="360" w:lineRule="auto"/>
        <w:jc w:val="both"/>
        <w:rPr>
          <w:rStyle w:val="Strong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5767EEAD" wp14:editId="7D51C245">
            <wp:extent cx="5943600" cy="6309995"/>
            <wp:effectExtent l="0" t="0" r="0" b="1905"/>
            <wp:docPr id="1986376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76394" name="Picture 19863763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E00F" w14:textId="4CD744F1" w:rsidR="006D4E0C" w:rsidRPr="003060AD" w:rsidRDefault="005563D1" w:rsidP="003060AD">
      <w:pPr>
        <w:spacing w:line="360" w:lineRule="auto"/>
        <w:jc w:val="both"/>
        <w:rPr>
          <w:rStyle w:val="Strong"/>
          <w:rFonts w:ascii="Arial" w:hAnsi="Arial" w:cs="Arial"/>
          <w:sz w:val="20"/>
          <w:szCs w:val="20"/>
        </w:rPr>
      </w:pPr>
      <w:r w:rsidRPr="005563D1">
        <w:rPr>
          <w:rStyle w:val="Strong"/>
          <w:rFonts w:ascii="Arial" w:hAnsi="Arial" w:cs="Arial"/>
          <w:sz w:val="20"/>
          <w:szCs w:val="20"/>
        </w:rPr>
        <w:t>Figure S2. Quality assessment and isoform expression during wound healing.</w:t>
      </w:r>
      <w:r w:rsidR="00B922DE">
        <w:rPr>
          <w:rStyle w:val="Strong"/>
          <w:rFonts w:ascii="Arial" w:hAnsi="Arial" w:cs="Arial"/>
          <w:sz w:val="20"/>
          <w:szCs w:val="20"/>
        </w:rPr>
        <w:t xml:space="preserve"> </w:t>
      </w:r>
      <w:r w:rsidRPr="00B922DE">
        <w:rPr>
          <w:rStyle w:val="Strong"/>
          <w:rFonts w:ascii="Arial" w:hAnsi="Arial" w:cs="Arial"/>
          <w:sz w:val="20"/>
          <w:szCs w:val="20"/>
        </w:rPr>
        <w:t>(A–C)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Isoform coverage analysis showing structural category distribution and detection consistency across samples. More than 70% of isoforms were full-splice match</w:t>
      </w:r>
      <w:r w:rsidR="00E805E7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(FSM)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or incomplete-splice match</w:t>
      </w:r>
      <w:r w:rsidR="00E805E7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(ISM)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and more than 75% were detected in at least 8 of 10 samples. </w:t>
      </w:r>
      <w:r w:rsidRPr="008A54E1">
        <w:rPr>
          <w:rStyle w:val="Strong"/>
          <w:rFonts w:ascii="Arial" w:hAnsi="Arial" w:cs="Arial"/>
          <w:sz w:val="20"/>
          <w:szCs w:val="20"/>
        </w:rPr>
        <w:t>(D,</w:t>
      </w:r>
      <w:r w:rsidR="008A54E1">
        <w:rPr>
          <w:rStyle w:val="Strong"/>
          <w:rFonts w:ascii="Arial" w:hAnsi="Arial" w:cs="Arial"/>
          <w:sz w:val="20"/>
          <w:szCs w:val="20"/>
        </w:rPr>
        <w:t xml:space="preserve"> </w:t>
      </w:r>
      <w:r w:rsidRPr="008A54E1">
        <w:rPr>
          <w:rStyle w:val="Strong"/>
          <w:rFonts w:ascii="Arial" w:hAnsi="Arial" w:cs="Arial"/>
          <w:sz w:val="20"/>
          <w:szCs w:val="20"/>
        </w:rPr>
        <w:t>E)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Hierarchical clustering of fibroblast </w:t>
      </w:r>
      <w:r w:rsidRPr="008A54E1">
        <w:rPr>
          <w:rStyle w:val="Strong"/>
          <w:rFonts w:ascii="Arial" w:hAnsi="Arial" w:cs="Arial"/>
          <w:sz w:val="20"/>
          <w:szCs w:val="20"/>
        </w:rPr>
        <w:t>(D)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and keratinocyte </w:t>
      </w:r>
      <w:r w:rsidRPr="008A54E1">
        <w:rPr>
          <w:rStyle w:val="Strong"/>
          <w:rFonts w:ascii="Arial" w:hAnsi="Arial" w:cs="Arial"/>
          <w:sz w:val="20"/>
          <w:szCs w:val="20"/>
        </w:rPr>
        <w:t>(E)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samples; SK-1 was excluded as an outlier. </w:t>
      </w:r>
      <w:r w:rsidRPr="009C3071">
        <w:rPr>
          <w:rStyle w:val="Strong"/>
          <w:rFonts w:ascii="Arial" w:hAnsi="Arial" w:cs="Arial"/>
          <w:sz w:val="20"/>
          <w:szCs w:val="20"/>
        </w:rPr>
        <w:t>(F)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r w:rsidRPr="009C3071">
        <w:rPr>
          <w:rStyle w:val="Strong"/>
          <w:rFonts w:ascii="Arial" w:hAnsi="Arial" w:cs="Arial"/>
          <w:b w:val="0"/>
          <w:bCs w:val="0"/>
          <w:i/>
          <w:iCs/>
          <w:sz w:val="20"/>
          <w:szCs w:val="20"/>
        </w:rPr>
        <w:t>LDLR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isoform expression in post-wound day 7</w:t>
      </w:r>
      <w:r w:rsidR="00423B6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</w:t>
      </w:r>
      <w:r w:rsidR="00915EC4">
        <w:rPr>
          <w:rStyle w:val="Strong"/>
          <w:rFonts w:ascii="Arial" w:hAnsi="Arial" w:cs="Arial"/>
          <w:b w:val="0"/>
          <w:bCs w:val="0"/>
          <w:sz w:val="20"/>
          <w:szCs w:val="20"/>
        </w:rPr>
        <w:t>WF</w:t>
      </w:r>
      <w:r w:rsidR="00423B61">
        <w:rPr>
          <w:rStyle w:val="Strong"/>
          <w:rFonts w:ascii="Arial" w:hAnsi="Arial" w:cs="Arial"/>
          <w:b w:val="0"/>
          <w:bCs w:val="0"/>
          <w:sz w:val="20"/>
          <w:szCs w:val="20"/>
        </w:rPr>
        <w:t>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versus normal skin</w:t>
      </w:r>
      <w:r w:rsidR="00423B6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fibroblasts</w:t>
      </w:r>
      <w:r w:rsidR="00915EC4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(SF)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. </w:t>
      </w:r>
      <w:r w:rsidRPr="00915EC4">
        <w:rPr>
          <w:rStyle w:val="Strong"/>
          <w:rFonts w:ascii="Arial" w:hAnsi="Arial" w:cs="Arial"/>
          <w:sz w:val="20"/>
          <w:szCs w:val="20"/>
        </w:rPr>
        <w:t>(G)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r w:rsidRPr="00915EC4">
        <w:rPr>
          <w:rStyle w:val="Strong"/>
          <w:rFonts w:ascii="Arial" w:hAnsi="Arial" w:cs="Arial"/>
          <w:b w:val="0"/>
          <w:bCs w:val="0"/>
          <w:i/>
          <w:iCs/>
          <w:sz w:val="20"/>
          <w:szCs w:val="20"/>
        </w:rPr>
        <w:t>DNAAF5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isoform structure and expression in WF versus SF, with PCR validation of the exon 12-skipping isoform PB.4427.2. </w:t>
      </w:r>
      <w:r w:rsidRPr="00915EC4">
        <w:rPr>
          <w:rStyle w:val="Strong"/>
          <w:rFonts w:ascii="Arial" w:hAnsi="Arial" w:cs="Arial"/>
          <w:sz w:val="20"/>
          <w:szCs w:val="20"/>
        </w:rPr>
        <w:t>(H–J)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Isoform expression of </w:t>
      </w:r>
      <w:r w:rsidRPr="00915EC4">
        <w:rPr>
          <w:rStyle w:val="Strong"/>
          <w:rFonts w:ascii="Arial" w:hAnsi="Arial" w:cs="Arial"/>
          <w:b w:val="0"/>
          <w:bCs w:val="0"/>
          <w:i/>
          <w:iCs/>
          <w:sz w:val="20"/>
          <w:szCs w:val="20"/>
        </w:rPr>
        <w:t>DNAAF5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r w:rsidRPr="00915EC4">
        <w:rPr>
          <w:rStyle w:val="Strong"/>
          <w:rFonts w:ascii="Arial" w:hAnsi="Arial" w:cs="Arial"/>
          <w:sz w:val="20"/>
          <w:szCs w:val="20"/>
        </w:rPr>
        <w:t>(H)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r w:rsidRPr="00915EC4">
        <w:rPr>
          <w:rStyle w:val="Strong"/>
          <w:rFonts w:ascii="Arial" w:hAnsi="Arial" w:cs="Arial"/>
          <w:b w:val="0"/>
          <w:bCs w:val="0"/>
          <w:i/>
          <w:iCs/>
          <w:sz w:val="20"/>
          <w:szCs w:val="20"/>
        </w:rPr>
        <w:t>TNFRSF21</w:t>
      </w:r>
      <w:r w:rsidRPr="00915EC4">
        <w:rPr>
          <w:rStyle w:val="Strong"/>
          <w:rFonts w:ascii="Arial" w:hAnsi="Arial" w:cs="Arial"/>
          <w:sz w:val="20"/>
          <w:szCs w:val="20"/>
        </w:rPr>
        <w:t xml:space="preserve"> (I)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and </w:t>
      </w:r>
      <w:r w:rsidRPr="00915EC4">
        <w:rPr>
          <w:rStyle w:val="Strong"/>
          <w:rFonts w:ascii="Arial" w:hAnsi="Arial" w:cs="Arial"/>
          <w:b w:val="0"/>
          <w:bCs w:val="0"/>
          <w:i/>
          <w:iCs/>
          <w:sz w:val="20"/>
          <w:szCs w:val="20"/>
        </w:rPr>
        <w:t>ZFP36L2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r w:rsidRPr="00915EC4">
        <w:rPr>
          <w:rStyle w:val="Strong"/>
          <w:rFonts w:ascii="Arial" w:hAnsi="Arial" w:cs="Arial"/>
          <w:sz w:val="20"/>
          <w:szCs w:val="20"/>
        </w:rPr>
        <w:t>(J)</w:t>
      </w:r>
      <w:r w:rsidRPr="005563D1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in post-wound day 7 versus normal skin.</w:t>
      </w:r>
      <w:r w:rsidR="006D4E0C">
        <w:rPr>
          <w:rStyle w:val="Strong"/>
          <w:rFonts w:ascii="Arial" w:hAnsi="Arial" w:cs="Arial"/>
          <w:b w:val="0"/>
          <w:bCs w:val="0"/>
          <w:sz w:val="22"/>
          <w:szCs w:val="22"/>
        </w:rPr>
        <w:br w:type="page"/>
      </w:r>
    </w:p>
    <w:p w14:paraId="4100A6C9" w14:textId="50BEF085" w:rsidR="005F17E1" w:rsidRDefault="00F67E28" w:rsidP="003421B0">
      <w:pPr>
        <w:spacing w:line="360" w:lineRule="auto"/>
        <w:jc w:val="both"/>
        <w:rPr>
          <w:rStyle w:val="Strong"/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FC6D55D" wp14:editId="7004A9B3">
            <wp:extent cx="5943600" cy="4956810"/>
            <wp:effectExtent l="0" t="0" r="0" b="0"/>
            <wp:docPr id="2021327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27590" name="Picture 20213275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4329" w14:textId="77777777" w:rsidR="005F17E1" w:rsidRDefault="005F17E1" w:rsidP="003421B0">
      <w:pPr>
        <w:spacing w:line="360" w:lineRule="auto"/>
        <w:jc w:val="both"/>
        <w:rPr>
          <w:rStyle w:val="Strong"/>
          <w:rFonts w:ascii="Arial" w:hAnsi="Arial" w:cs="Arial"/>
        </w:rPr>
      </w:pPr>
    </w:p>
    <w:p w14:paraId="5BE2AC27" w14:textId="11A220D2" w:rsidR="002E2EE1" w:rsidRPr="002E2EE1" w:rsidRDefault="002E2EE1" w:rsidP="002E2EE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E2EE1">
        <w:rPr>
          <w:rFonts w:ascii="Arial" w:hAnsi="Arial" w:cs="Arial"/>
          <w:b/>
          <w:bCs/>
          <w:sz w:val="20"/>
          <w:szCs w:val="20"/>
        </w:rPr>
        <w:t>Figure S3. Structural and sequence analysis of alternative splicing events.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E2EE1">
        <w:rPr>
          <w:rFonts w:ascii="Arial" w:hAnsi="Arial" w:cs="Arial"/>
          <w:b/>
          <w:bCs/>
          <w:sz w:val="20"/>
          <w:szCs w:val="20"/>
        </w:rPr>
        <w:t>(A)</w:t>
      </w:r>
      <w:r w:rsidRPr="002E2EE1">
        <w:rPr>
          <w:rFonts w:ascii="Arial" w:hAnsi="Arial" w:cs="Arial"/>
          <w:sz w:val="20"/>
          <w:szCs w:val="20"/>
        </w:rPr>
        <w:t xml:space="preserve"> Protein sequence alignment of LDLR exon 4-containing and exon 4-skipping isoforms. </w:t>
      </w:r>
      <w:r w:rsidRPr="0071183A">
        <w:rPr>
          <w:rFonts w:ascii="Arial" w:hAnsi="Arial" w:cs="Arial"/>
          <w:b/>
          <w:bCs/>
          <w:sz w:val="20"/>
          <w:szCs w:val="20"/>
        </w:rPr>
        <w:t>(B)</w:t>
      </w:r>
      <w:r w:rsidRPr="002E2E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E2EE1">
        <w:rPr>
          <w:rFonts w:ascii="Arial" w:hAnsi="Arial" w:cs="Arial"/>
          <w:sz w:val="20"/>
          <w:szCs w:val="20"/>
        </w:rPr>
        <w:t>ApoE</w:t>
      </w:r>
      <w:proofErr w:type="spellEnd"/>
      <w:r w:rsidRPr="002E2EE1">
        <w:rPr>
          <w:rFonts w:ascii="Arial" w:hAnsi="Arial" w:cs="Arial"/>
          <w:sz w:val="20"/>
          <w:szCs w:val="20"/>
        </w:rPr>
        <w:t xml:space="preserve"> protein sequence from the </w:t>
      </w:r>
      <w:proofErr w:type="spellStart"/>
      <w:r w:rsidRPr="002E2EE1">
        <w:rPr>
          <w:rFonts w:ascii="Arial" w:hAnsi="Arial" w:cs="Arial"/>
          <w:sz w:val="20"/>
          <w:szCs w:val="20"/>
        </w:rPr>
        <w:t>UniProt</w:t>
      </w:r>
      <w:proofErr w:type="spellEnd"/>
      <w:r w:rsidRPr="002E2EE1">
        <w:rPr>
          <w:rFonts w:ascii="Arial" w:hAnsi="Arial" w:cs="Arial"/>
          <w:sz w:val="20"/>
          <w:szCs w:val="20"/>
        </w:rPr>
        <w:t xml:space="preserve"> database. </w:t>
      </w:r>
      <w:r w:rsidRPr="00194009">
        <w:rPr>
          <w:rFonts w:ascii="Arial" w:hAnsi="Arial" w:cs="Arial"/>
          <w:b/>
          <w:bCs/>
          <w:sz w:val="20"/>
          <w:szCs w:val="20"/>
        </w:rPr>
        <w:t>(C)</w:t>
      </w:r>
      <w:r w:rsidRPr="002E2EE1">
        <w:rPr>
          <w:rFonts w:ascii="Arial" w:hAnsi="Arial" w:cs="Arial"/>
          <w:sz w:val="20"/>
          <w:szCs w:val="20"/>
        </w:rPr>
        <w:t xml:space="preserve"> UCSC Genome Browser view of FN1, showing domain-specific splicing patterns.</w:t>
      </w:r>
    </w:p>
    <w:p w14:paraId="710E01DA" w14:textId="4CB23EA7" w:rsidR="003060AD" w:rsidRDefault="003060AD">
      <w:pPr>
        <w:rPr>
          <w:rStyle w:val="Strong"/>
          <w:rFonts w:ascii="Arial" w:hAnsi="Arial" w:cs="Arial"/>
          <w:sz w:val="20"/>
          <w:szCs w:val="20"/>
        </w:rPr>
      </w:pPr>
      <w:r>
        <w:rPr>
          <w:rStyle w:val="Strong"/>
          <w:rFonts w:ascii="Arial" w:hAnsi="Arial" w:cs="Arial"/>
          <w:sz w:val="20"/>
          <w:szCs w:val="20"/>
        </w:rPr>
        <w:br w:type="page"/>
      </w:r>
    </w:p>
    <w:p w14:paraId="709BDFD0" w14:textId="1F95F62B" w:rsidR="00342D6B" w:rsidRDefault="001A23F3" w:rsidP="005011EF">
      <w:pPr>
        <w:spacing w:line="360" w:lineRule="auto"/>
        <w:jc w:val="both"/>
        <w:rPr>
          <w:rStyle w:val="Strong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571194A1" wp14:editId="764FD754">
            <wp:extent cx="5943600" cy="6510655"/>
            <wp:effectExtent l="0" t="0" r="0" b="4445"/>
            <wp:docPr id="1453507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07593" name="Picture 14535075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D2DB" w14:textId="77777777" w:rsidR="001F45D3" w:rsidRDefault="001F45D3" w:rsidP="005011EF">
      <w:pPr>
        <w:spacing w:line="360" w:lineRule="auto"/>
        <w:jc w:val="both"/>
        <w:rPr>
          <w:rStyle w:val="Strong"/>
          <w:rFonts w:ascii="Arial" w:hAnsi="Arial" w:cs="Arial"/>
          <w:sz w:val="20"/>
          <w:szCs w:val="20"/>
        </w:rPr>
      </w:pPr>
    </w:p>
    <w:p w14:paraId="196AF999" w14:textId="177427CB" w:rsidR="00F0761D" w:rsidRPr="00A803C1" w:rsidRDefault="00F0761D" w:rsidP="00F0761D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7C4D">
        <w:rPr>
          <w:rFonts w:ascii="Arial" w:hAnsi="Arial" w:cs="Arial"/>
          <w:b/>
          <w:bCs/>
          <w:sz w:val="20"/>
          <w:szCs w:val="20"/>
        </w:rPr>
        <w:t>Figure S4. RNA expression and functional enrichment of PSI-</w:t>
      </w:r>
      <w:r w:rsidR="00826793">
        <w:rPr>
          <w:rFonts w:ascii="Arial" w:hAnsi="Arial" w:cs="Arial"/>
          <w:b/>
          <w:bCs/>
          <w:sz w:val="20"/>
          <w:szCs w:val="20"/>
        </w:rPr>
        <w:t>markers</w:t>
      </w:r>
      <w:r w:rsidRPr="00BB7C4D">
        <w:rPr>
          <w:rFonts w:ascii="Arial" w:hAnsi="Arial" w:cs="Arial"/>
          <w:b/>
          <w:bCs/>
          <w:sz w:val="20"/>
          <w:szCs w:val="20"/>
        </w:rPr>
        <w:t>.</w:t>
      </w:r>
      <w:r w:rsidR="00A803C1">
        <w:rPr>
          <w:rFonts w:ascii="Arial" w:hAnsi="Arial" w:cs="Arial"/>
          <w:b/>
          <w:bCs/>
          <w:sz w:val="20"/>
          <w:szCs w:val="20"/>
        </w:rPr>
        <w:t xml:space="preserve"> </w:t>
      </w:r>
      <w:r w:rsidRPr="00826793">
        <w:rPr>
          <w:rFonts w:ascii="Arial" w:hAnsi="Arial" w:cs="Arial"/>
          <w:b/>
          <w:bCs/>
          <w:sz w:val="20"/>
          <w:szCs w:val="20"/>
        </w:rPr>
        <w:t>(A)</w:t>
      </w:r>
      <w:r w:rsidRPr="00BB7C4D">
        <w:rPr>
          <w:rFonts w:ascii="Arial" w:hAnsi="Arial" w:cs="Arial"/>
          <w:sz w:val="20"/>
          <w:szCs w:val="20"/>
        </w:rPr>
        <w:t xml:space="preserve"> RNA expression levels of PSI</w:t>
      </w:r>
      <w:r w:rsidR="00826793">
        <w:rPr>
          <w:rFonts w:ascii="Arial" w:hAnsi="Arial" w:cs="Arial"/>
          <w:sz w:val="20"/>
          <w:szCs w:val="20"/>
        </w:rPr>
        <w:t>-markers</w:t>
      </w:r>
      <w:r w:rsidRPr="00BB7C4D">
        <w:rPr>
          <w:rFonts w:ascii="Arial" w:hAnsi="Arial" w:cs="Arial"/>
          <w:sz w:val="20"/>
          <w:szCs w:val="20"/>
        </w:rPr>
        <w:t xml:space="preserve">. </w:t>
      </w:r>
      <w:r w:rsidRPr="00826793">
        <w:rPr>
          <w:rFonts w:ascii="Arial" w:hAnsi="Arial" w:cs="Arial"/>
          <w:b/>
          <w:bCs/>
          <w:sz w:val="20"/>
          <w:szCs w:val="20"/>
        </w:rPr>
        <w:t>(B)</w:t>
      </w:r>
      <w:r w:rsidRPr="00BB7C4D">
        <w:rPr>
          <w:rFonts w:ascii="Arial" w:hAnsi="Arial" w:cs="Arial"/>
          <w:sz w:val="20"/>
          <w:szCs w:val="20"/>
        </w:rPr>
        <w:t xml:space="preserve"> Functional enrichment of RNA and PSI markers. Markers were defined as P &lt; 0.01 and |log2FC| &gt; 0.5.</w:t>
      </w:r>
    </w:p>
    <w:p w14:paraId="5DED6162" w14:textId="26F66585" w:rsidR="003060AD" w:rsidRDefault="003060AD">
      <w:pPr>
        <w:rPr>
          <w:rStyle w:val="Strong"/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br w:type="page"/>
      </w:r>
    </w:p>
    <w:p w14:paraId="6DCB1CAC" w14:textId="3A5AE611" w:rsidR="008A1DA5" w:rsidRDefault="00D07AEE" w:rsidP="00F219C4">
      <w:pPr>
        <w:spacing w:line="360" w:lineRule="auto"/>
        <w:jc w:val="both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4C38F031" wp14:editId="1F31034E">
            <wp:simplePos x="0" y="0"/>
            <wp:positionH relativeFrom="column">
              <wp:posOffset>336316</wp:posOffset>
            </wp:positionH>
            <wp:positionV relativeFrom="paragraph">
              <wp:posOffset>0</wp:posOffset>
            </wp:positionV>
            <wp:extent cx="5340350" cy="4114800"/>
            <wp:effectExtent l="0" t="0" r="6350" b="0"/>
            <wp:wrapTopAndBottom/>
            <wp:docPr id="4188546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54620" name="Picture 4188546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92205" w14:textId="7B4D172C" w:rsidR="00241555" w:rsidRPr="00241555" w:rsidRDefault="00241555" w:rsidP="00F219C4">
      <w:pPr>
        <w:spacing w:line="360" w:lineRule="auto"/>
        <w:jc w:val="both"/>
        <w:rPr>
          <w:rStyle w:val="Strong"/>
          <w:rFonts w:ascii="Arial" w:hAnsi="Arial" w:cs="Arial"/>
          <w:sz w:val="20"/>
          <w:szCs w:val="20"/>
        </w:rPr>
      </w:pPr>
      <w:r w:rsidRPr="00241555">
        <w:rPr>
          <w:rFonts w:ascii="Arial" w:hAnsi="Arial" w:cs="Arial"/>
          <w:b/>
          <w:bCs/>
          <w:sz w:val="20"/>
          <w:szCs w:val="20"/>
        </w:rPr>
        <w:t>Figure S5. Promoter activity in fibroblasts and keratinocytes.</w:t>
      </w:r>
      <w:r w:rsidRPr="00241555">
        <w:rPr>
          <w:rFonts w:ascii="Arial" w:hAnsi="Arial" w:cs="Arial"/>
          <w:sz w:val="20"/>
          <w:szCs w:val="20"/>
        </w:rPr>
        <w:t xml:space="preserve"> </w:t>
      </w:r>
      <w:r w:rsidRPr="006A753E">
        <w:rPr>
          <w:rFonts w:ascii="Arial" w:hAnsi="Arial" w:cs="Arial"/>
          <w:b/>
          <w:bCs/>
          <w:sz w:val="20"/>
          <w:szCs w:val="20"/>
        </w:rPr>
        <w:t>(A)</w:t>
      </w:r>
      <w:r w:rsidRPr="00241555">
        <w:rPr>
          <w:rFonts w:ascii="Arial" w:hAnsi="Arial" w:cs="Arial"/>
          <w:sz w:val="20"/>
          <w:szCs w:val="20"/>
        </w:rPr>
        <w:t xml:space="preserve"> Proportion of isoforms with identifiable promoters in fibroblasts (FBs) and keratinocytes (KCs). </w:t>
      </w:r>
      <w:r w:rsidRPr="007A2102">
        <w:rPr>
          <w:rFonts w:ascii="Arial" w:hAnsi="Arial" w:cs="Arial"/>
          <w:b/>
          <w:bCs/>
          <w:sz w:val="20"/>
          <w:szCs w:val="20"/>
        </w:rPr>
        <w:t>(B)</w:t>
      </w:r>
      <w:r w:rsidRPr="00241555">
        <w:rPr>
          <w:rFonts w:ascii="Arial" w:hAnsi="Arial" w:cs="Arial"/>
          <w:sz w:val="20"/>
          <w:szCs w:val="20"/>
        </w:rPr>
        <w:t xml:space="preserve"> Classification of promoters as major, minor, or inactive based on activity. </w:t>
      </w:r>
      <w:r w:rsidRPr="007A2102">
        <w:rPr>
          <w:rFonts w:ascii="Arial" w:hAnsi="Arial" w:cs="Arial"/>
          <w:b/>
          <w:bCs/>
          <w:sz w:val="20"/>
          <w:szCs w:val="20"/>
        </w:rPr>
        <w:t>(C)</w:t>
      </w:r>
      <w:r w:rsidRPr="00241555">
        <w:rPr>
          <w:rFonts w:ascii="Arial" w:hAnsi="Arial" w:cs="Arial"/>
          <w:sz w:val="20"/>
          <w:szCs w:val="20"/>
        </w:rPr>
        <w:t xml:space="preserve"> Distribution of major and minor promoters across promoter positions. </w:t>
      </w:r>
      <w:r w:rsidRPr="00C6378C">
        <w:rPr>
          <w:rFonts w:ascii="Arial" w:hAnsi="Arial" w:cs="Arial"/>
          <w:b/>
          <w:bCs/>
          <w:sz w:val="20"/>
          <w:szCs w:val="20"/>
        </w:rPr>
        <w:t>(D)</w:t>
      </w:r>
      <w:r w:rsidRPr="00241555">
        <w:rPr>
          <w:rFonts w:ascii="Arial" w:hAnsi="Arial" w:cs="Arial"/>
          <w:sz w:val="20"/>
          <w:szCs w:val="20"/>
        </w:rPr>
        <w:t xml:space="preserve"> Relationship between major promoter activity and total gene expression, showing diagonal alignment for single-promoter genes and rightward deviation for multi-promoter genes.</w:t>
      </w:r>
    </w:p>
    <w:p w14:paraId="47424229" w14:textId="470E4160" w:rsidR="003060AD" w:rsidRDefault="003060A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5E5CA27B" w14:textId="5DD365CB" w:rsidR="004A5C2B" w:rsidRDefault="00BE3B32" w:rsidP="00164B25">
      <w:pPr>
        <w:spacing w:line="360" w:lineRule="auto"/>
        <w:jc w:val="both"/>
        <w:rPr>
          <w:rStyle w:val="Strong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11F4F683" wp14:editId="45DEEA5E">
            <wp:extent cx="5943600" cy="6658610"/>
            <wp:effectExtent l="0" t="0" r="0" b="0"/>
            <wp:docPr id="945731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31105" name="Picture 9457311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DB1B" w14:textId="2FDC57C7" w:rsidR="006A07D3" w:rsidRPr="00553C20" w:rsidRDefault="006A07D3" w:rsidP="006A07D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A07D3">
        <w:rPr>
          <w:rFonts w:ascii="Arial" w:hAnsi="Arial" w:cs="Arial"/>
          <w:b/>
          <w:bCs/>
          <w:sz w:val="20"/>
          <w:szCs w:val="20"/>
        </w:rPr>
        <w:t xml:space="preserve">Figure S6. </w:t>
      </w:r>
      <w:r w:rsidR="00763B51" w:rsidRPr="00763B51">
        <w:rPr>
          <w:rFonts w:ascii="Arial" w:hAnsi="Arial" w:cs="Arial"/>
          <w:b/>
          <w:bCs/>
          <w:sz w:val="20"/>
          <w:szCs w:val="20"/>
        </w:rPr>
        <w:t>Alternative polyadenylation</w:t>
      </w:r>
      <w:r w:rsidR="009B2081">
        <w:rPr>
          <w:rFonts w:ascii="Arial" w:hAnsi="Arial" w:cs="Arial"/>
          <w:b/>
          <w:bCs/>
          <w:sz w:val="20"/>
          <w:szCs w:val="20"/>
        </w:rPr>
        <w:t xml:space="preserve"> (APA)</w:t>
      </w:r>
      <w:r w:rsidR="00763B51" w:rsidRPr="00763B51">
        <w:rPr>
          <w:rFonts w:ascii="Arial" w:hAnsi="Arial" w:cs="Arial"/>
          <w:b/>
          <w:bCs/>
          <w:sz w:val="20"/>
          <w:szCs w:val="20"/>
        </w:rPr>
        <w:t xml:space="preserve"> dynamics during wound healing.</w:t>
      </w:r>
      <w:r w:rsidR="00553C20">
        <w:rPr>
          <w:rFonts w:ascii="Arial" w:hAnsi="Arial" w:cs="Arial"/>
          <w:b/>
          <w:bCs/>
          <w:sz w:val="20"/>
          <w:szCs w:val="20"/>
        </w:rPr>
        <w:t xml:space="preserve"> </w:t>
      </w:r>
      <w:r w:rsidRPr="00763B51">
        <w:rPr>
          <w:rFonts w:ascii="Arial" w:hAnsi="Arial" w:cs="Arial" w:hint="eastAsia"/>
          <w:b/>
          <w:bCs/>
          <w:sz w:val="20"/>
          <w:szCs w:val="20"/>
        </w:rPr>
        <w:t>(A,B)</w:t>
      </w:r>
      <w:r w:rsidRPr="006A07D3">
        <w:rPr>
          <w:rFonts w:ascii="Arial" w:hAnsi="Arial" w:cs="Arial" w:hint="eastAsia"/>
          <w:sz w:val="20"/>
          <w:szCs w:val="20"/>
        </w:rPr>
        <w:t xml:space="preserve"> Examples of alternative last exon APA (ALE-APA) </w:t>
      </w:r>
      <w:r w:rsidRPr="00763B51">
        <w:rPr>
          <w:rFonts w:ascii="Arial" w:hAnsi="Arial" w:cs="Arial" w:hint="eastAsia"/>
          <w:b/>
          <w:bCs/>
          <w:sz w:val="20"/>
          <w:szCs w:val="20"/>
        </w:rPr>
        <w:t>(A)</w:t>
      </w:r>
      <w:r w:rsidRPr="006A07D3">
        <w:rPr>
          <w:rFonts w:ascii="Arial" w:hAnsi="Arial" w:cs="Arial" w:hint="eastAsia"/>
          <w:sz w:val="20"/>
          <w:szCs w:val="20"/>
        </w:rPr>
        <w:t xml:space="preserve"> and tandem 3</w:t>
      </w:r>
      <w:r w:rsidRPr="006A07D3">
        <w:rPr>
          <w:rFonts w:ascii="Arial" w:hAnsi="Arial" w:cs="Arial" w:hint="eastAsia"/>
          <w:sz w:val="20"/>
          <w:szCs w:val="20"/>
        </w:rPr>
        <w:t>′</w:t>
      </w:r>
      <w:r w:rsidRPr="006A07D3">
        <w:rPr>
          <w:rFonts w:ascii="Arial" w:hAnsi="Arial" w:cs="Arial" w:hint="eastAsia"/>
          <w:sz w:val="20"/>
          <w:szCs w:val="20"/>
        </w:rPr>
        <w:t xml:space="preserve"> UTR APA (TUTR-APA) </w:t>
      </w:r>
      <w:r w:rsidRPr="00F244D5">
        <w:rPr>
          <w:rFonts w:ascii="Arial" w:hAnsi="Arial" w:cs="Arial" w:hint="eastAsia"/>
          <w:b/>
          <w:bCs/>
          <w:sz w:val="20"/>
          <w:szCs w:val="20"/>
        </w:rPr>
        <w:t>(B)</w:t>
      </w:r>
      <w:r w:rsidRPr="006A07D3">
        <w:rPr>
          <w:rFonts w:ascii="Arial" w:hAnsi="Arial" w:cs="Arial" w:hint="eastAsia"/>
          <w:sz w:val="20"/>
          <w:szCs w:val="20"/>
        </w:rPr>
        <w:t xml:space="preserve">. </w:t>
      </w:r>
      <w:r w:rsidRPr="00763B51">
        <w:rPr>
          <w:rFonts w:ascii="Arial" w:hAnsi="Arial" w:cs="Arial" w:hint="eastAsia"/>
          <w:b/>
          <w:bCs/>
          <w:sz w:val="20"/>
          <w:szCs w:val="20"/>
        </w:rPr>
        <w:t>(C)</w:t>
      </w:r>
      <w:r w:rsidRPr="006A07D3">
        <w:rPr>
          <w:rFonts w:ascii="Arial" w:hAnsi="Arial" w:cs="Arial" w:hint="eastAsia"/>
          <w:sz w:val="20"/>
          <w:szCs w:val="20"/>
        </w:rPr>
        <w:t xml:space="preserve"> </w:t>
      </w:r>
      <w:r w:rsidR="007C17B7" w:rsidRPr="007C17B7">
        <w:rPr>
          <w:rFonts w:ascii="Arial" w:hAnsi="Arial" w:cs="Arial"/>
          <w:sz w:val="20"/>
          <w:szCs w:val="20"/>
        </w:rPr>
        <w:t xml:space="preserve">Numbers of genes and APA transcripts detected in FBs and KCs by the SCAPTURE pipeline. APA transcripts were defined by distinct polyadenylation site (PAS) usage identified from 3′ tag-based single-cell RNA-seq data. </w:t>
      </w:r>
      <w:r w:rsidRPr="00763B51">
        <w:rPr>
          <w:rFonts w:ascii="Arial" w:hAnsi="Arial" w:cs="Arial" w:hint="eastAsia"/>
          <w:b/>
          <w:bCs/>
          <w:sz w:val="20"/>
          <w:szCs w:val="20"/>
        </w:rPr>
        <w:t>(D)</w:t>
      </w:r>
      <w:r w:rsidRPr="006A07D3">
        <w:rPr>
          <w:rFonts w:ascii="Arial" w:hAnsi="Arial" w:cs="Arial" w:hint="eastAsia"/>
          <w:sz w:val="20"/>
          <w:szCs w:val="20"/>
        </w:rPr>
        <w:t xml:space="preserve"> Numbers of </w:t>
      </w:r>
      <w:r w:rsidR="00A6028C" w:rsidRPr="00A6028C">
        <w:rPr>
          <w:rFonts w:ascii="Arial" w:hAnsi="Arial" w:cs="Arial"/>
          <w:sz w:val="20"/>
          <w:szCs w:val="20"/>
        </w:rPr>
        <w:t xml:space="preserve">polyadenylation site </w:t>
      </w:r>
      <w:r w:rsidR="00A6028C">
        <w:rPr>
          <w:rFonts w:ascii="Arial" w:hAnsi="Arial" w:cs="Arial"/>
          <w:sz w:val="20"/>
          <w:szCs w:val="20"/>
        </w:rPr>
        <w:t>(</w:t>
      </w:r>
      <w:r w:rsidRPr="006A07D3">
        <w:rPr>
          <w:rFonts w:ascii="Arial" w:hAnsi="Arial" w:cs="Arial" w:hint="eastAsia"/>
          <w:sz w:val="20"/>
          <w:szCs w:val="20"/>
        </w:rPr>
        <w:t>PAS</w:t>
      </w:r>
      <w:r w:rsidR="00A6028C">
        <w:rPr>
          <w:rFonts w:ascii="Arial" w:hAnsi="Arial" w:cs="Arial"/>
          <w:sz w:val="20"/>
          <w:szCs w:val="20"/>
        </w:rPr>
        <w:t>)</w:t>
      </w:r>
      <w:r w:rsidRPr="006A07D3">
        <w:rPr>
          <w:rFonts w:ascii="Arial" w:hAnsi="Arial" w:cs="Arial" w:hint="eastAsia"/>
          <w:sz w:val="20"/>
          <w:szCs w:val="20"/>
        </w:rPr>
        <w:t>-based transcripts</w:t>
      </w:r>
      <w:r w:rsidR="00934826">
        <w:rPr>
          <w:rFonts w:ascii="Arial" w:hAnsi="Arial" w:cs="Arial"/>
          <w:sz w:val="20"/>
          <w:szCs w:val="20"/>
        </w:rPr>
        <w:t xml:space="preserve"> per gene</w:t>
      </w:r>
      <w:r w:rsidRPr="006A07D3">
        <w:rPr>
          <w:rFonts w:ascii="Arial" w:hAnsi="Arial" w:cs="Arial" w:hint="eastAsia"/>
          <w:sz w:val="20"/>
          <w:szCs w:val="20"/>
        </w:rPr>
        <w:t xml:space="preserve">. </w:t>
      </w:r>
      <w:r w:rsidRPr="00763B51">
        <w:rPr>
          <w:rFonts w:ascii="Arial" w:hAnsi="Arial" w:cs="Arial" w:hint="eastAsia"/>
          <w:b/>
          <w:bCs/>
          <w:sz w:val="20"/>
          <w:szCs w:val="20"/>
        </w:rPr>
        <w:t>(E)</w:t>
      </w:r>
      <w:r w:rsidRPr="006A07D3">
        <w:rPr>
          <w:rFonts w:ascii="Arial" w:hAnsi="Arial" w:cs="Arial" w:hint="eastAsia"/>
          <w:sz w:val="20"/>
          <w:szCs w:val="20"/>
        </w:rPr>
        <w:t xml:space="preserve"> </w:t>
      </w:r>
      <w:r w:rsidR="007C17B7" w:rsidRPr="007C17B7">
        <w:rPr>
          <w:rFonts w:ascii="Arial" w:hAnsi="Arial" w:cs="Arial"/>
          <w:sz w:val="20"/>
          <w:szCs w:val="20"/>
        </w:rPr>
        <w:t>Gene distribution of the top 4,000 highly variable PAS-based transcript features</w:t>
      </w:r>
      <w:r w:rsidRPr="006A07D3">
        <w:rPr>
          <w:rFonts w:ascii="Arial" w:hAnsi="Arial" w:cs="Arial"/>
          <w:sz w:val="20"/>
          <w:szCs w:val="20"/>
        </w:rPr>
        <w:t xml:space="preserve">. </w:t>
      </w:r>
      <w:r w:rsidRPr="00763B51">
        <w:rPr>
          <w:rFonts w:ascii="Arial" w:hAnsi="Arial" w:cs="Arial"/>
          <w:b/>
          <w:bCs/>
          <w:sz w:val="20"/>
          <w:szCs w:val="20"/>
        </w:rPr>
        <w:t>(F)</w:t>
      </w:r>
      <w:r w:rsidRPr="006A07D3">
        <w:rPr>
          <w:rFonts w:ascii="Arial" w:hAnsi="Arial" w:cs="Arial"/>
          <w:sz w:val="20"/>
          <w:szCs w:val="20"/>
        </w:rPr>
        <w:t xml:space="preserve"> Comparison of cell-type assignments based on </w:t>
      </w:r>
      <w:r w:rsidRPr="006A07D3">
        <w:rPr>
          <w:rFonts w:ascii="Arial" w:hAnsi="Arial" w:cs="Arial"/>
          <w:sz w:val="20"/>
          <w:szCs w:val="20"/>
        </w:rPr>
        <w:lastRenderedPageBreak/>
        <w:t xml:space="preserve">differential transcript expression and differential gene expression. </w:t>
      </w:r>
      <w:r w:rsidRPr="00763B51">
        <w:rPr>
          <w:rFonts w:ascii="Arial" w:hAnsi="Arial" w:cs="Arial"/>
          <w:b/>
          <w:bCs/>
          <w:sz w:val="20"/>
          <w:szCs w:val="20"/>
        </w:rPr>
        <w:t>(G)</w:t>
      </w:r>
      <w:r w:rsidRPr="006A07D3">
        <w:rPr>
          <w:rFonts w:ascii="Arial" w:hAnsi="Arial" w:cs="Arial"/>
          <w:sz w:val="20"/>
          <w:szCs w:val="20"/>
        </w:rPr>
        <w:t xml:space="preserve"> Proximal PAS preference in keratinocytes</w:t>
      </w:r>
      <w:r w:rsidR="00C91D66">
        <w:rPr>
          <w:rFonts w:ascii="Arial" w:hAnsi="Arial" w:cs="Arial"/>
          <w:sz w:val="20"/>
          <w:szCs w:val="20"/>
        </w:rPr>
        <w:t xml:space="preserve"> (KCs)</w:t>
      </w:r>
      <w:r w:rsidRPr="006A07D3">
        <w:rPr>
          <w:rFonts w:ascii="Arial" w:hAnsi="Arial" w:cs="Arial"/>
          <w:sz w:val="20"/>
          <w:szCs w:val="20"/>
        </w:rPr>
        <w:t xml:space="preserve">. </w:t>
      </w:r>
      <w:r w:rsidRPr="00763B51">
        <w:rPr>
          <w:rFonts w:ascii="Arial" w:hAnsi="Arial" w:cs="Arial"/>
          <w:b/>
          <w:bCs/>
          <w:sz w:val="20"/>
          <w:szCs w:val="20"/>
        </w:rPr>
        <w:t>(H,</w:t>
      </w:r>
      <w:r w:rsidR="00763B51" w:rsidRPr="00763B51">
        <w:rPr>
          <w:rFonts w:ascii="Arial" w:hAnsi="Arial" w:cs="Arial"/>
          <w:b/>
          <w:bCs/>
          <w:sz w:val="20"/>
          <w:szCs w:val="20"/>
        </w:rPr>
        <w:t xml:space="preserve"> </w:t>
      </w:r>
      <w:r w:rsidRPr="00763B51">
        <w:rPr>
          <w:rFonts w:ascii="Arial" w:hAnsi="Arial" w:cs="Arial"/>
          <w:b/>
          <w:bCs/>
          <w:sz w:val="20"/>
          <w:szCs w:val="20"/>
        </w:rPr>
        <w:t>I)</w:t>
      </w:r>
      <w:r w:rsidRPr="006A07D3">
        <w:rPr>
          <w:rFonts w:ascii="Arial" w:hAnsi="Arial" w:cs="Arial"/>
          <w:sz w:val="20"/>
          <w:szCs w:val="20"/>
        </w:rPr>
        <w:t xml:space="preserve"> Temporal proximal PAS usage across fibroblast and keratinocyte subtypes at the single-cell level </w:t>
      </w:r>
      <w:r w:rsidRPr="00763B51">
        <w:rPr>
          <w:rFonts w:ascii="Arial" w:hAnsi="Arial" w:cs="Arial"/>
          <w:b/>
          <w:bCs/>
          <w:sz w:val="20"/>
          <w:szCs w:val="20"/>
        </w:rPr>
        <w:t>(H)</w:t>
      </w:r>
      <w:r w:rsidRPr="006A07D3">
        <w:rPr>
          <w:rFonts w:ascii="Arial" w:hAnsi="Arial" w:cs="Arial"/>
          <w:sz w:val="20"/>
          <w:szCs w:val="20"/>
        </w:rPr>
        <w:t xml:space="preserve"> and donor level </w:t>
      </w:r>
      <w:r w:rsidRPr="00763B51">
        <w:rPr>
          <w:rFonts w:ascii="Arial" w:hAnsi="Arial" w:cs="Arial"/>
          <w:b/>
          <w:bCs/>
          <w:sz w:val="20"/>
          <w:szCs w:val="20"/>
        </w:rPr>
        <w:t>(I)</w:t>
      </w:r>
      <w:r w:rsidRPr="006A07D3">
        <w:rPr>
          <w:rFonts w:ascii="Arial" w:hAnsi="Arial" w:cs="Arial"/>
          <w:sz w:val="20"/>
          <w:szCs w:val="20"/>
        </w:rPr>
        <w:t>, assessed by one-way ANOVA and repeated-measures ANOVA, respectively.</w:t>
      </w:r>
    </w:p>
    <w:p w14:paraId="7961A24E" w14:textId="519D00E3" w:rsidR="009B6375" w:rsidRDefault="009B6375">
      <w:pPr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>
        <w:rPr>
          <w:rStyle w:val="Strong"/>
          <w:rFonts w:ascii="Arial" w:hAnsi="Arial" w:cs="Arial"/>
          <w:b w:val="0"/>
          <w:bCs w:val="0"/>
          <w:sz w:val="22"/>
          <w:szCs w:val="22"/>
        </w:rPr>
        <w:br w:type="page"/>
      </w:r>
    </w:p>
    <w:p w14:paraId="0D271FC6" w14:textId="3D544A27" w:rsidR="00B5736E" w:rsidRDefault="00370BF7" w:rsidP="007A59B8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65AD8924" wp14:editId="6F6D7BC4">
            <wp:extent cx="5943600" cy="6866255"/>
            <wp:effectExtent l="0" t="0" r="0" b="4445"/>
            <wp:docPr id="17355203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20303" name="Picture 17355203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5702" w14:textId="24F021D8" w:rsidR="00746AF7" w:rsidRPr="009B6375" w:rsidRDefault="00746AF7" w:rsidP="004404B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46AF7">
        <w:rPr>
          <w:rFonts w:ascii="Arial" w:hAnsi="Arial" w:cs="Arial"/>
          <w:b/>
          <w:bCs/>
          <w:sz w:val="20"/>
          <w:szCs w:val="20"/>
        </w:rPr>
        <w:t xml:space="preserve">Figure S7. </w:t>
      </w:r>
      <w:r w:rsidR="00454A31" w:rsidRPr="00454A31">
        <w:rPr>
          <w:rFonts w:ascii="Arial" w:hAnsi="Arial" w:cs="Arial"/>
          <w:b/>
          <w:bCs/>
          <w:sz w:val="20"/>
          <w:szCs w:val="20"/>
        </w:rPr>
        <w:t xml:space="preserve">Potential impact of proximal </w:t>
      </w:r>
      <w:r w:rsidR="00D74FFA" w:rsidRPr="00D74FFA">
        <w:rPr>
          <w:rFonts w:ascii="Arial" w:hAnsi="Arial" w:cs="Arial"/>
          <w:b/>
          <w:bCs/>
          <w:sz w:val="20"/>
          <w:szCs w:val="20"/>
        </w:rPr>
        <w:t xml:space="preserve">polyadenylation site </w:t>
      </w:r>
      <w:r w:rsidR="00D74FFA">
        <w:rPr>
          <w:rFonts w:ascii="Arial" w:hAnsi="Arial" w:cs="Arial"/>
          <w:b/>
          <w:bCs/>
          <w:sz w:val="20"/>
          <w:szCs w:val="20"/>
        </w:rPr>
        <w:t>(</w:t>
      </w:r>
      <w:r w:rsidR="00454A31" w:rsidRPr="00454A31">
        <w:rPr>
          <w:rFonts w:ascii="Arial" w:hAnsi="Arial" w:cs="Arial"/>
          <w:b/>
          <w:bCs/>
          <w:sz w:val="20"/>
          <w:szCs w:val="20"/>
        </w:rPr>
        <w:t>PAS</w:t>
      </w:r>
      <w:r w:rsidR="00D74FFA">
        <w:rPr>
          <w:rFonts w:ascii="Arial" w:hAnsi="Arial" w:cs="Arial"/>
          <w:b/>
          <w:bCs/>
          <w:sz w:val="20"/>
          <w:szCs w:val="20"/>
        </w:rPr>
        <w:t>)</w:t>
      </w:r>
      <w:r w:rsidR="00454A31" w:rsidRPr="00454A31">
        <w:rPr>
          <w:rFonts w:ascii="Arial" w:hAnsi="Arial" w:cs="Arial"/>
          <w:b/>
          <w:bCs/>
          <w:sz w:val="20"/>
          <w:szCs w:val="20"/>
        </w:rPr>
        <w:t xml:space="preserve"> usage on miRNA-mediated regulation.</w:t>
      </w:r>
      <w:r>
        <w:rPr>
          <w:rFonts w:ascii="Arial" w:hAnsi="Arial" w:cs="Arial"/>
          <w:sz w:val="20"/>
          <w:szCs w:val="20"/>
        </w:rPr>
        <w:t xml:space="preserve"> </w:t>
      </w:r>
      <w:r w:rsidRPr="000768F4">
        <w:rPr>
          <w:rFonts w:ascii="Arial" w:hAnsi="Arial" w:cs="Arial"/>
          <w:b/>
          <w:bCs/>
          <w:sz w:val="20"/>
          <w:szCs w:val="20"/>
        </w:rPr>
        <w:t>(A)</w:t>
      </w:r>
      <w:r w:rsidRPr="00746AF7">
        <w:rPr>
          <w:rFonts w:ascii="Arial" w:hAnsi="Arial" w:cs="Arial"/>
          <w:sz w:val="20"/>
          <w:szCs w:val="20"/>
        </w:rPr>
        <w:t xml:space="preserve"> </w:t>
      </w:r>
      <w:r w:rsidR="001208DA" w:rsidRPr="00262256">
        <w:rPr>
          <w:rFonts w:ascii="Arial" w:hAnsi="Arial" w:cs="Arial"/>
          <w:sz w:val="20"/>
          <w:szCs w:val="20"/>
        </w:rPr>
        <w:t xml:space="preserve">Differential proximal PAS usage in day-7 wounds versus skin </w:t>
      </w:r>
      <w:r w:rsidR="001208DA">
        <w:rPr>
          <w:rFonts w:ascii="Arial" w:hAnsi="Arial" w:cs="Arial"/>
          <w:sz w:val="20"/>
          <w:szCs w:val="20"/>
        </w:rPr>
        <w:t xml:space="preserve">across </w:t>
      </w:r>
      <w:r w:rsidR="001208DA" w:rsidRPr="00746AF7">
        <w:rPr>
          <w:rFonts w:ascii="Arial" w:hAnsi="Arial" w:cs="Arial"/>
          <w:sz w:val="20"/>
          <w:szCs w:val="20"/>
        </w:rPr>
        <w:t>fibroblast and keratinocyte subpopulations</w:t>
      </w:r>
      <w:r w:rsidR="001208DA" w:rsidRPr="00262256">
        <w:rPr>
          <w:rFonts w:ascii="Arial" w:hAnsi="Arial" w:cs="Arial"/>
          <w:sz w:val="20"/>
          <w:szCs w:val="20"/>
        </w:rPr>
        <w:t xml:space="preserve"> (|log2FC| &gt; 1, P &lt; 0.05). </w:t>
      </w:r>
      <w:r w:rsidRPr="00746AF7">
        <w:rPr>
          <w:rFonts w:ascii="Arial" w:hAnsi="Arial" w:cs="Arial"/>
          <w:sz w:val="20"/>
          <w:szCs w:val="20"/>
        </w:rPr>
        <w:t>Genes with increased and decreased proximal PAS usage are shown in red and blue, respectively.</w:t>
      </w:r>
      <w:r w:rsidR="00262256" w:rsidRPr="00262256">
        <w:rPr>
          <w:rFonts w:ascii="Arial" w:hAnsi="Arial" w:cs="Arial"/>
          <w:sz w:val="20"/>
          <w:szCs w:val="20"/>
        </w:rPr>
        <w:t xml:space="preserve"> </w:t>
      </w:r>
      <w:r w:rsidRPr="000768F4">
        <w:rPr>
          <w:rFonts w:ascii="Arial" w:hAnsi="Arial" w:cs="Arial"/>
          <w:b/>
          <w:bCs/>
          <w:sz w:val="20"/>
          <w:szCs w:val="20"/>
        </w:rPr>
        <w:t>(B,</w:t>
      </w:r>
      <w:r w:rsidR="000768F4">
        <w:rPr>
          <w:rFonts w:ascii="Arial" w:hAnsi="Arial" w:cs="Arial"/>
          <w:b/>
          <w:bCs/>
          <w:sz w:val="20"/>
          <w:szCs w:val="20"/>
        </w:rPr>
        <w:t xml:space="preserve"> </w:t>
      </w:r>
      <w:r w:rsidRPr="000768F4">
        <w:rPr>
          <w:rFonts w:ascii="Arial" w:hAnsi="Arial" w:cs="Arial"/>
          <w:b/>
          <w:bCs/>
          <w:sz w:val="20"/>
          <w:szCs w:val="20"/>
        </w:rPr>
        <w:t>D)</w:t>
      </w:r>
      <w:r w:rsidRPr="00746AF7">
        <w:rPr>
          <w:rFonts w:ascii="Arial" w:hAnsi="Arial" w:cs="Arial"/>
          <w:sz w:val="20"/>
          <w:szCs w:val="20"/>
        </w:rPr>
        <w:t xml:space="preserve"> Top 30 highly expressed miRNAs in fibroblasts </w:t>
      </w:r>
      <w:r w:rsidRPr="000768F4">
        <w:rPr>
          <w:rFonts w:ascii="Arial" w:hAnsi="Arial" w:cs="Arial"/>
          <w:b/>
          <w:bCs/>
          <w:sz w:val="20"/>
          <w:szCs w:val="20"/>
        </w:rPr>
        <w:t>(B)</w:t>
      </w:r>
      <w:r w:rsidRPr="00746AF7">
        <w:rPr>
          <w:rFonts w:ascii="Arial" w:hAnsi="Arial" w:cs="Arial"/>
          <w:sz w:val="20"/>
          <w:szCs w:val="20"/>
        </w:rPr>
        <w:t xml:space="preserve"> and keratinocytes </w:t>
      </w:r>
      <w:r w:rsidRPr="000768F4">
        <w:rPr>
          <w:rFonts w:ascii="Arial" w:hAnsi="Arial" w:cs="Arial"/>
          <w:b/>
          <w:bCs/>
          <w:sz w:val="20"/>
          <w:szCs w:val="20"/>
        </w:rPr>
        <w:t>(D)</w:t>
      </w:r>
      <w:r w:rsidRPr="00746AF7">
        <w:rPr>
          <w:rFonts w:ascii="Arial" w:hAnsi="Arial" w:cs="Arial"/>
          <w:sz w:val="20"/>
          <w:szCs w:val="20"/>
        </w:rPr>
        <w:t xml:space="preserve">, ranked by average TPM across skin and day-7 wound samples. </w:t>
      </w:r>
      <w:r w:rsidRPr="000768F4">
        <w:rPr>
          <w:rFonts w:ascii="Arial" w:hAnsi="Arial" w:cs="Arial"/>
          <w:b/>
          <w:bCs/>
          <w:sz w:val="20"/>
          <w:szCs w:val="20"/>
        </w:rPr>
        <w:t>(C,</w:t>
      </w:r>
      <w:r w:rsidR="000768F4" w:rsidRPr="000768F4">
        <w:rPr>
          <w:rFonts w:ascii="Arial" w:hAnsi="Arial" w:cs="Arial"/>
          <w:b/>
          <w:bCs/>
          <w:sz w:val="20"/>
          <w:szCs w:val="20"/>
        </w:rPr>
        <w:t xml:space="preserve"> </w:t>
      </w:r>
      <w:r w:rsidRPr="000768F4">
        <w:rPr>
          <w:rFonts w:ascii="Arial" w:hAnsi="Arial" w:cs="Arial"/>
          <w:b/>
          <w:bCs/>
          <w:sz w:val="20"/>
          <w:szCs w:val="20"/>
        </w:rPr>
        <w:t>E)</w:t>
      </w:r>
      <w:r w:rsidRPr="00746AF7">
        <w:rPr>
          <w:rFonts w:ascii="Arial" w:hAnsi="Arial" w:cs="Arial"/>
          <w:sz w:val="20"/>
          <w:szCs w:val="20"/>
        </w:rPr>
        <w:t xml:space="preserve"> Overlap </w:t>
      </w:r>
      <w:r w:rsidRPr="00746AF7">
        <w:rPr>
          <w:rFonts w:ascii="Arial" w:hAnsi="Arial" w:cs="Arial"/>
          <w:sz w:val="20"/>
          <w:szCs w:val="20"/>
        </w:rPr>
        <w:lastRenderedPageBreak/>
        <w:t>between genes with increased proximal PAS usage and predicted targets of the top five highly expressed miRNAs in fibroblasts</w:t>
      </w:r>
      <w:r w:rsidR="00D949BC">
        <w:rPr>
          <w:rFonts w:ascii="Arial" w:hAnsi="Arial" w:cs="Arial"/>
          <w:sz w:val="20"/>
          <w:szCs w:val="20"/>
        </w:rPr>
        <w:t xml:space="preserve"> (FBs)</w:t>
      </w:r>
      <w:r w:rsidRPr="00746AF7">
        <w:rPr>
          <w:rFonts w:ascii="Arial" w:hAnsi="Arial" w:cs="Arial"/>
          <w:sz w:val="20"/>
          <w:szCs w:val="20"/>
        </w:rPr>
        <w:t xml:space="preserve"> </w:t>
      </w:r>
      <w:r w:rsidRPr="000768F4">
        <w:rPr>
          <w:rFonts w:ascii="Arial" w:hAnsi="Arial" w:cs="Arial"/>
          <w:b/>
          <w:bCs/>
          <w:sz w:val="20"/>
          <w:szCs w:val="20"/>
        </w:rPr>
        <w:t>(C)</w:t>
      </w:r>
      <w:r w:rsidRPr="00746AF7">
        <w:rPr>
          <w:rFonts w:ascii="Arial" w:hAnsi="Arial" w:cs="Arial"/>
          <w:sz w:val="20"/>
          <w:szCs w:val="20"/>
        </w:rPr>
        <w:t xml:space="preserve"> and keratinocytes</w:t>
      </w:r>
      <w:r w:rsidR="00D949BC">
        <w:rPr>
          <w:rFonts w:ascii="Arial" w:hAnsi="Arial" w:cs="Arial"/>
          <w:sz w:val="20"/>
          <w:szCs w:val="20"/>
        </w:rPr>
        <w:t xml:space="preserve"> (KCs)</w:t>
      </w:r>
      <w:r w:rsidRPr="00746AF7">
        <w:rPr>
          <w:rFonts w:ascii="Arial" w:hAnsi="Arial" w:cs="Arial"/>
          <w:sz w:val="20"/>
          <w:szCs w:val="20"/>
        </w:rPr>
        <w:t xml:space="preserve"> </w:t>
      </w:r>
      <w:r w:rsidRPr="000768F4">
        <w:rPr>
          <w:rFonts w:ascii="Arial" w:hAnsi="Arial" w:cs="Arial"/>
          <w:b/>
          <w:bCs/>
          <w:sz w:val="20"/>
          <w:szCs w:val="20"/>
        </w:rPr>
        <w:t>(E)</w:t>
      </w:r>
      <w:r w:rsidRPr="00746AF7">
        <w:rPr>
          <w:rFonts w:ascii="Arial" w:hAnsi="Arial" w:cs="Arial"/>
          <w:sz w:val="20"/>
          <w:szCs w:val="20"/>
        </w:rPr>
        <w:t xml:space="preserve">. Predicted targets were identified using </w:t>
      </w:r>
      <w:proofErr w:type="spellStart"/>
      <w:r w:rsidRPr="00746AF7">
        <w:rPr>
          <w:rFonts w:ascii="Arial" w:hAnsi="Arial" w:cs="Arial"/>
          <w:sz w:val="20"/>
          <w:szCs w:val="20"/>
        </w:rPr>
        <w:t>TargetScan</w:t>
      </w:r>
      <w:proofErr w:type="spellEnd"/>
      <w:r w:rsidRPr="00746AF7">
        <w:rPr>
          <w:rFonts w:ascii="Arial" w:hAnsi="Arial" w:cs="Arial"/>
          <w:sz w:val="20"/>
          <w:szCs w:val="20"/>
        </w:rPr>
        <w:t xml:space="preserve"> and filtered for conserved 8mer or 7mer-m8 sites.</w:t>
      </w:r>
    </w:p>
    <w:sectPr w:rsidR="00746AF7" w:rsidRPr="009B6375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6C0F2" w14:textId="77777777" w:rsidR="007150F8" w:rsidRDefault="007150F8" w:rsidP="004F2038">
      <w:pPr>
        <w:spacing w:after="0" w:line="240" w:lineRule="auto"/>
      </w:pPr>
      <w:r>
        <w:separator/>
      </w:r>
    </w:p>
  </w:endnote>
  <w:endnote w:type="continuationSeparator" w:id="0">
    <w:p w14:paraId="00E77BDF" w14:textId="77777777" w:rsidR="007150F8" w:rsidRDefault="007150F8" w:rsidP="004F2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80325701"/>
      <w:docPartObj>
        <w:docPartGallery w:val="Page Numbers (Bottom of Page)"/>
        <w:docPartUnique/>
      </w:docPartObj>
    </w:sdtPr>
    <w:sdtContent>
      <w:p w14:paraId="6F155F35" w14:textId="6B429714" w:rsidR="004F2038" w:rsidRDefault="004F2038" w:rsidP="005429C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630896F" w14:textId="77777777" w:rsidR="004F2038" w:rsidRDefault="004F2038" w:rsidP="004F20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22028707"/>
      <w:docPartObj>
        <w:docPartGallery w:val="Page Numbers (Bottom of Page)"/>
        <w:docPartUnique/>
      </w:docPartObj>
    </w:sdtPr>
    <w:sdtContent>
      <w:p w14:paraId="1F0506D1" w14:textId="28F3E7A5" w:rsidR="004F2038" w:rsidRDefault="004F2038" w:rsidP="005429C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CF3A86" w14:textId="77777777" w:rsidR="004F2038" w:rsidRDefault="004F2038" w:rsidP="004F203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5F18B" w14:textId="77777777" w:rsidR="007150F8" w:rsidRDefault="007150F8" w:rsidP="004F2038">
      <w:pPr>
        <w:spacing w:after="0" w:line="240" w:lineRule="auto"/>
      </w:pPr>
      <w:r>
        <w:separator/>
      </w:r>
    </w:p>
  </w:footnote>
  <w:footnote w:type="continuationSeparator" w:id="0">
    <w:p w14:paraId="3BD2C8D0" w14:textId="77777777" w:rsidR="007150F8" w:rsidRDefault="007150F8" w:rsidP="004F20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85D"/>
    <w:rsid w:val="00026BAB"/>
    <w:rsid w:val="00033668"/>
    <w:rsid w:val="000353AC"/>
    <w:rsid w:val="00046B78"/>
    <w:rsid w:val="0005415F"/>
    <w:rsid w:val="00056070"/>
    <w:rsid w:val="000560C6"/>
    <w:rsid w:val="000768F4"/>
    <w:rsid w:val="00085AC5"/>
    <w:rsid w:val="000A56D0"/>
    <w:rsid w:val="000B2AA1"/>
    <w:rsid w:val="000C0B58"/>
    <w:rsid w:val="000C3F3E"/>
    <w:rsid w:val="000D36E5"/>
    <w:rsid w:val="00100D7B"/>
    <w:rsid w:val="0010514A"/>
    <w:rsid w:val="001170DE"/>
    <w:rsid w:val="001208DA"/>
    <w:rsid w:val="0013422C"/>
    <w:rsid w:val="0015202C"/>
    <w:rsid w:val="00164B25"/>
    <w:rsid w:val="00166D48"/>
    <w:rsid w:val="00194009"/>
    <w:rsid w:val="001A23F3"/>
    <w:rsid w:val="001A62F7"/>
    <w:rsid w:val="001C7D26"/>
    <w:rsid w:val="001E32C8"/>
    <w:rsid w:val="001F20A1"/>
    <w:rsid w:val="001F45D3"/>
    <w:rsid w:val="001F66C7"/>
    <w:rsid w:val="00217C4A"/>
    <w:rsid w:val="002336E9"/>
    <w:rsid w:val="00233BD0"/>
    <w:rsid w:val="00241555"/>
    <w:rsid w:val="00257A30"/>
    <w:rsid w:val="00262256"/>
    <w:rsid w:val="0028344C"/>
    <w:rsid w:val="00285798"/>
    <w:rsid w:val="00291CC8"/>
    <w:rsid w:val="00295D23"/>
    <w:rsid w:val="00297316"/>
    <w:rsid w:val="002C2423"/>
    <w:rsid w:val="002C3508"/>
    <w:rsid w:val="002C3CE2"/>
    <w:rsid w:val="002C52F0"/>
    <w:rsid w:val="002C65DC"/>
    <w:rsid w:val="002C709F"/>
    <w:rsid w:val="002C751B"/>
    <w:rsid w:val="002E2EE1"/>
    <w:rsid w:val="003060AD"/>
    <w:rsid w:val="003212E5"/>
    <w:rsid w:val="00324F87"/>
    <w:rsid w:val="00331B8C"/>
    <w:rsid w:val="00333C9D"/>
    <w:rsid w:val="00340E14"/>
    <w:rsid w:val="003421B0"/>
    <w:rsid w:val="00342D6B"/>
    <w:rsid w:val="0034501E"/>
    <w:rsid w:val="00347328"/>
    <w:rsid w:val="00354C41"/>
    <w:rsid w:val="00355BC8"/>
    <w:rsid w:val="00357BB1"/>
    <w:rsid w:val="00370BF7"/>
    <w:rsid w:val="00374947"/>
    <w:rsid w:val="003812BE"/>
    <w:rsid w:val="00381A9A"/>
    <w:rsid w:val="003C1ADC"/>
    <w:rsid w:val="003D74DE"/>
    <w:rsid w:val="004102F4"/>
    <w:rsid w:val="00423B61"/>
    <w:rsid w:val="00424ABF"/>
    <w:rsid w:val="00426150"/>
    <w:rsid w:val="00436840"/>
    <w:rsid w:val="004404BD"/>
    <w:rsid w:val="00442AEA"/>
    <w:rsid w:val="00454A31"/>
    <w:rsid w:val="0049496D"/>
    <w:rsid w:val="00494FA8"/>
    <w:rsid w:val="004A04B5"/>
    <w:rsid w:val="004A10B2"/>
    <w:rsid w:val="004A5C2B"/>
    <w:rsid w:val="004B6F62"/>
    <w:rsid w:val="004E3111"/>
    <w:rsid w:val="004F1DA1"/>
    <w:rsid w:val="004F2038"/>
    <w:rsid w:val="004F24FF"/>
    <w:rsid w:val="005011EF"/>
    <w:rsid w:val="00515505"/>
    <w:rsid w:val="00516CC2"/>
    <w:rsid w:val="00526766"/>
    <w:rsid w:val="005523DF"/>
    <w:rsid w:val="00553C20"/>
    <w:rsid w:val="005563D1"/>
    <w:rsid w:val="00564793"/>
    <w:rsid w:val="00567006"/>
    <w:rsid w:val="005754D5"/>
    <w:rsid w:val="00580256"/>
    <w:rsid w:val="005840C5"/>
    <w:rsid w:val="00594F58"/>
    <w:rsid w:val="005B7BC4"/>
    <w:rsid w:val="005C687D"/>
    <w:rsid w:val="005D3764"/>
    <w:rsid w:val="005E0785"/>
    <w:rsid w:val="005E505C"/>
    <w:rsid w:val="005F17E1"/>
    <w:rsid w:val="00600F50"/>
    <w:rsid w:val="00607B0D"/>
    <w:rsid w:val="006171F7"/>
    <w:rsid w:val="00642345"/>
    <w:rsid w:val="00644555"/>
    <w:rsid w:val="00661106"/>
    <w:rsid w:val="0067485D"/>
    <w:rsid w:val="00684238"/>
    <w:rsid w:val="006964EC"/>
    <w:rsid w:val="006A0560"/>
    <w:rsid w:val="006A07D3"/>
    <w:rsid w:val="006A753E"/>
    <w:rsid w:val="006B206C"/>
    <w:rsid w:val="006D4E0C"/>
    <w:rsid w:val="006E2A6E"/>
    <w:rsid w:val="006F6145"/>
    <w:rsid w:val="0071183A"/>
    <w:rsid w:val="007137B1"/>
    <w:rsid w:val="007150F8"/>
    <w:rsid w:val="00727291"/>
    <w:rsid w:val="0073134A"/>
    <w:rsid w:val="00736FC8"/>
    <w:rsid w:val="00746AF7"/>
    <w:rsid w:val="00763B51"/>
    <w:rsid w:val="0079761E"/>
    <w:rsid w:val="007A1DFC"/>
    <w:rsid w:val="007A2102"/>
    <w:rsid w:val="007A59B8"/>
    <w:rsid w:val="007C17B7"/>
    <w:rsid w:val="007D2B0C"/>
    <w:rsid w:val="007F218B"/>
    <w:rsid w:val="007F3A84"/>
    <w:rsid w:val="00826793"/>
    <w:rsid w:val="0085515D"/>
    <w:rsid w:val="00884FAA"/>
    <w:rsid w:val="008A1DA5"/>
    <w:rsid w:val="008A54E1"/>
    <w:rsid w:val="008B5C1E"/>
    <w:rsid w:val="008E49C7"/>
    <w:rsid w:val="008E4BB2"/>
    <w:rsid w:val="008F7772"/>
    <w:rsid w:val="0091171C"/>
    <w:rsid w:val="00915EC4"/>
    <w:rsid w:val="00921621"/>
    <w:rsid w:val="00932831"/>
    <w:rsid w:val="00934826"/>
    <w:rsid w:val="009533AF"/>
    <w:rsid w:val="00953433"/>
    <w:rsid w:val="009716BD"/>
    <w:rsid w:val="00973808"/>
    <w:rsid w:val="009A0A0E"/>
    <w:rsid w:val="009A1B0D"/>
    <w:rsid w:val="009B2081"/>
    <w:rsid w:val="009B6375"/>
    <w:rsid w:val="009C3071"/>
    <w:rsid w:val="009D3A28"/>
    <w:rsid w:val="009D70F8"/>
    <w:rsid w:val="009F3560"/>
    <w:rsid w:val="00A12711"/>
    <w:rsid w:val="00A271A3"/>
    <w:rsid w:val="00A2737F"/>
    <w:rsid w:val="00A31EEB"/>
    <w:rsid w:val="00A524F0"/>
    <w:rsid w:val="00A564B9"/>
    <w:rsid w:val="00A60215"/>
    <w:rsid w:val="00A6028C"/>
    <w:rsid w:val="00A720E0"/>
    <w:rsid w:val="00A803C1"/>
    <w:rsid w:val="00A8246A"/>
    <w:rsid w:val="00A900E7"/>
    <w:rsid w:val="00A930B5"/>
    <w:rsid w:val="00AA11E2"/>
    <w:rsid w:val="00AA52CC"/>
    <w:rsid w:val="00AA75C0"/>
    <w:rsid w:val="00AC0A11"/>
    <w:rsid w:val="00AD3E5A"/>
    <w:rsid w:val="00AD4C9D"/>
    <w:rsid w:val="00AF14AC"/>
    <w:rsid w:val="00AF5F3E"/>
    <w:rsid w:val="00B041CD"/>
    <w:rsid w:val="00B160FB"/>
    <w:rsid w:val="00B26748"/>
    <w:rsid w:val="00B378F7"/>
    <w:rsid w:val="00B545EC"/>
    <w:rsid w:val="00B5736E"/>
    <w:rsid w:val="00B678AA"/>
    <w:rsid w:val="00B848BB"/>
    <w:rsid w:val="00B922DE"/>
    <w:rsid w:val="00B945A0"/>
    <w:rsid w:val="00BA433E"/>
    <w:rsid w:val="00BB7C4D"/>
    <w:rsid w:val="00BC2FE3"/>
    <w:rsid w:val="00BD3F64"/>
    <w:rsid w:val="00BD5271"/>
    <w:rsid w:val="00BE3B32"/>
    <w:rsid w:val="00BE75F1"/>
    <w:rsid w:val="00C02FAF"/>
    <w:rsid w:val="00C202F1"/>
    <w:rsid w:val="00C20591"/>
    <w:rsid w:val="00C276D2"/>
    <w:rsid w:val="00C519A5"/>
    <w:rsid w:val="00C6378C"/>
    <w:rsid w:val="00C63B51"/>
    <w:rsid w:val="00C63CBF"/>
    <w:rsid w:val="00C75345"/>
    <w:rsid w:val="00C761C9"/>
    <w:rsid w:val="00C91D66"/>
    <w:rsid w:val="00CA0F6C"/>
    <w:rsid w:val="00CA33FC"/>
    <w:rsid w:val="00CC5DD4"/>
    <w:rsid w:val="00CC6305"/>
    <w:rsid w:val="00CC6F43"/>
    <w:rsid w:val="00CD4B95"/>
    <w:rsid w:val="00D040C7"/>
    <w:rsid w:val="00D0452B"/>
    <w:rsid w:val="00D07AEE"/>
    <w:rsid w:val="00D126FD"/>
    <w:rsid w:val="00D15056"/>
    <w:rsid w:val="00D1541F"/>
    <w:rsid w:val="00D42F33"/>
    <w:rsid w:val="00D450AE"/>
    <w:rsid w:val="00D73A74"/>
    <w:rsid w:val="00D74FFA"/>
    <w:rsid w:val="00D75DE5"/>
    <w:rsid w:val="00D77C91"/>
    <w:rsid w:val="00D949BC"/>
    <w:rsid w:val="00D96A19"/>
    <w:rsid w:val="00DB05D3"/>
    <w:rsid w:val="00DB22DC"/>
    <w:rsid w:val="00DC09F4"/>
    <w:rsid w:val="00DC394A"/>
    <w:rsid w:val="00DD1ADF"/>
    <w:rsid w:val="00DD75DF"/>
    <w:rsid w:val="00DF0419"/>
    <w:rsid w:val="00E21D0C"/>
    <w:rsid w:val="00E32BE2"/>
    <w:rsid w:val="00E367B0"/>
    <w:rsid w:val="00E66C8B"/>
    <w:rsid w:val="00E702C4"/>
    <w:rsid w:val="00E805E7"/>
    <w:rsid w:val="00E82D85"/>
    <w:rsid w:val="00E93787"/>
    <w:rsid w:val="00EC194A"/>
    <w:rsid w:val="00EC2803"/>
    <w:rsid w:val="00ED111F"/>
    <w:rsid w:val="00EE08A5"/>
    <w:rsid w:val="00EF2D0F"/>
    <w:rsid w:val="00F06032"/>
    <w:rsid w:val="00F0761D"/>
    <w:rsid w:val="00F14F54"/>
    <w:rsid w:val="00F15C9C"/>
    <w:rsid w:val="00F219C4"/>
    <w:rsid w:val="00F244D5"/>
    <w:rsid w:val="00F5125C"/>
    <w:rsid w:val="00F64F14"/>
    <w:rsid w:val="00F67E28"/>
    <w:rsid w:val="00F83D5A"/>
    <w:rsid w:val="00F87156"/>
    <w:rsid w:val="00FA4494"/>
    <w:rsid w:val="00FD1863"/>
    <w:rsid w:val="00FF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97976"/>
  <w15:chartTrackingRefBased/>
  <w15:docId w15:val="{769F4314-8947-AC43-A490-78C337EE8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48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48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48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48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48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48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48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48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48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8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48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48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48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48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48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48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48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48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48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8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48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48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48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48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48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48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8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8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485D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15202C"/>
    <w:rPr>
      <w:b/>
      <w:bCs/>
    </w:rPr>
  </w:style>
  <w:style w:type="character" w:styleId="Emphasis">
    <w:name w:val="Emphasis"/>
    <w:basedOn w:val="DefaultParagraphFont"/>
    <w:uiPriority w:val="20"/>
    <w:qFormat/>
    <w:rsid w:val="0015202C"/>
    <w:rPr>
      <w:i/>
      <w:iCs/>
    </w:rPr>
  </w:style>
  <w:style w:type="paragraph" w:styleId="Revision">
    <w:name w:val="Revision"/>
    <w:hidden/>
    <w:uiPriority w:val="99"/>
    <w:semiHidden/>
    <w:rsid w:val="00F67E28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F20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038"/>
  </w:style>
  <w:style w:type="character" w:styleId="PageNumber">
    <w:name w:val="page number"/>
    <w:basedOn w:val="DefaultParagraphFont"/>
    <w:uiPriority w:val="99"/>
    <w:semiHidden/>
    <w:unhideWhenUsed/>
    <w:rsid w:val="004F2038"/>
  </w:style>
  <w:style w:type="character" w:styleId="CommentReference">
    <w:name w:val="annotation reference"/>
    <w:basedOn w:val="DefaultParagraphFont"/>
    <w:uiPriority w:val="99"/>
    <w:semiHidden/>
    <w:unhideWhenUsed/>
    <w:rsid w:val="00A803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3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3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3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3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93D35C-F175-2C45-AA99-F5A4D8344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Lihua Luo</dc:creator>
  <cp:keywords/>
  <dc:description/>
  <cp:lastModifiedBy>Zhuang Liu</cp:lastModifiedBy>
  <cp:revision>75</cp:revision>
  <cp:lastPrinted>2026-01-16T16:10:00Z</cp:lastPrinted>
  <dcterms:created xsi:type="dcterms:W3CDTF">2026-05-25T22:27:00Z</dcterms:created>
  <dcterms:modified xsi:type="dcterms:W3CDTF">2026-06-03T15:11:00Z</dcterms:modified>
</cp:coreProperties>
</file>