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D26E" w14:textId="29C8E8D1" w:rsidR="00E241C8" w:rsidRPr="00157B63" w:rsidRDefault="00157B63" w:rsidP="00157B63">
      <w:pPr>
        <w:spacing w:line="360" w:lineRule="auto"/>
        <w:rPr>
          <w:b/>
          <w:bCs/>
        </w:rPr>
      </w:pPr>
      <w:r w:rsidRPr="00157B63">
        <w:rPr>
          <w:b/>
          <w:bCs/>
        </w:rPr>
        <w:t>HIGHLIGHTS:</w:t>
      </w:r>
    </w:p>
    <w:p w14:paraId="48631BD2" w14:textId="4D66D7A7" w:rsidR="00157B63" w:rsidRPr="00157B63" w:rsidRDefault="00157B63" w:rsidP="00157B63">
      <w:pPr>
        <w:spacing w:line="360" w:lineRule="auto"/>
      </w:pPr>
      <w:r w:rsidRPr="00157B63">
        <w:t> </w:t>
      </w:r>
      <w:r>
        <w:t>- </w:t>
      </w:r>
      <w:r w:rsidRPr="00157B63">
        <w:t xml:space="preserve">Intramedullary regenerative SCI therapies demonstrated convergent procedural safety across highly heterogeneous delivery paradigms. </w:t>
      </w:r>
    </w:p>
    <w:p w14:paraId="1D2F33B6" w14:textId="7F31319A" w:rsidR="00157B63" w:rsidRPr="00157B63" w:rsidRDefault="00157B63" w:rsidP="00157B63">
      <w:pPr>
        <w:spacing w:line="360" w:lineRule="auto"/>
      </w:pPr>
      <w:r w:rsidRPr="00157B63">
        <w:t> </w:t>
      </w:r>
      <w:r>
        <w:t>- </w:t>
      </w:r>
      <w:r w:rsidRPr="00157B63">
        <w:t>No reproducible association was identified between higher injected volumes or total cell doses and increased neurological worsening or severe adverse events</w:t>
      </w:r>
    </w:p>
    <w:p w14:paraId="36DFA097" w14:textId="0007F6E9" w:rsidR="00157B63" w:rsidRPr="00157B63" w:rsidRDefault="00157B63" w:rsidP="00157B63">
      <w:pPr>
        <w:spacing w:line="360" w:lineRule="auto"/>
      </w:pPr>
      <w:r w:rsidRPr="00157B63">
        <w:t> </w:t>
      </w:r>
      <w:r>
        <w:t>- </w:t>
      </w:r>
      <w:r w:rsidRPr="00157B63">
        <w:t xml:space="preserve">Studies using intermediate-to-high cellular </w:t>
      </w:r>
      <w:proofErr w:type="gramStart"/>
      <w:r w:rsidRPr="00157B63">
        <w:t>doses(</w:t>
      </w:r>
      <w:proofErr w:type="gramEnd"/>
      <w:r w:rsidRPr="00157B63">
        <w:t>~10</w:t>
      </w:r>
      <w:r w:rsidRPr="00157B63">
        <w:rPr>
          <w:vertAlign w:val="superscript"/>
        </w:rPr>
        <w:t>6</w:t>
      </w:r>
      <w:r>
        <w:t>-</w:t>
      </w:r>
      <w:r w:rsidRPr="00157B63">
        <w:t>10</w:t>
      </w:r>
      <w:r w:rsidRPr="00157B63">
        <w:rPr>
          <w:vertAlign w:val="superscript"/>
        </w:rPr>
        <w:t>7</w:t>
      </w:r>
      <w:r>
        <w:t> </w:t>
      </w:r>
      <w:r w:rsidRPr="00157B63">
        <w:t>cells) combined with precision-guided delivery paradigms demonstrated the most consistent neurological recovery signals.</w:t>
      </w:r>
    </w:p>
    <w:p w14:paraId="3C2081AB" w14:textId="5C2B311C" w:rsidR="00157B63" w:rsidRPr="00157B63" w:rsidRDefault="00157B63" w:rsidP="00157B63">
      <w:pPr>
        <w:spacing w:line="360" w:lineRule="auto"/>
      </w:pPr>
      <w:r w:rsidRPr="00157B63">
        <w:t> </w:t>
      </w:r>
      <w:r>
        <w:t>- </w:t>
      </w:r>
      <w:r w:rsidRPr="00157B63">
        <w:t>Very high injected volumes were not consistently associated with superior functional outcomes, supporting a therapeutic cellular threshold rather than a linear dose-escalation model.</w:t>
      </w:r>
    </w:p>
    <w:p w14:paraId="3FC3D8B9" w14:textId="73DC560E" w:rsidR="00157B63" w:rsidRDefault="00157B63" w:rsidP="00157B63">
      <w:pPr>
        <w:spacing w:line="360" w:lineRule="auto"/>
      </w:pPr>
      <w:r w:rsidRPr="00157B63">
        <w:t> </w:t>
      </w:r>
      <w:r>
        <w:t>- </w:t>
      </w:r>
      <w:r w:rsidRPr="00157B63">
        <w:t>Current evidence supports the emergence of a precision regenerative neurosurgery framework integrating stereotactic targeting, focal microdelivery, and optimized spatial cellular distribution.</w:t>
      </w:r>
    </w:p>
    <w:p w14:paraId="0663BD15" w14:textId="77777777" w:rsidR="00157B63" w:rsidRPr="00157B63" w:rsidRDefault="00157B63" w:rsidP="00157B63">
      <w:pPr>
        <w:spacing w:line="360" w:lineRule="auto"/>
      </w:pPr>
    </w:p>
    <w:sectPr w:rsidR="00157B63" w:rsidRPr="0015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A"/>
    <w:rsid w:val="00157B63"/>
    <w:rsid w:val="004F70EA"/>
    <w:rsid w:val="00987A1F"/>
    <w:rsid w:val="00D17FE6"/>
    <w:rsid w:val="00E241C8"/>
    <w:rsid w:val="00E90165"/>
    <w:rsid w:val="00F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2D93"/>
  <w15:chartTrackingRefBased/>
  <w15:docId w15:val="{FAC7DD23-93ED-4D82-A253-12301285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0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color w:val="000000"/>
      <w:kern w:val="0"/>
      <w:sz w:val="24"/>
      <w:szCs w:val="24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F70EA"/>
    <w:pPr>
      <w:keepNext/>
      <w:keepLines/>
      <w:widowControl/>
      <w:autoSpaceDE/>
      <w:autoSpaceDN/>
      <w:adjustRightInd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70EA"/>
    <w:pPr>
      <w:keepNext/>
      <w:keepLines/>
      <w:widowControl/>
      <w:autoSpaceDE/>
      <w:autoSpaceDN/>
      <w:adjustRightInd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fr-FR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7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7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7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70E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70E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70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70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70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70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70EA"/>
    <w:pPr>
      <w:widowControl/>
      <w:autoSpaceDE/>
      <w:autoSpaceDN/>
      <w:adjustRightInd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F7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70EA"/>
    <w:pPr>
      <w:widowControl/>
      <w:numPr>
        <w:ilvl w:val="1"/>
      </w:numPr>
      <w:autoSpaceDE/>
      <w:autoSpaceDN/>
      <w:adjustRightInd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F7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70E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F70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70EA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F70E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70E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70E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70E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4F70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700</Characters>
  <Application>Microsoft Office Word</Application>
  <DocSecurity>0</DocSecurity>
  <Lines>175</Lines>
  <Paragraphs>174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Serratrice</dc:creator>
  <cp:keywords/>
  <dc:description/>
  <cp:lastModifiedBy>Nicolas Serratrice</cp:lastModifiedBy>
  <cp:revision>3</cp:revision>
  <dcterms:created xsi:type="dcterms:W3CDTF">2026-05-14T12:37:00Z</dcterms:created>
  <dcterms:modified xsi:type="dcterms:W3CDTF">2026-05-14T12:39:00Z</dcterms:modified>
</cp:coreProperties>
</file>