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9F680" w14:textId="77777777" w:rsidR="006220E7" w:rsidRDefault="006220E7" w:rsidP="006220E7">
      <w:pPr>
        <w:spacing w:line="480" w:lineRule="auto"/>
      </w:pPr>
      <w:r>
        <w:rPr>
          <w:b/>
          <w:bCs/>
        </w:rPr>
        <w:t>Supplementary Results</w:t>
      </w:r>
    </w:p>
    <w:p w14:paraId="5EB24FC9" w14:textId="77777777" w:rsidR="006220E7" w:rsidRDefault="006220E7" w:rsidP="006220E7">
      <w:r>
        <w:rPr>
          <w:b/>
          <w:bCs/>
        </w:rPr>
        <w:t xml:space="preserve">Table 1. </w:t>
      </w:r>
      <w:r>
        <w:t>3,4-Dihydroxyphenylacetic acid (DOPAC),</w:t>
      </w:r>
      <w:r>
        <w:rPr>
          <w:b/>
          <w:bCs/>
        </w:rPr>
        <w:t xml:space="preserve"> </w:t>
      </w:r>
      <w:r>
        <w:t xml:space="preserve">dopamine (DA), serotonin (5-HT), </w:t>
      </w:r>
      <w:r>
        <w:rPr>
          <w:highlight w:val="white"/>
        </w:rPr>
        <w:t xml:space="preserve">5-Hydroxyindoleacetic acid (5-HIAA), and respective turnover levels </w:t>
      </w:r>
      <w:r>
        <w:t>within the dorsal striatum (dSTR), medial prefrontal cortices (mPFC), basolateral amygdala (BLA) and dorsal raphe nucleus (DRN).</w:t>
      </w:r>
    </w:p>
    <w:p w14:paraId="79ABB034" w14:textId="77777777" w:rsidR="006220E7" w:rsidRDefault="006220E7" w:rsidP="006220E7">
      <w:r>
        <w:rPr>
          <w:noProof/>
        </w:rPr>
        <w:drawing>
          <wp:inline distT="114300" distB="114300" distL="114300" distR="114300" wp14:anchorId="3551A1B9" wp14:editId="17B61212">
            <wp:extent cx="5896338" cy="2277517"/>
            <wp:effectExtent l="0" t="0" r="0" b="0"/>
            <wp:docPr id="8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4"/>
                    <a:srcRect l="2269" t="4065" r="2572" b="2836"/>
                    <a:stretch>
                      <a:fillRect/>
                    </a:stretch>
                  </pic:blipFill>
                  <pic:spPr>
                    <a:xfrm>
                      <a:off x="0" y="0"/>
                      <a:ext cx="5896338" cy="22775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bCs/>
        </w:rPr>
        <w:t>Table 1:</w:t>
      </w:r>
      <w:r>
        <w:t xml:space="preserve"> </w:t>
      </w:r>
      <w:r>
        <w:rPr>
          <w:i/>
          <w:iCs/>
        </w:rPr>
        <w:t>High Performance Liquid Chromatography (HPLC) Analysis of Dopamine (DA), Serotonin (5-HT), DA and 5-HT Metabolites and Turnover following Post-mortem Tissue Collection.</w:t>
      </w:r>
      <w:r>
        <w:t xml:space="preserve"> Average levels of each neurotransmitter and their metabolites were analyzed for mPFC, dSTR, and BLA in only 6-OHDA lesioned animals (N=27) intact (right) and lesioned (left) hemisphere and in DRN for each treatment group (N=51; n=27 lesion; n=24 sham). DA turnover was calculated with a DOPAC/DA ratio and 5-HT turnover was calculated with a 5-HIAA/ 5-HT ratio, respectively. Significant reductions of  DOPAC and DA across hemispheres of the mPFC, DSTR, and BLA were observed (*</w:t>
      </w:r>
      <w:r>
        <w:rPr>
          <w:i/>
          <w:iCs/>
        </w:rPr>
        <w:t>p</w:t>
      </w:r>
      <w:r>
        <w:t>&lt;0.05). The mPFC displayed significant reductions in DA turnover on the lesion side compared to the intact (*</w:t>
      </w:r>
      <w:r>
        <w:rPr>
          <w:i/>
          <w:iCs/>
        </w:rPr>
        <w:t>p</w:t>
      </w:r>
      <w:r>
        <w:t>&lt;0.05). 5-HT levels in the dSTR were significantly reduced across hemispheres (*</w:t>
      </w:r>
      <w:r>
        <w:rPr>
          <w:i/>
          <w:iCs/>
        </w:rPr>
        <w:t>p</w:t>
      </w:r>
      <w:r>
        <w:t>&lt;0.05). Contrarily, levels of 5-HIAA and 5-HT turnover were significantly increased in the lesioned hemisphere compared to the intact hemisphere (*</w:t>
      </w:r>
      <w:r>
        <w:rPr>
          <w:i/>
          <w:iCs/>
        </w:rPr>
        <w:t>p</w:t>
      </w:r>
      <w:r>
        <w:t>&lt;0.05).</w:t>
      </w:r>
    </w:p>
    <w:p w14:paraId="4A93A118" w14:textId="77777777" w:rsidR="006220E7" w:rsidRDefault="006220E7" w:rsidP="006220E7">
      <w:pPr>
        <w:rPr>
          <w:b/>
          <w:bCs/>
        </w:rPr>
      </w:pPr>
    </w:p>
    <w:p w14:paraId="1C97E645" w14:textId="77777777" w:rsidR="006220E7" w:rsidRDefault="006220E7" w:rsidP="006220E7"/>
    <w:p w14:paraId="0A69A2A9" w14:textId="77777777" w:rsidR="006220E7" w:rsidRDefault="006220E7" w:rsidP="006220E7"/>
    <w:p w14:paraId="1191ECB6" w14:textId="77777777" w:rsidR="006220E7" w:rsidRDefault="006220E7" w:rsidP="006220E7"/>
    <w:p w14:paraId="2632C841" w14:textId="77777777" w:rsidR="006220E7" w:rsidRDefault="006220E7" w:rsidP="006220E7"/>
    <w:p w14:paraId="053919B1" w14:textId="77777777" w:rsidR="006220E7" w:rsidRDefault="006220E7" w:rsidP="006220E7"/>
    <w:p w14:paraId="7A9B57FD" w14:textId="77777777" w:rsidR="006220E7" w:rsidRDefault="006220E7" w:rsidP="006220E7"/>
    <w:p w14:paraId="348B8A0F" w14:textId="77777777" w:rsidR="006220E7" w:rsidRDefault="006220E7" w:rsidP="006220E7"/>
    <w:p w14:paraId="683C32BF" w14:textId="77777777" w:rsidR="006220E7" w:rsidRDefault="006220E7" w:rsidP="006220E7"/>
    <w:p w14:paraId="6873A64C" w14:textId="77777777" w:rsidR="006220E7" w:rsidRDefault="006220E7" w:rsidP="006220E7">
      <w:r>
        <w:rPr>
          <w:noProof/>
        </w:rPr>
        <w:lastRenderedPageBreak/>
        <w:drawing>
          <wp:inline distT="114300" distB="114300" distL="114300" distR="114300" wp14:anchorId="3EE00A8A" wp14:editId="34012D58">
            <wp:extent cx="5939234" cy="4881563"/>
            <wp:effectExtent l="0" t="0" r="0" b="0"/>
            <wp:docPr id="10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234" cy="48815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7BF9471" w14:textId="77777777" w:rsidR="006220E7" w:rsidRDefault="006220E7" w:rsidP="006220E7">
      <w:pPr>
        <w:spacing w:before="240" w:after="240"/>
      </w:pPr>
      <w:r>
        <w:rPr>
          <w:b/>
          <w:bCs/>
        </w:rPr>
        <w:t>Supplemental Figure 1</w:t>
      </w:r>
      <w:r>
        <w:t xml:space="preserve">. </w:t>
      </w:r>
      <w:r>
        <w:rPr>
          <w:i/>
          <w:iCs/>
        </w:rPr>
        <w:t>Heatmap of Pearson Correlation Coefficients between Dopamine (DA) and Serotonin (5-HT), Expressed as Percent Intact the Lesioned Hemisphere in the dSTR, BLA, and mPFC, and Behaviors.</w:t>
      </w:r>
      <w:sdt>
        <w:sdtPr>
          <w:tag w:val="goog_rdk_0"/>
          <w:id w:val="936208533"/>
        </w:sdtPr>
        <w:sdtContent>
          <w:r>
            <w:rPr>
              <w:rFonts w:ascii="Gungsuh" w:eastAsia="Gungsuh" w:hAnsi="Gungsuh" w:cs="Gungsuh"/>
            </w:rPr>
            <w:t xml:space="preserve"> Behaviors in 6-hydroxydopamine lesioned rats included Prepulse inhibition (PPI) composite scores, Head twitch response (HTR), and rearing with or without treatment with DOI (DOI; 0, 0.25. 1 mg/kg). Blue indicates positive correlations and red indicates negative correlations, with color intensity corresponding to correlation strength (−1 to +1). Asterisks denote statistically significant correlations </w:t>
          </w:r>
        </w:sdtContent>
      </w:sdt>
      <w:r>
        <w:rPr>
          <w:i/>
          <w:iCs/>
        </w:rPr>
        <w:t>(*p &lt; 0.05)</w:t>
      </w:r>
      <w:r>
        <w:t>.</w:t>
      </w:r>
    </w:p>
    <w:p w14:paraId="4BAE7CEE" w14:textId="77777777" w:rsidR="006220E7" w:rsidRDefault="006220E7" w:rsidP="006220E7"/>
    <w:p w14:paraId="7FFB940B" w14:textId="77777777" w:rsidR="006220E7" w:rsidRDefault="006220E7" w:rsidP="006220E7"/>
    <w:p w14:paraId="716B652D" w14:textId="77777777" w:rsidR="006220E7" w:rsidRDefault="006220E7" w:rsidP="006220E7"/>
    <w:p w14:paraId="401560DD" w14:textId="77777777" w:rsidR="006220E7" w:rsidRDefault="006220E7" w:rsidP="006220E7"/>
    <w:p w14:paraId="0F31DF52" w14:textId="77777777" w:rsidR="006220E7" w:rsidRDefault="006220E7" w:rsidP="006220E7"/>
    <w:p w14:paraId="075108E3" w14:textId="77777777" w:rsidR="006220E7" w:rsidRDefault="006220E7" w:rsidP="006220E7"/>
    <w:p w14:paraId="4ACE9381" w14:textId="77777777" w:rsidR="006220E7" w:rsidRDefault="006220E7" w:rsidP="006220E7"/>
    <w:p w14:paraId="71FD87B0" w14:textId="77777777" w:rsidR="006220E7" w:rsidRDefault="006220E7" w:rsidP="006220E7"/>
    <w:p w14:paraId="264B6440" w14:textId="77777777" w:rsidR="006220E7" w:rsidRDefault="006220E7" w:rsidP="006220E7"/>
    <w:p w14:paraId="6198FB32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0E7"/>
    <w:rsid w:val="000C4033"/>
    <w:rsid w:val="00173ED8"/>
    <w:rsid w:val="002F50B1"/>
    <w:rsid w:val="004B42CB"/>
    <w:rsid w:val="005F2B46"/>
    <w:rsid w:val="006220E7"/>
    <w:rsid w:val="006E1731"/>
    <w:rsid w:val="00866D74"/>
    <w:rsid w:val="00882A73"/>
    <w:rsid w:val="008C477E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17EEE"/>
  <w15:chartTrackingRefBased/>
  <w15:docId w15:val="{B221075F-EE48-4C60-8631-EF85EFE35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0E7"/>
    <w:pPr>
      <w:spacing w:after="0" w:line="240" w:lineRule="auto"/>
    </w:pPr>
    <w:rPr>
      <w:rFonts w:ascii="Times New Roman" w:eastAsia="Times New Roman" w:hAnsi="Times New Roman" w:cs="Times New Roman"/>
      <w:kern w:val="0"/>
      <w:lang w:val="en"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20E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20E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20E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20E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20E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20E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20E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20E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20E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20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20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20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20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20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20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20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20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20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20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220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20E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220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20E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220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20E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220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20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20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20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2026-06-24T12:46:00Z</dcterms:created>
  <dcterms:modified xsi:type="dcterms:W3CDTF">2026-06-24T12:46:00Z</dcterms:modified>
</cp:coreProperties>
</file>