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C3D0" w14:textId="77777777" w:rsidR="005D25D1" w:rsidRPr="00D96505" w:rsidRDefault="005D25D1" w:rsidP="005D25D1">
      <w:pPr>
        <w:pStyle w:val="Heading1"/>
      </w:pPr>
      <w:r w:rsidRPr="00D96505">
        <w:t>Supplementary Data</w:t>
      </w:r>
    </w:p>
    <w:p w14:paraId="295FDF07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 w:rsidRPr="00D96505">
        <w:rPr>
          <w:rFonts w:ascii="Arial" w:hAnsi="Arial" w:cs="Arial"/>
          <w:b/>
          <w:bCs/>
        </w:rPr>
        <w:t xml:space="preserve">Figure S1.  </w:t>
      </w:r>
      <w:r w:rsidRPr="00CC7BA5">
        <w:rPr>
          <w:rFonts w:ascii="Arial" w:hAnsi="Arial" w:cs="Arial"/>
        </w:rPr>
        <w:t xml:space="preserve">Alignment of native and </w:t>
      </w:r>
      <w:r w:rsidRPr="00E23085">
        <w:rPr>
          <w:rFonts w:ascii="Arial" w:hAnsi="Arial" w:cs="Arial"/>
          <w:i/>
        </w:rPr>
        <w:t>E. coli</w:t>
      </w:r>
      <w:r w:rsidRPr="00CC7BA5">
        <w:rPr>
          <w:rFonts w:ascii="Arial" w:hAnsi="Arial" w:cs="Arial"/>
        </w:rPr>
        <w:t>–</w:t>
      </w:r>
      <w:r w:rsidRPr="009871BA">
        <w:rPr>
          <w:rFonts w:ascii="Arial" w:hAnsi="Arial" w:cs="Arial"/>
        </w:rPr>
        <w:t xml:space="preserve">optimized coding sequences </w:t>
      </w:r>
      <w:r w:rsidRPr="00CC7BA5">
        <w:rPr>
          <w:rFonts w:ascii="Arial" w:hAnsi="Arial" w:cs="Arial"/>
        </w:rPr>
        <w:t>for</w:t>
      </w:r>
      <w:r w:rsidRPr="009871BA">
        <w:rPr>
          <w:rFonts w:ascii="Arial" w:hAnsi="Arial" w:cs="Arial"/>
        </w:rPr>
        <w:t xml:space="preserve"> the expressed</w:t>
      </w:r>
      <w:r w:rsidRPr="00CC7BA5">
        <w:rPr>
          <w:rFonts w:ascii="Arial" w:hAnsi="Arial" w:cs="Arial"/>
        </w:rPr>
        <w:t xml:space="preserve"> regions of</w:t>
      </w:r>
      <w:r w:rsidRPr="009871BA">
        <w:rPr>
          <w:rFonts w:ascii="Arial" w:hAnsi="Arial" w:cs="Arial"/>
        </w:rPr>
        <w:t> </w:t>
      </w:r>
      <w:proofErr w:type="spellStart"/>
      <w:r w:rsidRPr="009871BA">
        <w:rPr>
          <w:rFonts w:ascii="Arial" w:hAnsi="Arial" w:cs="Arial"/>
          <w:i/>
          <w:iCs/>
        </w:rPr>
        <w:t>glcA</w:t>
      </w:r>
      <w:proofErr w:type="spellEnd"/>
      <w:r w:rsidRPr="009871BA">
        <w:rPr>
          <w:rFonts w:ascii="Arial" w:hAnsi="Arial" w:cs="Arial"/>
        </w:rPr>
        <w:t> and </w:t>
      </w:r>
      <w:proofErr w:type="spellStart"/>
      <w:r w:rsidRPr="009871BA">
        <w:rPr>
          <w:rFonts w:ascii="Arial" w:hAnsi="Arial" w:cs="Arial"/>
          <w:i/>
          <w:iCs/>
        </w:rPr>
        <w:t>glcB</w:t>
      </w:r>
      <w:proofErr w:type="spellEnd"/>
      <w:r w:rsidRPr="00CC7BA5">
        <w:rPr>
          <w:rFonts w:ascii="Arial" w:hAnsi="Arial" w:cs="Arial"/>
        </w:rPr>
        <w:t xml:space="preserve">. Optimization enhanced codon usage </w:t>
      </w:r>
      <w:r>
        <w:rPr>
          <w:rFonts w:ascii="Arial" w:hAnsi="Arial" w:cs="Arial"/>
        </w:rPr>
        <w:t xml:space="preserve">in </w:t>
      </w:r>
      <w:r w:rsidRPr="00E23085">
        <w:rPr>
          <w:rFonts w:ascii="Arial" w:hAnsi="Arial" w:cs="Arial"/>
          <w:i/>
          <w:iCs/>
        </w:rPr>
        <w:t xml:space="preserve">E. </w:t>
      </w:r>
      <w:r w:rsidRPr="005C63BB">
        <w:rPr>
          <w:rFonts w:ascii="Arial" w:hAnsi="Arial" w:cs="Arial"/>
          <w:i/>
          <w:iCs/>
        </w:rPr>
        <w:t>c</w:t>
      </w:r>
      <w:r w:rsidRPr="00F033C6">
        <w:rPr>
          <w:rFonts w:ascii="Arial" w:hAnsi="Arial" w:cs="Arial"/>
          <w:i/>
          <w:iCs/>
        </w:rPr>
        <w:t>oli</w:t>
      </w:r>
      <w:r>
        <w:rPr>
          <w:rFonts w:ascii="Arial" w:hAnsi="Arial" w:cs="Arial"/>
        </w:rPr>
        <w:t xml:space="preserve"> </w:t>
      </w:r>
      <w:r w:rsidRPr="00CC7BA5">
        <w:rPr>
          <w:rFonts w:ascii="Arial" w:hAnsi="Arial" w:cs="Arial"/>
        </w:rPr>
        <w:t>while maintaining the original amino</w:t>
      </w:r>
      <w:r w:rsidRPr="00CC7BA5">
        <w:rPr>
          <w:rFonts w:ascii="Arial" w:hAnsi="Arial" w:cs="Arial"/>
        </w:rPr>
        <w:noBreakHyphen/>
        <w:t>acid sequence.</w:t>
      </w:r>
    </w:p>
    <w:p w14:paraId="5DFBC890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S2. </w:t>
      </w:r>
      <w:r w:rsidRPr="00D02A8B">
        <w:rPr>
          <w:rFonts w:ascii="Arial" w:hAnsi="Arial" w:cs="Arial"/>
        </w:rPr>
        <w:t>SDS</w:t>
      </w:r>
      <w:r>
        <w:rPr>
          <w:rFonts w:ascii="Arial" w:hAnsi="Arial" w:cs="Arial"/>
        </w:rPr>
        <w:t xml:space="preserve"> - </w:t>
      </w:r>
      <w:r w:rsidRPr="00D02A8B">
        <w:rPr>
          <w:rFonts w:ascii="Arial" w:hAnsi="Arial" w:cs="Arial"/>
        </w:rPr>
        <w:t xml:space="preserve">PAGE analysis of </w:t>
      </w:r>
      <w:proofErr w:type="spellStart"/>
      <w:r>
        <w:rPr>
          <w:rFonts w:ascii="Arial" w:hAnsi="Arial" w:cs="Arial"/>
        </w:rPr>
        <w:t>TfGlcB</w:t>
      </w:r>
      <w:proofErr w:type="spellEnd"/>
      <w:r>
        <w:rPr>
          <w:rFonts w:ascii="Arial" w:hAnsi="Arial" w:cs="Arial"/>
        </w:rPr>
        <w:t xml:space="preserve"> purified </w:t>
      </w:r>
      <w:r w:rsidRPr="00D02A8B">
        <w:rPr>
          <w:rFonts w:ascii="Arial" w:hAnsi="Arial" w:cs="Arial"/>
        </w:rPr>
        <w:t xml:space="preserve">from the insoluble fraction </w:t>
      </w:r>
      <w:r>
        <w:rPr>
          <w:rFonts w:ascii="Arial" w:hAnsi="Arial" w:cs="Arial"/>
        </w:rPr>
        <w:t xml:space="preserve">after </w:t>
      </w:r>
      <w:r w:rsidRPr="00D02A8B">
        <w:rPr>
          <w:rFonts w:ascii="Arial" w:hAnsi="Arial" w:cs="Arial"/>
        </w:rPr>
        <w:t>solubilization</w:t>
      </w:r>
      <w:r>
        <w:rPr>
          <w:rFonts w:ascii="Arial" w:hAnsi="Arial" w:cs="Arial"/>
        </w:rPr>
        <w:t xml:space="preserve"> with </w:t>
      </w:r>
      <w:r w:rsidRPr="00D02A8B">
        <w:rPr>
          <w:rFonts w:ascii="Arial" w:hAnsi="Arial" w:cs="Arial"/>
        </w:rPr>
        <w:t>8 M urea.</w:t>
      </w:r>
      <w:r>
        <w:rPr>
          <w:rFonts w:ascii="Arial" w:hAnsi="Arial" w:cs="Arial"/>
        </w:rPr>
        <w:t xml:space="preserve"> Lanes:</w:t>
      </w:r>
      <w:r w:rsidRPr="00D02A8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M, </w:t>
      </w:r>
      <w:r w:rsidRPr="00D02A8B">
        <w:rPr>
          <w:rFonts w:ascii="Arial" w:hAnsi="Arial" w:cs="Arial"/>
        </w:rPr>
        <w:t>molecular</w:t>
      </w:r>
      <w:r w:rsidRPr="00D02A8B">
        <w:rPr>
          <w:rFonts w:ascii="Arial" w:hAnsi="Arial" w:cs="Arial"/>
        </w:rPr>
        <w:noBreakHyphen/>
        <w:t>weight markers; </w:t>
      </w:r>
      <w:r>
        <w:rPr>
          <w:rFonts w:ascii="Arial" w:hAnsi="Arial" w:cs="Arial"/>
        </w:rPr>
        <w:t xml:space="preserve">1, </w:t>
      </w:r>
      <w:r w:rsidRPr="00D02A8B">
        <w:rPr>
          <w:rFonts w:ascii="Arial" w:hAnsi="Arial" w:cs="Arial"/>
        </w:rPr>
        <w:t>cell</w:t>
      </w:r>
      <w:r>
        <w:rPr>
          <w:rFonts w:ascii="Arial" w:hAnsi="Arial" w:cs="Arial"/>
        </w:rPr>
        <w:t xml:space="preserve"> pellet;</w:t>
      </w:r>
      <w:r w:rsidRPr="00D02A8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2, </w:t>
      </w:r>
      <w:r w:rsidRPr="00D02A8B">
        <w:rPr>
          <w:rFonts w:ascii="Arial" w:hAnsi="Arial" w:cs="Arial"/>
        </w:rPr>
        <w:t>8 M</w:t>
      </w:r>
      <w:r>
        <w:rPr>
          <w:rFonts w:ascii="Arial" w:hAnsi="Arial" w:cs="Arial"/>
        </w:rPr>
        <w:t xml:space="preserve"> urea - solubilized fraction;</w:t>
      </w:r>
      <w:r w:rsidRPr="00D02A8B">
        <w:rPr>
          <w:rFonts w:ascii="Arial" w:hAnsi="Arial" w:cs="Arial"/>
        </w:rPr>
        <w:t> </w:t>
      </w:r>
      <w:r>
        <w:rPr>
          <w:rFonts w:ascii="Arial" w:hAnsi="Arial" w:cs="Arial"/>
        </w:rPr>
        <w:t>3, Ni</w:t>
      </w:r>
      <w:r w:rsidRPr="00D02A8B">
        <w:rPr>
          <w:rFonts w:ascii="Arial" w:hAnsi="Arial" w:cs="Arial"/>
        </w:rPr>
        <w:noBreakHyphen/>
        <w:t>NTA</w:t>
      </w:r>
      <w:r>
        <w:rPr>
          <w:rFonts w:ascii="Arial" w:hAnsi="Arial" w:cs="Arial"/>
        </w:rPr>
        <w:t xml:space="preserve"> unbound fraction;</w:t>
      </w:r>
      <w:r w:rsidRPr="00D02A8B">
        <w:rPr>
          <w:rFonts w:ascii="Arial" w:hAnsi="Arial" w:cs="Arial"/>
        </w:rPr>
        <w:t> 4</w:t>
      </w:r>
      <w:r>
        <w:rPr>
          <w:rFonts w:ascii="Arial" w:hAnsi="Arial" w:cs="Arial"/>
        </w:rPr>
        <w:t xml:space="preserve">, </w:t>
      </w:r>
      <w:r w:rsidRPr="00D02A8B">
        <w:rPr>
          <w:rFonts w:ascii="Arial" w:hAnsi="Arial" w:cs="Arial"/>
        </w:rPr>
        <w:t>250 mM</w:t>
      </w:r>
      <w:r>
        <w:rPr>
          <w:rFonts w:ascii="Arial" w:hAnsi="Arial" w:cs="Arial"/>
        </w:rPr>
        <w:t xml:space="preserve"> </w:t>
      </w:r>
      <w:r w:rsidRPr="00D02A8B">
        <w:rPr>
          <w:rFonts w:ascii="Arial" w:hAnsi="Arial" w:cs="Arial"/>
        </w:rPr>
        <w:t>imidazole</w:t>
      </w:r>
      <w:r w:rsidRPr="00D02A8B">
        <w:rPr>
          <w:rFonts w:ascii="Arial" w:hAnsi="Arial" w:cs="Arial"/>
        </w:rPr>
        <w:noBreakHyphen/>
      </w:r>
      <w:r>
        <w:rPr>
          <w:rFonts w:ascii="Arial" w:hAnsi="Arial" w:cs="Arial"/>
        </w:rPr>
        <w:t>eluted fraction</w:t>
      </w:r>
      <w:r w:rsidRPr="00D02A8B">
        <w:rPr>
          <w:rFonts w:ascii="Arial" w:hAnsi="Arial" w:cs="Arial"/>
        </w:rPr>
        <w:t>, subsequently</w:t>
      </w:r>
      <w:r>
        <w:rPr>
          <w:rFonts w:ascii="Arial" w:hAnsi="Arial" w:cs="Arial"/>
        </w:rPr>
        <w:t xml:space="preserve"> dialyzed stepwise </w:t>
      </w:r>
      <w:r w:rsidRPr="00D02A8B">
        <w:rPr>
          <w:rFonts w:ascii="Arial" w:hAnsi="Arial" w:cs="Arial"/>
        </w:rPr>
        <w:t>into decreasing</w:t>
      </w:r>
      <w:r>
        <w:rPr>
          <w:rFonts w:ascii="Arial" w:hAnsi="Arial" w:cs="Arial"/>
        </w:rPr>
        <w:t xml:space="preserve"> urea</w:t>
      </w:r>
      <w:r w:rsidRPr="00D02A8B">
        <w:rPr>
          <w:rFonts w:ascii="Arial" w:hAnsi="Arial" w:cs="Arial"/>
        </w:rPr>
        <w:t xml:space="preserve"> concentrations</w:t>
      </w:r>
      <w:r>
        <w:rPr>
          <w:rFonts w:ascii="Arial" w:hAnsi="Arial" w:cs="Arial"/>
        </w:rPr>
        <w:t>.</w:t>
      </w:r>
    </w:p>
    <w:p w14:paraId="1F4A1EEC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  <w:b/>
          <w:bCs/>
        </w:rPr>
      </w:pPr>
      <w:r w:rsidRPr="006C76FA">
        <w:rPr>
          <w:rFonts w:ascii="Arial" w:hAnsi="Arial" w:cs="Arial"/>
          <w:b/>
          <w:bCs/>
        </w:rPr>
        <w:t>Supplementary Data File 1.</w:t>
      </w:r>
    </w:p>
    <w:p w14:paraId="7B01BCD0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</w:rPr>
        <w:lastRenderedPageBreak/>
        <w:t>Supplementary Figure S1</w:t>
      </w:r>
    </w:p>
    <w:p w14:paraId="0CB55FF1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 w:rsidRPr="00FE2DBE">
        <w:rPr>
          <w:rFonts w:ascii="Arial" w:hAnsi="Arial" w:cs="Arial"/>
          <w:noProof/>
        </w:rPr>
        <w:drawing>
          <wp:inline distT="0" distB="0" distL="0" distR="0" wp14:anchorId="05ABBAA8" wp14:editId="28246073">
            <wp:extent cx="5943600" cy="4037330"/>
            <wp:effectExtent l="0" t="0" r="0" b="0"/>
            <wp:docPr id="1874281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814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5514" w14:textId="77777777" w:rsidR="005D25D1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>
        <w:rPr>
          <w:rFonts w:ascii="Arial" w:hAnsi="Arial" w:cs="Arial"/>
        </w:rPr>
        <w:t>Supplementary Figure S2</w:t>
      </w:r>
    </w:p>
    <w:p w14:paraId="7D82A067" w14:textId="77777777" w:rsidR="005D25D1" w:rsidRPr="002643C7" w:rsidRDefault="005D25D1" w:rsidP="005D25D1">
      <w:pPr>
        <w:snapToGrid w:val="0"/>
        <w:spacing w:before="100" w:beforeAutospacing="1" w:after="120"/>
        <w:rPr>
          <w:rFonts w:ascii="Arial" w:hAnsi="Arial" w:cs="Arial"/>
        </w:rPr>
      </w:pPr>
      <w:r w:rsidRPr="00FE2DBE">
        <w:rPr>
          <w:rFonts w:ascii="Arial" w:hAnsi="Arial" w:cs="Arial"/>
          <w:noProof/>
        </w:rPr>
        <w:drawing>
          <wp:inline distT="0" distB="0" distL="0" distR="0" wp14:anchorId="1694F612" wp14:editId="6BB0BF4B">
            <wp:extent cx="2019300" cy="2794000"/>
            <wp:effectExtent l="0" t="0" r="0" b="0"/>
            <wp:docPr id="847845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450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1352A" w14:textId="17507BD8" w:rsidR="005D25D1" w:rsidRDefault="005D25D1" w:rsidP="005D25D1">
      <w:pPr>
        <w:rPr>
          <w:rFonts w:ascii="Arial" w:hAnsi="Arial" w:cs="Arial"/>
          <w:b/>
          <w:bCs/>
        </w:rPr>
      </w:pPr>
    </w:p>
    <w:p w14:paraId="4392FA82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D1"/>
    <w:rsid w:val="000E2EDD"/>
    <w:rsid w:val="0025266B"/>
    <w:rsid w:val="005D25D1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C9A0"/>
  <w15:chartTrackingRefBased/>
  <w15:docId w15:val="{3007EA01-6DF5-4793-8CD3-1615778F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D1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aliases w:val="Heading 1-R"/>
    <w:basedOn w:val="Normal"/>
    <w:next w:val="Normal"/>
    <w:link w:val="Heading1Char"/>
    <w:uiPriority w:val="9"/>
    <w:qFormat/>
    <w:rsid w:val="005D25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5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5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5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5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5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5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5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5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R Char"/>
    <w:basedOn w:val="DefaultParagraphFont"/>
    <w:link w:val="Heading1"/>
    <w:uiPriority w:val="9"/>
    <w:rsid w:val="005D2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5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5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2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5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2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2026-06-25T17:08:00Z</dcterms:created>
  <dcterms:modified xsi:type="dcterms:W3CDTF">2026-06-25T17:09:00Z</dcterms:modified>
</cp:coreProperties>
</file>