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C35B8" w14:textId="34706729" w:rsidR="001635A3" w:rsidRPr="00C81AB5" w:rsidRDefault="001635A3" w:rsidP="001635A3">
      <w:pPr>
        <w:pStyle w:val="EndNoteBibliography"/>
        <w:adjustRightInd w:val="0"/>
        <w:snapToGrid w:val="0"/>
        <w:spacing w:line="480" w:lineRule="auto"/>
        <w:jc w:val="both"/>
        <w:rPr>
          <w:b/>
          <w:bCs/>
          <w:i w:val="0"/>
          <w:iCs w:val="0"/>
          <w:color w:val="auto"/>
        </w:rPr>
      </w:pPr>
      <w:r w:rsidRPr="00C81AB5">
        <w:rPr>
          <w:b/>
          <w:bCs/>
          <w:i w:val="0"/>
          <w:iCs w:val="0"/>
          <w:color w:val="auto"/>
        </w:rPr>
        <w:t>SUPPLEMENTARY FIGURE 1</w:t>
      </w:r>
    </w:p>
    <w:p w14:paraId="49059A34" w14:textId="59F2AA60" w:rsidR="001635A3" w:rsidRDefault="001635A3" w:rsidP="001635A3">
      <w:pPr>
        <w:pStyle w:val="EndNoteBibliography"/>
        <w:adjustRightInd w:val="0"/>
        <w:snapToGrid w:val="0"/>
        <w:spacing w:line="480" w:lineRule="auto"/>
        <w:jc w:val="both"/>
        <w:rPr>
          <w:i w:val="0"/>
          <w:iCs w:val="0"/>
          <w:color w:val="auto"/>
        </w:rPr>
      </w:pPr>
      <w:r w:rsidRPr="00C81AB5">
        <w:rPr>
          <w:i w:val="0"/>
          <w:iCs w:val="0"/>
          <w:color w:val="auto"/>
        </w:rPr>
        <w:t xml:space="preserve">Screening circRNA in liver fibrosis tissue. 5 circRNAs (hsa_circ_0007308, hsa_circ_0066657, </w:t>
      </w:r>
      <w:r>
        <w:rPr>
          <w:rFonts w:hint="eastAsia"/>
          <w:i w:val="0"/>
          <w:iCs w:val="0"/>
          <w:color w:val="auto"/>
        </w:rPr>
        <w:t xml:space="preserve">and </w:t>
      </w:r>
      <w:r w:rsidRPr="00C81AB5">
        <w:rPr>
          <w:i w:val="0"/>
          <w:iCs w:val="0"/>
          <w:color w:val="auto"/>
        </w:rPr>
        <w:t xml:space="preserve">hsa_circ_0000063) at about 500-1000 nt length were selected for further verification. Fibrogenic factor TGF-β1 (10 ng/ml) was used to stimulate LX-2 cells. </w:t>
      </w:r>
    </w:p>
    <w:p w14:paraId="2361188C" w14:textId="2EB00558" w:rsidR="0042498E" w:rsidRPr="00F26701" w:rsidRDefault="00DD04AF" w:rsidP="00F26701">
      <w:pPr>
        <w:widowControl/>
        <w:jc w:val="left"/>
      </w:pPr>
      <w:r>
        <w:rPr>
          <w:rFonts w:hint="eastAsia"/>
        </w:rPr>
        <w:br w:type="page"/>
      </w:r>
    </w:p>
    <w:p w14:paraId="7AFC1E00" w14:textId="0E927361" w:rsidR="00DD04AF" w:rsidRPr="00C81AB5" w:rsidRDefault="00DD04AF" w:rsidP="00DD04AF">
      <w:pPr>
        <w:pStyle w:val="EndNoteBibliography"/>
        <w:adjustRightInd w:val="0"/>
        <w:snapToGrid w:val="0"/>
        <w:spacing w:line="480" w:lineRule="auto"/>
        <w:jc w:val="both"/>
        <w:rPr>
          <w:b/>
          <w:bCs/>
          <w:i w:val="0"/>
          <w:iCs w:val="0"/>
          <w:color w:val="auto"/>
        </w:rPr>
      </w:pPr>
      <w:r w:rsidRPr="00C81AB5">
        <w:rPr>
          <w:b/>
          <w:bCs/>
          <w:i w:val="0"/>
          <w:iCs w:val="0"/>
          <w:color w:val="auto"/>
        </w:rPr>
        <w:lastRenderedPageBreak/>
        <w:t>SUPPLEMENTARY FIGURE 2</w:t>
      </w:r>
    </w:p>
    <w:p w14:paraId="54BB1B13" w14:textId="3517DABD" w:rsidR="00BF0B70" w:rsidRPr="0037750B" w:rsidRDefault="00DD04AF" w:rsidP="0037750B">
      <w:pPr>
        <w:spacing w:line="360" w:lineRule="auto"/>
        <w:rPr>
          <w:rFonts w:ascii="Times New Roman" w:eastAsia="Arial Unicode MS" w:hAnsi="Times New Roman" w:cs="Times New Roman"/>
          <w:noProof/>
          <w:kern w:val="0"/>
          <w:sz w:val="20"/>
          <w:szCs w:val="20"/>
          <w:u w:color="000000"/>
        </w:rPr>
      </w:pPr>
      <w:r w:rsidRPr="0037750B">
        <w:rPr>
          <w:rFonts w:ascii="Times New Roman" w:eastAsia="Arial Unicode MS" w:hAnsi="Times New Roman" w:cs="Times New Roman"/>
          <w:noProof/>
          <w:kern w:val="0"/>
          <w:sz w:val="20"/>
          <w:szCs w:val="20"/>
          <w:u w:color="000000"/>
        </w:rPr>
        <w:t>MiR-484 increases in human liver fibrosis tissues. (A, B) Based on fold-change, the miRNA sequencing data showed 461 upregulated and 32 downregulated miRNAs in fibrotic tissues, including miR-484, -30a-3p, -92a-3p, -26a-5p, -490-3p_R+1, -148b-5p_L+1, -1248_R−1, and so on. (C, D) Among them, miR-484 was one of the miRNAs with the most obvious discrepancy. Then, GO and KEGG pathway analysis showed that Wnt/β-catenin signaling was involved in the topmost enrichment pathways andprocesses for fibrosis specific miRNAs target genes.</w:t>
      </w:r>
    </w:p>
    <w:sectPr w:rsidR="00BF0B70" w:rsidRPr="003775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DEECB" w14:textId="77777777" w:rsidR="00AA368B" w:rsidRDefault="00AA368B" w:rsidP="001635A3">
      <w:pPr>
        <w:rPr>
          <w:rFonts w:hint="eastAsia"/>
        </w:rPr>
      </w:pPr>
      <w:r>
        <w:separator/>
      </w:r>
    </w:p>
  </w:endnote>
  <w:endnote w:type="continuationSeparator" w:id="0">
    <w:p w14:paraId="1425CE4F" w14:textId="77777777" w:rsidR="00AA368B" w:rsidRDefault="00AA368B" w:rsidP="001635A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66C80" w14:textId="77777777" w:rsidR="00AA368B" w:rsidRDefault="00AA368B" w:rsidP="001635A3">
      <w:pPr>
        <w:rPr>
          <w:rFonts w:hint="eastAsia"/>
        </w:rPr>
      </w:pPr>
      <w:r>
        <w:separator/>
      </w:r>
    </w:p>
  </w:footnote>
  <w:footnote w:type="continuationSeparator" w:id="0">
    <w:p w14:paraId="620ACA4E" w14:textId="77777777" w:rsidR="00AA368B" w:rsidRDefault="00AA368B" w:rsidP="001635A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EEA"/>
    <w:rsid w:val="000537A4"/>
    <w:rsid w:val="001635A3"/>
    <w:rsid w:val="001F4EEA"/>
    <w:rsid w:val="0037750B"/>
    <w:rsid w:val="003E18AC"/>
    <w:rsid w:val="0042498E"/>
    <w:rsid w:val="006B5F62"/>
    <w:rsid w:val="009841B8"/>
    <w:rsid w:val="00AA368B"/>
    <w:rsid w:val="00BF0B70"/>
    <w:rsid w:val="00CF730D"/>
    <w:rsid w:val="00DD04AF"/>
    <w:rsid w:val="00F26701"/>
    <w:rsid w:val="00F4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B5E360"/>
  <w15:chartTrackingRefBased/>
  <w15:docId w15:val="{BB74A618-B480-49CC-9980-9D162B8EA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35A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635A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635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635A3"/>
    <w:rPr>
      <w:sz w:val="18"/>
      <w:szCs w:val="18"/>
    </w:rPr>
  </w:style>
  <w:style w:type="paragraph" w:customStyle="1" w:styleId="EndNoteBibliography">
    <w:name w:val="EndNote Bibliography"/>
    <w:basedOn w:val="a"/>
    <w:link w:val="EndNoteBibliography0"/>
    <w:rsid w:val="001635A3"/>
    <w:pPr>
      <w:widowControl/>
      <w:spacing w:after="200"/>
      <w:jc w:val="left"/>
    </w:pPr>
    <w:rPr>
      <w:rFonts w:ascii="Times New Roman" w:eastAsia="Arial Unicode MS" w:hAnsi="Times New Roman" w:cs="Times New Roman"/>
      <w:i/>
      <w:iCs/>
      <w:noProof/>
      <w:color w:val="000000"/>
      <w:kern w:val="0"/>
      <w:sz w:val="20"/>
      <w:szCs w:val="20"/>
      <w:u w:color="000000"/>
    </w:rPr>
  </w:style>
  <w:style w:type="character" w:customStyle="1" w:styleId="EndNoteBibliography0">
    <w:name w:val="EndNote Bibliography 字符"/>
    <w:basedOn w:val="a0"/>
    <w:link w:val="EndNoteBibliography"/>
    <w:rsid w:val="001635A3"/>
    <w:rPr>
      <w:rFonts w:ascii="Times New Roman" w:eastAsia="Arial Unicode MS" w:hAnsi="Times New Roman" w:cs="Times New Roman"/>
      <w:i/>
      <w:iCs/>
      <w:noProof/>
      <w:color w:val="000000"/>
      <w:kern w:val="0"/>
      <w:sz w:val="20"/>
      <w:szCs w:val="2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116</Words>
  <Characters>717</Characters>
  <Application>Microsoft Office Word</Application>
  <DocSecurity>0</DocSecurity>
  <Lines>14</Lines>
  <Paragraphs>5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kegong tao</dc:creator>
  <cp:keywords/>
  <dc:description/>
  <cp:lastModifiedBy>kegong tao</cp:lastModifiedBy>
  <cp:revision>6</cp:revision>
  <dcterms:created xsi:type="dcterms:W3CDTF">2024-12-27T08:44:00Z</dcterms:created>
  <dcterms:modified xsi:type="dcterms:W3CDTF">2026-06-03T15:25:00Z</dcterms:modified>
</cp:coreProperties>
</file>