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04286" w14:textId="77777777" w:rsidR="00AF37E9" w:rsidRDefault="00AF37E9" w:rsidP="00AF37E9">
      <w:pPr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Glycolysis is critical to sperm hyperactivation and oxidative phosphorylation is supportive</w:t>
      </w:r>
    </w:p>
    <w:p w14:paraId="3BE4D736" w14:textId="77777777" w:rsidR="00AF37E9" w:rsidRDefault="00AF37E9" w:rsidP="00AF37E9">
      <w:pPr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sdt>
        <w:sdtPr>
          <w:tag w:val="goog_rdk_3"/>
          <w:id w:val="1490526912"/>
          <w:showingPlcHdr/>
        </w:sdtPr>
        <w:sdtContent>
          <w:r>
            <w:t xml:space="preserve">     </w:t>
          </w:r>
        </w:sdtContent>
      </w:sdt>
    </w:p>
    <w:p w14:paraId="552105DD" w14:textId="77777777" w:rsidR="00AF37E9" w:rsidRDefault="00AF37E9" w:rsidP="00AF37E9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Manorma Dixit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1#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Prashansa Khanna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1#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Bidhan Chandra Nayak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Sudesh Kumar Banyal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Radha Rangarajan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1,2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Rajender Singh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1,2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*</w:t>
      </w:r>
    </w:p>
    <w:p w14:paraId="0B047099" w14:textId="77777777" w:rsidR="00AF37E9" w:rsidRDefault="00AF37E9" w:rsidP="00AF37E9">
      <w:pPr>
        <w:pBdr>
          <w:top w:val="nil"/>
          <w:left w:val="nil"/>
          <w:bottom w:val="nil"/>
          <w:right w:val="nil"/>
          <w:between w:val="nil"/>
        </w:pBdr>
        <w:spacing w:before="280" w:after="28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A5FFF33" w14:textId="4ACBE45C" w:rsidR="00AF37E9" w:rsidRDefault="00AF37E9" w:rsidP="00AF37E9">
      <w:pPr>
        <w:pBdr>
          <w:top w:val="nil"/>
          <w:left w:val="nil"/>
          <w:bottom w:val="nil"/>
          <w:right w:val="nil"/>
          <w:between w:val="nil"/>
        </w:pBdr>
        <w:spacing w:before="280" w:after="28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84C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Supplementary Figures</w:t>
      </w:r>
    </w:p>
    <w:p w14:paraId="63591FD6" w14:textId="15D37D8B" w:rsidR="00AF37E9" w:rsidRPr="00E84C86" w:rsidRDefault="00AF37E9" w:rsidP="00AF37E9">
      <w:pPr>
        <w:pBdr>
          <w:top w:val="nil"/>
          <w:left w:val="nil"/>
          <w:bottom w:val="nil"/>
          <w:right w:val="nil"/>
          <w:between w:val="nil"/>
        </w:pBdr>
        <w:spacing w:before="280" w:after="28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14:ligatures w14:val="standardContextual"/>
        </w:rPr>
        <w:drawing>
          <wp:inline distT="0" distB="0" distL="0" distR="0" wp14:anchorId="6D83EB46" wp14:editId="5D9F9C39">
            <wp:extent cx="5943600" cy="2167255"/>
            <wp:effectExtent l="0" t="0" r="0" b="4445"/>
            <wp:docPr id="21079576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957648" name="Picture 210795764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6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E08A5" w14:textId="77777777" w:rsidR="00AF37E9" w:rsidRDefault="00AF37E9" w:rsidP="00AF37E9">
      <w:pPr>
        <w:pBdr>
          <w:top w:val="nil"/>
          <w:left w:val="nil"/>
          <w:bottom w:val="nil"/>
          <w:right w:val="nil"/>
          <w:between w:val="nil"/>
        </w:pBdr>
        <w:spacing w:before="280" w:after="28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2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Supplementary Fig. 1.</w:t>
      </w:r>
      <w:r w:rsidRPr="00E84C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84C86">
        <w:rPr>
          <w:rFonts w:ascii="Times New Roman" w:eastAsia="Times New Roman" w:hAnsi="Times New Roman" w:cs="Times New Roman"/>
          <w:color w:val="000000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tality</w:t>
      </w:r>
      <w:r w:rsidRPr="00E84C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assay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r w:rsidRPr="00E84C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sperm cells suspended in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Pr="00E84C86">
        <w:rPr>
          <w:rFonts w:ascii="Times New Roman" w:eastAsia="Times New Roman" w:hAnsi="Times New Roman" w:cs="Times New Roman"/>
          <w:color w:val="000000"/>
          <w:sz w:val="24"/>
          <w:szCs w:val="24"/>
        </w:rPr>
        <w:t>HTF medium with different energy substrates (GLP, GP, GL, LP, G, O) up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4C86">
        <w:rPr>
          <w:rFonts w:ascii="Times New Roman" w:eastAsia="Times New Roman" w:hAnsi="Times New Roman" w:cs="Times New Roman"/>
          <w:color w:val="000000"/>
          <w:sz w:val="24"/>
          <w:szCs w:val="24"/>
        </w:rPr>
        <w:t>to 24 hours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541D3D7" w14:textId="002A5D7F" w:rsidR="00AF37E9" w:rsidRPr="00E84C86" w:rsidRDefault="00AF37E9" w:rsidP="00AF37E9">
      <w:pPr>
        <w:pBdr>
          <w:top w:val="nil"/>
          <w:left w:val="nil"/>
          <w:bottom w:val="nil"/>
          <w:right w:val="nil"/>
          <w:between w:val="nil"/>
        </w:pBdr>
        <w:spacing w:before="280" w:after="28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14:ligatures w14:val="standardContextual"/>
        </w:rPr>
        <w:lastRenderedPageBreak/>
        <w:drawing>
          <wp:inline distT="0" distB="0" distL="0" distR="0" wp14:anchorId="74518C54" wp14:editId="61B0FB25">
            <wp:extent cx="5943600" cy="2992755"/>
            <wp:effectExtent l="0" t="0" r="0" b="4445"/>
            <wp:docPr id="1566307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30745" name="Picture 15663074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E4F7F" w14:textId="77777777" w:rsidR="00AF37E9" w:rsidRPr="004A67DC" w:rsidRDefault="00AF37E9" w:rsidP="00AF37E9">
      <w:pPr>
        <w:pBdr>
          <w:top w:val="nil"/>
          <w:left w:val="nil"/>
          <w:bottom w:val="nil"/>
          <w:right w:val="nil"/>
          <w:between w:val="nil"/>
        </w:pBdr>
        <w:spacing w:before="280" w:after="28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2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Supplementary Fig. 2.</w:t>
      </w:r>
      <w:r w:rsidRPr="00E84C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84C86">
        <w:rPr>
          <w:rFonts w:ascii="Times New Roman" w:eastAsia="Times New Roman" w:hAnsi="Times New Roman" w:cs="Times New Roman"/>
          <w:color w:val="000000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tality assay</w:t>
      </w:r>
      <w:r w:rsidRPr="00E84C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r w:rsidRPr="00E84C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sperm cells suspended in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Pr="00E84C86">
        <w:rPr>
          <w:rFonts w:ascii="Times New Roman" w:eastAsia="Times New Roman" w:hAnsi="Times New Roman" w:cs="Times New Roman"/>
          <w:color w:val="000000"/>
          <w:sz w:val="24"/>
          <w:szCs w:val="24"/>
        </w:rPr>
        <w:t>HTF (GLP and O) medium with different inhibitors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(2-DG, sodium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oxamate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ORA, FCCP)</w:t>
      </w:r>
      <w:r w:rsidRPr="00E84C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4C86">
        <w:rPr>
          <w:rFonts w:ascii="Times New Roman" w:eastAsia="Times New Roman" w:hAnsi="Times New Roman" w:cs="Times New Roman"/>
          <w:color w:val="000000"/>
          <w:sz w:val="24"/>
          <w:szCs w:val="24"/>
        </w:rPr>
        <w:t>to 60 minutes.</w:t>
      </w:r>
    </w:p>
    <w:p w14:paraId="4D0189E8" w14:textId="5B39F8CC" w:rsidR="00AF37E9" w:rsidRDefault="00AF37E9" w:rsidP="00AF37E9">
      <w:pPr>
        <w:pBdr>
          <w:top w:val="nil"/>
          <w:left w:val="nil"/>
          <w:bottom w:val="nil"/>
          <w:right w:val="nil"/>
          <w:between w:val="nil"/>
        </w:pBdr>
        <w:spacing w:before="280" w:after="28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14:ligatures w14:val="standardContextual"/>
        </w:rPr>
        <w:drawing>
          <wp:inline distT="0" distB="0" distL="0" distR="0" wp14:anchorId="5A0A8466" wp14:editId="639B8E5A">
            <wp:extent cx="5943600" cy="2043430"/>
            <wp:effectExtent l="0" t="0" r="0" b="1270"/>
            <wp:docPr id="136823140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231407" name="Picture 136823140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CA5C4" w14:textId="75E0D2BD" w:rsidR="00AF37E9" w:rsidRPr="00E84C86" w:rsidRDefault="00AF37E9" w:rsidP="00AF37E9">
      <w:pPr>
        <w:pBdr>
          <w:top w:val="nil"/>
          <w:left w:val="nil"/>
          <w:bottom w:val="nil"/>
          <w:right w:val="nil"/>
          <w:between w:val="nil"/>
        </w:pBdr>
        <w:spacing w:before="280" w:after="28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42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Supplementary Fig. 3.</w:t>
      </w:r>
      <w:r w:rsidRPr="00E84C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A45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Seahorse assay O</w:t>
      </w:r>
      <w:r w:rsidRPr="00E84C86">
        <w:rPr>
          <w:rFonts w:ascii="Times New Roman" w:eastAsia="Times New Roman" w:hAnsi="Times New Roman" w:cs="Times New Roman"/>
          <w:color w:val="000000"/>
          <w:sz w:val="24"/>
          <w:szCs w:val="24"/>
        </w:rPr>
        <w:t>CR and ECAR values in modified PBS with different energy substrates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(GLP, GP, GL, LP, G </w:t>
      </w:r>
      <w:r w:rsidRPr="004E5CE7">
        <w:rPr>
          <w:rFonts w:ascii="Times New Roman" w:eastAsia="Times New Roman" w:hAnsi="Times New Roman" w:cs="Times New Roman"/>
          <w:color w:val="000000"/>
          <w:sz w:val="24"/>
          <w:szCs w:val="24"/>
        </w:rPr>
        <w:t>and O</w:t>
      </w:r>
      <w:r w:rsidRPr="00E84C86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15CADBE8" w14:textId="4CA52B09" w:rsidR="00AF37E9" w:rsidRDefault="00AF37E9" w:rsidP="00AF37E9">
      <w:pPr>
        <w:pBdr>
          <w:top w:val="nil"/>
          <w:left w:val="nil"/>
          <w:bottom w:val="nil"/>
          <w:right w:val="nil"/>
          <w:between w:val="nil"/>
        </w:pBdr>
        <w:spacing w:before="280" w:after="28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14:ligatures w14:val="standardContextual"/>
        </w:rPr>
        <w:lastRenderedPageBreak/>
        <w:drawing>
          <wp:inline distT="0" distB="0" distL="0" distR="0" wp14:anchorId="7770D52D" wp14:editId="0458F429">
            <wp:extent cx="5943600" cy="1939925"/>
            <wp:effectExtent l="0" t="0" r="0" b="3175"/>
            <wp:docPr id="2983065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306576" name="Picture 29830657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FEF99" w14:textId="068E2269" w:rsidR="00AF37E9" w:rsidRDefault="00AF37E9" w:rsidP="00AF37E9">
      <w:pPr>
        <w:pBdr>
          <w:top w:val="nil"/>
          <w:left w:val="nil"/>
          <w:bottom w:val="nil"/>
          <w:right w:val="nil"/>
          <w:between w:val="nil"/>
        </w:pBdr>
        <w:spacing w:before="280" w:after="28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2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Supplementary Fig. 4.</w:t>
      </w:r>
      <w:r w:rsidRPr="00E84C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A45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Seahorse assay </w:t>
      </w:r>
      <w:r w:rsidRPr="00E84C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OCR and ECAR values in modified PBS (GLP and O) with glycolytic inhibitors (2-DG and sodium </w:t>
      </w:r>
      <w:proofErr w:type="spellStart"/>
      <w:r w:rsidRPr="00E84C86">
        <w:rPr>
          <w:rFonts w:ascii="Times New Roman" w:eastAsia="Times New Roman" w:hAnsi="Times New Roman" w:cs="Times New Roman"/>
          <w:color w:val="000000"/>
          <w:sz w:val="24"/>
          <w:szCs w:val="24"/>
        </w:rPr>
        <w:t>oxamate</w:t>
      </w:r>
      <w:proofErr w:type="spellEnd"/>
      <w:r w:rsidRPr="00E84C8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60DEAAF" w14:textId="0EF815E7" w:rsidR="00AF37E9" w:rsidRPr="004E5CE7" w:rsidRDefault="00AF37E9" w:rsidP="00AF37E9">
      <w:pPr>
        <w:pBdr>
          <w:top w:val="nil"/>
          <w:left w:val="nil"/>
          <w:bottom w:val="nil"/>
          <w:right w:val="nil"/>
          <w:between w:val="nil"/>
        </w:pBdr>
        <w:spacing w:before="280" w:after="28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14:ligatures w14:val="standardContextual"/>
        </w:rPr>
        <w:drawing>
          <wp:inline distT="0" distB="0" distL="0" distR="0" wp14:anchorId="5E6CF8C3" wp14:editId="4CEB9250">
            <wp:extent cx="5943600" cy="3343275"/>
            <wp:effectExtent l="0" t="0" r="0" b="0"/>
            <wp:docPr id="42914384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143846" name="Picture 42914384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79E8C" w14:textId="77777777" w:rsidR="00AF37E9" w:rsidRDefault="00AF37E9" w:rsidP="00AF37E9">
      <w:pPr>
        <w:pBdr>
          <w:top w:val="nil"/>
          <w:left w:val="nil"/>
          <w:bottom w:val="nil"/>
          <w:right w:val="nil"/>
          <w:between w:val="nil"/>
        </w:pBdr>
        <w:spacing w:before="280" w:after="28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2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Supplementary Fig. 5.</w:t>
      </w:r>
      <w:r w:rsidRPr="004E5C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Sperm motility patterns captured at 60 minutes using CASA under various substrate conditions. </w:t>
      </w:r>
    </w:p>
    <w:p w14:paraId="39D4BF8F" w14:textId="31FA2F33" w:rsidR="00AF37E9" w:rsidRDefault="00AF37E9" w:rsidP="00AF37E9">
      <w:pPr>
        <w:pBdr>
          <w:top w:val="nil"/>
          <w:left w:val="nil"/>
          <w:bottom w:val="nil"/>
          <w:right w:val="nil"/>
          <w:between w:val="nil"/>
        </w:pBdr>
        <w:spacing w:before="280" w:after="28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14:ligatures w14:val="standardContextual"/>
        </w:rPr>
        <w:lastRenderedPageBreak/>
        <w:drawing>
          <wp:inline distT="0" distB="0" distL="0" distR="0" wp14:anchorId="65F18467" wp14:editId="22B67678">
            <wp:extent cx="5943600" cy="5076825"/>
            <wp:effectExtent l="0" t="0" r="0" b="3175"/>
            <wp:docPr id="158550625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506255" name="Picture 158550625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A22CD" w14:textId="77777777" w:rsidR="00AF37E9" w:rsidRDefault="00AF37E9" w:rsidP="00AF37E9">
      <w:pPr>
        <w:pBdr>
          <w:top w:val="nil"/>
          <w:left w:val="nil"/>
          <w:bottom w:val="nil"/>
          <w:right w:val="nil"/>
          <w:between w:val="nil"/>
        </w:pBdr>
        <w:spacing w:before="280" w:after="28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2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Supplementary Fig 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Sperm motility patterns captured at 60 minutes using CASA in the presence of 2DG in HTF GLP and O media.</w:t>
      </w:r>
    </w:p>
    <w:p w14:paraId="159D2999" w14:textId="59260CE3" w:rsidR="00AF37E9" w:rsidRDefault="00AF37E9" w:rsidP="00AF37E9">
      <w:pPr>
        <w:pBdr>
          <w:top w:val="nil"/>
          <w:left w:val="nil"/>
          <w:bottom w:val="nil"/>
          <w:right w:val="nil"/>
          <w:between w:val="nil"/>
        </w:pBdr>
        <w:spacing w:before="280" w:after="28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14:ligatures w14:val="standardContextual"/>
        </w:rPr>
        <w:lastRenderedPageBreak/>
        <w:drawing>
          <wp:inline distT="0" distB="0" distL="0" distR="0" wp14:anchorId="23C9343D" wp14:editId="607C7C39">
            <wp:extent cx="5943600" cy="5015230"/>
            <wp:effectExtent l="0" t="0" r="0" b="1270"/>
            <wp:docPr id="92505449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054496" name="Picture 92505449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1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5BFF4" w14:textId="77777777" w:rsidR="00AF37E9" w:rsidRDefault="00AF37E9" w:rsidP="00AF37E9">
      <w:pPr>
        <w:pBdr>
          <w:top w:val="nil"/>
          <w:left w:val="nil"/>
          <w:bottom w:val="nil"/>
          <w:right w:val="nil"/>
          <w:between w:val="nil"/>
        </w:pBdr>
        <w:spacing w:before="280" w:after="28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2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Supplementary Fig. 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Sperm motility patterns captured at 60 minutes using CASA in the presence of sodium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oxamate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HTF GLP and O media.</w:t>
      </w:r>
    </w:p>
    <w:p w14:paraId="2ACE4D6E" w14:textId="28C9F3BF" w:rsidR="00AF37E9" w:rsidRDefault="00AF37E9" w:rsidP="00AF37E9">
      <w:pPr>
        <w:pBdr>
          <w:top w:val="nil"/>
          <w:left w:val="nil"/>
          <w:bottom w:val="nil"/>
          <w:right w:val="nil"/>
          <w:between w:val="nil"/>
        </w:pBdr>
        <w:spacing w:before="280" w:after="28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14:ligatures w14:val="standardContextual"/>
        </w:rPr>
        <w:lastRenderedPageBreak/>
        <w:drawing>
          <wp:inline distT="0" distB="0" distL="0" distR="0" wp14:anchorId="6698BA74" wp14:editId="23F3F14A">
            <wp:extent cx="5943600" cy="4261485"/>
            <wp:effectExtent l="0" t="0" r="0" b="5715"/>
            <wp:docPr id="143981006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810067" name="Picture 143981006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6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1D74D" w14:textId="77777777" w:rsidR="00AF37E9" w:rsidRDefault="00AF37E9" w:rsidP="00AF37E9">
      <w:pPr>
        <w:pBdr>
          <w:top w:val="nil"/>
          <w:left w:val="nil"/>
          <w:bottom w:val="nil"/>
          <w:right w:val="nil"/>
          <w:between w:val="nil"/>
        </w:pBdr>
        <w:spacing w:before="280" w:after="28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2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Supplementary Fig. 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Sperm motility patterns captured at 60 minutes using CASA in the presence of ORA and FCCP in HTF GLP and O media.</w:t>
      </w:r>
    </w:p>
    <w:p w14:paraId="1BAD486B" w14:textId="77777777" w:rsidR="00AF37E9" w:rsidRDefault="00AF37E9" w:rsidP="00AF37E9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BFE120" w14:textId="77777777" w:rsidR="00083AA0" w:rsidRDefault="00083AA0"/>
    <w:sectPr w:rsidR="00083A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7E9"/>
    <w:rsid w:val="00083AA0"/>
    <w:rsid w:val="00102D07"/>
    <w:rsid w:val="0063634B"/>
    <w:rsid w:val="009222E2"/>
    <w:rsid w:val="00AF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B4CC5D"/>
  <w15:chartTrackingRefBased/>
  <w15:docId w15:val="{22B1ADBA-1125-D544-A3A5-BC054D68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7E9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n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7E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37E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7E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7E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7E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7E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7E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7E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7E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7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37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7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7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7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7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7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7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7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7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F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7E9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F37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7E9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F37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7E9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F37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7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7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7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Rajender Singh</dc:creator>
  <cp:keywords/>
  <dc:description/>
  <cp:lastModifiedBy>Rajender Singh</cp:lastModifiedBy>
  <cp:revision>1</cp:revision>
  <dcterms:created xsi:type="dcterms:W3CDTF">2026-06-03T16:01:00Z</dcterms:created>
  <dcterms:modified xsi:type="dcterms:W3CDTF">2026-06-03T16:04:00Z</dcterms:modified>
</cp:coreProperties>
</file>