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01E9A">
      <w:pPr>
        <w:spacing w:after="120" w:line="480" w:lineRule="auto"/>
      </w:pPr>
      <w:r>
        <w:rPr>
          <w:rFonts w:ascii="Times New Roman" w:hAnsi="Times New Roman" w:eastAsia="Times New Roman"/>
          <w:b/>
          <w:i w:val="0"/>
          <w:sz w:val="24"/>
        </w:rPr>
        <w:t>Supplementary Figure S1. Crude incidence of self-reported digestive disease by binary childhood health disadvantage status</w:t>
      </w:r>
      <w:r>
        <w:rPr>
          <w:rStyle w:val="5"/>
          <w:rFonts w:hint="eastAsia" w:eastAsia="宋体"/>
          <w:lang w:eastAsia="zh-CN"/>
        </w:rPr>
        <w:drawing>
          <wp:inline distT="0" distB="0" distL="114300" distR="114300">
            <wp:extent cx="6040755" cy="4161155"/>
            <wp:effectExtent l="0" t="0" r="4445" b="4445"/>
            <wp:docPr id="11" name="图片 5" descr="Figure2_event_rate_bi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Figure2_event_rate_binar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E0713">
      <w:pPr>
        <w:spacing w:after="120" w:line="48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Legend. Bars show crude event rates among participants with any childhood health disadvantage and those with none. Error bars represent Wilson 95% confidence intervals.</w:t>
      </w:r>
    </w:p>
    <w:p w14:paraId="6A6691C8">
      <w:pPr>
        <w:spacing w:after="240" w:line="480" w:lineRule="auto"/>
        <w:jc w:val="center"/>
      </w:pPr>
    </w:p>
    <w:p w14:paraId="118A73DD">
      <w:pPr>
        <w:spacing w:after="120" w:line="480" w:lineRule="auto"/>
      </w:pPr>
      <w:r>
        <w:rPr>
          <w:rFonts w:ascii="Times New Roman" w:hAnsi="Times New Roman" w:eastAsia="Times New Roman"/>
          <w:b/>
          <w:i w:val="0"/>
          <w:sz w:val="24"/>
        </w:rPr>
        <w:t>Supplementary Figure S2. Childhood health disadvantage and secondary outcomes</w:t>
      </w:r>
      <w:r>
        <w:rPr>
          <w:rStyle w:val="5"/>
          <w:rFonts w:hint="eastAsia" w:eastAsia="宋体"/>
          <w:lang w:eastAsia="zh-CN"/>
        </w:rPr>
        <w:drawing>
          <wp:inline distT="0" distB="0" distL="114300" distR="114300">
            <wp:extent cx="6043930" cy="3693160"/>
            <wp:effectExtent l="0" t="0" r="1270" b="2540"/>
            <wp:docPr id="12" name="图片 6" descr="Figure6_secondary_RR_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Figure6_secondary_RR_fore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9B4B6">
      <w:pPr>
        <w:spacing w:after="120" w:line="48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Legend. Forest plot showing relative risks and 95% confidence intervals for secondary outcomes comparing any childhood health disadvantage with none.</w:t>
      </w:r>
    </w:p>
    <w:p w14:paraId="699049C1">
      <w:pPr>
        <w:spacing w:after="240" w:line="480" w:lineRule="auto"/>
        <w:jc w:val="center"/>
      </w:pPr>
    </w:p>
    <w:p w14:paraId="3090FC7C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4B0F8A75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097EA8DD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42C67F22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6F5CEB13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6CB7FEB7">
      <w:pPr>
        <w:spacing w:after="120" w:line="480" w:lineRule="auto"/>
        <w:rPr>
          <w:rFonts w:ascii="Times New Roman" w:hAnsi="Times New Roman" w:eastAsia="Times New Roman"/>
          <w:b/>
          <w:i w:val="0"/>
          <w:sz w:val="24"/>
        </w:rPr>
      </w:pPr>
    </w:p>
    <w:p w14:paraId="0DFE59C2">
      <w:pPr>
        <w:pStyle w:val="2"/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rPr>
          <w:rStyle w:val="5"/>
        </w:rPr>
      </w:pPr>
      <w:r>
        <w:rPr>
          <w:rFonts w:ascii="Times New Roman" w:hAnsi="Times New Roman" w:eastAsia="Times New Roman"/>
          <w:b/>
          <w:i w:val="0"/>
          <w:sz w:val="24"/>
        </w:rPr>
        <w:t xml:space="preserve">Supplementary </w:t>
      </w:r>
      <w:bookmarkStart w:id="0" w:name="_GoBack"/>
      <w:bookmarkEnd w:id="0"/>
      <w:r>
        <w:rPr>
          <w:rFonts w:ascii="Times New Roman" w:hAnsi="Times New Roman" w:eastAsia="Times New Roman"/>
          <w:b/>
          <w:i w:val="0"/>
          <w:sz w:val="24"/>
        </w:rPr>
        <w:t xml:space="preserve">Figure S3. </w:t>
      </w:r>
      <w:r>
        <w:rPr>
          <w:rStyle w:val="5"/>
        </w:rPr>
        <w:t>Baseline prevalence of self-reported digestive disease by childhood health disadvantage status</w:t>
      </w:r>
    </w:p>
    <w:p w14:paraId="292CCB85">
      <w:pPr>
        <w:spacing w:after="120" w:line="480" w:lineRule="auto"/>
      </w:pPr>
      <w:r>
        <w:rPr>
          <w:rStyle w:val="5"/>
          <w:rFonts w:hint="eastAsia" w:eastAsia="宋体"/>
          <w:lang w:eastAsia="zh-CN"/>
        </w:rPr>
        <w:drawing>
          <wp:inline distT="0" distB="0" distL="114300" distR="114300">
            <wp:extent cx="6040755" cy="4161155"/>
            <wp:effectExtent l="0" t="0" r="4445" b="4445"/>
            <wp:docPr id="13" name="图片 7" descr="Supplement_baseline_digestive_prevalence_bi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Supplement_baseline_digestive_prevalence_binar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5D40C">
      <w:pPr>
        <w:spacing w:after="120" w:line="480" w:lineRule="auto"/>
      </w:pPr>
      <w:r>
        <w:rPr>
          <w:rFonts w:ascii="Times New Roman" w:hAnsi="Times New Roman" w:eastAsia="Times New Roman"/>
          <w:b w:val="0"/>
          <w:i w:val="0"/>
          <w:sz w:val="24"/>
        </w:rPr>
        <w:t>Legend. Bars show baseline prevalence of self-reported digestive disease in 2015 according to binary childhood health disadvantage status. Error bars represent Wilson 95% confidence intervals.</w:t>
      </w:r>
    </w:p>
    <w:p w14:paraId="68A8A8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C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2026-06-11T13:30:53Z</dcterms:created>
  <dc:creator>29560</dc:creator>
  <cp:lastModifiedBy>王浩</cp:lastModifiedBy>
  <dcterms:modified xsi:type="dcterms:W3CDTF">2026-06-11T13:33:11Z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eyJoZGlkIjoiYmUyZGJlNjRlNjQyOTU3NDJlZWI2N2Q3OGY2MGRkZmIiLCJ1c2VySWQiOiIxNzk1MDQzOTU2In0=</vt:lpwstr>
  </property>
  <property fmtid="{D5CDD505-2E9C-101B-9397-08002B2CF9AE}" pid="4" name="ICV">
    <vt:lpwstr>6751ECBB633B40AD9647AE8B04DB2FA1_12</vt:lpwstr>
  </property>
</Properties>
</file>