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A56" w:rsidRPr="00330EC0" w:rsidRDefault="0056379E" w:rsidP="0056379E">
      <w:pPr>
        <w:rPr>
          <w:rFonts w:ascii="Times New Roman" w:hAnsi="Times New Roman" w:cs="Times New Roman"/>
          <w:b/>
        </w:rPr>
      </w:pPr>
      <w:r w:rsidRPr="00330EC0">
        <w:rPr>
          <w:rFonts w:ascii="Times New Roman" w:hAnsi="Times New Roman" w:cs="Times New Roman"/>
          <w:b/>
        </w:rPr>
        <w:t>Supplementary material</w:t>
      </w:r>
    </w:p>
    <w:p w:rsidR="00E94FA0" w:rsidRPr="00E94FA0" w:rsidRDefault="00E94FA0" w:rsidP="00E94FA0">
      <w:pPr>
        <w:pStyle w:val="StandardWeb"/>
        <w:spacing w:before="0" w:beforeAutospacing="0" w:after="0" w:afterAutospacing="0"/>
        <w:rPr>
          <w:rFonts w:ascii="Times New Roman" w:hAnsi="Times New Roman" w:cs="Times New Roman"/>
          <w:color w:val="000000" w:themeColor="text1"/>
          <w:sz w:val="21"/>
          <w:szCs w:val="21"/>
        </w:rPr>
      </w:pPr>
      <w:r w:rsidRPr="00F85A00">
        <w:rPr>
          <w:rFonts w:ascii="Times New Roman" w:hAnsi="Times New Roman" w:cs="Times New Roman"/>
          <w:color w:val="000000" w:themeColor="text1"/>
          <w:sz w:val="21"/>
          <w:szCs w:val="21"/>
        </w:rPr>
        <w:t xml:space="preserve">Exposure refers to the </w:t>
      </w:r>
      <w:r>
        <w:rPr>
          <w:rFonts w:ascii="Times New Roman" w:hAnsi="Times New Roman" w:cs="Times New Roman"/>
          <w:color w:val="000000" w:themeColor="text1"/>
          <w:sz w:val="21"/>
          <w:szCs w:val="21"/>
        </w:rPr>
        <w:t>climate</w:t>
      </w:r>
      <w:r w:rsidRPr="00F85A00">
        <w:rPr>
          <w:rFonts w:ascii="Times New Roman" w:hAnsi="Times New Roman" w:cs="Times New Roman"/>
          <w:color w:val="000000" w:themeColor="text1"/>
          <w:sz w:val="21"/>
          <w:szCs w:val="21"/>
        </w:rPr>
        <w:t xml:space="preserve"> pressures that shape the operational environment of tourism systems. Its effects are not assumed to be uniformly negative; rather, they vary across development and climate-risk regimes depending on governance capacity, resource utilization, and adaptive investment. Sensitivity captures the extent to which tourism-dependent populations, livelihoods, and economic structures are affected by climatic disturbances. It reflects the degree of structural dependence that amplifies vulnerability under climate stress. Adaptive capacity denotes the system’s ability to absorb, manage, and respond to climate impacts through infrastructure, public services, organizational resources, and institutional capability. Readiness refers to the forward-looking governance, planning, and investment conditions that enable proactive adaptation and timely resource mobilization</w:t>
      </w:r>
      <w:r>
        <w:rPr>
          <w:rFonts w:ascii="Times New Roman" w:hAnsi="Times New Roman" w:cs="Times New Roman" w:hint="eastAsia"/>
          <w:color w:val="000000" w:themeColor="text1"/>
          <w:sz w:val="21"/>
          <w:szCs w:val="21"/>
        </w:rPr>
        <w:t xml:space="preserve"> </w:t>
      </w:r>
      <w:r>
        <w:rPr>
          <w:rFonts w:ascii="Times New Roman" w:hAnsi="Times New Roman" w:cs="Times New Roman"/>
          <w:color w:val="000000" w:themeColor="text1"/>
          <w:sz w:val="21"/>
          <w:szCs w:val="21"/>
        </w:rPr>
        <w:fldChar w:fldCharType="begin"/>
      </w:r>
      <w:r>
        <w:rPr>
          <w:rFonts w:ascii="Times New Roman" w:hAnsi="Times New Roman" w:cs="Times New Roman"/>
          <w:color w:val="000000" w:themeColor="text1"/>
          <w:sz w:val="21"/>
          <w:szCs w:val="21"/>
        </w:rPr>
        <w:instrText xml:space="preserve"> ADDIN ZOTERO_ITEM CSL_CITATION {"citationID":"lD2kuLT5","properties":{"formattedCitation":"(Dogru et al., 2019; Garschagen et al., 2021)","plainCitation":"(Dogru et al., 2019; Garschagen et al., 2021)","noteIndex":0},"citationItems":[{"id":10,"uris":["http://zotero.org/users/local/VUQkcUtB/items/NF9EKUB9"],"itemData":{"id":10,"type":"article-journal","abstract":"Fluctuating and extreme weather patterns are acute indicators of climate change and these patterns modify tourist activities. The tourism industry is thus considered highly vulnerable to climate change. However, the effects of climate change on tourism have not yet been extensively quantified. Furthermore, the extent to which tourism is vulnerable or resilient to climate change has not been compared to other sectors of the economy. This study examines the extent to which vulnerability and resilience to climate change affect tourism and the overall economy. The results indicate the effects of vulnerability are much greater than those of resilience. The tourism industry is more vulnerable, yet more resilient, to climate change compared to the overall economy. The strength of these effects varies across countries with different income levels: countries with the lowest income levels are more vulnerable and less resilient, and those with the highest income are the least vulnerable and most resilient.","container-title":"Tourism Management","DOI":"10.1016/j.tourman.2018.12.010","ISSN":"02615177","journalAbbreviation":"Tourism Management","language":"en","page":"292-305","source":"DOI.org (Crossref)","title":"Climate change: Vulnerability and resilience of tourism and the entire economy","title-short":"Climate change","volume":"72","author":[{"family":"Dogru","given":"Tarik"},{"family":"Marchio","given":"Elizabeth A."},{"family":"Bulut","given":"Umit"},{"family":"Suess","given":"Courtney"}],"issued":{"date-parts":[["2019",6]]}}},{"id":334,"uris":["http://zotero.org/users/local/VUQkcUtB/items/HUSIPKIT"],"itemData":{"id":334,"type":"article-journal","abstract":"Indices assessing country-level climate and disaster risk at the global scale have experienced a steep rise in popularity both in science and international climate policy. A number of widely cited products have been developed and published over the recent years, argued to contribute critical knowledge for prioritizing action and funding. However, it remains unclear how their results compare, and how consistent their findings are on country-level risk, exposure, vulnerability and lack of coping, as well as adaptive capacity. This paper analyses and compares the design, data, and results of four of the leading global climate and disaster risk indices: The World Risk Index, the INFORM Risk Index, ND-GAIN Index, and the Climate Risk Index. Our analysis clearly shows that there is considerable degree of cross-index variation regarding countries’ risk levels and comparative ranks. At the same time, there is above-average agreement for high-risk countries. In terms of risk sub-components, there is surprisingly little agreement in the results on hazard exposure, while strong inter-index correlations can be observed when ranking countries according to their socio-economic vulnerability and lack of coping as well as adaptive capacity. Vulnerability and capacity hotspots can hence be identified more robustly than risk and exposure hotspots. Our findings speak both to the potential as well as limitations of indexbased approaches. They show that a solid understanding of index-based assessment tools, and their conceptual and methodological underpinnings, is necessary to navigate them properly and interpret as well as use their results in triangulation.","container-title":"Climatic Change","DOI":"10.1007/s10584-021-03209-7","ISSN":"0165-0009, 1573-1480","issue":"1-2","journalAbbreviation":"Climatic Change","language":"en","page":"11","source":"DOI.org (Crossref)","title":"Global patterns of disaster and climate risk—an analysis of the consistency of leading index-based assessments and their results","volume":"169","author":[{"family":"Garschagen","given":"Matthias"},{"family":"Doshi","given":"Deepal"},{"family":"Reith","given":"Jonathan"},{"family":"Hagenlocher","given":"Michael"}],"issued":{"date-parts":[["2021",11]]}}}],"schema":"https://github.com/citation-style-language/schema/raw/master/csl-citation.json"} </w:instrText>
      </w:r>
      <w:r>
        <w:rPr>
          <w:rFonts w:ascii="Times New Roman" w:hAnsi="Times New Roman" w:cs="Times New Roman"/>
          <w:color w:val="000000" w:themeColor="text1"/>
          <w:sz w:val="21"/>
          <w:szCs w:val="21"/>
        </w:rPr>
        <w:fldChar w:fldCharType="separate"/>
      </w:r>
      <w:r w:rsidRPr="007D44B9">
        <w:rPr>
          <w:rFonts w:ascii="Times New Roman" w:hAnsi="Times New Roman" w:cs="Times New Roman"/>
          <w:sz w:val="21"/>
        </w:rPr>
        <w:t>(Dogru et al., 2019; Garschagen et al., 2021)</w:t>
      </w:r>
      <w:r>
        <w:rPr>
          <w:rFonts w:ascii="Times New Roman" w:hAnsi="Times New Roman" w:cs="Times New Roman"/>
          <w:color w:val="000000" w:themeColor="text1"/>
          <w:sz w:val="21"/>
          <w:szCs w:val="21"/>
        </w:rPr>
        <w:fldChar w:fldCharType="end"/>
      </w:r>
      <w:r w:rsidRPr="00F85A00">
        <w:rPr>
          <w:rFonts w:ascii="Times New Roman" w:hAnsi="Times New Roman" w:cs="Times New Roman"/>
          <w:color w:val="000000" w:themeColor="text1"/>
          <w:sz w:val="21"/>
          <w:szCs w:val="21"/>
        </w:rPr>
        <w:t>, especially under elevated climate risk. Hazard refers to the occurrence and intensity of potentially damaging climate events that can</w:t>
      </w:r>
      <w:r>
        <w:rPr>
          <w:rFonts w:ascii="Times New Roman" w:hAnsi="Times New Roman" w:cs="Times New Roman"/>
          <w:color w:val="000000" w:themeColor="text1"/>
          <w:sz w:val="21"/>
          <w:szCs w:val="21"/>
        </w:rPr>
        <w:t xml:space="preserve"> trigger disruptions </w:t>
      </w:r>
      <w:r w:rsidRPr="00F85A00">
        <w:rPr>
          <w:rFonts w:ascii="Times New Roman" w:hAnsi="Times New Roman" w:cs="Times New Roman"/>
          <w:color w:val="000000" w:themeColor="text1"/>
          <w:sz w:val="21"/>
          <w:szCs w:val="21"/>
        </w:rPr>
        <w:t>and amplify nonlinear re</w:t>
      </w:r>
      <w:r>
        <w:rPr>
          <w:rFonts w:ascii="Times New Roman" w:hAnsi="Times New Roman" w:cs="Times New Roman"/>
          <w:color w:val="000000" w:themeColor="text1"/>
          <w:sz w:val="21"/>
          <w:szCs w:val="21"/>
        </w:rPr>
        <w:t>sponses within tourism systems.</w:t>
      </w:r>
    </w:p>
    <w:p w:rsidR="0056379E" w:rsidRPr="008C2395" w:rsidRDefault="0056379E" w:rsidP="0056379E">
      <w:pPr>
        <w:pStyle w:val="StandardWeb"/>
        <w:spacing w:before="0" w:beforeAutospacing="0" w:after="0" w:afterAutospacing="0"/>
        <w:jc w:val="cente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Table 1 </w:t>
      </w:r>
      <w:r w:rsidRPr="00FA355D">
        <w:rPr>
          <w:rFonts w:ascii="Times New Roman" w:hAnsi="Times New Roman" w:cs="Times New Roman"/>
          <w:color w:val="000000" w:themeColor="text1"/>
          <w:sz w:val="21"/>
          <w:szCs w:val="21"/>
        </w:rPr>
        <w:t>Vulnerability and Resilience</w:t>
      </w:r>
      <w:r>
        <w:rPr>
          <w:rFonts w:ascii="Times New Roman" w:hAnsi="Times New Roman" w:cs="Times New Roman"/>
          <w:color w:val="000000" w:themeColor="text1"/>
          <w:sz w:val="21"/>
          <w:szCs w:val="21"/>
        </w:rPr>
        <w:t xml:space="preserve"> </w:t>
      </w:r>
      <w:r w:rsidRPr="00FA355D">
        <w:rPr>
          <w:rFonts w:ascii="Times New Roman" w:hAnsi="Times New Roman" w:cs="Times New Roman"/>
          <w:color w:val="000000" w:themeColor="text1"/>
          <w:sz w:val="21"/>
          <w:szCs w:val="21"/>
        </w:rPr>
        <w:t>Assessment</w:t>
      </w:r>
      <w:r>
        <w:rPr>
          <w:rFonts w:ascii="Times New Roman" w:hAnsi="Times New Roman" w:cs="Times New Roman" w:hint="eastAsia"/>
          <w:color w:val="000000" w:themeColor="text1"/>
          <w:sz w:val="21"/>
          <w:szCs w:val="21"/>
        </w:rPr>
        <w:t xml:space="preserve"> o</w:t>
      </w:r>
      <w:r>
        <w:rPr>
          <w:rFonts w:ascii="Times New Roman" w:hAnsi="Times New Roman" w:cs="Times New Roman"/>
          <w:color w:val="000000" w:themeColor="text1"/>
          <w:sz w:val="21"/>
          <w:szCs w:val="21"/>
        </w:rPr>
        <w:t>f Tourism</w:t>
      </w:r>
      <w:r w:rsidRPr="00FA355D">
        <w:rPr>
          <w:rFonts w:ascii="Times New Roman" w:hAnsi="Times New Roman" w:cs="Times New Roman"/>
          <w:color w:val="000000" w:themeColor="text1"/>
          <w:sz w:val="21"/>
          <w:szCs w:val="21"/>
        </w:rPr>
        <w:t xml:space="preserve"> </w:t>
      </w:r>
    </w:p>
    <w:tbl>
      <w:tblPr>
        <w:tblW w:w="0" w:type="auto"/>
        <w:tblLayout w:type="fixed"/>
        <w:tblLook w:val="04A0" w:firstRow="1" w:lastRow="0" w:firstColumn="1" w:lastColumn="0" w:noHBand="0" w:noVBand="1"/>
      </w:tblPr>
      <w:tblGrid>
        <w:gridCol w:w="1080"/>
        <w:gridCol w:w="1530"/>
        <w:gridCol w:w="1643"/>
        <w:gridCol w:w="4053"/>
      </w:tblGrid>
      <w:tr w:rsidR="0056379E" w:rsidRPr="00EF3631" w:rsidTr="0056379E">
        <w:trPr>
          <w:trHeight w:val="428"/>
        </w:trPr>
        <w:tc>
          <w:tcPr>
            <w:tcW w:w="1080" w:type="dxa"/>
            <w:tcBorders>
              <w:top w:val="single" w:sz="4" w:space="0" w:color="auto"/>
              <w:left w:val="nil"/>
              <w:bottom w:val="single" w:sz="4" w:space="0" w:color="auto"/>
              <w:right w:val="nil"/>
            </w:tcBorders>
            <w:vAlign w:val="center"/>
            <w:hideMark/>
          </w:tcPr>
          <w:p w:rsidR="0056379E" w:rsidRPr="00EF3631" w:rsidRDefault="0056379E" w:rsidP="0056379E">
            <w:pPr>
              <w:snapToGrid w:val="0"/>
              <w:spacing w:line="240" w:lineRule="exact"/>
              <w:jc w:val="center"/>
              <w:rPr>
                <w:rFonts w:ascii="Times New Roman" w:eastAsia="宋体" w:hAnsi="Times New Roman" w:cs="Times New Roman"/>
                <w:b/>
                <w:bCs/>
                <w:color w:val="000000" w:themeColor="text1"/>
                <w:sz w:val="15"/>
                <w:szCs w:val="11"/>
              </w:rPr>
            </w:pPr>
            <w:r>
              <w:rPr>
                <w:rFonts w:ascii="Times New Roman" w:eastAsia="宋体" w:hAnsi="Times New Roman" w:cs="Times New Roman" w:hint="eastAsia"/>
                <w:b/>
                <w:bCs/>
                <w:color w:val="000000" w:themeColor="text1"/>
                <w:sz w:val="15"/>
                <w:szCs w:val="11"/>
              </w:rPr>
              <w:t>S</w:t>
            </w:r>
            <w:r>
              <w:rPr>
                <w:rFonts w:ascii="Times New Roman" w:eastAsia="宋体" w:hAnsi="Times New Roman" w:cs="Times New Roman"/>
                <w:b/>
                <w:bCs/>
                <w:color w:val="000000" w:themeColor="text1"/>
                <w:sz w:val="15"/>
                <w:szCs w:val="11"/>
              </w:rPr>
              <w:t>ub-index</w:t>
            </w:r>
            <w:r w:rsidRPr="00EF3631">
              <w:rPr>
                <w:rFonts w:ascii="Times New Roman" w:eastAsia="宋体" w:hAnsi="Times New Roman" w:cs="Times New Roman"/>
                <w:b/>
                <w:bCs/>
                <w:color w:val="000000" w:themeColor="text1"/>
                <w:sz w:val="15"/>
                <w:szCs w:val="11"/>
              </w:rPr>
              <w:t xml:space="preserve">　</w:t>
            </w:r>
          </w:p>
        </w:tc>
        <w:tc>
          <w:tcPr>
            <w:tcW w:w="3173" w:type="dxa"/>
            <w:gridSpan w:val="2"/>
            <w:tcBorders>
              <w:top w:val="single" w:sz="4" w:space="0" w:color="auto"/>
              <w:left w:val="nil"/>
              <w:bottom w:val="single" w:sz="4" w:space="0" w:color="auto"/>
              <w:right w:val="nil"/>
            </w:tcBorders>
            <w:vAlign w:val="center"/>
            <w:hideMark/>
          </w:tcPr>
          <w:p w:rsidR="0056379E" w:rsidRPr="00EF3631" w:rsidRDefault="0056379E" w:rsidP="0056379E">
            <w:pPr>
              <w:snapToGrid w:val="0"/>
              <w:spacing w:line="240" w:lineRule="exact"/>
              <w:jc w:val="center"/>
              <w:rPr>
                <w:rFonts w:ascii="Times New Roman" w:eastAsia="宋体" w:hAnsi="Times New Roman" w:cs="Times New Roman"/>
                <w:b/>
                <w:bCs/>
                <w:color w:val="000000" w:themeColor="text1"/>
                <w:sz w:val="15"/>
                <w:szCs w:val="11"/>
              </w:rPr>
            </w:pPr>
            <w:r>
              <w:rPr>
                <w:rFonts w:ascii="Times New Roman" w:eastAsia="宋体" w:hAnsi="Times New Roman" w:cs="Times New Roman"/>
                <w:b/>
                <w:bCs/>
                <w:color w:val="000000" w:themeColor="text1"/>
                <w:sz w:val="15"/>
                <w:szCs w:val="11"/>
              </w:rPr>
              <w:t>Sector</w:t>
            </w:r>
          </w:p>
        </w:tc>
        <w:tc>
          <w:tcPr>
            <w:tcW w:w="4053" w:type="dxa"/>
            <w:tcBorders>
              <w:top w:val="single" w:sz="4" w:space="0" w:color="auto"/>
              <w:left w:val="nil"/>
              <w:bottom w:val="single" w:sz="4" w:space="0" w:color="auto"/>
              <w:right w:val="nil"/>
            </w:tcBorders>
            <w:vAlign w:val="center"/>
            <w:hideMark/>
          </w:tcPr>
          <w:p w:rsidR="0056379E" w:rsidRPr="00EF3631" w:rsidRDefault="0056379E" w:rsidP="0056379E">
            <w:pPr>
              <w:snapToGrid w:val="0"/>
              <w:spacing w:line="240" w:lineRule="exact"/>
              <w:jc w:val="center"/>
              <w:rPr>
                <w:rFonts w:ascii="Times New Roman" w:eastAsia="宋体" w:hAnsi="Times New Roman" w:cs="Times New Roman"/>
                <w:b/>
                <w:bCs/>
                <w:color w:val="000000" w:themeColor="text1"/>
                <w:sz w:val="15"/>
                <w:szCs w:val="11"/>
              </w:rPr>
            </w:pPr>
            <w:r w:rsidRPr="00EF3631">
              <w:rPr>
                <w:rFonts w:ascii="Times New Roman" w:eastAsia="宋体" w:hAnsi="Times New Roman" w:cs="Times New Roman"/>
                <w:b/>
                <w:bCs/>
                <w:color w:val="000000" w:themeColor="text1"/>
                <w:sz w:val="15"/>
                <w:szCs w:val="11"/>
              </w:rPr>
              <w:t>Description</w:t>
            </w:r>
          </w:p>
        </w:tc>
      </w:tr>
      <w:tr w:rsidR="0056379E" w:rsidRPr="00EF3631" w:rsidTr="0056379E">
        <w:trPr>
          <w:trHeight w:val="555"/>
        </w:trPr>
        <w:tc>
          <w:tcPr>
            <w:tcW w:w="1080" w:type="dxa"/>
            <w:vMerge w:val="restart"/>
            <w:tcBorders>
              <w:top w:val="single" w:sz="4" w:space="0" w:color="auto"/>
              <w:left w:val="nil"/>
              <w:bottom w:val="single" w:sz="4" w:space="0" w:color="auto"/>
              <w:right w:val="nil"/>
            </w:tcBorders>
            <w:vAlign w:val="center"/>
            <w:hideMark/>
          </w:tcPr>
          <w:p w:rsidR="0056379E" w:rsidRPr="00EF3631" w:rsidRDefault="0056379E" w:rsidP="0056379E">
            <w:pPr>
              <w:snapToGrid w:val="0"/>
              <w:spacing w:line="240" w:lineRule="exact"/>
              <w:jc w:val="center"/>
              <w:rPr>
                <w:rFonts w:ascii="Times New Roman" w:eastAsia="宋体" w:hAnsi="Times New Roman" w:cs="Times New Roman"/>
                <w:b/>
                <w:bCs/>
                <w:color w:val="000000" w:themeColor="text1"/>
                <w:sz w:val="15"/>
                <w:szCs w:val="11"/>
              </w:rPr>
            </w:pPr>
            <w:r w:rsidRPr="00EF3631">
              <w:rPr>
                <w:rFonts w:ascii="Times New Roman" w:eastAsia="宋体" w:hAnsi="Times New Roman" w:cs="Times New Roman"/>
                <w:b/>
                <w:bCs/>
                <w:color w:val="000000" w:themeColor="text1"/>
                <w:sz w:val="15"/>
                <w:szCs w:val="11"/>
              </w:rPr>
              <w:t>Exposure</w:t>
            </w:r>
          </w:p>
        </w:tc>
        <w:tc>
          <w:tcPr>
            <w:tcW w:w="1530" w:type="dxa"/>
            <w:vMerge w:val="restart"/>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Observed changes in c</w:t>
            </w:r>
            <w:r w:rsidRPr="00EF3631">
              <w:rPr>
                <w:rFonts w:ascii="Times New Roman" w:eastAsia="宋体" w:hAnsi="Times New Roman" w:cs="Times New Roman"/>
                <w:color w:val="000000" w:themeColor="text1"/>
                <w:sz w:val="15"/>
                <w:szCs w:val="11"/>
              </w:rPr>
              <w:t>limat</w:t>
            </w:r>
            <w:r>
              <w:rPr>
                <w:rFonts w:ascii="Times New Roman" w:eastAsia="宋体" w:hAnsi="Times New Roman" w:cs="Times New Roman"/>
                <w:color w:val="000000" w:themeColor="text1"/>
                <w:sz w:val="15"/>
                <w:szCs w:val="11"/>
              </w:rPr>
              <w:t>e</w:t>
            </w:r>
            <w:r w:rsidRPr="00EF3631">
              <w:rPr>
                <w:rFonts w:ascii="Times New Roman" w:eastAsia="宋体" w:hAnsi="Times New Roman" w:cs="Times New Roman"/>
                <w:color w:val="000000" w:themeColor="text1"/>
                <w:sz w:val="15"/>
                <w:szCs w:val="11"/>
              </w:rPr>
              <w:t xml:space="preserve"> condition</w:t>
            </w:r>
          </w:p>
        </w:tc>
        <w:tc>
          <w:tcPr>
            <w:tcW w:w="1643"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Percentage change in total precipitation</w:t>
            </w:r>
          </w:p>
        </w:tc>
        <w:tc>
          <w:tcPr>
            <w:tcW w:w="4053" w:type="dxa"/>
            <w:vMerge w:val="restart"/>
            <w:tcBorders>
              <w:top w:val="single" w:sz="4" w:space="0" w:color="auto"/>
              <w:left w:val="nil"/>
              <w:right w:val="nil"/>
            </w:tcBorders>
            <w:vAlign w:val="center"/>
            <w:hideMark/>
          </w:tcPr>
          <w:p w:rsidR="0056379E" w:rsidRPr="00EF3631" w:rsidRDefault="0056379E" w:rsidP="0001437F">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 xml:space="preserve">An indication in observed climate elements (such as </w:t>
            </w:r>
            <w:proofErr w:type="spellStart"/>
            <w:r w:rsidR="0001437F">
              <w:rPr>
                <w:rFonts w:ascii="Times New Roman" w:eastAsia="宋体" w:hAnsi="Times New Roman" w:cs="Times New Roman"/>
                <w:color w:val="000000" w:themeColor="text1"/>
                <w:sz w:val="15"/>
                <w:szCs w:val="11"/>
              </w:rPr>
              <w:t>utci</w:t>
            </w:r>
            <w:proofErr w:type="spellEnd"/>
            <w:r>
              <w:rPr>
                <w:rFonts w:ascii="Times New Roman" w:eastAsia="宋体" w:hAnsi="Times New Roman" w:cs="Times New Roman"/>
                <w:color w:val="000000" w:themeColor="text1"/>
                <w:sz w:val="15"/>
                <w:szCs w:val="11"/>
              </w:rPr>
              <w:t xml:space="preserve">, total precipitation, wind speed, </w:t>
            </w:r>
            <w:proofErr w:type="spellStart"/>
            <w:r>
              <w:rPr>
                <w:rFonts w:ascii="Times New Roman" w:eastAsia="宋体" w:hAnsi="Times New Roman" w:cs="Times New Roman"/>
                <w:color w:val="000000" w:themeColor="text1"/>
                <w:sz w:val="15"/>
                <w:szCs w:val="11"/>
              </w:rPr>
              <w:t>etc</w:t>
            </w:r>
            <w:proofErr w:type="spellEnd"/>
            <w:r>
              <w:rPr>
                <w:rFonts w:ascii="Times New Roman" w:eastAsia="宋体" w:hAnsi="Times New Roman" w:cs="Times New Roman"/>
                <w:color w:val="000000" w:themeColor="text1"/>
                <w:sz w:val="15"/>
                <w:szCs w:val="11"/>
              </w:rPr>
              <w:t>)</w:t>
            </w:r>
            <w:r w:rsidRPr="00EF3631">
              <w:rPr>
                <w:rFonts w:ascii="Times New Roman" w:eastAsia="宋体" w:hAnsi="Times New Roman" w:cs="Times New Roman"/>
                <w:color w:val="000000" w:themeColor="text1"/>
                <w:sz w:val="15"/>
                <w:szCs w:val="11"/>
              </w:rPr>
              <w:t xml:space="preserve"> experienced by a specific region over a certain period of time, especially the degree of deviat</w:t>
            </w:r>
            <w:r>
              <w:rPr>
                <w:rFonts w:ascii="Times New Roman" w:eastAsia="宋体" w:hAnsi="Times New Roman" w:cs="Times New Roman"/>
                <w:color w:val="000000" w:themeColor="text1"/>
                <w:sz w:val="15"/>
                <w:szCs w:val="11"/>
              </w:rPr>
              <w:t>ion from the ba</w:t>
            </w:r>
            <w:bookmarkStart w:id="0" w:name="_GoBack"/>
            <w:bookmarkEnd w:id="0"/>
            <w:r>
              <w:rPr>
                <w:rFonts w:ascii="Times New Roman" w:eastAsia="宋体" w:hAnsi="Times New Roman" w:cs="Times New Roman"/>
                <w:color w:val="000000" w:themeColor="text1"/>
                <w:sz w:val="15"/>
                <w:szCs w:val="11"/>
              </w:rPr>
              <w:t>sic-period average.</w:t>
            </w:r>
            <w:r w:rsidRPr="00EF3631">
              <w:rPr>
                <w:rFonts w:ascii="Times New Roman" w:eastAsia="宋体" w:hAnsi="Times New Roman" w:cs="Times New Roman"/>
                <w:color w:val="000000" w:themeColor="text1"/>
                <w:sz w:val="15"/>
                <w:szCs w:val="11"/>
              </w:rPr>
              <w:t xml:space="preserve"> </w:t>
            </w:r>
          </w:p>
        </w:tc>
      </w:tr>
      <w:tr w:rsidR="0056379E" w:rsidRPr="00EF3631" w:rsidTr="0056379E">
        <w:trPr>
          <w:trHeight w:val="72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M</w:t>
            </w:r>
            <w:r w:rsidRPr="00EF3631">
              <w:rPr>
                <w:rFonts w:ascii="Times New Roman" w:eastAsia="宋体" w:hAnsi="Times New Roman" w:cs="Times New Roman"/>
                <w:color w:val="000000" w:themeColor="text1"/>
                <w:sz w:val="15"/>
                <w:szCs w:val="11"/>
              </w:rPr>
              <w:t>onthly maximum c</w:t>
            </w:r>
            <w:r>
              <w:rPr>
                <w:rFonts w:ascii="Times New Roman" w:eastAsia="宋体" w:hAnsi="Times New Roman" w:cs="Times New Roman"/>
                <w:color w:val="000000" w:themeColor="text1"/>
                <w:sz w:val="15"/>
                <w:szCs w:val="11"/>
              </w:rPr>
              <w:t>onsecutive 5-day precipitation</w:t>
            </w:r>
          </w:p>
        </w:tc>
        <w:tc>
          <w:tcPr>
            <w:tcW w:w="4053" w:type="dxa"/>
            <w:vMerge/>
            <w:tcBorders>
              <w:left w:val="nil"/>
              <w:right w:val="nil"/>
            </w:tcBorders>
            <w:noWrap/>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555"/>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Thermal comfort</w:t>
            </w:r>
          </w:p>
        </w:tc>
        <w:tc>
          <w:tcPr>
            <w:tcW w:w="4053" w:type="dxa"/>
            <w:vMerge/>
            <w:tcBorders>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val="restart"/>
            <w:tcBorders>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Number of e</w:t>
            </w:r>
            <w:r w:rsidRPr="00EF3631">
              <w:rPr>
                <w:rFonts w:ascii="Times New Roman" w:eastAsia="宋体" w:hAnsi="Times New Roman" w:cs="Times New Roman"/>
                <w:color w:val="000000" w:themeColor="text1"/>
                <w:sz w:val="15"/>
                <w:szCs w:val="11"/>
              </w:rPr>
              <w:t>xtreme events</w:t>
            </w:r>
          </w:p>
        </w:tc>
        <w:tc>
          <w:tcPr>
            <w:tcW w:w="1643" w:type="dxa"/>
            <w:tcBorders>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Heavy</w:t>
            </w:r>
            <w:r w:rsidRPr="00EF3631">
              <w:rPr>
                <w:rFonts w:ascii="Times New Roman" w:eastAsia="宋体" w:hAnsi="Times New Roman" w:cs="Times New Roman"/>
                <w:color w:val="000000" w:themeColor="text1"/>
                <w:sz w:val="15"/>
                <w:szCs w:val="11"/>
              </w:rPr>
              <w:t xml:space="preserve"> </w:t>
            </w:r>
            <w:r>
              <w:rPr>
                <w:rFonts w:ascii="Times New Roman" w:eastAsia="宋体" w:hAnsi="Times New Roman" w:cs="Times New Roman"/>
                <w:color w:val="000000" w:themeColor="text1"/>
                <w:sz w:val="15"/>
                <w:szCs w:val="11"/>
              </w:rPr>
              <w:t>p</w:t>
            </w:r>
            <w:r w:rsidRPr="00EF3631">
              <w:rPr>
                <w:rFonts w:ascii="Times New Roman" w:eastAsia="宋体" w:hAnsi="Times New Roman" w:cs="Times New Roman"/>
                <w:color w:val="000000" w:themeColor="text1"/>
                <w:sz w:val="15"/>
                <w:szCs w:val="11"/>
              </w:rPr>
              <w:t>recipitation</w:t>
            </w:r>
          </w:p>
        </w:tc>
        <w:tc>
          <w:tcPr>
            <w:tcW w:w="4053" w:type="dxa"/>
            <w:vMerge w:val="restart"/>
            <w:tcBorders>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The number of extreme climate or environmental events that occurred in a region during a specific period</w:t>
            </w:r>
            <w:r>
              <w:rPr>
                <w:rFonts w:ascii="Times New Roman" w:eastAsia="宋体" w:hAnsi="Times New Roman" w:cs="Times New Roman"/>
                <w:color w:val="000000" w:themeColor="text1"/>
                <w:sz w:val="15"/>
                <w:szCs w:val="11"/>
              </w:rPr>
              <w:t>.</w:t>
            </w:r>
          </w:p>
        </w:tc>
      </w:tr>
      <w:tr w:rsidR="0056379E" w:rsidRPr="00EF3631" w:rsidTr="0056379E">
        <w:trPr>
          <w:trHeight w:val="36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 xml:space="preserve">Strong </w:t>
            </w:r>
            <w:r>
              <w:rPr>
                <w:rFonts w:ascii="Times New Roman" w:eastAsia="宋体" w:hAnsi="Times New Roman" w:cs="Times New Roman"/>
                <w:color w:val="000000" w:themeColor="text1"/>
                <w:sz w:val="15"/>
                <w:szCs w:val="11"/>
              </w:rPr>
              <w:t>w</w:t>
            </w:r>
            <w:r w:rsidRPr="00EF3631">
              <w:rPr>
                <w:rFonts w:ascii="Times New Roman" w:eastAsia="宋体" w:hAnsi="Times New Roman" w:cs="Times New Roman"/>
                <w:color w:val="000000" w:themeColor="text1"/>
                <w:sz w:val="15"/>
                <w:szCs w:val="11"/>
              </w:rPr>
              <w:t>ind</w:t>
            </w:r>
          </w:p>
        </w:tc>
        <w:tc>
          <w:tcPr>
            <w:tcW w:w="4053"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Uncomfortable days</w:t>
            </w:r>
          </w:p>
        </w:tc>
        <w:tc>
          <w:tcPr>
            <w:tcW w:w="4053" w:type="dxa"/>
            <w:vMerge/>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45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val="restart"/>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hint="eastAsia"/>
                <w:color w:val="000000" w:themeColor="text1"/>
                <w:sz w:val="15"/>
                <w:szCs w:val="11"/>
              </w:rPr>
              <w:t>Anomaly</w:t>
            </w:r>
            <w:r>
              <w:rPr>
                <w:rFonts w:ascii="Times New Roman" w:eastAsia="宋体" w:hAnsi="Times New Roman" w:cs="Times New Roman"/>
                <w:color w:val="000000" w:themeColor="text1"/>
                <w:sz w:val="15"/>
                <w:szCs w:val="11"/>
              </w:rPr>
              <w:t xml:space="preserve"> </w:t>
            </w:r>
            <w:r w:rsidRPr="00EF3631">
              <w:rPr>
                <w:rFonts w:ascii="Times New Roman" w:eastAsia="宋体" w:hAnsi="Times New Roman" w:cs="Times New Roman"/>
                <w:color w:val="000000" w:themeColor="text1"/>
                <w:sz w:val="15"/>
                <w:szCs w:val="11"/>
              </w:rPr>
              <w:t xml:space="preserve">in </w:t>
            </w:r>
            <w:r>
              <w:rPr>
                <w:rFonts w:ascii="Times New Roman" w:eastAsia="宋体" w:hAnsi="Times New Roman" w:cs="Times New Roman"/>
                <w:color w:val="000000" w:themeColor="text1"/>
                <w:sz w:val="15"/>
                <w:szCs w:val="11"/>
              </w:rPr>
              <w:t>c</w:t>
            </w:r>
            <w:r w:rsidRPr="00EF3631">
              <w:rPr>
                <w:rFonts w:ascii="Times New Roman" w:eastAsia="宋体" w:hAnsi="Times New Roman" w:cs="Times New Roman"/>
                <w:color w:val="000000" w:themeColor="text1"/>
                <w:sz w:val="15"/>
                <w:szCs w:val="11"/>
              </w:rPr>
              <w:t>limatic condition</w:t>
            </w: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Heavy</w:t>
            </w:r>
            <w:r w:rsidRPr="00EF3631">
              <w:rPr>
                <w:rFonts w:ascii="Times New Roman" w:eastAsia="宋体" w:hAnsi="Times New Roman" w:cs="Times New Roman"/>
                <w:color w:val="000000" w:themeColor="text1"/>
                <w:sz w:val="15"/>
                <w:szCs w:val="11"/>
              </w:rPr>
              <w:t xml:space="preserve"> </w:t>
            </w:r>
            <w:r>
              <w:rPr>
                <w:rFonts w:ascii="Times New Roman" w:eastAsia="宋体" w:hAnsi="Times New Roman" w:cs="Times New Roman"/>
                <w:color w:val="000000" w:themeColor="text1"/>
                <w:sz w:val="15"/>
                <w:szCs w:val="11"/>
              </w:rPr>
              <w:t>p</w:t>
            </w:r>
            <w:r w:rsidRPr="00EF3631">
              <w:rPr>
                <w:rFonts w:ascii="Times New Roman" w:eastAsia="宋体" w:hAnsi="Times New Roman" w:cs="Times New Roman"/>
                <w:color w:val="000000" w:themeColor="text1"/>
                <w:sz w:val="15"/>
                <w:szCs w:val="11"/>
              </w:rPr>
              <w:t>recipitation</w:t>
            </w:r>
          </w:p>
        </w:tc>
        <w:tc>
          <w:tcPr>
            <w:tcW w:w="4053" w:type="dxa"/>
            <w:vMerge w:val="restart"/>
            <w:tcBorders>
              <w:top w:val="nil"/>
              <w:left w:val="nil"/>
              <w:bottom w:val="nil"/>
              <w:right w:val="nil"/>
            </w:tcBorders>
            <w:vAlign w:val="center"/>
            <w:hideMark/>
          </w:tcPr>
          <w:p w:rsidR="0056379E" w:rsidRPr="00EF3631" w:rsidRDefault="0056379E" w:rsidP="0001437F">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 xml:space="preserve">The degree and frequency of changes in climate elements (such as </w:t>
            </w:r>
            <w:proofErr w:type="spellStart"/>
            <w:r w:rsidR="0001437F">
              <w:rPr>
                <w:rFonts w:ascii="Times New Roman" w:eastAsia="宋体" w:hAnsi="Times New Roman" w:cs="Times New Roman"/>
                <w:color w:val="000000" w:themeColor="text1"/>
                <w:sz w:val="15"/>
                <w:szCs w:val="11"/>
              </w:rPr>
              <w:t>utci</w:t>
            </w:r>
            <w:proofErr w:type="spellEnd"/>
            <w:r w:rsidRPr="00EF3631">
              <w:rPr>
                <w:rFonts w:ascii="Times New Roman" w:eastAsia="宋体" w:hAnsi="Times New Roman" w:cs="Times New Roman"/>
                <w:color w:val="000000" w:themeColor="text1"/>
                <w:sz w:val="15"/>
                <w:szCs w:val="11"/>
              </w:rPr>
              <w:t xml:space="preserve">, precipitation, wind speed, etc.) experienced by a specific region over a certain period of time, especially the degree of deviation from the long-term average. </w:t>
            </w:r>
          </w:p>
        </w:tc>
      </w:tr>
      <w:tr w:rsidR="0056379E" w:rsidRPr="00EF3631" w:rsidTr="0056379E">
        <w:trPr>
          <w:trHeight w:val="36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single" w:sz="8" w:space="0" w:color="000000"/>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 xml:space="preserve">Strong </w:t>
            </w:r>
            <w:r>
              <w:rPr>
                <w:rFonts w:ascii="Times New Roman" w:eastAsia="宋体" w:hAnsi="Times New Roman" w:cs="Times New Roman"/>
                <w:color w:val="000000" w:themeColor="text1"/>
                <w:sz w:val="15"/>
                <w:szCs w:val="11"/>
              </w:rPr>
              <w:t>w</w:t>
            </w:r>
            <w:r w:rsidRPr="00EF3631">
              <w:rPr>
                <w:rFonts w:ascii="Times New Roman" w:eastAsia="宋体" w:hAnsi="Times New Roman" w:cs="Times New Roman"/>
                <w:color w:val="000000" w:themeColor="text1"/>
                <w:sz w:val="15"/>
                <w:szCs w:val="11"/>
              </w:rPr>
              <w:t>ind</w:t>
            </w:r>
          </w:p>
        </w:tc>
        <w:tc>
          <w:tcPr>
            <w:tcW w:w="4053"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single" w:sz="8" w:space="0" w:color="000000"/>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Thermal comfort</w:t>
            </w:r>
          </w:p>
        </w:tc>
        <w:tc>
          <w:tcPr>
            <w:tcW w:w="4053"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8"/>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Unc</w:t>
            </w:r>
            <w:r w:rsidRPr="00EF3631">
              <w:rPr>
                <w:rFonts w:ascii="Times New Roman" w:eastAsia="宋体" w:hAnsi="Times New Roman" w:cs="Times New Roman"/>
                <w:color w:val="000000" w:themeColor="text1"/>
                <w:sz w:val="15"/>
                <w:szCs w:val="11"/>
              </w:rPr>
              <w:t>omfortable days</w:t>
            </w:r>
          </w:p>
        </w:tc>
        <w:tc>
          <w:tcPr>
            <w:tcW w:w="4053" w:type="dxa"/>
            <w:vMerge/>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555"/>
        </w:trPr>
        <w:tc>
          <w:tcPr>
            <w:tcW w:w="1080" w:type="dxa"/>
            <w:vMerge w:val="restart"/>
            <w:tcBorders>
              <w:top w:val="single" w:sz="4" w:space="0" w:color="auto"/>
              <w:left w:val="nil"/>
              <w:bottom w:val="single" w:sz="8" w:space="0" w:color="000000"/>
              <w:right w:val="nil"/>
            </w:tcBorders>
            <w:vAlign w:val="center"/>
            <w:hideMark/>
          </w:tcPr>
          <w:p w:rsidR="0056379E" w:rsidRPr="00EF3631" w:rsidRDefault="0056379E" w:rsidP="0056379E">
            <w:pPr>
              <w:snapToGrid w:val="0"/>
              <w:spacing w:line="240" w:lineRule="exact"/>
              <w:jc w:val="center"/>
              <w:rPr>
                <w:rFonts w:ascii="Times New Roman" w:eastAsia="宋体" w:hAnsi="Times New Roman" w:cs="Times New Roman"/>
                <w:b/>
                <w:bCs/>
                <w:color w:val="000000" w:themeColor="text1"/>
                <w:sz w:val="15"/>
                <w:szCs w:val="11"/>
              </w:rPr>
            </w:pPr>
            <w:r w:rsidRPr="00EF3631">
              <w:rPr>
                <w:rFonts w:ascii="Times New Roman" w:eastAsia="宋体" w:hAnsi="Times New Roman" w:cs="Times New Roman"/>
                <w:b/>
                <w:bCs/>
                <w:color w:val="000000" w:themeColor="text1"/>
                <w:sz w:val="15"/>
                <w:szCs w:val="11"/>
              </w:rPr>
              <w:t>Sensitivity</w:t>
            </w:r>
          </w:p>
        </w:tc>
        <w:tc>
          <w:tcPr>
            <w:tcW w:w="1530"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Rural population</w:t>
            </w:r>
          </w:p>
        </w:tc>
        <w:tc>
          <w:tcPr>
            <w:tcW w:w="1643"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4053"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The proportion of the total population living in rural areas, defined as the difference between total population and urban population according to national statistical offices.</w:t>
            </w:r>
          </w:p>
        </w:tc>
      </w:tr>
      <w:tr w:rsidR="0056379E" w:rsidRPr="00EF3631" w:rsidTr="0056379E">
        <w:trPr>
          <w:trHeight w:val="360"/>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Slum population</w:t>
            </w: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A group of individuals living under the same roof lacking one or more of life-supporting facilities</w:t>
            </w:r>
          </w:p>
        </w:tc>
      </w:tr>
      <w:tr w:rsidR="0056379E" w:rsidRPr="00EF3631" w:rsidTr="0056379E">
        <w:trPr>
          <w:trHeight w:val="555"/>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val="restart"/>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Dependency</w:t>
            </w: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Import-export trade</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Import and export trade is an important indicator to measure a region's foreign economic relations, market openness and international economic status</w:t>
            </w:r>
          </w:p>
        </w:tc>
      </w:tr>
      <w:tr w:rsidR="0056379E" w:rsidRPr="00EF3631" w:rsidTr="0056379E">
        <w:trPr>
          <w:trHeight w:val="555"/>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Fresh water withdrawal rate</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The proportion of total actual renewable water resources that is withdrawn as freshwater, to approximate the pressure on the renewable water resources</w:t>
            </w:r>
          </w:p>
        </w:tc>
      </w:tr>
      <w:tr w:rsidR="0056379E" w:rsidRPr="00EF3631" w:rsidTr="0056379E">
        <w:trPr>
          <w:trHeight w:val="555"/>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Tourist consumption ratio</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 xml:space="preserve">The ratio of tourism consumption to local consumption can reflect the proportion of tourism in the economic development of a city or region, that is, the degree of dependence on tourism </w:t>
            </w:r>
            <w:r>
              <w:rPr>
                <w:rFonts w:ascii="Times New Roman" w:eastAsia="宋体" w:hAnsi="Times New Roman" w:cs="Times New Roman"/>
                <w:color w:val="000000" w:themeColor="text1"/>
                <w:sz w:val="15"/>
                <w:szCs w:val="11"/>
              </w:rPr>
              <w:t>revenue</w:t>
            </w:r>
          </w:p>
        </w:tc>
      </w:tr>
      <w:tr w:rsidR="0056379E" w:rsidRPr="00EF3631" w:rsidTr="0056379E">
        <w:trPr>
          <w:trHeight w:val="555"/>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Age dependency ratio</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An indication of the size of the vulnerable population in terms of ages. This indicator considers the population under 14 or above 65 as the vulnerable group.</w:t>
            </w:r>
          </w:p>
        </w:tc>
      </w:tr>
      <w:tr w:rsidR="0056379E" w:rsidRPr="00EF3631" w:rsidTr="0056379E">
        <w:trPr>
          <w:trHeight w:val="563"/>
        </w:trPr>
        <w:tc>
          <w:tcPr>
            <w:tcW w:w="1080" w:type="dxa"/>
            <w:vMerge/>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Urban concentration</w:t>
            </w:r>
          </w:p>
        </w:tc>
        <w:tc>
          <w:tcPr>
            <w:tcW w:w="1643" w:type="dxa"/>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4053" w:type="dxa"/>
            <w:tcBorders>
              <w:top w:val="nil"/>
              <w:left w:val="nil"/>
              <w:bottom w:val="single" w:sz="4" w:space="0" w:color="auto"/>
              <w:right w:val="nil"/>
            </w:tcBorders>
            <w:vAlign w:val="center"/>
            <w:hideMark/>
          </w:tcPr>
          <w:p w:rsidR="0056379E" w:rsidRPr="00EF3631" w:rsidRDefault="00DC3AB4"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Urban c</w:t>
            </w:r>
            <w:r w:rsidR="0056379E" w:rsidRPr="00EF3631">
              <w:rPr>
                <w:rFonts w:ascii="Times New Roman" w:eastAsia="宋体" w:hAnsi="Times New Roman" w:cs="Times New Roman"/>
                <w:color w:val="000000" w:themeColor="text1"/>
                <w:sz w:val="15"/>
                <w:szCs w:val="11"/>
              </w:rPr>
              <w:t xml:space="preserve">oncentration represents the concentration of population, economic activities, resources, etc. in a city or </w:t>
            </w:r>
            <w:r w:rsidR="0056379E">
              <w:rPr>
                <w:rFonts w:ascii="Times New Roman" w:eastAsia="宋体" w:hAnsi="Times New Roman" w:cs="Times New Roman"/>
                <w:color w:val="000000" w:themeColor="text1"/>
                <w:sz w:val="15"/>
                <w:szCs w:val="11"/>
              </w:rPr>
              <w:t>an</w:t>
            </w:r>
            <w:r w:rsidR="0056379E">
              <w:rPr>
                <w:rFonts w:ascii="Times New Roman" w:eastAsia="宋体" w:hAnsi="Times New Roman" w:cs="Times New Roman" w:hint="eastAsia"/>
                <w:color w:val="000000" w:themeColor="text1"/>
                <w:sz w:val="15"/>
                <w:szCs w:val="11"/>
              </w:rPr>
              <w:t xml:space="preserve"> </w:t>
            </w:r>
            <w:r w:rsidR="0056379E" w:rsidRPr="00EF3631">
              <w:rPr>
                <w:rFonts w:ascii="Times New Roman" w:eastAsia="宋体" w:hAnsi="Times New Roman" w:cs="Times New Roman"/>
                <w:color w:val="000000" w:themeColor="text1"/>
                <w:sz w:val="15"/>
                <w:szCs w:val="11"/>
              </w:rPr>
              <w:t>area</w:t>
            </w:r>
            <w:r w:rsidR="0056379E">
              <w:rPr>
                <w:rFonts w:ascii="Times New Roman" w:eastAsia="宋体" w:hAnsi="Times New Roman" w:cs="Times New Roman"/>
                <w:color w:val="000000" w:themeColor="text1"/>
                <w:sz w:val="15"/>
                <w:szCs w:val="11"/>
              </w:rPr>
              <w:t>.</w:t>
            </w:r>
          </w:p>
        </w:tc>
      </w:tr>
      <w:tr w:rsidR="0056379E" w:rsidRPr="00EF3631" w:rsidTr="0056379E">
        <w:trPr>
          <w:trHeight w:val="360"/>
        </w:trPr>
        <w:tc>
          <w:tcPr>
            <w:tcW w:w="1080" w:type="dxa"/>
            <w:vMerge w:val="restart"/>
            <w:tcBorders>
              <w:top w:val="single" w:sz="4" w:space="0" w:color="auto"/>
              <w:left w:val="nil"/>
              <w:bottom w:val="single" w:sz="8" w:space="0" w:color="000000"/>
              <w:right w:val="nil"/>
            </w:tcBorders>
            <w:vAlign w:val="center"/>
            <w:hideMark/>
          </w:tcPr>
          <w:p w:rsidR="0056379E" w:rsidRPr="00EF3631" w:rsidRDefault="0056379E" w:rsidP="0056379E">
            <w:pPr>
              <w:snapToGrid w:val="0"/>
              <w:spacing w:line="240" w:lineRule="exact"/>
              <w:jc w:val="center"/>
              <w:rPr>
                <w:rFonts w:ascii="Times New Roman" w:eastAsia="宋体" w:hAnsi="Times New Roman" w:cs="Times New Roman"/>
                <w:b/>
                <w:bCs/>
                <w:color w:val="000000" w:themeColor="text1"/>
                <w:sz w:val="15"/>
                <w:szCs w:val="11"/>
              </w:rPr>
            </w:pPr>
            <w:r>
              <w:rPr>
                <w:rFonts w:ascii="Times New Roman" w:eastAsia="宋体" w:hAnsi="Times New Roman" w:cs="Times New Roman"/>
                <w:b/>
                <w:bCs/>
                <w:color w:val="000000" w:themeColor="text1"/>
                <w:sz w:val="15"/>
                <w:szCs w:val="11"/>
              </w:rPr>
              <w:t>Adaptive Capacity</w:t>
            </w:r>
          </w:p>
        </w:tc>
        <w:tc>
          <w:tcPr>
            <w:tcW w:w="1530" w:type="dxa"/>
            <w:vMerge w:val="restart"/>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Capacity</w:t>
            </w:r>
          </w:p>
        </w:tc>
        <w:tc>
          <w:tcPr>
            <w:tcW w:w="1643"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Drinking water ratio</w:t>
            </w:r>
          </w:p>
        </w:tc>
        <w:tc>
          <w:tcPr>
            <w:tcW w:w="4053" w:type="dxa"/>
            <w:vMerge w:val="restart"/>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Urban water and electricity supply guarantee capabilities</w:t>
            </w:r>
          </w:p>
        </w:tc>
      </w:tr>
      <w:tr w:rsidR="0056379E" w:rsidRPr="00EF3631" w:rsidTr="0056379E">
        <w:trPr>
          <w:trHeight w:val="360"/>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Electricity</w:t>
            </w:r>
          </w:p>
        </w:tc>
        <w:tc>
          <w:tcPr>
            <w:tcW w:w="4053"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555"/>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Natural tourism destination</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The number of tourist attractions or locations that the region can sustainably support under natural resources and environmental conditions</w:t>
            </w:r>
            <w:r>
              <w:rPr>
                <w:rFonts w:ascii="Times New Roman" w:eastAsia="宋体" w:hAnsi="Times New Roman" w:cs="Times New Roman"/>
                <w:color w:val="000000" w:themeColor="text1"/>
                <w:sz w:val="15"/>
                <w:szCs w:val="11"/>
              </w:rPr>
              <w:t>.</w:t>
            </w:r>
          </w:p>
        </w:tc>
      </w:tr>
      <w:tr w:rsidR="0056379E" w:rsidRPr="00EF3631" w:rsidTr="0056379E">
        <w:trPr>
          <w:trHeight w:val="360"/>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bookmarkStart w:id="1" w:name="OLE_LINK183"/>
            <w:bookmarkStart w:id="2" w:name="OLE_LINK184"/>
            <w:r w:rsidRPr="00EF3631">
              <w:rPr>
                <w:rFonts w:ascii="Times New Roman" w:eastAsia="宋体" w:hAnsi="Times New Roman" w:cs="Times New Roman"/>
                <w:color w:val="000000" w:themeColor="text1"/>
                <w:sz w:val="15"/>
                <w:szCs w:val="11"/>
              </w:rPr>
              <w:t>Transport</w:t>
            </w:r>
            <w:bookmarkEnd w:id="1"/>
            <w:bookmarkEnd w:id="2"/>
          </w:p>
        </w:tc>
        <w:tc>
          <w:tcPr>
            <w:tcW w:w="4053" w:type="dxa"/>
            <w:vMerge w:val="restart"/>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Urban road transportation and evacuation emergency capabilities</w:t>
            </w:r>
          </w:p>
        </w:tc>
      </w:tr>
      <w:tr w:rsidR="0056379E" w:rsidRPr="00EF3631" w:rsidTr="0056379E">
        <w:trPr>
          <w:trHeight w:val="360"/>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Road</w:t>
            </w:r>
          </w:p>
        </w:tc>
        <w:tc>
          <w:tcPr>
            <w:tcW w:w="4053"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0"/>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Medical staffs</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Urban medical assistance capabilities</w:t>
            </w:r>
          </w:p>
        </w:tc>
      </w:tr>
      <w:tr w:rsidR="0056379E" w:rsidRPr="00EF3631" w:rsidTr="0056379E">
        <w:trPr>
          <w:trHeight w:val="855"/>
        </w:trPr>
        <w:tc>
          <w:tcPr>
            <w:tcW w:w="1080" w:type="dxa"/>
            <w:vMerge/>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bottom w:val="nil"/>
              <w:right w:val="nil"/>
            </w:tcBorders>
            <w:vAlign w:val="center"/>
            <w:hideMark/>
          </w:tcPr>
          <w:p w:rsidR="0056379E" w:rsidRPr="00EF3631" w:rsidRDefault="00EB5683"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Tourism labor</w:t>
            </w:r>
          </w:p>
        </w:tc>
        <w:tc>
          <w:tcPr>
            <w:tcW w:w="1643" w:type="dxa"/>
            <w:tcBorders>
              <w:top w:val="nil"/>
              <w:left w:val="nil"/>
              <w:bottom w:val="nil"/>
              <w:right w:val="nil"/>
            </w:tcBorders>
            <w:vAlign w:val="center"/>
            <w:hideMark/>
          </w:tcPr>
          <w:p w:rsidR="0056379E" w:rsidRPr="00EF3631" w:rsidRDefault="00C621F7"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Persons employed in hotels and catering s</w:t>
            </w:r>
            <w:r w:rsidRPr="00EF3631">
              <w:rPr>
                <w:rFonts w:ascii="Times New Roman" w:eastAsia="宋体" w:hAnsi="Times New Roman" w:cs="Times New Roman"/>
                <w:color w:val="000000" w:themeColor="text1"/>
                <w:sz w:val="15"/>
                <w:szCs w:val="11"/>
              </w:rPr>
              <w:t>ervices</w:t>
            </w:r>
          </w:p>
        </w:tc>
        <w:tc>
          <w:tcPr>
            <w:tcW w:w="4053" w:type="dxa"/>
            <w:vMerge w:val="restart"/>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T</w:t>
            </w:r>
            <w:r w:rsidRPr="00EF3631">
              <w:rPr>
                <w:rFonts w:ascii="Times New Roman" w:eastAsia="宋体" w:hAnsi="Times New Roman" w:cs="Times New Roman"/>
                <w:color w:val="000000" w:themeColor="text1"/>
                <w:sz w:val="15"/>
                <w:szCs w:val="11"/>
              </w:rPr>
              <w:t xml:space="preserve">he level of development of a region's tourism industry. </w:t>
            </w:r>
          </w:p>
        </w:tc>
      </w:tr>
      <w:tr w:rsidR="0056379E" w:rsidRPr="00EF3631" w:rsidTr="0056379E">
        <w:trPr>
          <w:trHeight w:val="368"/>
        </w:trPr>
        <w:tc>
          <w:tcPr>
            <w:tcW w:w="1080" w:type="dxa"/>
            <w:vMerge/>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bottom w:val="single" w:sz="4" w:space="0" w:color="auto"/>
              <w:right w:val="nil"/>
            </w:tcBorders>
            <w:vAlign w:val="center"/>
            <w:hideMark/>
          </w:tcPr>
          <w:p w:rsidR="0056379E" w:rsidRPr="00EF3631" w:rsidRDefault="00C621F7"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Reception</w:t>
            </w:r>
          </w:p>
        </w:tc>
        <w:tc>
          <w:tcPr>
            <w:tcW w:w="1643" w:type="dxa"/>
            <w:tcBorders>
              <w:top w:val="nil"/>
              <w:left w:val="nil"/>
              <w:bottom w:val="single" w:sz="4" w:space="0" w:color="auto"/>
              <w:right w:val="nil"/>
            </w:tcBorders>
            <w:vAlign w:val="center"/>
            <w:hideMark/>
          </w:tcPr>
          <w:p w:rsidR="0056379E" w:rsidRPr="00EF3631" w:rsidRDefault="00C621F7"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Number of star h</w:t>
            </w:r>
            <w:r w:rsidRPr="00EF3631">
              <w:rPr>
                <w:rFonts w:ascii="Times New Roman" w:eastAsia="宋体" w:hAnsi="Times New Roman" w:cs="Times New Roman"/>
                <w:color w:val="000000" w:themeColor="text1"/>
                <w:sz w:val="15"/>
                <w:szCs w:val="11"/>
              </w:rPr>
              <w:t>otels</w:t>
            </w:r>
            <w:r>
              <w:rPr>
                <w:rFonts w:ascii="Times New Roman" w:eastAsia="宋体" w:hAnsi="Times New Roman" w:cs="Times New Roman"/>
                <w:color w:val="000000" w:themeColor="text1"/>
                <w:sz w:val="15"/>
                <w:szCs w:val="11"/>
              </w:rPr>
              <w:t xml:space="preserve"> (at least 2 stars)</w:t>
            </w:r>
          </w:p>
        </w:tc>
        <w:tc>
          <w:tcPr>
            <w:tcW w:w="4053" w:type="dxa"/>
            <w:vMerge/>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0"/>
        </w:trPr>
        <w:tc>
          <w:tcPr>
            <w:tcW w:w="1080" w:type="dxa"/>
            <w:vMerge w:val="restart"/>
            <w:tcBorders>
              <w:top w:val="single" w:sz="4" w:space="0" w:color="auto"/>
              <w:left w:val="nil"/>
              <w:bottom w:val="nil"/>
              <w:right w:val="nil"/>
            </w:tcBorders>
            <w:vAlign w:val="center"/>
            <w:hideMark/>
          </w:tcPr>
          <w:p w:rsidR="0056379E" w:rsidRPr="00EF3631" w:rsidRDefault="0056379E" w:rsidP="0056379E">
            <w:pPr>
              <w:snapToGrid w:val="0"/>
              <w:spacing w:line="240" w:lineRule="exact"/>
              <w:jc w:val="center"/>
              <w:rPr>
                <w:rFonts w:ascii="Times New Roman" w:eastAsia="宋体" w:hAnsi="Times New Roman" w:cs="Times New Roman"/>
                <w:b/>
                <w:bCs/>
                <w:color w:val="000000" w:themeColor="text1"/>
                <w:sz w:val="15"/>
                <w:szCs w:val="11"/>
              </w:rPr>
            </w:pPr>
            <w:r w:rsidRPr="00EF3631">
              <w:rPr>
                <w:rFonts w:ascii="Times New Roman" w:eastAsia="宋体" w:hAnsi="Times New Roman" w:cs="Times New Roman"/>
                <w:b/>
                <w:bCs/>
                <w:color w:val="000000" w:themeColor="text1"/>
                <w:sz w:val="15"/>
                <w:szCs w:val="11"/>
              </w:rPr>
              <w:t>Readiness</w:t>
            </w:r>
          </w:p>
        </w:tc>
        <w:tc>
          <w:tcPr>
            <w:tcW w:w="1530" w:type="dxa"/>
            <w:vMerge w:val="restart"/>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bookmarkStart w:id="3" w:name="OLE_LINK64"/>
            <w:bookmarkStart w:id="4" w:name="OLE_LINK65"/>
            <w:r w:rsidRPr="00EF3631">
              <w:rPr>
                <w:rFonts w:ascii="Times New Roman" w:eastAsia="宋体" w:hAnsi="Times New Roman" w:cs="Times New Roman"/>
                <w:color w:val="000000" w:themeColor="text1"/>
                <w:sz w:val="15"/>
                <w:szCs w:val="11"/>
              </w:rPr>
              <w:t>Economical ability</w:t>
            </w:r>
            <w:bookmarkEnd w:id="3"/>
            <w:bookmarkEnd w:id="4"/>
          </w:p>
        </w:tc>
        <w:tc>
          <w:tcPr>
            <w:tcW w:w="1643"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Actual amount of foreign capital used</w:t>
            </w:r>
          </w:p>
        </w:tc>
        <w:tc>
          <w:tcPr>
            <w:tcW w:w="4053"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Urban external economic exchange strength</w:t>
            </w:r>
          </w:p>
        </w:tc>
      </w:tr>
      <w:tr w:rsidR="0056379E" w:rsidRPr="00EF3631" w:rsidTr="0056379E">
        <w:trPr>
          <w:trHeight w:val="555"/>
        </w:trPr>
        <w:tc>
          <w:tcPr>
            <w:tcW w:w="108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Investment in environmental pollution control</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 xml:space="preserve">the intensity of actual actions of </w:t>
            </w:r>
            <w:r w:rsidRPr="00EF3631">
              <w:rPr>
                <w:rFonts w:ascii="Times New Roman" w:eastAsia="宋体" w:hAnsi="Times New Roman" w:cs="Times New Roman"/>
                <w:color w:val="000000" w:themeColor="text1"/>
                <w:sz w:val="15"/>
                <w:szCs w:val="11"/>
              </w:rPr>
              <w:t>improving environmental quality and reducing pollution impacts</w:t>
            </w:r>
            <w:r>
              <w:rPr>
                <w:rFonts w:ascii="Times New Roman" w:eastAsia="宋体" w:hAnsi="Times New Roman" w:cs="Times New Roman"/>
                <w:color w:val="000000" w:themeColor="text1"/>
                <w:sz w:val="15"/>
                <w:szCs w:val="11"/>
              </w:rPr>
              <w:t>.</w:t>
            </w:r>
          </w:p>
        </w:tc>
      </w:tr>
      <w:tr w:rsidR="0056379E" w:rsidRPr="00EF3631" w:rsidTr="0056379E">
        <w:trPr>
          <w:trHeight w:val="360"/>
        </w:trPr>
        <w:tc>
          <w:tcPr>
            <w:tcW w:w="108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Adaptation Funds for Vulnerable Communities</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T</w:t>
            </w:r>
            <w:r w:rsidRPr="00EF3631">
              <w:rPr>
                <w:rFonts w:ascii="Times New Roman" w:eastAsia="宋体" w:hAnsi="Times New Roman" w:cs="Times New Roman"/>
                <w:color w:val="000000" w:themeColor="text1"/>
                <w:sz w:val="15"/>
                <w:szCs w:val="11"/>
              </w:rPr>
              <w:t xml:space="preserve">he capabilities in risk response of Slum communities </w:t>
            </w:r>
          </w:p>
        </w:tc>
      </w:tr>
      <w:tr w:rsidR="0056379E" w:rsidRPr="00EF3631" w:rsidTr="0056379E">
        <w:trPr>
          <w:trHeight w:val="375"/>
        </w:trPr>
        <w:tc>
          <w:tcPr>
            <w:tcW w:w="108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val="restart"/>
            <w:tcBorders>
              <w:top w:val="nil"/>
              <w:left w:val="nil"/>
              <w:bottom w:val="nil"/>
              <w:right w:val="nil"/>
            </w:tcBorders>
            <w:vAlign w:val="center"/>
            <w:hideMark/>
          </w:tcPr>
          <w:p w:rsidR="0056379E" w:rsidRPr="00EF3631" w:rsidRDefault="00EB5683"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I</w:t>
            </w:r>
            <w:r w:rsidRPr="00EB5683">
              <w:rPr>
                <w:rFonts w:ascii="Times New Roman" w:eastAsia="宋体" w:hAnsi="Times New Roman" w:cs="Times New Roman"/>
                <w:color w:val="000000" w:themeColor="text1"/>
                <w:sz w:val="15"/>
                <w:szCs w:val="11"/>
              </w:rPr>
              <w:t>nformation and communication technology</w:t>
            </w: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Mobile phone subscription per 100 persons</w:t>
            </w:r>
          </w:p>
        </w:tc>
        <w:tc>
          <w:tcPr>
            <w:tcW w:w="4053" w:type="dxa"/>
            <w:vMerge w:val="restart"/>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Knowledge integration and learning and key ingredients of adaptive capacity; Technical support for early warning systems; and strengthen local organizations that implement adaptation.</w:t>
            </w:r>
          </w:p>
        </w:tc>
      </w:tr>
      <w:tr w:rsidR="0056379E" w:rsidRPr="00EF3631" w:rsidTr="0056379E">
        <w:trPr>
          <w:trHeight w:val="375"/>
        </w:trPr>
        <w:tc>
          <w:tcPr>
            <w:tcW w:w="108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Fixed phone subscription per 100 persons</w:t>
            </w:r>
          </w:p>
        </w:tc>
        <w:tc>
          <w:tcPr>
            <w:tcW w:w="4053"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75"/>
        </w:trPr>
        <w:tc>
          <w:tcPr>
            <w:tcW w:w="108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Internet user per 100 persons</w:t>
            </w:r>
          </w:p>
        </w:tc>
        <w:tc>
          <w:tcPr>
            <w:tcW w:w="4053"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0"/>
        </w:trPr>
        <w:tc>
          <w:tcPr>
            <w:tcW w:w="108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Education</w:t>
            </w: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Higher education enrollment rate</w:t>
            </w: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Number of students in colleges and universities per 10,000 people</w:t>
            </w:r>
          </w:p>
        </w:tc>
      </w:tr>
      <w:tr w:rsidR="0056379E" w:rsidRPr="00EF3631" w:rsidTr="0056379E">
        <w:trPr>
          <w:trHeight w:val="360"/>
        </w:trPr>
        <w:tc>
          <w:tcPr>
            <w:tcW w:w="108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Social inequality</w:t>
            </w: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405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 xml:space="preserve">Rural population's share of urban residents' </w:t>
            </w:r>
            <w:r>
              <w:rPr>
                <w:rFonts w:ascii="Times New Roman" w:eastAsia="宋体" w:hAnsi="Times New Roman" w:cs="Times New Roman"/>
                <w:color w:val="000000" w:themeColor="text1"/>
                <w:sz w:val="15"/>
                <w:szCs w:val="11"/>
              </w:rPr>
              <w:t>revenue</w:t>
            </w:r>
            <w:r w:rsidRPr="00EF3631">
              <w:rPr>
                <w:rFonts w:ascii="Times New Roman" w:eastAsia="宋体" w:hAnsi="Times New Roman" w:cs="Times New Roman"/>
                <w:color w:val="000000" w:themeColor="text1"/>
                <w:sz w:val="15"/>
                <w:szCs w:val="11"/>
              </w:rPr>
              <w:t xml:space="preserve"> or consumption</w:t>
            </w:r>
          </w:p>
        </w:tc>
      </w:tr>
      <w:tr w:rsidR="0056379E" w:rsidRPr="00EF3631" w:rsidTr="0056379E">
        <w:trPr>
          <w:trHeight w:val="360"/>
        </w:trPr>
        <w:tc>
          <w:tcPr>
            <w:tcW w:w="1080"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val="restart"/>
            <w:tcBorders>
              <w:top w:val="nil"/>
              <w:left w:val="nil"/>
              <w:bottom w:val="single" w:sz="8" w:space="0" w:color="000000"/>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bookmarkStart w:id="5" w:name="OLE_LINK185"/>
            <w:bookmarkStart w:id="6" w:name="OLE_LINK186"/>
            <w:r w:rsidRPr="00EF3631">
              <w:rPr>
                <w:rFonts w:ascii="Times New Roman" w:eastAsia="宋体" w:hAnsi="Times New Roman" w:cs="Times New Roman"/>
                <w:color w:val="000000" w:themeColor="text1"/>
                <w:sz w:val="15"/>
                <w:szCs w:val="11"/>
              </w:rPr>
              <w:t>Innovation</w:t>
            </w:r>
            <w:bookmarkEnd w:id="5"/>
            <w:bookmarkEnd w:id="6"/>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Science and technology expenditure</w:t>
            </w:r>
          </w:p>
        </w:tc>
        <w:tc>
          <w:tcPr>
            <w:tcW w:w="4053" w:type="dxa"/>
            <w:vMerge w:val="restart"/>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A fundamental force behind capacity building and climate change adaptation</w:t>
            </w:r>
          </w:p>
        </w:tc>
      </w:tr>
      <w:tr w:rsidR="0056379E" w:rsidRPr="00EF3631" w:rsidTr="0056379E">
        <w:trPr>
          <w:trHeight w:val="368"/>
        </w:trPr>
        <w:tc>
          <w:tcPr>
            <w:tcW w:w="1080" w:type="dxa"/>
            <w:vMerge/>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vMerge/>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1643" w:type="dxa"/>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Number of innovation patents</w:t>
            </w:r>
          </w:p>
        </w:tc>
        <w:tc>
          <w:tcPr>
            <w:tcW w:w="4053" w:type="dxa"/>
            <w:vMerge/>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0"/>
        </w:trPr>
        <w:tc>
          <w:tcPr>
            <w:tcW w:w="1080" w:type="dxa"/>
            <w:vMerge w:val="restart"/>
            <w:tcBorders>
              <w:top w:val="single" w:sz="4" w:space="0" w:color="auto"/>
              <w:left w:val="nil"/>
              <w:bottom w:val="single" w:sz="4" w:space="0" w:color="auto"/>
              <w:right w:val="nil"/>
            </w:tcBorders>
            <w:vAlign w:val="center"/>
            <w:hideMark/>
          </w:tcPr>
          <w:p w:rsidR="0056379E" w:rsidRPr="00EF3631" w:rsidRDefault="0056379E" w:rsidP="0056379E">
            <w:pPr>
              <w:snapToGrid w:val="0"/>
              <w:spacing w:line="240" w:lineRule="exact"/>
              <w:jc w:val="center"/>
              <w:rPr>
                <w:rFonts w:ascii="Times New Roman" w:eastAsia="宋体" w:hAnsi="Times New Roman" w:cs="Times New Roman"/>
                <w:b/>
                <w:bCs/>
                <w:color w:val="000000" w:themeColor="text1"/>
                <w:sz w:val="15"/>
                <w:szCs w:val="11"/>
              </w:rPr>
            </w:pPr>
            <w:r>
              <w:rPr>
                <w:rFonts w:ascii="Times New Roman" w:eastAsia="宋体" w:hAnsi="Times New Roman" w:cs="Times New Roman"/>
                <w:b/>
                <w:bCs/>
                <w:color w:val="000000" w:themeColor="text1"/>
                <w:sz w:val="15"/>
                <w:szCs w:val="11"/>
              </w:rPr>
              <w:t>Hazard</w:t>
            </w:r>
          </w:p>
        </w:tc>
        <w:tc>
          <w:tcPr>
            <w:tcW w:w="1530"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Direct e</w:t>
            </w:r>
            <w:r w:rsidRPr="00EF3631">
              <w:rPr>
                <w:rFonts w:ascii="Times New Roman" w:eastAsia="宋体" w:hAnsi="Times New Roman" w:cs="Times New Roman"/>
                <w:color w:val="000000" w:themeColor="text1"/>
                <w:sz w:val="15"/>
                <w:szCs w:val="11"/>
              </w:rPr>
              <w:t>conomic Loss</w:t>
            </w:r>
          </w:p>
        </w:tc>
        <w:tc>
          <w:tcPr>
            <w:tcW w:w="1643" w:type="dxa"/>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4053" w:type="dxa"/>
            <w:vMerge w:val="restart"/>
            <w:tcBorders>
              <w:top w:val="single" w:sz="4" w:space="0" w:color="auto"/>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One of the most important indicators of the severity of disasters and human losses</w:t>
            </w:r>
          </w:p>
        </w:tc>
      </w:tr>
      <w:tr w:rsidR="0056379E" w:rsidRPr="00EF3631" w:rsidTr="0056379E">
        <w:trPr>
          <w:trHeight w:val="36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Affected p</w:t>
            </w:r>
            <w:r w:rsidRPr="00EF3631">
              <w:rPr>
                <w:rFonts w:ascii="Times New Roman" w:eastAsia="宋体" w:hAnsi="Times New Roman" w:cs="Times New Roman"/>
                <w:color w:val="000000" w:themeColor="text1"/>
                <w:sz w:val="15"/>
                <w:szCs w:val="11"/>
              </w:rPr>
              <w:t>opulation</w:t>
            </w:r>
          </w:p>
        </w:tc>
        <w:tc>
          <w:tcPr>
            <w:tcW w:w="1643" w:type="dxa"/>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4053" w:type="dxa"/>
            <w:vMerge/>
            <w:tcBorders>
              <w:top w:val="nil"/>
              <w:left w:val="nil"/>
              <w:bottom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r w:rsidR="0056379E" w:rsidRPr="00EF3631" w:rsidTr="0056379E">
        <w:trPr>
          <w:trHeight w:val="360"/>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sidRPr="00EF3631">
              <w:rPr>
                <w:rFonts w:ascii="Times New Roman" w:eastAsia="宋体" w:hAnsi="Times New Roman" w:cs="Times New Roman"/>
                <w:color w:val="000000" w:themeColor="text1"/>
                <w:sz w:val="15"/>
                <w:szCs w:val="11"/>
              </w:rPr>
              <w:t>Fatalities</w:t>
            </w:r>
          </w:p>
        </w:tc>
        <w:tc>
          <w:tcPr>
            <w:tcW w:w="1643" w:type="dxa"/>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4053" w:type="dxa"/>
            <w:vMerge w:val="restart"/>
            <w:tcBorders>
              <w:top w:val="nil"/>
              <w:left w:val="nil"/>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T</w:t>
            </w:r>
            <w:r w:rsidRPr="00EF3631">
              <w:rPr>
                <w:rFonts w:ascii="Times New Roman" w:eastAsia="宋体" w:hAnsi="Times New Roman" w:cs="Times New Roman"/>
                <w:color w:val="000000" w:themeColor="text1"/>
                <w:sz w:val="15"/>
                <w:szCs w:val="11"/>
              </w:rPr>
              <w:t xml:space="preserve">he damage caused by disasters to economic activity, property, and </w:t>
            </w:r>
            <w:r>
              <w:rPr>
                <w:rFonts w:ascii="Times New Roman" w:eastAsia="宋体" w:hAnsi="Times New Roman" w:cs="Times New Roman"/>
                <w:color w:val="000000" w:themeColor="text1"/>
                <w:sz w:val="15"/>
                <w:szCs w:val="11"/>
              </w:rPr>
              <w:t>revenue</w:t>
            </w:r>
            <w:r w:rsidRPr="00EF3631">
              <w:rPr>
                <w:rFonts w:ascii="Times New Roman" w:eastAsia="宋体" w:hAnsi="Times New Roman" w:cs="Times New Roman"/>
                <w:color w:val="000000" w:themeColor="text1"/>
                <w:sz w:val="15"/>
                <w:szCs w:val="11"/>
              </w:rPr>
              <w:t xml:space="preserve"> in an area</w:t>
            </w:r>
          </w:p>
        </w:tc>
      </w:tr>
      <w:tr w:rsidR="0056379E" w:rsidRPr="00EF3631" w:rsidTr="0056379E">
        <w:trPr>
          <w:trHeight w:val="368"/>
        </w:trPr>
        <w:tc>
          <w:tcPr>
            <w:tcW w:w="1080" w:type="dxa"/>
            <w:vMerge/>
            <w:tcBorders>
              <w:top w:val="single" w:sz="8" w:space="0" w:color="000000"/>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b/>
                <w:bCs/>
                <w:color w:val="000000" w:themeColor="text1"/>
                <w:sz w:val="15"/>
                <w:szCs w:val="11"/>
              </w:rPr>
            </w:pPr>
          </w:p>
        </w:tc>
        <w:tc>
          <w:tcPr>
            <w:tcW w:w="1530" w:type="dxa"/>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r>
              <w:rPr>
                <w:rFonts w:ascii="Times New Roman" w:eastAsia="宋体" w:hAnsi="Times New Roman" w:cs="Times New Roman"/>
                <w:color w:val="000000" w:themeColor="text1"/>
                <w:sz w:val="15"/>
                <w:szCs w:val="11"/>
              </w:rPr>
              <w:t>Housing l</w:t>
            </w:r>
            <w:r w:rsidRPr="00EF3631">
              <w:rPr>
                <w:rFonts w:ascii="Times New Roman" w:eastAsia="宋体" w:hAnsi="Times New Roman" w:cs="Times New Roman"/>
                <w:color w:val="000000" w:themeColor="text1"/>
                <w:sz w:val="15"/>
                <w:szCs w:val="11"/>
              </w:rPr>
              <w:t>oss</w:t>
            </w:r>
          </w:p>
        </w:tc>
        <w:tc>
          <w:tcPr>
            <w:tcW w:w="1643" w:type="dxa"/>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c>
          <w:tcPr>
            <w:tcW w:w="4053" w:type="dxa"/>
            <w:vMerge/>
            <w:tcBorders>
              <w:top w:val="nil"/>
              <w:left w:val="nil"/>
              <w:bottom w:val="single" w:sz="4" w:space="0" w:color="auto"/>
              <w:right w:val="nil"/>
            </w:tcBorders>
            <w:vAlign w:val="center"/>
            <w:hideMark/>
          </w:tcPr>
          <w:p w:rsidR="0056379E" w:rsidRPr="00EF3631" w:rsidRDefault="0056379E" w:rsidP="0056379E">
            <w:pPr>
              <w:snapToGrid w:val="0"/>
              <w:spacing w:line="240" w:lineRule="exact"/>
              <w:rPr>
                <w:rFonts w:ascii="Times New Roman" w:eastAsia="宋体" w:hAnsi="Times New Roman" w:cs="Times New Roman"/>
                <w:color w:val="000000" w:themeColor="text1"/>
                <w:sz w:val="15"/>
                <w:szCs w:val="11"/>
              </w:rPr>
            </w:pPr>
          </w:p>
        </w:tc>
      </w:tr>
    </w:tbl>
    <w:p w:rsidR="0056379E" w:rsidRPr="0056379E" w:rsidRDefault="0056379E" w:rsidP="0056379E"/>
    <w:sectPr w:rsidR="0056379E" w:rsidRPr="0056379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79E"/>
    <w:rsid w:val="0001437F"/>
    <w:rsid w:val="002A707C"/>
    <w:rsid w:val="00330EC0"/>
    <w:rsid w:val="003C6F22"/>
    <w:rsid w:val="0056379E"/>
    <w:rsid w:val="008F3A56"/>
    <w:rsid w:val="00972A17"/>
    <w:rsid w:val="00C621F7"/>
    <w:rsid w:val="00DC3AB4"/>
    <w:rsid w:val="00E1336F"/>
    <w:rsid w:val="00E94FA0"/>
    <w:rsid w:val="00EB5683"/>
    <w:rsid w:val="00F01AA6"/>
    <w:rsid w:val="00F72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DDC7"/>
  <w15:chartTrackingRefBased/>
  <w15:docId w15:val="{FD44172B-3398-4D04-9825-8F30E517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6379E"/>
    <w:pPr>
      <w:spacing w:before="100" w:beforeAutospacing="1" w:after="100" w:afterAutospacing="1" w:line="240" w:lineRule="auto"/>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1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1455</Words>
  <Characters>8296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9</cp:revision>
  <dcterms:created xsi:type="dcterms:W3CDTF">2026-04-08T12:10:00Z</dcterms:created>
  <dcterms:modified xsi:type="dcterms:W3CDTF">2026-05-18T11:54:00Z</dcterms:modified>
</cp:coreProperties>
</file>