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Times New Roman" w:hAnsi="Times New Roman"/>
          <w:b/>
          <w:sz w:val="28"/>
        </w:rPr>
        <w:t>Supplementary File 1: NSPFS Testing Protocol and Data Collection Procedures</w:t>
      </w:r>
    </w:p>
    <w:p>
      <w:pPr>
        <w:spacing w:before="240"/>
      </w:pPr>
      <w:r>
        <w:rPr>
          <w:rFonts w:ascii="Times New Roman" w:hAnsi="Times New Roman"/>
          <w:b/>
          <w:sz w:val="24"/>
        </w:rPr>
        <w:t>1. National Student Physical Fitness Standard (NSPFS) Testing Protocol</w:t>
      </w:r>
    </w:p>
    <w:p>
      <w:pPr>
        <w:spacing w:before="160"/>
      </w:pPr>
      <w:r>
        <w:rPr>
          <w:rFonts w:ascii="Times New Roman" w:hAnsi="Times New Roman"/>
          <w:b/>
          <w:i/>
          <w:sz w:val="22"/>
        </w:rPr>
        <w:t>1.1 Overview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Physical fitness was measured using the National Student Physical Fitness Standard (NSPFS), a nationally mandated comprehensive battery administered annually to all university students in mainland China. Testing is conducted once per academic year, typically during September-October.</w:t>
      </w:r>
    </w:p>
    <w:p>
      <w:pPr>
        <w:spacing w:before="160"/>
      </w:pPr>
      <w:r>
        <w:rPr>
          <w:rFonts w:ascii="Times New Roman" w:hAnsi="Times New Roman"/>
          <w:b/>
          <w:i/>
          <w:sz w:val="22"/>
        </w:rPr>
        <w:t>1.2 Testing Components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BMI: Body composition (kg/m2), calibrated digital scale and stadiometer. Vital Capacity: Respiratory fitness (mL), electronic spirometer. 50-metre dash: Speed/anaerobic power (seconds), electronic timing gates. Sit-and-reach: Flexibility (cm), standard box. Standing long jump: Lower-body power (cm), marked surface. Sit-ups (F)/Pull-ups (M): Muscular endurance/strength (count). 800m (F)/1000m (M) run: Cardiorespiratory endurance (seconds), standard 400m track.</w:t>
      </w:r>
    </w:p>
    <w:p>
      <w:pPr>
        <w:spacing w:before="160"/>
      </w:pPr>
      <w:r>
        <w:rPr>
          <w:rFonts w:ascii="Times New Roman" w:hAnsi="Times New Roman"/>
          <w:b/>
          <w:i/>
          <w:sz w:val="22"/>
        </w:rPr>
        <w:t>1.3 Scoring System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Component weights: BMI 15%, vital capacity 15%, 50m dash 20%, sit-and-reach 10%, standing long jump 10%, sit-ups/pull-ups 10%, endurance run 20%. Bonus up to 20 points yields maximum 120. Classifications: 90-120 Excellent, 80-89 Good, 60-79 Pass, below 60 Fail. CFA: CFI=0.92, TLI=0.89, RMSEA=0.06.</w:t>
      </w:r>
    </w:p>
    <w:p>
      <w:pPr>
        <w:spacing w:before="240"/>
      </w:pPr>
      <w:r>
        <w:rPr>
          <w:rFonts w:ascii="Times New Roman" w:hAnsi="Times New Roman"/>
          <w:b/>
          <w:sz w:val="24"/>
        </w:rPr>
        <w:t>2. Dormitory Assignment Procedure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Administrative assignment by college and major. Room capacity: 6-8 students (mean 6.4, SD 0.8). Fixed assignment for four years; less than 3% turnover. No self-selection. Natural experiment properties: non-self-selection breaks homophily bias, four-year exposure ensures prolonged interaction, dense network structure maximizes mutual influence.</w:t>
      </w:r>
    </w:p>
    <w:p>
      <w:pPr>
        <w:spacing w:before="240"/>
      </w:pPr>
      <w:r>
        <w:rPr>
          <w:rFonts w:ascii="Times New Roman" w:hAnsi="Times New Roman"/>
          <w:b/>
          <w:sz w:val="24"/>
        </w:rPr>
        <w:t>3. Analytical Methods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HLM: Three-level REML with AR1 residuals. LGCM: FIML linear and quadratic growth. K-means: Standardized fitness vectors, k=4 confirmed by elbow/silhouette/gap. XGBoost: max_depth=6, learning_rate=0.05, n_estimators=500, subsample=0.8, colsample_bytree=0.8. APC: Yang-Land intrinsic estimator with CGLM sensitivity.</w:t>
      </w:r>
    </w:p>
    <w:p>
      <w:pPr>
        <w:spacing w:before="240"/>
      </w:pPr>
      <w:r>
        <w:rPr>
          <w:rFonts w:ascii="Times New Roman" w:hAnsi="Times New Roman"/>
          <w:b/>
          <w:sz w:val="24"/>
        </w:rPr>
        <w:t>4. Software</w:t>
      </w:r>
    </w:p>
    <w:p>
      <w:pPr>
        <w:spacing w:line="360" w:lineRule="auto" w:after="120"/>
      </w:pPr>
      <w:r>
        <w:rPr>
          <w:rFonts w:ascii="Times New Roman" w:hAnsi="Times New Roman"/>
          <w:sz w:val="22"/>
        </w:rPr>
        <w:t>Python 3.12.2: pandas 2.2.0, numpy 1.26.0, statsmodels 0.14.1, scikit-learn 1.4.0, XGBoost 2.0.3, SHAP 0.44.0, matplotlib 3.8.2, seaborn 0.13.0, scipy 1.11.4, semopy 2.3.1.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