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0E130D">
      <w:pPr>
        <w:spacing w:before="0" w:after="80" w:line="240" w:lineRule="auto"/>
        <w:ind w:left="0" w:right="0" w:firstLine="0"/>
        <w:jc w:val="center"/>
      </w:pPr>
      <w:bookmarkStart w:id="0" w:name="_GoBack"/>
      <w:bookmarkEnd w:id="0"/>
      <w:r>
        <w:rPr>
          <w:rFonts w:ascii="Times New Roman" w:hAnsi="Times New Roman" w:eastAsia="Times New Roman" w:cs="Times New Roman"/>
          <w:b/>
          <w:sz w:val="24"/>
        </w:rPr>
        <w:t>Supplementary Information</w:t>
      </w:r>
    </w:p>
    <w:p w14:paraId="559AF151">
      <w:pPr>
        <w:spacing w:before="0" w:after="80" w:line="240" w:lineRule="auto"/>
        <w:ind w:left="0" w:right="0" w:firstLine="0"/>
        <w:jc w:val="both"/>
      </w:pPr>
      <w:r>
        <w:rPr>
          <w:rFonts w:ascii="Times New Roman" w:hAnsi="Times New Roman" w:eastAsia="Times New Roman" w:cs="Times New Roman"/>
          <w:i/>
          <w:sz w:val="24"/>
        </w:rPr>
        <w:t>Algorithmic Curation Shapes Cultural Heritage Visibility on Digital Platforms</w:t>
      </w:r>
    </w:p>
    <w:p w14:paraId="777F710B">
      <w:pPr>
        <w:spacing w:before="0" w:after="80" w:line="240" w:lineRule="auto"/>
        <w:ind w:left="0" w:right="0" w:firstLine="0"/>
        <w:jc w:val="both"/>
      </w:pPr>
      <w:r>
        <w:rPr>
          <w:rFonts w:ascii="Times New Roman" w:hAnsi="Times New Roman" w:eastAsia="Times New Roman" w:cs="Times New Roman"/>
          <w:sz w:val="24"/>
        </w:rPr>
        <w:t>This Supplementary Information documents the corpus-construction protocol, measurement decisions, analytical specifications, robustness summaries and reproducibility materials prepared for editorial verification. Raw platform records, URLs and account identifiers may be restricted by platform terms of service and privacy-protection requirements; therefore, replication is supported through derived metadata, aggregate outputs, synthetic demonstration files, codebooks and model-output tables.</w:t>
      </w:r>
    </w:p>
    <w:p w14:paraId="5739C121">
      <w:pPr>
        <w:pStyle w:val="3"/>
        <w:spacing w:before="0" w:after="80" w:line="240" w:lineRule="auto"/>
        <w:ind w:left="0" w:right="0" w:firstLine="0"/>
        <w:jc w:val="both"/>
      </w:pPr>
      <w:r>
        <w:rPr>
          <w:rFonts w:ascii="Times New Roman" w:hAnsi="Times New Roman" w:eastAsia="Times New Roman" w:cs="Times New Roman"/>
          <w:b/>
          <w:i w:val="0"/>
          <w:color w:val="0D2B4A"/>
          <w:sz w:val="24"/>
        </w:rPr>
        <w:t>S1. Corpus construction and content identification</w:t>
      </w:r>
    </w:p>
    <w:p w14:paraId="43728A44">
      <w:pPr>
        <w:spacing w:before="0" w:after="80" w:line="240" w:lineRule="auto"/>
        <w:ind w:left="0" w:right="0" w:firstLine="0"/>
        <w:jc w:val="both"/>
      </w:pPr>
      <w:r>
        <w:rPr>
          <w:rFonts w:ascii="Times New Roman" w:hAnsi="Times New Roman" w:eastAsia="Times New Roman" w:cs="Times New Roman"/>
          <w:sz w:val="24"/>
        </w:rPr>
        <w:t>Heritage-related videos were identified through a harmonised taxonomy covering institutionally recognised heritage, museums and monuments, archaeological sites, folk craft, traditional festivals, intangible cultural heritage, minority cultural traditions and indigenous knowledge. Platform-specific search syntax and hashtags were applied separately to TikTok, YouTube and Xiaohongshu. The corpus was screened to exclude duplicates, reposts with identical identifiers, unavailable items, non-heritage tourism advertisements, purely commercial posts without heritage content and records missing essential metadata for the main models.</w:t>
      </w:r>
    </w:p>
    <w:p w14:paraId="12F04C81">
      <w:pPr>
        <w:spacing w:before="120" w:after="40" w:line="240" w:lineRule="auto"/>
        <w:ind w:left="0" w:right="0" w:firstLine="0"/>
        <w:jc w:val="center"/>
      </w:pPr>
      <w:r>
        <w:rPr>
          <w:rFonts w:ascii="Times New Roman" w:hAnsi="Times New Roman" w:eastAsia="Times New Roman" w:cs="Times New Roman"/>
          <w:b/>
          <w:i w:val="0"/>
          <w:sz w:val="24"/>
        </w:rPr>
        <w:t>Table S1.</w:t>
      </w:r>
      <w:r>
        <w:rPr>
          <w:rFonts w:ascii="Times New Roman" w:hAnsi="Times New Roman" w:eastAsia="Times New Roman" w:cs="Times New Roman"/>
          <w:i w:val="0"/>
          <w:sz w:val="24"/>
        </w:rPr>
        <w:t xml:space="preserve"> Search and classification taxonomy used for corpus construction</w:t>
      </w:r>
    </w:p>
    <w:tbl>
      <w:tblPr>
        <w:tblStyle w:val="32"/>
        <w:tblW w:w="0" w:type="auto"/>
        <w:jc w:val="center"/>
        <w:tblLayout w:type="autofit"/>
        <w:tblCellMar>
          <w:top w:w="0" w:type="dxa"/>
          <w:left w:w="108" w:type="dxa"/>
          <w:bottom w:w="0" w:type="dxa"/>
          <w:right w:w="108" w:type="dxa"/>
        </w:tblCellMar>
      </w:tblPr>
      <w:tblGrid>
        <w:gridCol w:w="2396"/>
        <w:gridCol w:w="2396"/>
        <w:gridCol w:w="2389"/>
        <w:gridCol w:w="2395"/>
      </w:tblGrid>
      <w:tr w14:paraId="62FB3EE9">
        <w:tblPrEx>
          <w:tblCellMar>
            <w:top w:w="0" w:type="dxa"/>
            <w:left w:w="108" w:type="dxa"/>
            <w:bottom w:w="0" w:type="dxa"/>
            <w:right w:w="108" w:type="dxa"/>
          </w:tblCellMar>
        </w:tblPrEx>
        <w:trPr>
          <w:jc w:val="center"/>
        </w:trPr>
        <w:tc>
          <w:tcPr>
            <w:tcW w:w="2412" w:type="dxa"/>
            <w:tcBorders>
              <w:top w:val="single" w:color="000000" w:sz="12" w:space="0"/>
              <w:left w:val="nil"/>
              <w:bottom w:val="single" w:color="000000" w:sz="8" w:space="0"/>
              <w:right w:val="nil"/>
              <w:insideH w:val="nil"/>
              <w:insideV w:val="nil"/>
            </w:tcBorders>
            <w:vAlign w:val="center"/>
          </w:tcPr>
          <w:p w14:paraId="13E662DA">
            <w:pPr>
              <w:spacing w:before="0" w:after="0" w:line="240" w:lineRule="auto"/>
              <w:ind w:left="0" w:right="0" w:firstLine="0"/>
              <w:jc w:val="center"/>
            </w:pPr>
            <w:r>
              <w:rPr>
                <w:rFonts w:ascii="Times New Roman" w:hAnsi="Times New Roman" w:eastAsia="Times New Roman" w:cs="Times New Roman"/>
                <w:b/>
                <w:sz w:val="19"/>
              </w:rPr>
              <w:t>Category</w:t>
            </w:r>
          </w:p>
        </w:tc>
        <w:tc>
          <w:tcPr>
            <w:tcW w:w="2412" w:type="dxa"/>
            <w:tcBorders>
              <w:top w:val="single" w:color="000000" w:sz="12" w:space="0"/>
              <w:left w:val="nil"/>
              <w:bottom w:val="single" w:color="000000" w:sz="8" w:space="0"/>
              <w:right w:val="nil"/>
              <w:insideH w:val="nil"/>
              <w:insideV w:val="nil"/>
            </w:tcBorders>
            <w:vAlign w:val="center"/>
          </w:tcPr>
          <w:p w14:paraId="6EFA7705">
            <w:pPr>
              <w:spacing w:before="0" w:after="0" w:line="240" w:lineRule="auto"/>
              <w:ind w:left="0" w:right="0" w:firstLine="0"/>
              <w:jc w:val="center"/>
            </w:pPr>
            <w:r>
              <w:rPr>
                <w:rFonts w:ascii="Times New Roman" w:hAnsi="Times New Roman" w:eastAsia="Times New Roman" w:cs="Times New Roman"/>
                <w:b/>
                <w:sz w:val="19"/>
              </w:rPr>
              <w:t>English search examples</w:t>
            </w:r>
          </w:p>
        </w:tc>
        <w:tc>
          <w:tcPr>
            <w:tcW w:w="2412" w:type="dxa"/>
            <w:tcBorders>
              <w:top w:val="single" w:color="000000" w:sz="12" w:space="0"/>
              <w:left w:val="nil"/>
              <w:bottom w:val="single" w:color="000000" w:sz="8" w:space="0"/>
              <w:right w:val="nil"/>
              <w:insideH w:val="nil"/>
              <w:insideV w:val="nil"/>
            </w:tcBorders>
            <w:vAlign w:val="center"/>
          </w:tcPr>
          <w:p w14:paraId="233D05BE">
            <w:pPr>
              <w:spacing w:before="0" w:after="0" w:line="240" w:lineRule="auto"/>
              <w:ind w:left="0" w:right="0" w:firstLine="0"/>
              <w:jc w:val="center"/>
            </w:pPr>
            <w:r>
              <w:rPr>
                <w:rFonts w:ascii="Times New Roman" w:hAnsi="Times New Roman" w:eastAsia="Times New Roman" w:cs="Times New Roman"/>
                <w:b/>
                <w:sz w:val="19"/>
              </w:rPr>
              <w:t>Chinese search examples</w:t>
            </w:r>
          </w:p>
        </w:tc>
        <w:tc>
          <w:tcPr>
            <w:tcW w:w="2412" w:type="dxa"/>
            <w:tcBorders>
              <w:top w:val="single" w:color="000000" w:sz="12" w:space="0"/>
              <w:left w:val="nil"/>
              <w:bottom w:val="single" w:color="000000" w:sz="8" w:space="0"/>
              <w:right w:val="nil"/>
              <w:insideH w:val="nil"/>
              <w:insideV w:val="nil"/>
            </w:tcBorders>
            <w:vAlign w:val="center"/>
          </w:tcPr>
          <w:p w14:paraId="4E9A248B">
            <w:pPr>
              <w:spacing w:before="0" w:after="0" w:line="240" w:lineRule="auto"/>
              <w:ind w:left="0" w:right="0" w:firstLine="0"/>
              <w:jc w:val="center"/>
            </w:pPr>
            <w:r>
              <w:rPr>
                <w:rFonts w:ascii="Times New Roman" w:hAnsi="Times New Roman" w:eastAsia="Times New Roman" w:cs="Times New Roman"/>
                <w:b/>
                <w:sz w:val="19"/>
              </w:rPr>
              <w:t>Purpose in corpus construction</w:t>
            </w:r>
          </w:p>
        </w:tc>
      </w:tr>
      <w:tr w14:paraId="2E7491D7">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57473394">
            <w:pPr>
              <w:spacing w:before="0" w:after="0" w:line="240" w:lineRule="auto"/>
              <w:ind w:left="0" w:right="0" w:firstLine="0"/>
              <w:jc w:val="center"/>
            </w:pPr>
            <w:r>
              <w:rPr>
                <w:rFonts w:ascii="Times New Roman" w:hAnsi="Times New Roman" w:eastAsia="Times New Roman" w:cs="Times New Roman"/>
                <w:b w:val="0"/>
                <w:sz w:val="19"/>
              </w:rPr>
              <w:t>World heritage and recognised sites</w:t>
            </w:r>
          </w:p>
        </w:tc>
        <w:tc>
          <w:tcPr>
            <w:tcW w:w="2412" w:type="dxa"/>
            <w:tcBorders>
              <w:top w:val="nil"/>
              <w:left w:val="nil"/>
              <w:bottom w:val="nil"/>
              <w:right w:val="nil"/>
              <w:insideH w:val="nil"/>
              <w:insideV w:val="nil"/>
            </w:tcBorders>
            <w:vAlign w:val="center"/>
          </w:tcPr>
          <w:p w14:paraId="4F150787">
            <w:pPr>
              <w:spacing w:before="0" w:after="0" w:line="240" w:lineRule="auto"/>
              <w:ind w:left="0" w:right="0" w:firstLine="0"/>
              <w:jc w:val="center"/>
            </w:pPr>
            <w:r>
              <w:rPr>
                <w:rFonts w:ascii="Times New Roman" w:hAnsi="Times New Roman" w:eastAsia="Times New Roman" w:cs="Times New Roman"/>
                <w:b w:val="0"/>
                <w:sz w:val="19"/>
              </w:rPr>
              <w:t>world heritage; UNESCO site; heritage site; monument</w:t>
            </w:r>
          </w:p>
        </w:tc>
        <w:tc>
          <w:tcPr>
            <w:tcW w:w="2412" w:type="dxa"/>
            <w:tcBorders>
              <w:top w:val="nil"/>
              <w:left w:val="nil"/>
              <w:bottom w:val="nil"/>
              <w:right w:val="nil"/>
              <w:insideH w:val="nil"/>
              <w:insideV w:val="nil"/>
            </w:tcBorders>
            <w:vAlign w:val="center"/>
          </w:tcPr>
          <w:p w14:paraId="3C83F671">
            <w:pPr>
              <w:spacing w:before="0" w:after="0" w:line="240" w:lineRule="auto"/>
              <w:ind w:left="0" w:right="0" w:firstLine="0"/>
              <w:jc w:val="center"/>
            </w:pPr>
            <w:r>
              <w:rPr>
                <w:rFonts w:ascii="Times New Roman" w:hAnsi="Times New Roman" w:eastAsia="Times New Roman" w:cs="Times New Roman"/>
                <w:b w:val="0"/>
                <w:sz w:val="19"/>
              </w:rPr>
              <w:t>世界遗产; 文化遗产; 遗产地; 文物古迹</w:t>
            </w:r>
          </w:p>
        </w:tc>
        <w:tc>
          <w:tcPr>
            <w:tcW w:w="2412" w:type="dxa"/>
            <w:tcBorders>
              <w:top w:val="nil"/>
              <w:left w:val="nil"/>
              <w:bottom w:val="nil"/>
              <w:right w:val="nil"/>
              <w:insideH w:val="nil"/>
              <w:insideV w:val="nil"/>
            </w:tcBorders>
            <w:vAlign w:val="center"/>
          </w:tcPr>
          <w:p w14:paraId="315D93B0">
            <w:pPr>
              <w:spacing w:before="0" w:after="0" w:line="240" w:lineRule="auto"/>
              <w:ind w:left="0" w:right="0" w:firstLine="0"/>
              <w:jc w:val="center"/>
            </w:pPr>
            <w:r>
              <w:rPr>
                <w:rFonts w:ascii="Times New Roman" w:hAnsi="Times New Roman" w:eastAsia="Times New Roman" w:cs="Times New Roman"/>
                <w:b w:val="0"/>
                <w:sz w:val="19"/>
              </w:rPr>
              <w:t>Identify institutionally recognised heritage content and high-prestige site videos.</w:t>
            </w:r>
          </w:p>
        </w:tc>
      </w:tr>
      <w:tr w14:paraId="3D6B51E9">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58500E72">
            <w:pPr>
              <w:spacing w:before="0" w:after="0" w:line="240" w:lineRule="auto"/>
              <w:ind w:left="0" w:right="0" w:firstLine="0"/>
              <w:jc w:val="center"/>
            </w:pPr>
            <w:r>
              <w:rPr>
                <w:rFonts w:ascii="Times New Roman" w:hAnsi="Times New Roman" w:eastAsia="Times New Roman" w:cs="Times New Roman"/>
                <w:b w:val="0"/>
                <w:sz w:val="19"/>
              </w:rPr>
              <w:t>Museums and monuments</w:t>
            </w:r>
          </w:p>
        </w:tc>
        <w:tc>
          <w:tcPr>
            <w:tcW w:w="2412" w:type="dxa"/>
            <w:tcBorders>
              <w:top w:val="nil"/>
              <w:left w:val="nil"/>
              <w:bottom w:val="nil"/>
              <w:right w:val="nil"/>
              <w:insideH w:val="nil"/>
              <w:insideV w:val="nil"/>
            </w:tcBorders>
            <w:vAlign w:val="center"/>
          </w:tcPr>
          <w:p w14:paraId="42EC0867">
            <w:pPr>
              <w:spacing w:before="0" w:after="0" w:line="240" w:lineRule="auto"/>
              <w:ind w:left="0" w:right="0" w:firstLine="0"/>
              <w:jc w:val="center"/>
            </w:pPr>
            <w:r>
              <w:rPr>
                <w:rFonts w:ascii="Times New Roman" w:hAnsi="Times New Roman" w:eastAsia="Times New Roman" w:cs="Times New Roman"/>
                <w:b w:val="0"/>
                <w:sz w:val="19"/>
              </w:rPr>
              <w:t>museum; monument; historic building; archive</w:t>
            </w:r>
          </w:p>
        </w:tc>
        <w:tc>
          <w:tcPr>
            <w:tcW w:w="2412" w:type="dxa"/>
            <w:tcBorders>
              <w:top w:val="nil"/>
              <w:left w:val="nil"/>
              <w:bottom w:val="nil"/>
              <w:right w:val="nil"/>
              <w:insideH w:val="nil"/>
              <w:insideV w:val="nil"/>
            </w:tcBorders>
            <w:vAlign w:val="center"/>
          </w:tcPr>
          <w:p w14:paraId="611E44A2">
            <w:pPr>
              <w:spacing w:before="0" w:after="0" w:line="240" w:lineRule="auto"/>
              <w:ind w:left="0" w:right="0" w:firstLine="0"/>
              <w:jc w:val="center"/>
            </w:pPr>
            <w:r>
              <w:rPr>
                <w:rFonts w:ascii="Times New Roman" w:hAnsi="Times New Roman" w:eastAsia="Times New Roman" w:cs="Times New Roman"/>
                <w:b w:val="0"/>
                <w:sz w:val="19"/>
              </w:rPr>
              <w:t>博物馆; 纪念碑; 历史建筑; 档案</w:t>
            </w:r>
          </w:p>
        </w:tc>
        <w:tc>
          <w:tcPr>
            <w:tcW w:w="2412" w:type="dxa"/>
            <w:tcBorders>
              <w:top w:val="nil"/>
              <w:left w:val="nil"/>
              <w:bottom w:val="nil"/>
              <w:right w:val="nil"/>
              <w:insideH w:val="nil"/>
              <w:insideV w:val="nil"/>
            </w:tcBorders>
            <w:vAlign w:val="center"/>
          </w:tcPr>
          <w:p w14:paraId="1817C1C7">
            <w:pPr>
              <w:spacing w:before="0" w:after="0" w:line="240" w:lineRule="auto"/>
              <w:ind w:left="0" w:right="0" w:firstLine="0"/>
              <w:jc w:val="center"/>
            </w:pPr>
            <w:r>
              <w:rPr>
                <w:rFonts w:ascii="Times New Roman" w:hAnsi="Times New Roman" w:eastAsia="Times New Roman" w:cs="Times New Roman"/>
                <w:b w:val="0"/>
                <w:sz w:val="19"/>
              </w:rPr>
              <w:t>Capture formal heritage institutions and built-heritage content.</w:t>
            </w:r>
          </w:p>
        </w:tc>
      </w:tr>
      <w:tr w14:paraId="7E2FA449">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1F8F65B4">
            <w:pPr>
              <w:spacing w:before="0" w:after="0" w:line="240" w:lineRule="auto"/>
              <w:ind w:left="0" w:right="0" w:firstLine="0"/>
              <w:jc w:val="center"/>
            </w:pPr>
            <w:r>
              <w:rPr>
                <w:rFonts w:ascii="Times New Roman" w:hAnsi="Times New Roman" w:eastAsia="Times New Roman" w:cs="Times New Roman"/>
                <w:b w:val="0"/>
                <w:sz w:val="19"/>
              </w:rPr>
              <w:t>Archaeological and material heritage</w:t>
            </w:r>
          </w:p>
        </w:tc>
        <w:tc>
          <w:tcPr>
            <w:tcW w:w="2412" w:type="dxa"/>
            <w:tcBorders>
              <w:top w:val="nil"/>
              <w:left w:val="nil"/>
              <w:bottom w:val="nil"/>
              <w:right w:val="nil"/>
              <w:insideH w:val="nil"/>
              <w:insideV w:val="nil"/>
            </w:tcBorders>
            <w:vAlign w:val="center"/>
          </w:tcPr>
          <w:p w14:paraId="40F31E37">
            <w:pPr>
              <w:spacing w:before="0" w:after="0" w:line="240" w:lineRule="auto"/>
              <w:ind w:left="0" w:right="0" w:firstLine="0"/>
              <w:jc w:val="center"/>
            </w:pPr>
            <w:r>
              <w:rPr>
                <w:rFonts w:ascii="Times New Roman" w:hAnsi="Times New Roman" w:eastAsia="Times New Roman" w:cs="Times New Roman"/>
                <w:b w:val="0"/>
                <w:sz w:val="19"/>
              </w:rPr>
              <w:t>archaeology; ruins; excavation; relics</w:t>
            </w:r>
          </w:p>
        </w:tc>
        <w:tc>
          <w:tcPr>
            <w:tcW w:w="2412" w:type="dxa"/>
            <w:tcBorders>
              <w:top w:val="nil"/>
              <w:left w:val="nil"/>
              <w:bottom w:val="nil"/>
              <w:right w:val="nil"/>
              <w:insideH w:val="nil"/>
              <w:insideV w:val="nil"/>
            </w:tcBorders>
            <w:vAlign w:val="center"/>
          </w:tcPr>
          <w:p w14:paraId="76DD9AA9">
            <w:pPr>
              <w:spacing w:before="0" w:after="0" w:line="240" w:lineRule="auto"/>
              <w:ind w:left="0" w:right="0" w:firstLine="0"/>
              <w:jc w:val="center"/>
            </w:pPr>
            <w:r>
              <w:rPr>
                <w:rFonts w:ascii="Times New Roman" w:hAnsi="Times New Roman" w:eastAsia="Times New Roman" w:cs="Times New Roman"/>
                <w:b w:val="0"/>
                <w:sz w:val="19"/>
              </w:rPr>
              <w:t>考古; 遗址; 发掘; 文物</w:t>
            </w:r>
          </w:p>
        </w:tc>
        <w:tc>
          <w:tcPr>
            <w:tcW w:w="2412" w:type="dxa"/>
            <w:tcBorders>
              <w:top w:val="nil"/>
              <w:left w:val="nil"/>
              <w:bottom w:val="nil"/>
              <w:right w:val="nil"/>
              <w:insideH w:val="nil"/>
              <w:insideV w:val="nil"/>
            </w:tcBorders>
            <w:vAlign w:val="center"/>
          </w:tcPr>
          <w:p w14:paraId="1E51BB01">
            <w:pPr>
              <w:spacing w:before="0" w:after="0" w:line="240" w:lineRule="auto"/>
              <w:ind w:left="0" w:right="0" w:firstLine="0"/>
              <w:jc w:val="center"/>
            </w:pPr>
            <w:r>
              <w:rPr>
                <w:rFonts w:ascii="Times New Roman" w:hAnsi="Times New Roman" w:eastAsia="Times New Roman" w:cs="Times New Roman"/>
                <w:b w:val="0"/>
                <w:sz w:val="19"/>
              </w:rPr>
              <w:t>Capture material culture and archaeological presentation formats.</w:t>
            </w:r>
          </w:p>
        </w:tc>
      </w:tr>
      <w:tr w14:paraId="0A5AA3E9">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51FCC365">
            <w:pPr>
              <w:spacing w:before="0" w:after="0" w:line="240" w:lineRule="auto"/>
              <w:ind w:left="0" w:right="0" w:firstLine="0"/>
              <w:jc w:val="center"/>
            </w:pPr>
            <w:r>
              <w:rPr>
                <w:rFonts w:ascii="Times New Roman" w:hAnsi="Times New Roman" w:eastAsia="Times New Roman" w:cs="Times New Roman"/>
                <w:b w:val="0"/>
                <w:sz w:val="19"/>
              </w:rPr>
              <w:t>Folk craft and traditional arts</w:t>
            </w:r>
          </w:p>
        </w:tc>
        <w:tc>
          <w:tcPr>
            <w:tcW w:w="2412" w:type="dxa"/>
            <w:tcBorders>
              <w:top w:val="nil"/>
              <w:left w:val="nil"/>
              <w:bottom w:val="nil"/>
              <w:right w:val="nil"/>
              <w:insideH w:val="nil"/>
              <w:insideV w:val="nil"/>
            </w:tcBorders>
            <w:vAlign w:val="center"/>
          </w:tcPr>
          <w:p w14:paraId="190294A8">
            <w:pPr>
              <w:spacing w:before="0" w:after="0" w:line="240" w:lineRule="auto"/>
              <w:ind w:left="0" w:right="0" w:firstLine="0"/>
              <w:jc w:val="center"/>
            </w:pPr>
            <w:r>
              <w:rPr>
                <w:rFonts w:ascii="Times New Roman" w:hAnsi="Times New Roman" w:eastAsia="Times New Roman" w:cs="Times New Roman"/>
                <w:b w:val="0"/>
                <w:sz w:val="19"/>
              </w:rPr>
              <w:t>folk craft; traditional craft; handmade heritage; craftsperson</w:t>
            </w:r>
          </w:p>
        </w:tc>
        <w:tc>
          <w:tcPr>
            <w:tcW w:w="2412" w:type="dxa"/>
            <w:tcBorders>
              <w:top w:val="nil"/>
              <w:left w:val="nil"/>
              <w:bottom w:val="nil"/>
              <w:right w:val="nil"/>
              <w:insideH w:val="nil"/>
              <w:insideV w:val="nil"/>
            </w:tcBorders>
            <w:vAlign w:val="center"/>
          </w:tcPr>
          <w:p w14:paraId="366D85F3">
            <w:pPr>
              <w:spacing w:before="0" w:after="0" w:line="240" w:lineRule="auto"/>
              <w:ind w:left="0" w:right="0" w:firstLine="0"/>
              <w:jc w:val="center"/>
            </w:pPr>
            <w:r>
              <w:rPr>
                <w:rFonts w:ascii="Times New Roman" w:hAnsi="Times New Roman" w:eastAsia="Times New Roman" w:cs="Times New Roman"/>
                <w:b w:val="0"/>
                <w:sz w:val="19"/>
              </w:rPr>
              <w:t>民间工艺; 传统工艺; 手工艺; 非遗手艺人</w:t>
            </w:r>
          </w:p>
        </w:tc>
        <w:tc>
          <w:tcPr>
            <w:tcW w:w="2412" w:type="dxa"/>
            <w:tcBorders>
              <w:top w:val="nil"/>
              <w:left w:val="nil"/>
              <w:bottom w:val="nil"/>
              <w:right w:val="nil"/>
              <w:insideH w:val="nil"/>
              <w:insideV w:val="nil"/>
            </w:tcBorders>
            <w:vAlign w:val="center"/>
          </w:tcPr>
          <w:p w14:paraId="26C10C61">
            <w:pPr>
              <w:spacing w:before="0" w:after="0" w:line="240" w:lineRule="auto"/>
              <w:ind w:left="0" w:right="0" w:firstLine="0"/>
              <w:jc w:val="center"/>
            </w:pPr>
            <w:r>
              <w:rPr>
                <w:rFonts w:ascii="Times New Roman" w:hAnsi="Times New Roman" w:eastAsia="Times New Roman" w:cs="Times New Roman"/>
                <w:b w:val="0"/>
                <w:sz w:val="19"/>
              </w:rPr>
              <w:t>Identify visually demonstrable craft and popular heritage formats.</w:t>
            </w:r>
          </w:p>
        </w:tc>
      </w:tr>
      <w:tr w14:paraId="02979CA0">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23142ABB">
            <w:pPr>
              <w:spacing w:before="0" w:after="0" w:line="240" w:lineRule="auto"/>
              <w:ind w:left="0" w:right="0" w:firstLine="0"/>
              <w:jc w:val="center"/>
            </w:pPr>
            <w:r>
              <w:rPr>
                <w:rFonts w:ascii="Times New Roman" w:hAnsi="Times New Roman" w:eastAsia="Times New Roman" w:cs="Times New Roman"/>
                <w:b w:val="0"/>
                <w:sz w:val="19"/>
              </w:rPr>
              <w:t>Festivals and ritual practice</w:t>
            </w:r>
          </w:p>
        </w:tc>
        <w:tc>
          <w:tcPr>
            <w:tcW w:w="2412" w:type="dxa"/>
            <w:tcBorders>
              <w:top w:val="nil"/>
              <w:left w:val="nil"/>
              <w:bottom w:val="nil"/>
              <w:right w:val="nil"/>
              <w:insideH w:val="nil"/>
              <w:insideV w:val="nil"/>
            </w:tcBorders>
            <w:vAlign w:val="center"/>
          </w:tcPr>
          <w:p w14:paraId="44248FFE">
            <w:pPr>
              <w:spacing w:before="0" w:after="0" w:line="240" w:lineRule="auto"/>
              <w:ind w:left="0" w:right="0" w:firstLine="0"/>
              <w:jc w:val="center"/>
            </w:pPr>
            <w:r>
              <w:rPr>
                <w:rFonts w:ascii="Times New Roman" w:hAnsi="Times New Roman" w:eastAsia="Times New Roman" w:cs="Times New Roman"/>
                <w:b w:val="0"/>
                <w:sz w:val="19"/>
              </w:rPr>
              <w:t>traditional festival; ritual; ceremony; performance</w:t>
            </w:r>
          </w:p>
        </w:tc>
        <w:tc>
          <w:tcPr>
            <w:tcW w:w="2412" w:type="dxa"/>
            <w:tcBorders>
              <w:top w:val="nil"/>
              <w:left w:val="nil"/>
              <w:bottom w:val="nil"/>
              <w:right w:val="nil"/>
              <w:insideH w:val="nil"/>
              <w:insideV w:val="nil"/>
            </w:tcBorders>
            <w:vAlign w:val="center"/>
          </w:tcPr>
          <w:p w14:paraId="323C3903">
            <w:pPr>
              <w:spacing w:before="0" w:after="0" w:line="240" w:lineRule="auto"/>
              <w:ind w:left="0" w:right="0" w:firstLine="0"/>
              <w:jc w:val="center"/>
            </w:pPr>
            <w:r>
              <w:rPr>
                <w:rFonts w:ascii="Times New Roman" w:hAnsi="Times New Roman" w:eastAsia="Times New Roman" w:cs="Times New Roman"/>
                <w:b w:val="0"/>
                <w:sz w:val="19"/>
              </w:rPr>
              <w:t>传统节日; 仪式; 祭祀; 表演</w:t>
            </w:r>
          </w:p>
        </w:tc>
        <w:tc>
          <w:tcPr>
            <w:tcW w:w="2412" w:type="dxa"/>
            <w:tcBorders>
              <w:top w:val="nil"/>
              <w:left w:val="nil"/>
              <w:bottom w:val="nil"/>
              <w:right w:val="nil"/>
              <w:insideH w:val="nil"/>
              <w:insideV w:val="nil"/>
            </w:tcBorders>
            <w:vAlign w:val="center"/>
          </w:tcPr>
          <w:p w14:paraId="5E0A44AC">
            <w:pPr>
              <w:spacing w:before="0" w:after="0" w:line="240" w:lineRule="auto"/>
              <w:ind w:left="0" w:right="0" w:firstLine="0"/>
              <w:jc w:val="center"/>
            </w:pPr>
            <w:r>
              <w:rPr>
                <w:rFonts w:ascii="Times New Roman" w:hAnsi="Times New Roman" w:eastAsia="Times New Roman" w:cs="Times New Roman"/>
                <w:b w:val="0"/>
                <w:sz w:val="19"/>
              </w:rPr>
              <w:t>Identify embodied, ritual and performative heritage content.</w:t>
            </w:r>
          </w:p>
        </w:tc>
      </w:tr>
      <w:tr w14:paraId="0F856EC6">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0FDBC597">
            <w:pPr>
              <w:spacing w:before="0" w:after="0" w:line="240" w:lineRule="auto"/>
              <w:ind w:left="0" w:right="0" w:firstLine="0"/>
              <w:jc w:val="center"/>
            </w:pPr>
            <w:r>
              <w:rPr>
                <w:rFonts w:ascii="Times New Roman" w:hAnsi="Times New Roman" w:eastAsia="Times New Roman" w:cs="Times New Roman"/>
                <w:b w:val="0"/>
                <w:sz w:val="19"/>
              </w:rPr>
              <w:t>Intangible cultural heritage</w:t>
            </w:r>
          </w:p>
        </w:tc>
        <w:tc>
          <w:tcPr>
            <w:tcW w:w="2412" w:type="dxa"/>
            <w:tcBorders>
              <w:top w:val="nil"/>
              <w:left w:val="nil"/>
              <w:bottom w:val="nil"/>
              <w:right w:val="nil"/>
              <w:insideH w:val="nil"/>
              <w:insideV w:val="nil"/>
            </w:tcBorders>
            <w:vAlign w:val="center"/>
          </w:tcPr>
          <w:p w14:paraId="2D49E9F8">
            <w:pPr>
              <w:spacing w:before="0" w:after="0" w:line="240" w:lineRule="auto"/>
              <w:ind w:left="0" w:right="0" w:firstLine="0"/>
              <w:jc w:val="center"/>
            </w:pPr>
            <w:r>
              <w:rPr>
                <w:rFonts w:ascii="Times New Roman" w:hAnsi="Times New Roman" w:eastAsia="Times New Roman" w:cs="Times New Roman"/>
                <w:b w:val="0"/>
                <w:sz w:val="19"/>
              </w:rPr>
              <w:t>intangible cultural heritage; oral tradition; ICH</w:t>
            </w:r>
          </w:p>
        </w:tc>
        <w:tc>
          <w:tcPr>
            <w:tcW w:w="2412" w:type="dxa"/>
            <w:tcBorders>
              <w:top w:val="nil"/>
              <w:left w:val="nil"/>
              <w:bottom w:val="nil"/>
              <w:right w:val="nil"/>
              <w:insideH w:val="nil"/>
              <w:insideV w:val="nil"/>
            </w:tcBorders>
            <w:vAlign w:val="center"/>
          </w:tcPr>
          <w:p w14:paraId="760E1471">
            <w:pPr>
              <w:spacing w:before="0" w:after="0" w:line="240" w:lineRule="auto"/>
              <w:ind w:left="0" w:right="0" w:firstLine="0"/>
              <w:jc w:val="center"/>
            </w:pPr>
            <w:r>
              <w:rPr>
                <w:rFonts w:ascii="Times New Roman" w:hAnsi="Times New Roman" w:eastAsia="Times New Roman" w:cs="Times New Roman"/>
                <w:b w:val="0"/>
                <w:sz w:val="19"/>
              </w:rPr>
              <w:t>非物质文化遗产; 口述传统; 非遗</w:t>
            </w:r>
          </w:p>
        </w:tc>
        <w:tc>
          <w:tcPr>
            <w:tcW w:w="2412" w:type="dxa"/>
            <w:tcBorders>
              <w:top w:val="nil"/>
              <w:left w:val="nil"/>
              <w:bottom w:val="nil"/>
              <w:right w:val="nil"/>
              <w:insideH w:val="nil"/>
              <w:insideV w:val="nil"/>
            </w:tcBorders>
            <w:vAlign w:val="center"/>
          </w:tcPr>
          <w:p w14:paraId="4F841E3E">
            <w:pPr>
              <w:spacing w:before="0" w:after="0" w:line="240" w:lineRule="auto"/>
              <w:ind w:left="0" w:right="0" w:firstLine="0"/>
              <w:jc w:val="center"/>
            </w:pPr>
            <w:r>
              <w:rPr>
                <w:rFonts w:ascii="Times New Roman" w:hAnsi="Times New Roman" w:eastAsia="Times New Roman" w:cs="Times New Roman"/>
                <w:b w:val="0"/>
                <w:sz w:val="19"/>
              </w:rPr>
              <w:t>Capture non-material and context-dependent heritage practices.</w:t>
            </w:r>
          </w:p>
        </w:tc>
      </w:tr>
      <w:tr w14:paraId="3389A9DB">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2C2B3ACF">
            <w:pPr>
              <w:spacing w:before="0" w:after="0" w:line="240" w:lineRule="auto"/>
              <w:ind w:left="0" w:right="0" w:firstLine="0"/>
              <w:jc w:val="center"/>
            </w:pPr>
            <w:r>
              <w:rPr>
                <w:rFonts w:ascii="Times New Roman" w:hAnsi="Times New Roman" w:eastAsia="Times New Roman" w:cs="Times New Roman"/>
                <w:b w:val="0"/>
                <w:sz w:val="19"/>
              </w:rPr>
              <w:t>Minority and indigenous knowledge</w:t>
            </w:r>
          </w:p>
        </w:tc>
        <w:tc>
          <w:tcPr>
            <w:tcW w:w="2412" w:type="dxa"/>
            <w:tcBorders>
              <w:top w:val="nil"/>
              <w:left w:val="nil"/>
              <w:bottom w:val="nil"/>
              <w:right w:val="nil"/>
              <w:insideH w:val="nil"/>
              <w:insideV w:val="nil"/>
            </w:tcBorders>
            <w:vAlign w:val="center"/>
          </w:tcPr>
          <w:p w14:paraId="0BAAF0EB">
            <w:pPr>
              <w:spacing w:before="0" w:after="0" w:line="240" w:lineRule="auto"/>
              <w:ind w:left="0" w:right="0" w:firstLine="0"/>
              <w:jc w:val="center"/>
            </w:pPr>
            <w:r>
              <w:rPr>
                <w:rFonts w:ascii="Times New Roman" w:hAnsi="Times New Roman" w:eastAsia="Times New Roman" w:cs="Times New Roman"/>
                <w:b w:val="0"/>
                <w:sz w:val="19"/>
              </w:rPr>
              <w:t>minority culture; indigenous knowledge; local knowledge</w:t>
            </w:r>
          </w:p>
        </w:tc>
        <w:tc>
          <w:tcPr>
            <w:tcW w:w="2412" w:type="dxa"/>
            <w:tcBorders>
              <w:top w:val="nil"/>
              <w:left w:val="nil"/>
              <w:bottom w:val="nil"/>
              <w:right w:val="nil"/>
              <w:insideH w:val="nil"/>
              <w:insideV w:val="nil"/>
            </w:tcBorders>
            <w:vAlign w:val="center"/>
          </w:tcPr>
          <w:p w14:paraId="4BD2AF41">
            <w:pPr>
              <w:spacing w:before="0" w:after="0" w:line="240" w:lineRule="auto"/>
              <w:ind w:left="0" w:right="0" w:firstLine="0"/>
              <w:jc w:val="center"/>
            </w:pPr>
            <w:r>
              <w:rPr>
                <w:rFonts w:ascii="Times New Roman" w:hAnsi="Times New Roman" w:eastAsia="Times New Roman" w:cs="Times New Roman"/>
                <w:b w:val="0"/>
                <w:sz w:val="19"/>
              </w:rPr>
              <w:t>少数民族文化; 原住民知识; 地方知识</w:t>
            </w:r>
          </w:p>
        </w:tc>
        <w:tc>
          <w:tcPr>
            <w:tcW w:w="2412" w:type="dxa"/>
            <w:tcBorders>
              <w:top w:val="nil"/>
              <w:left w:val="nil"/>
              <w:bottom w:val="nil"/>
              <w:right w:val="nil"/>
              <w:insideH w:val="nil"/>
              <w:insideV w:val="nil"/>
            </w:tcBorders>
            <w:vAlign w:val="center"/>
          </w:tcPr>
          <w:p w14:paraId="71CB3BEE">
            <w:pPr>
              <w:spacing w:before="0" w:after="0" w:line="240" w:lineRule="auto"/>
              <w:ind w:left="0" w:right="0" w:firstLine="0"/>
              <w:jc w:val="center"/>
            </w:pPr>
            <w:r>
              <w:rPr>
                <w:rFonts w:ascii="Times New Roman" w:hAnsi="Times New Roman" w:eastAsia="Times New Roman" w:cs="Times New Roman"/>
                <w:b w:val="0"/>
                <w:sz w:val="19"/>
              </w:rPr>
              <w:t>Capture potentially under-visible heritage categories and community-specific knowledge.</w:t>
            </w:r>
          </w:p>
        </w:tc>
      </w:tr>
      <w:tr w14:paraId="711D94E5">
        <w:tblPrEx>
          <w:tblCellMar>
            <w:top w:w="0" w:type="dxa"/>
            <w:left w:w="108" w:type="dxa"/>
            <w:bottom w:w="0" w:type="dxa"/>
            <w:right w:w="108" w:type="dxa"/>
          </w:tblCellMar>
        </w:tblPrEx>
        <w:trPr>
          <w:jc w:val="center"/>
        </w:trPr>
        <w:tc>
          <w:tcPr>
            <w:tcW w:w="2412" w:type="dxa"/>
            <w:tcBorders>
              <w:top w:val="nil"/>
              <w:left w:val="nil"/>
              <w:bottom w:val="single" w:color="000000" w:sz="12" w:space="0"/>
              <w:right w:val="nil"/>
              <w:insideH w:val="nil"/>
              <w:insideV w:val="nil"/>
            </w:tcBorders>
            <w:vAlign w:val="center"/>
          </w:tcPr>
          <w:p w14:paraId="026407EA">
            <w:pPr>
              <w:spacing w:before="0" w:after="0" w:line="240" w:lineRule="auto"/>
              <w:ind w:left="0" w:right="0" w:firstLine="0"/>
              <w:jc w:val="center"/>
            </w:pPr>
            <w:r>
              <w:rPr>
                <w:rFonts w:ascii="Times New Roman" w:hAnsi="Times New Roman" w:eastAsia="Times New Roman" w:cs="Times New Roman"/>
                <w:b w:val="0"/>
                <w:sz w:val="19"/>
              </w:rPr>
              <w:t>Heritage education and reconstruction</w:t>
            </w:r>
          </w:p>
        </w:tc>
        <w:tc>
          <w:tcPr>
            <w:tcW w:w="2412" w:type="dxa"/>
            <w:tcBorders>
              <w:top w:val="nil"/>
              <w:left w:val="nil"/>
              <w:bottom w:val="single" w:color="000000" w:sz="12" w:space="0"/>
              <w:right w:val="nil"/>
              <w:insideH w:val="nil"/>
              <w:insideV w:val="nil"/>
            </w:tcBorders>
            <w:vAlign w:val="center"/>
          </w:tcPr>
          <w:p w14:paraId="1685B368">
            <w:pPr>
              <w:spacing w:before="0" w:after="0" w:line="240" w:lineRule="auto"/>
              <w:ind w:left="0" w:right="0" w:firstLine="0"/>
              <w:jc w:val="center"/>
            </w:pPr>
            <w:r>
              <w:rPr>
                <w:rFonts w:ascii="Times New Roman" w:hAnsi="Times New Roman" w:eastAsia="Times New Roman" w:cs="Times New Roman"/>
                <w:b w:val="0"/>
                <w:sz w:val="19"/>
              </w:rPr>
              <w:t>heritage education; digital reconstruction; restoration</w:t>
            </w:r>
          </w:p>
        </w:tc>
        <w:tc>
          <w:tcPr>
            <w:tcW w:w="2412" w:type="dxa"/>
            <w:tcBorders>
              <w:top w:val="nil"/>
              <w:left w:val="nil"/>
              <w:bottom w:val="single" w:color="000000" w:sz="12" w:space="0"/>
              <w:right w:val="nil"/>
              <w:insideH w:val="nil"/>
              <w:insideV w:val="nil"/>
            </w:tcBorders>
            <w:vAlign w:val="center"/>
          </w:tcPr>
          <w:p w14:paraId="60B9165F">
            <w:pPr>
              <w:spacing w:before="0" w:after="0" w:line="240" w:lineRule="auto"/>
              <w:ind w:left="0" w:right="0" w:firstLine="0"/>
              <w:jc w:val="center"/>
            </w:pPr>
            <w:r>
              <w:rPr>
                <w:rFonts w:ascii="Times New Roman" w:hAnsi="Times New Roman" w:eastAsia="Times New Roman" w:cs="Times New Roman"/>
                <w:b w:val="0"/>
                <w:sz w:val="19"/>
              </w:rPr>
              <w:t>遗产教育; 数字复原; 修复</w:t>
            </w:r>
          </w:p>
        </w:tc>
        <w:tc>
          <w:tcPr>
            <w:tcW w:w="2412" w:type="dxa"/>
            <w:tcBorders>
              <w:top w:val="nil"/>
              <w:left w:val="nil"/>
              <w:bottom w:val="single" w:color="000000" w:sz="12" w:space="0"/>
              <w:right w:val="nil"/>
              <w:insideH w:val="nil"/>
              <w:insideV w:val="nil"/>
            </w:tcBorders>
            <w:vAlign w:val="center"/>
          </w:tcPr>
          <w:p w14:paraId="4CC0C842">
            <w:pPr>
              <w:spacing w:before="0" w:after="0" w:line="240" w:lineRule="auto"/>
              <w:ind w:left="0" w:right="0" w:firstLine="0"/>
              <w:jc w:val="center"/>
            </w:pPr>
            <w:r>
              <w:rPr>
                <w:rFonts w:ascii="Times New Roman" w:hAnsi="Times New Roman" w:eastAsia="Times New Roman" w:cs="Times New Roman"/>
                <w:b w:val="0"/>
                <w:sz w:val="19"/>
              </w:rPr>
              <w:t>Identify explanatory, educational or digitally mediated heritage content.</w:t>
            </w:r>
          </w:p>
        </w:tc>
      </w:tr>
    </w:tbl>
    <w:p w14:paraId="59C82BF9">
      <w:pPr>
        <w:spacing w:before="120" w:after="40" w:line="240" w:lineRule="auto"/>
        <w:ind w:left="0" w:right="0" w:firstLine="0"/>
        <w:jc w:val="center"/>
      </w:pPr>
      <w:r>
        <w:rPr>
          <w:rFonts w:ascii="Times New Roman" w:hAnsi="Times New Roman" w:eastAsia="Times New Roman" w:cs="Times New Roman"/>
          <w:b/>
          <w:i w:val="0"/>
          <w:sz w:val="24"/>
        </w:rPr>
        <w:t>Table S2.</w:t>
      </w:r>
      <w:r>
        <w:rPr>
          <w:rFonts w:ascii="Times New Roman" w:hAnsi="Times New Roman" w:eastAsia="Times New Roman" w:cs="Times New Roman"/>
          <w:i w:val="0"/>
          <w:sz w:val="24"/>
        </w:rPr>
        <w:t xml:space="preserve"> Inclusion and exclusion rules</w:t>
      </w:r>
    </w:p>
    <w:tbl>
      <w:tblPr>
        <w:tblStyle w:val="32"/>
        <w:tblW w:w="0" w:type="auto"/>
        <w:jc w:val="center"/>
        <w:tblLayout w:type="autofit"/>
        <w:tblCellMar>
          <w:top w:w="0" w:type="dxa"/>
          <w:left w:w="108" w:type="dxa"/>
          <w:bottom w:w="0" w:type="dxa"/>
          <w:right w:w="108" w:type="dxa"/>
        </w:tblCellMar>
      </w:tblPr>
      <w:tblGrid>
        <w:gridCol w:w="3193"/>
        <w:gridCol w:w="3192"/>
        <w:gridCol w:w="3191"/>
      </w:tblGrid>
      <w:tr w14:paraId="1EB0E907">
        <w:tblPrEx>
          <w:tblCellMar>
            <w:top w:w="0" w:type="dxa"/>
            <w:left w:w="108" w:type="dxa"/>
            <w:bottom w:w="0" w:type="dxa"/>
            <w:right w:w="108" w:type="dxa"/>
          </w:tblCellMar>
        </w:tblPrEx>
        <w:trPr>
          <w:jc w:val="center"/>
        </w:trPr>
        <w:tc>
          <w:tcPr>
            <w:tcW w:w="3216" w:type="dxa"/>
            <w:tcBorders>
              <w:top w:val="single" w:color="000000" w:sz="12" w:space="0"/>
              <w:left w:val="nil"/>
              <w:bottom w:val="single" w:color="000000" w:sz="8" w:space="0"/>
              <w:right w:val="nil"/>
              <w:insideH w:val="nil"/>
              <w:insideV w:val="nil"/>
            </w:tcBorders>
            <w:vAlign w:val="center"/>
          </w:tcPr>
          <w:p w14:paraId="6E90607C">
            <w:pPr>
              <w:spacing w:before="0" w:after="0" w:line="240" w:lineRule="auto"/>
              <w:ind w:left="0" w:right="0" w:firstLine="0"/>
              <w:jc w:val="center"/>
            </w:pPr>
            <w:r>
              <w:rPr>
                <w:rFonts w:ascii="Times New Roman" w:hAnsi="Times New Roman" w:eastAsia="Times New Roman" w:cs="Times New Roman"/>
                <w:b/>
                <w:sz w:val="19"/>
              </w:rPr>
              <w:t>Decision area</w:t>
            </w:r>
          </w:p>
        </w:tc>
        <w:tc>
          <w:tcPr>
            <w:tcW w:w="3216" w:type="dxa"/>
            <w:tcBorders>
              <w:top w:val="single" w:color="000000" w:sz="12" w:space="0"/>
              <w:left w:val="nil"/>
              <w:bottom w:val="single" w:color="000000" w:sz="8" w:space="0"/>
              <w:right w:val="nil"/>
              <w:insideH w:val="nil"/>
              <w:insideV w:val="nil"/>
            </w:tcBorders>
            <w:vAlign w:val="center"/>
          </w:tcPr>
          <w:p w14:paraId="29EA3412">
            <w:pPr>
              <w:spacing w:before="0" w:after="0" w:line="240" w:lineRule="auto"/>
              <w:ind w:left="0" w:right="0" w:firstLine="0"/>
              <w:jc w:val="center"/>
            </w:pPr>
            <w:r>
              <w:rPr>
                <w:rFonts w:ascii="Times New Roman" w:hAnsi="Times New Roman" w:eastAsia="Times New Roman" w:cs="Times New Roman"/>
                <w:b/>
                <w:sz w:val="19"/>
              </w:rPr>
              <w:t>Included</w:t>
            </w:r>
          </w:p>
        </w:tc>
        <w:tc>
          <w:tcPr>
            <w:tcW w:w="3216" w:type="dxa"/>
            <w:tcBorders>
              <w:top w:val="single" w:color="000000" w:sz="12" w:space="0"/>
              <w:left w:val="nil"/>
              <w:bottom w:val="single" w:color="000000" w:sz="8" w:space="0"/>
              <w:right w:val="nil"/>
              <w:insideH w:val="nil"/>
              <w:insideV w:val="nil"/>
            </w:tcBorders>
            <w:vAlign w:val="center"/>
          </w:tcPr>
          <w:p w14:paraId="09EBBFEB">
            <w:pPr>
              <w:spacing w:before="0" w:after="0" w:line="240" w:lineRule="auto"/>
              <w:ind w:left="0" w:right="0" w:firstLine="0"/>
              <w:jc w:val="center"/>
            </w:pPr>
            <w:r>
              <w:rPr>
                <w:rFonts w:ascii="Times New Roman" w:hAnsi="Times New Roman" w:eastAsia="Times New Roman" w:cs="Times New Roman"/>
                <w:b/>
                <w:sz w:val="19"/>
              </w:rPr>
              <w:t>Excluded</w:t>
            </w:r>
          </w:p>
        </w:tc>
      </w:tr>
      <w:tr w14:paraId="72E62B17">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34424BB6">
            <w:pPr>
              <w:spacing w:before="0" w:after="0" w:line="240" w:lineRule="auto"/>
              <w:ind w:left="0" w:right="0" w:firstLine="0"/>
              <w:jc w:val="center"/>
            </w:pPr>
            <w:r>
              <w:rPr>
                <w:rFonts w:ascii="Times New Roman" w:hAnsi="Times New Roman" w:eastAsia="Times New Roman" w:cs="Times New Roman"/>
                <w:b w:val="0"/>
                <w:sz w:val="19"/>
              </w:rPr>
              <w:t>Visibility and access</w:t>
            </w:r>
          </w:p>
        </w:tc>
        <w:tc>
          <w:tcPr>
            <w:tcW w:w="3216" w:type="dxa"/>
            <w:tcBorders>
              <w:top w:val="nil"/>
              <w:left w:val="nil"/>
              <w:bottom w:val="nil"/>
              <w:right w:val="nil"/>
              <w:insideH w:val="nil"/>
              <w:insideV w:val="nil"/>
            </w:tcBorders>
            <w:vAlign w:val="center"/>
          </w:tcPr>
          <w:p w14:paraId="0637AE73">
            <w:pPr>
              <w:spacing w:before="0" w:after="0" w:line="240" w:lineRule="auto"/>
              <w:ind w:left="0" w:right="0" w:firstLine="0"/>
              <w:jc w:val="center"/>
            </w:pPr>
            <w:r>
              <w:rPr>
                <w:rFonts w:ascii="Times New Roman" w:hAnsi="Times New Roman" w:eastAsia="Times New Roman" w:cs="Times New Roman"/>
                <w:b w:val="0"/>
                <w:sz w:val="19"/>
              </w:rPr>
              <w:t>Publicly accessible posts and metadata visible through API or public-page collection.</w:t>
            </w:r>
          </w:p>
        </w:tc>
        <w:tc>
          <w:tcPr>
            <w:tcW w:w="3216" w:type="dxa"/>
            <w:tcBorders>
              <w:top w:val="nil"/>
              <w:left w:val="nil"/>
              <w:bottom w:val="nil"/>
              <w:right w:val="nil"/>
              <w:insideH w:val="nil"/>
              <w:insideV w:val="nil"/>
            </w:tcBorders>
            <w:vAlign w:val="center"/>
          </w:tcPr>
          <w:p w14:paraId="0FA3F6A3">
            <w:pPr>
              <w:spacing w:before="0" w:after="0" w:line="240" w:lineRule="auto"/>
              <w:ind w:left="0" w:right="0" w:firstLine="0"/>
              <w:jc w:val="center"/>
            </w:pPr>
            <w:r>
              <w:rPr>
                <w:rFonts w:ascii="Times New Roman" w:hAnsi="Times New Roman" w:eastAsia="Times New Roman" w:cs="Times New Roman"/>
                <w:b w:val="0"/>
                <w:sz w:val="19"/>
              </w:rPr>
              <w:t>Private profiles, private messages, removed content and region-restricted posts not visible during collection.</w:t>
            </w:r>
          </w:p>
        </w:tc>
      </w:tr>
      <w:tr w14:paraId="70226D6F">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60FCEBB2">
            <w:pPr>
              <w:spacing w:before="0" w:after="0" w:line="240" w:lineRule="auto"/>
              <w:ind w:left="0" w:right="0" w:firstLine="0"/>
              <w:jc w:val="center"/>
            </w:pPr>
            <w:r>
              <w:rPr>
                <w:rFonts w:ascii="Times New Roman" w:hAnsi="Times New Roman" w:eastAsia="Times New Roman" w:cs="Times New Roman"/>
                <w:b w:val="0"/>
                <w:sz w:val="19"/>
              </w:rPr>
              <w:t>Content relevance</w:t>
            </w:r>
          </w:p>
        </w:tc>
        <w:tc>
          <w:tcPr>
            <w:tcW w:w="3216" w:type="dxa"/>
            <w:tcBorders>
              <w:top w:val="nil"/>
              <w:left w:val="nil"/>
              <w:bottom w:val="nil"/>
              <w:right w:val="nil"/>
              <w:insideH w:val="nil"/>
              <w:insideV w:val="nil"/>
            </w:tcBorders>
            <w:vAlign w:val="center"/>
          </w:tcPr>
          <w:p w14:paraId="26591158">
            <w:pPr>
              <w:spacing w:before="0" w:after="0" w:line="240" w:lineRule="auto"/>
              <w:ind w:left="0" w:right="0" w:firstLine="0"/>
              <w:jc w:val="center"/>
            </w:pPr>
            <w:r>
              <w:rPr>
                <w:rFonts w:ascii="Times New Roman" w:hAnsi="Times New Roman" w:eastAsia="Times New Roman" w:cs="Times New Roman"/>
                <w:b w:val="0"/>
                <w:sz w:val="19"/>
              </w:rPr>
              <w:t>Posts whose title, description, hashtag or visual/audio content refers to cultural heritage, heritage practice or heritage institution.</w:t>
            </w:r>
          </w:p>
        </w:tc>
        <w:tc>
          <w:tcPr>
            <w:tcW w:w="3216" w:type="dxa"/>
            <w:tcBorders>
              <w:top w:val="nil"/>
              <w:left w:val="nil"/>
              <w:bottom w:val="nil"/>
              <w:right w:val="nil"/>
              <w:insideH w:val="nil"/>
              <w:insideV w:val="nil"/>
            </w:tcBorders>
            <w:vAlign w:val="center"/>
          </w:tcPr>
          <w:p w14:paraId="1DBC2191">
            <w:pPr>
              <w:spacing w:before="0" w:after="0" w:line="240" w:lineRule="auto"/>
              <w:ind w:left="0" w:right="0" w:firstLine="0"/>
              <w:jc w:val="center"/>
            </w:pPr>
            <w:r>
              <w:rPr>
                <w:rFonts w:ascii="Times New Roman" w:hAnsi="Times New Roman" w:eastAsia="Times New Roman" w:cs="Times New Roman"/>
                <w:b w:val="0"/>
                <w:sz w:val="19"/>
              </w:rPr>
              <w:t>General tourism, lifestyle, commercial product or travel advertising posts without substantive heritage content.</w:t>
            </w:r>
          </w:p>
        </w:tc>
      </w:tr>
      <w:tr w14:paraId="13B3778B">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3A1A0D6C">
            <w:pPr>
              <w:spacing w:before="0" w:after="0" w:line="240" w:lineRule="auto"/>
              <w:ind w:left="0" w:right="0" w:firstLine="0"/>
              <w:jc w:val="center"/>
            </w:pPr>
            <w:r>
              <w:rPr>
                <w:rFonts w:ascii="Times New Roman" w:hAnsi="Times New Roman" w:eastAsia="Times New Roman" w:cs="Times New Roman"/>
                <w:b w:val="0"/>
                <w:sz w:val="19"/>
              </w:rPr>
              <w:t>Record quality</w:t>
            </w:r>
          </w:p>
        </w:tc>
        <w:tc>
          <w:tcPr>
            <w:tcW w:w="3216" w:type="dxa"/>
            <w:tcBorders>
              <w:top w:val="nil"/>
              <w:left w:val="nil"/>
              <w:bottom w:val="nil"/>
              <w:right w:val="nil"/>
              <w:insideH w:val="nil"/>
              <w:insideV w:val="nil"/>
            </w:tcBorders>
            <w:vAlign w:val="center"/>
          </w:tcPr>
          <w:p w14:paraId="0D60AF2E">
            <w:pPr>
              <w:spacing w:before="0" w:after="0" w:line="240" w:lineRule="auto"/>
              <w:ind w:left="0" w:right="0" w:firstLine="0"/>
              <w:jc w:val="center"/>
            </w:pPr>
            <w:r>
              <w:rPr>
                <w:rFonts w:ascii="Times New Roman" w:hAnsi="Times New Roman" w:eastAsia="Times New Roman" w:cs="Times New Roman"/>
                <w:b w:val="0"/>
                <w:sz w:val="19"/>
              </w:rPr>
              <w:t>Records with sufficient metadata for platform, upload timing, visibility metric and core engagement variables.</w:t>
            </w:r>
          </w:p>
        </w:tc>
        <w:tc>
          <w:tcPr>
            <w:tcW w:w="3216" w:type="dxa"/>
            <w:tcBorders>
              <w:top w:val="nil"/>
              <w:left w:val="nil"/>
              <w:bottom w:val="nil"/>
              <w:right w:val="nil"/>
              <w:insideH w:val="nil"/>
              <w:insideV w:val="nil"/>
            </w:tcBorders>
            <w:vAlign w:val="center"/>
          </w:tcPr>
          <w:p w14:paraId="609541F3">
            <w:pPr>
              <w:spacing w:before="0" w:after="0" w:line="240" w:lineRule="auto"/>
              <w:ind w:left="0" w:right="0" w:firstLine="0"/>
              <w:jc w:val="center"/>
            </w:pPr>
            <w:r>
              <w:rPr>
                <w:rFonts w:ascii="Times New Roman" w:hAnsi="Times New Roman" w:eastAsia="Times New Roman" w:cs="Times New Roman"/>
                <w:b w:val="0"/>
                <w:sz w:val="19"/>
              </w:rPr>
              <w:t>Records missing essential metadata for the main models.</w:t>
            </w:r>
          </w:p>
        </w:tc>
      </w:tr>
      <w:tr w14:paraId="1D830426">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3AD71473">
            <w:pPr>
              <w:spacing w:before="0" w:after="0" w:line="240" w:lineRule="auto"/>
              <w:ind w:left="0" w:right="0" w:firstLine="0"/>
              <w:jc w:val="center"/>
            </w:pPr>
            <w:r>
              <w:rPr>
                <w:rFonts w:ascii="Times New Roman" w:hAnsi="Times New Roman" w:eastAsia="Times New Roman" w:cs="Times New Roman"/>
                <w:b w:val="0"/>
                <w:sz w:val="19"/>
              </w:rPr>
              <w:t>Deduplication</w:t>
            </w:r>
          </w:p>
        </w:tc>
        <w:tc>
          <w:tcPr>
            <w:tcW w:w="3216" w:type="dxa"/>
            <w:tcBorders>
              <w:top w:val="nil"/>
              <w:left w:val="nil"/>
              <w:bottom w:val="nil"/>
              <w:right w:val="nil"/>
              <w:insideH w:val="nil"/>
              <w:insideV w:val="nil"/>
            </w:tcBorders>
            <w:vAlign w:val="center"/>
          </w:tcPr>
          <w:p w14:paraId="473B5971">
            <w:pPr>
              <w:spacing w:before="0" w:after="0" w:line="240" w:lineRule="auto"/>
              <w:ind w:left="0" w:right="0" w:firstLine="0"/>
              <w:jc w:val="center"/>
            </w:pPr>
            <w:r>
              <w:rPr>
                <w:rFonts w:ascii="Times New Roman" w:hAnsi="Times New Roman" w:eastAsia="Times New Roman" w:cs="Times New Roman"/>
                <w:b w:val="0"/>
                <w:sz w:val="19"/>
              </w:rPr>
              <w:t>Unique videos or posts identified by platform identifiers and metadata matching.</w:t>
            </w:r>
          </w:p>
        </w:tc>
        <w:tc>
          <w:tcPr>
            <w:tcW w:w="3216" w:type="dxa"/>
            <w:tcBorders>
              <w:top w:val="nil"/>
              <w:left w:val="nil"/>
              <w:bottom w:val="nil"/>
              <w:right w:val="nil"/>
              <w:insideH w:val="nil"/>
              <w:insideV w:val="nil"/>
            </w:tcBorders>
            <w:vAlign w:val="center"/>
          </w:tcPr>
          <w:p w14:paraId="5CDC12E1">
            <w:pPr>
              <w:spacing w:before="0" w:after="0" w:line="240" w:lineRule="auto"/>
              <w:ind w:left="0" w:right="0" w:firstLine="0"/>
              <w:jc w:val="center"/>
            </w:pPr>
            <w:r>
              <w:rPr>
                <w:rFonts w:ascii="Times New Roman" w:hAnsi="Times New Roman" w:eastAsia="Times New Roman" w:cs="Times New Roman"/>
                <w:b w:val="0"/>
                <w:sz w:val="19"/>
              </w:rPr>
              <w:t>Reposts or duplicate records with identical platform identifiers or duplicate metadata signatures.</w:t>
            </w:r>
          </w:p>
        </w:tc>
      </w:tr>
      <w:tr w14:paraId="12BB61F1">
        <w:tblPrEx>
          <w:tblCellMar>
            <w:top w:w="0" w:type="dxa"/>
            <w:left w:w="108" w:type="dxa"/>
            <w:bottom w:w="0" w:type="dxa"/>
            <w:right w:w="108" w:type="dxa"/>
          </w:tblCellMar>
        </w:tblPrEx>
        <w:trPr>
          <w:jc w:val="center"/>
        </w:trPr>
        <w:tc>
          <w:tcPr>
            <w:tcW w:w="3216" w:type="dxa"/>
            <w:tcBorders>
              <w:top w:val="nil"/>
              <w:left w:val="nil"/>
              <w:bottom w:val="single" w:color="000000" w:sz="12" w:space="0"/>
              <w:right w:val="nil"/>
              <w:insideH w:val="nil"/>
              <w:insideV w:val="nil"/>
            </w:tcBorders>
            <w:vAlign w:val="center"/>
          </w:tcPr>
          <w:p w14:paraId="734DF2D5">
            <w:pPr>
              <w:spacing w:before="0" w:after="0" w:line="240" w:lineRule="auto"/>
              <w:ind w:left="0" w:right="0" w:firstLine="0"/>
              <w:jc w:val="center"/>
            </w:pPr>
            <w:r>
              <w:rPr>
                <w:rFonts w:ascii="Times New Roman" w:hAnsi="Times New Roman" w:eastAsia="Times New Roman" w:cs="Times New Roman"/>
                <w:b w:val="0"/>
                <w:sz w:val="19"/>
              </w:rPr>
              <w:t>Ethics</w:t>
            </w:r>
          </w:p>
        </w:tc>
        <w:tc>
          <w:tcPr>
            <w:tcW w:w="3216" w:type="dxa"/>
            <w:tcBorders>
              <w:top w:val="nil"/>
              <w:left w:val="nil"/>
              <w:bottom w:val="single" w:color="000000" w:sz="12" w:space="0"/>
              <w:right w:val="nil"/>
              <w:insideH w:val="nil"/>
              <w:insideV w:val="nil"/>
            </w:tcBorders>
            <w:vAlign w:val="center"/>
          </w:tcPr>
          <w:p w14:paraId="4A41672B">
            <w:pPr>
              <w:spacing w:before="0" w:after="0" w:line="240" w:lineRule="auto"/>
              <w:ind w:left="0" w:right="0" w:firstLine="0"/>
              <w:jc w:val="center"/>
            </w:pPr>
            <w:r>
              <w:rPr>
                <w:rFonts w:ascii="Times New Roman" w:hAnsi="Times New Roman" w:eastAsia="Times New Roman" w:cs="Times New Roman"/>
                <w:b w:val="0"/>
                <w:sz w:val="19"/>
              </w:rPr>
              <w:t>Aggregate analysis of public posts, with identifiers removed or hashed for sharing.</w:t>
            </w:r>
          </w:p>
        </w:tc>
        <w:tc>
          <w:tcPr>
            <w:tcW w:w="3216" w:type="dxa"/>
            <w:tcBorders>
              <w:top w:val="nil"/>
              <w:left w:val="nil"/>
              <w:bottom w:val="single" w:color="000000" w:sz="12" w:space="0"/>
              <w:right w:val="nil"/>
              <w:insideH w:val="nil"/>
              <w:insideV w:val="nil"/>
            </w:tcBorders>
            <w:vAlign w:val="center"/>
          </w:tcPr>
          <w:p w14:paraId="38132C4D">
            <w:pPr>
              <w:spacing w:before="0" w:after="0" w:line="240" w:lineRule="auto"/>
              <w:ind w:left="0" w:right="0" w:firstLine="0"/>
              <w:jc w:val="center"/>
            </w:pPr>
            <w:r>
              <w:rPr>
                <w:rFonts w:ascii="Times New Roman" w:hAnsi="Times New Roman" w:eastAsia="Times New Roman" w:cs="Times New Roman"/>
                <w:b w:val="0"/>
                <w:sz w:val="19"/>
              </w:rPr>
              <w:t>Attempts to identify private individuals, infer sensitive attributes or profile users.</w:t>
            </w:r>
          </w:p>
        </w:tc>
      </w:tr>
    </w:tbl>
    <w:p w14:paraId="104FB1AD">
      <w:pPr>
        <w:pStyle w:val="3"/>
        <w:spacing w:before="0" w:after="80" w:line="240" w:lineRule="auto"/>
        <w:ind w:left="0" w:right="0" w:firstLine="0"/>
        <w:jc w:val="both"/>
      </w:pPr>
      <w:r>
        <w:rPr>
          <w:rFonts w:ascii="Times New Roman" w:hAnsi="Times New Roman" w:eastAsia="Times New Roman" w:cs="Times New Roman"/>
          <w:b/>
          <w:i w:val="0"/>
          <w:color w:val="0D2B4A"/>
          <w:sz w:val="24"/>
        </w:rPr>
        <w:t>S2. Variable definitions and measurement protocol</w:t>
      </w:r>
    </w:p>
    <w:p w14:paraId="6D30EF99">
      <w:pPr>
        <w:spacing w:before="120" w:after="40" w:line="240" w:lineRule="auto"/>
        <w:ind w:left="0" w:right="0" w:firstLine="0"/>
        <w:jc w:val="center"/>
      </w:pPr>
      <w:r>
        <w:rPr>
          <w:rFonts w:ascii="Times New Roman" w:hAnsi="Times New Roman" w:eastAsia="Times New Roman" w:cs="Times New Roman"/>
          <w:b/>
          <w:i w:val="0"/>
          <w:sz w:val="24"/>
        </w:rPr>
        <w:t>Table S3 lists the analytical variables reported in the main manuscript. Platform-specific indicators were harmonised at the construct level rather than treated as perfectly identical raw fields. All continuous predictors were z-standardised before regression analysis.</w:t>
      </w:r>
    </w:p>
    <w:tbl>
      <w:tblPr>
        <w:tblStyle w:val="32"/>
        <w:tblW w:w="0" w:type="auto"/>
        <w:jc w:val="center"/>
        <w:tblLayout w:type="autofit"/>
        <w:tblCellMar>
          <w:top w:w="0" w:type="dxa"/>
          <w:left w:w="108" w:type="dxa"/>
          <w:bottom w:w="0" w:type="dxa"/>
          <w:right w:w="108" w:type="dxa"/>
        </w:tblCellMar>
      </w:tblPr>
      <w:tblGrid>
        <w:gridCol w:w="1905"/>
        <w:gridCol w:w="1924"/>
        <w:gridCol w:w="1923"/>
        <w:gridCol w:w="1916"/>
        <w:gridCol w:w="1908"/>
      </w:tblGrid>
      <w:tr w14:paraId="45D86734">
        <w:tblPrEx>
          <w:tblCellMar>
            <w:top w:w="0" w:type="dxa"/>
            <w:left w:w="108" w:type="dxa"/>
            <w:bottom w:w="0" w:type="dxa"/>
            <w:right w:w="108" w:type="dxa"/>
          </w:tblCellMar>
        </w:tblPrEx>
        <w:trPr>
          <w:jc w:val="center"/>
        </w:trPr>
        <w:tc>
          <w:tcPr>
            <w:tcW w:w="1930" w:type="dxa"/>
            <w:tcBorders>
              <w:top w:val="single" w:color="000000" w:sz="12" w:space="0"/>
              <w:left w:val="nil"/>
              <w:bottom w:val="single" w:color="000000" w:sz="8" w:space="0"/>
              <w:right w:val="nil"/>
              <w:insideH w:val="nil"/>
              <w:insideV w:val="nil"/>
            </w:tcBorders>
            <w:vAlign w:val="center"/>
          </w:tcPr>
          <w:p w14:paraId="12ACE3D4">
            <w:pPr>
              <w:spacing w:before="0" w:after="0" w:line="240" w:lineRule="auto"/>
              <w:ind w:left="0" w:right="0" w:firstLine="0"/>
              <w:jc w:val="center"/>
            </w:pPr>
            <w:r>
              <w:rPr>
                <w:rFonts w:ascii="Times New Roman" w:hAnsi="Times New Roman" w:eastAsia="Times New Roman" w:cs="Times New Roman"/>
                <w:b/>
                <w:sz w:val="19"/>
              </w:rPr>
              <w:t>Variable</w:t>
            </w:r>
          </w:p>
        </w:tc>
        <w:tc>
          <w:tcPr>
            <w:tcW w:w="1930" w:type="dxa"/>
            <w:tcBorders>
              <w:top w:val="single" w:color="000000" w:sz="12" w:space="0"/>
              <w:left w:val="nil"/>
              <w:bottom w:val="single" w:color="000000" w:sz="8" w:space="0"/>
              <w:right w:val="nil"/>
              <w:insideH w:val="nil"/>
              <w:insideV w:val="nil"/>
            </w:tcBorders>
            <w:vAlign w:val="center"/>
          </w:tcPr>
          <w:p w14:paraId="34B7416C">
            <w:pPr>
              <w:spacing w:before="0" w:after="0" w:line="240" w:lineRule="auto"/>
              <w:ind w:left="0" w:right="0" w:firstLine="0"/>
              <w:jc w:val="center"/>
            </w:pPr>
            <w:r>
              <w:rPr>
                <w:rFonts w:ascii="Times New Roman" w:hAnsi="Times New Roman" w:eastAsia="Times New Roman" w:cs="Times New Roman"/>
                <w:b/>
                <w:sz w:val="19"/>
              </w:rPr>
              <w:t>Role</w:t>
            </w:r>
          </w:p>
        </w:tc>
        <w:tc>
          <w:tcPr>
            <w:tcW w:w="1930" w:type="dxa"/>
            <w:tcBorders>
              <w:top w:val="single" w:color="000000" w:sz="12" w:space="0"/>
              <w:left w:val="nil"/>
              <w:bottom w:val="single" w:color="000000" w:sz="8" w:space="0"/>
              <w:right w:val="nil"/>
              <w:insideH w:val="nil"/>
              <w:insideV w:val="nil"/>
            </w:tcBorders>
            <w:vAlign w:val="center"/>
          </w:tcPr>
          <w:p w14:paraId="540C8616">
            <w:pPr>
              <w:spacing w:before="0" w:after="0" w:line="240" w:lineRule="auto"/>
              <w:ind w:left="0" w:right="0" w:firstLine="0"/>
              <w:jc w:val="center"/>
            </w:pPr>
            <w:r>
              <w:rPr>
                <w:rFonts w:ascii="Times New Roman" w:hAnsi="Times New Roman" w:eastAsia="Times New Roman" w:cs="Times New Roman"/>
                <w:b/>
                <w:sz w:val="19"/>
              </w:rPr>
              <w:t>Operational definition</w:t>
            </w:r>
          </w:p>
        </w:tc>
        <w:tc>
          <w:tcPr>
            <w:tcW w:w="1930" w:type="dxa"/>
            <w:tcBorders>
              <w:top w:val="single" w:color="000000" w:sz="12" w:space="0"/>
              <w:left w:val="nil"/>
              <w:bottom w:val="single" w:color="000000" w:sz="8" w:space="0"/>
              <w:right w:val="nil"/>
              <w:insideH w:val="nil"/>
              <w:insideV w:val="nil"/>
            </w:tcBorders>
            <w:vAlign w:val="center"/>
          </w:tcPr>
          <w:p w14:paraId="3E98DF7A">
            <w:pPr>
              <w:spacing w:before="0" w:after="0" w:line="240" w:lineRule="auto"/>
              <w:ind w:left="0" w:right="0" w:firstLine="0"/>
              <w:jc w:val="center"/>
            </w:pPr>
            <w:r>
              <w:rPr>
                <w:rFonts w:ascii="Times New Roman" w:hAnsi="Times New Roman" w:eastAsia="Times New Roman" w:cs="Times New Roman"/>
                <w:b/>
                <w:sz w:val="19"/>
              </w:rPr>
              <w:t>Transformation</w:t>
            </w:r>
          </w:p>
        </w:tc>
        <w:tc>
          <w:tcPr>
            <w:tcW w:w="1930" w:type="dxa"/>
            <w:tcBorders>
              <w:top w:val="single" w:color="000000" w:sz="12" w:space="0"/>
              <w:left w:val="nil"/>
              <w:bottom w:val="single" w:color="000000" w:sz="8" w:space="0"/>
              <w:right w:val="nil"/>
              <w:insideH w:val="nil"/>
              <w:insideV w:val="nil"/>
            </w:tcBorders>
            <w:vAlign w:val="center"/>
          </w:tcPr>
          <w:p w14:paraId="456DF75D">
            <w:pPr>
              <w:spacing w:before="0" w:after="0" w:line="240" w:lineRule="auto"/>
              <w:ind w:left="0" w:right="0" w:firstLine="0"/>
              <w:jc w:val="center"/>
            </w:pPr>
            <w:r>
              <w:rPr>
                <w:rFonts w:ascii="Times New Roman" w:hAnsi="Times New Roman" w:eastAsia="Times New Roman" w:cs="Times New Roman"/>
                <w:b/>
                <w:sz w:val="19"/>
              </w:rPr>
              <w:t>Verification material</w:t>
            </w:r>
          </w:p>
        </w:tc>
      </w:tr>
      <w:tr w14:paraId="788281F6">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26A872DD">
            <w:pPr>
              <w:spacing w:before="0" w:after="0" w:line="240" w:lineRule="auto"/>
              <w:ind w:left="0" w:right="0" w:firstLine="0"/>
              <w:jc w:val="center"/>
            </w:pPr>
            <w:r>
              <w:rPr>
                <w:rFonts w:ascii="Times New Roman" w:hAnsi="Times New Roman" w:eastAsia="Times New Roman" w:cs="Times New Roman"/>
                <w:b w:val="0"/>
                <w:sz w:val="19"/>
              </w:rPr>
              <w:t>Emotional valence</w:t>
            </w:r>
          </w:p>
        </w:tc>
        <w:tc>
          <w:tcPr>
            <w:tcW w:w="1930" w:type="dxa"/>
            <w:tcBorders>
              <w:top w:val="nil"/>
              <w:left w:val="nil"/>
              <w:bottom w:val="nil"/>
              <w:right w:val="nil"/>
              <w:insideH w:val="nil"/>
              <w:insideV w:val="nil"/>
            </w:tcBorders>
            <w:vAlign w:val="center"/>
          </w:tcPr>
          <w:p w14:paraId="4BC09E28">
            <w:pPr>
              <w:spacing w:before="0" w:after="0" w:line="240" w:lineRule="auto"/>
              <w:ind w:left="0" w:right="0" w:firstLine="0"/>
              <w:jc w:val="center"/>
            </w:pPr>
            <w:r>
              <w:rPr>
                <w:rFonts w:ascii="Times New Roman" w:hAnsi="Times New Roman" w:eastAsia="Times New Roman" w:cs="Times New Roman"/>
                <w:b w:val="0"/>
                <w:sz w:val="19"/>
              </w:rPr>
              <w:t>Independent variable</w:t>
            </w:r>
          </w:p>
        </w:tc>
        <w:tc>
          <w:tcPr>
            <w:tcW w:w="1930" w:type="dxa"/>
            <w:tcBorders>
              <w:top w:val="nil"/>
              <w:left w:val="nil"/>
              <w:bottom w:val="nil"/>
              <w:right w:val="nil"/>
              <w:insideH w:val="nil"/>
              <w:insideV w:val="nil"/>
            </w:tcBorders>
            <w:vAlign w:val="center"/>
          </w:tcPr>
          <w:p w14:paraId="1A6CCBA7">
            <w:pPr>
              <w:spacing w:before="0" w:after="0" w:line="240" w:lineRule="auto"/>
              <w:ind w:left="0" w:right="0" w:firstLine="0"/>
              <w:jc w:val="center"/>
            </w:pPr>
            <w:r>
              <w:rPr>
                <w:rFonts w:ascii="Times New Roman" w:hAnsi="Times New Roman" w:eastAsia="Times New Roman" w:cs="Times New Roman"/>
                <w:b w:val="0"/>
                <w:sz w:val="19"/>
              </w:rPr>
              <w:t>Arousal and valence measured from titles, descriptions and transcripts using LIWC-22 and transformer-assisted scoring.</w:t>
            </w:r>
          </w:p>
        </w:tc>
        <w:tc>
          <w:tcPr>
            <w:tcW w:w="1930" w:type="dxa"/>
            <w:tcBorders>
              <w:top w:val="nil"/>
              <w:left w:val="nil"/>
              <w:bottom w:val="nil"/>
              <w:right w:val="nil"/>
              <w:insideH w:val="nil"/>
              <w:insideV w:val="nil"/>
            </w:tcBorders>
            <w:vAlign w:val="center"/>
          </w:tcPr>
          <w:p w14:paraId="7DFED8F1">
            <w:pPr>
              <w:spacing w:before="0" w:after="0" w:line="240" w:lineRule="auto"/>
              <w:ind w:left="0" w:right="0" w:firstLine="0"/>
              <w:jc w:val="center"/>
            </w:pPr>
            <w:r>
              <w:rPr>
                <w:rFonts w:ascii="Times New Roman" w:hAnsi="Times New Roman" w:eastAsia="Times New Roman" w:cs="Times New Roman"/>
                <w:b w:val="0"/>
                <w:sz w:val="19"/>
              </w:rPr>
              <w:t>-1 to +1 score; z-standardised for models</w:t>
            </w:r>
          </w:p>
        </w:tc>
        <w:tc>
          <w:tcPr>
            <w:tcW w:w="1930" w:type="dxa"/>
            <w:tcBorders>
              <w:top w:val="nil"/>
              <w:left w:val="nil"/>
              <w:bottom w:val="nil"/>
              <w:right w:val="nil"/>
              <w:insideH w:val="nil"/>
              <w:insideV w:val="nil"/>
            </w:tcBorders>
            <w:vAlign w:val="center"/>
          </w:tcPr>
          <w:p w14:paraId="71F1E384">
            <w:pPr>
              <w:spacing w:before="0" w:after="0" w:line="240" w:lineRule="auto"/>
              <w:ind w:left="0" w:right="0" w:firstLine="0"/>
              <w:jc w:val="center"/>
            </w:pPr>
            <w:r>
              <w:rPr>
                <w:rFonts w:ascii="Times New Roman" w:hAnsi="Times New Roman" w:eastAsia="Times New Roman" w:cs="Times New Roman"/>
                <w:b w:val="0"/>
                <w:sz w:val="19"/>
              </w:rPr>
              <w:t>Dictionary settings, segmentation logs and annotation subset.</w:t>
            </w:r>
          </w:p>
        </w:tc>
      </w:tr>
      <w:tr w14:paraId="3A4E6C67">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350C3F70">
            <w:pPr>
              <w:spacing w:before="0" w:after="0" w:line="240" w:lineRule="auto"/>
              <w:ind w:left="0" w:right="0" w:firstLine="0"/>
              <w:jc w:val="center"/>
            </w:pPr>
            <w:r>
              <w:rPr>
                <w:rFonts w:ascii="Times New Roman" w:hAnsi="Times New Roman" w:eastAsia="Times New Roman" w:cs="Times New Roman"/>
                <w:b w:val="0"/>
                <w:sz w:val="19"/>
              </w:rPr>
              <w:t>Visual spectacle</w:t>
            </w:r>
          </w:p>
        </w:tc>
        <w:tc>
          <w:tcPr>
            <w:tcW w:w="1930" w:type="dxa"/>
            <w:tcBorders>
              <w:top w:val="nil"/>
              <w:left w:val="nil"/>
              <w:bottom w:val="nil"/>
              <w:right w:val="nil"/>
              <w:insideH w:val="nil"/>
              <w:insideV w:val="nil"/>
            </w:tcBorders>
            <w:vAlign w:val="center"/>
          </w:tcPr>
          <w:p w14:paraId="40BD3E42">
            <w:pPr>
              <w:spacing w:before="0" w:after="0" w:line="240" w:lineRule="auto"/>
              <w:ind w:left="0" w:right="0" w:firstLine="0"/>
              <w:jc w:val="center"/>
            </w:pPr>
            <w:r>
              <w:rPr>
                <w:rFonts w:ascii="Times New Roman" w:hAnsi="Times New Roman" w:eastAsia="Times New Roman" w:cs="Times New Roman"/>
                <w:b w:val="0"/>
                <w:sz w:val="19"/>
              </w:rPr>
              <w:t>Independent variable</w:t>
            </w:r>
          </w:p>
        </w:tc>
        <w:tc>
          <w:tcPr>
            <w:tcW w:w="1930" w:type="dxa"/>
            <w:tcBorders>
              <w:top w:val="nil"/>
              <w:left w:val="nil"/>
              <w:bottom w:val="nil"/>
              <w:right w:val="nil"/>
              <w:insideH w:val="nil"/>
              <w:insideV w:val="nil"/>
            </w:tcBorders>
            <w:vAlign w:val="center"/>
          </w:tcPr>
          <w:p w14:paraId="77A59B29">
            <w:pPr>
              <w:spacing w:before="0" w:after="0" w:line="240" w:lineRule="auto"/>
              <w:ind w:left="0" w:right="0" w:firstLine="0"/>
              <w:jc w:val="center"/>
            </w:pPr>
            <w:r>
              <w:rPr>
                <w:rFonts w:ascii="Times New Roman" w:hAnsi="Times New Roman" w:eastAsia="Times New Roman" w:cs="Times New Roman"/>
                <w:b w:val="0"/>
                <w:sz w:val="19"/>
              </w:rPr>
              <w:t>Composite of brightness variance, optical-flow motion, colour saturation and face-detection probability.</w:t>
            </w:r>
          </w:p>
        </w:tc>
        <w:tc>
          <w:tcPr>
            <w:tcW w:w="1930" w:type="dxa"/>
            <w:tcBorders>
              <w:top w:val="nil"/>
              <w:left w:val="nil"/>
              <w:bottom w:val="nil"/>
              <w:right w:val="nil"/>
              <w:insideH w:val="nil"/>
              <w:insideV w:val="nil"/>
            </w:tcBorders>
            <w:vAlign w:val="center"/>
          </w:tcPr>
          <w:p w14:paraId="45594C32">
            <w:pPr>
              <w:spacing w:before="0" w:after="0" w:line="240" w:lineRule="auto"/>
              <w:ind w:left="0" w:right="0" w:firstLine="0"/>
              <w:jc w:val="center"/>
            </w:pPr>
            <w:r>
              <w:rPr>
                <w:rFonts w:ascii="Times New Roman" w:hAnsi="Times New Roman" w:eastAsia="Times New Roman" w:cs="Times New Roman"/>
                <w:b w:val="0"/>
                <w:sz w:val="19"/>
              </w:rPr>
              <w:t>Components z-standardised and aggregated into 0-1 composite</w:t>
            </w:r>
          </w:p>
        </w:tc>
        <w:tc>
          <w:tcPr>
            <w:tcW w:w="1930" w:type="dxa"/>
            <w:tcBorders>
              <w:top w:val="nil"/>
              <w:left w:val="nil"/>
              <w:bottom w:val="nil"/>
              <w:right w:val="nil"/>
              <w:insideH w:val="nil"/>
              <w:insideV w:val="nil"/>
            </w:tcBorders>
            <w:vAlign w:val="center"/>
          </w:tcPr>
          <w:p w14:paraId="3EC89673">
            <w:pPr>
              <w:spacing w:before="0" w:after="0" w:line="240" w:lineRule="auto"/>
              <w:ind w:left="0" w:right="0" w:firstLine="0"/>
              <w:jc w:val="center"/>
            </w:pPr>
            <w:r>
              <w:rPr>
                <w:rFonts w:ascii="Times New Roman" w:hAnsi="Times New Roman" w:eastAsia="Times New Roman" w:cs="Times New Roman"/>
                <w:b w:val="0"/>
                <w:sz w:val="19"/>
              </w:rPr>
              <w:t>Computer-vision extraction script and feature dictionary.</w:t>
            </w:r>
          </w:p>
        </w:tc>
      </w:tr>
      <w:tr w14:paraId="5D62EB58">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4D10174B">
            <w:pPr>
              <w:spacing w:before="0" w:after="0" w:line="240" w:lineRule="auto"/>
              <w:ind w:left="0" w:right="0" w:firstLine="0"/>
              <w:jc w:val="center"/>
            </w:pPr>
            <w:r>
              <w:rPr>
                <w:rFonts w:ascii="Times New Roman" w:hAnsi="Times New Roman" w:eastAsia="Times New Roman" w:cs="Times New Roman"/>
                <w:b w:val="0"/>
                <w:sz w:val="19"/>
              </w:rPr>
              <w:t>Heritage prestige</w:t>
            </w:r>
          </w:p>
        </w:tc>
        <w:tc>
          <w:tcPr>
            <w:tcW w:w="1930" w:type="dxa"/>
            <w:tcBorders>
              <w:top w:val="nil"/>
              <w:left w:val="nil"/>
              <w:bottom w:val="nil"/>
              <w:right w:val="nil"/>
              <w:insideH w:val="nil"/>
              <w:insideV w:val="nil"/>
            </w:tcBorders>
            <w:vAlign w:val="center"/>
          </w:tcPr>
          <w:p w14:paraId="16F232F7">
            <w:pPr>
              <w:spacing w:before="0" w:after="0" w:line="240" w:lineRule="auto"/>
              <w:ind w:left="0" w:right="0" w:firstLine="0"/>
              <w:jc w:val="center"/>
            </w:pPr>
            <w:r>
              <w:rPr>
                <w:rFonts w:ascii="Times New Roman" w:hAnsi="Times New Roman" w:eastAsia="Times New Roman" w:cs="Times New Roman"/>
                <w:b w:val="0"/>
                <w:sz w:val="19"/>
              </w:rPr>
              <w:t>Independent variable</w:t>
            </w:r>
          </w:p>
        </w:tc>
        <w:tc>
          <w:tcPr>
            <w:tcW w:w="1930" w:type="dxa"/>
            <w:tcBorders>
              <w:top w:val="nil"/>
              <w:left w:val="nil"/>
              <w:bottom w:val="nil"/>
              <w:right w:val="nil"/>
              <w:insideH w:val="nil"/>
              <w:insideV w:val="nil"/>
            </w:tcBorders>
            <w:vAlign w:val="center"/>
          </w:tcPr>
          <w:p w14:paraId="58B25288">
            <w:pPr>
              <w:spacing w:before="0" w:after="0" w:line="240" w:lineRule="auto"/>
              <w:ind w:left="0" w:right="0" w:firstLine="0"/>
              <w:jc w:val="center"/>
            </w:pPr>
            <w:r>
              <w:rPr>
                <w:rFonts w:ascii="Times New Roman" w:hAnsi="Times New Roman" w:eastAsia="Times New Roman" w:cs="Times New Roman"/>
                <w:b w:val="0"/>
                <w:sz w:val="19"/>
              </w:rPr>
              <w:t>Five-point institutional recognition scale based on UNESCO/national status and scholarly endorsement.</w:t>
            </w:r>
          </w:p>
        </w:tc>
        <w:tc>
          <w:tcPr>
            <w:tcW w:w="1930" w:type="dxa"/>
            <w:tcBorders>
              <w:top w:val="nil"/>
              <w:left w:val="nil"/>
              <w:bottom w:val="nil"/>
              <w:right w:val="nil"/>
              <w:insideH w:val="nil"/>
              <w:insideV w:val="nil"/>
            </w:tcBorders>
            <w:vAlign w:val="center"/>
          </w:tcPr>
          <w:p w14:paraId="79F22C11">
            <w:pPr>
              <w:spacing w:before="0" w:after="0" w:line="240" w:lineRule="auto"/>
              <w:ind w:left="0" w:right="0" w:firstLine="0"/>
              <w:jc w:val="center"/>
            </w:pPr>
            <w:r>
              <w:rPr>
                <w:rFonts w:ascii="Times New Roman" w:hAnsi="Times New Roman" w:eastAsia="Times New Roman" w:cs="Times New Roman"/>
                <w:b w:val="0"/>
                <w:sz w:val="19"/>
              </w:rPr>
              <w:t>Ordinal 1-5; z-standardised for models</w:t>
            </w:r>
          </w:p>
        </w:tc>
        <w:tc>
          <w:tcPr>
            <w:tcW w:w="1930" w:type="dxa"/>
            <w:tcBorders>
              <w:top w:val="nil"/>
              <w:left w:val="nil"/>
              <w:bottom w:val="nil"/>
              <w:right w:val="nil"/>
              <w:insideH w:val="nil"/>
              <w:insideV w:val="nil"/>
            </w:tcBorders>
            <w:vAlign w:val="center"/>
          </w:tcPr>
          <w:p w14:paraId="1CE853EF">
            <w:pPr>
              <w:spacing w:before="0" w:after="0" w:line="240" w:lineRule="auto"/>
              <w:ind w:left="0" w:right="0" w:firstLine="0"/>
              <w:jc w:val="center"/>
            </w:pPr>
            <w:r>
              <w:rPr>
                <w:rFonts w:ascii="Times New Roman" w:hAnsi="Times New Roman" w:eastAsia="Times New Roman" w:cs="Times New Roman"/>
                <w:b w:val="0"/>
                <w:sz w:val="19"/>
              </w:rPr>
              <w:t>Expert coding protocol and adjudication notes.</w:t>
            </w:r>
          </w:p>
        </w:tc>
      </w:tr>
      <w:tr w14:paraId="412C9312">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70DC85F7">
            <w:pPr>
              <w:spacing w:before="0" w:after="0" w:line="240" w:lineRule="auto"/>
              <w:ind w:left="0" w:right="0" w:firstLine="0"/>
              <w:jc w:val="center"/>
            </w:pPr>
            <w:r>
              <w:rPr>
                <w:rFonts w:ascii="Times New Roman" w:hAnsi="Times New Roman" w:eastAsia="Times New Roman" w:cs="Times New Roman"/>
                <w:b w:val="0"/>
                <w:sz w:val="19"/>
              </w:rPr>
              <w:t>Hashtag popularity</w:t>
            </w:r>
          </w:p>
        </w:tc>
        <w:tc>
          <w:tcPr>
            <w:tcW w:w="1930" w:type="dxa"/>
            <w:tcBorders>
              <w:top w:val="nil"/>
              <w:left w:val="nil"/>
              <w:bottom w:val="nil"/>
              <w:right w:val="nil"/>
              <w:insideH w:val="nil"/>
              <w:insideV w:val="nil"/>
            </w:tcBorders>
            <w:vAlign w:val="center"/>
          </w:tcPr>
          <w:p w14:paraId="693BA228">
            <w:pPr>
              <w:spacing w:before="0" w:after="0" w:line="240" w:lineRule="auto"/>
              <w:ind w:left="0" w:right="0" w:firstLine="0"/>
              <w:jc w:val="center"/>
            </w:pPr>
            <w:r>
              <w:rPr>
                <w:rFonts w:ascii="Times New Roman" w:hAnsi="Times New Roman" w:eastAsia="Times New Roman" w:cs="Times New Roman"/>
                <w:b w:val="0"/>
                <w:sz w:val="19"/>
              </w:rPr>
              <w:t>Independent variable</w:t>
            </w:r>
          </w:p>
        </w:tc>
        <w:tc>
          <w:tcPr>
            <w:tcW w:w="1930" w:type="dxa"/>
            <w:tcBorders>
              <w:top w:val="nil"/>
              <w:left w:val="nil"/>
              <w:bottom w:val="nil"/>
              <w:right w:val="nil"/>
              <w:insideH w:val="nil"/>
              <w:insideV w:val="nil"/>
            </w:tcBorders>
            <w:vAlign w:val="center"/>
          </w:tcPr>
          <w:p w14:paraId="6A80FFD4">
            <w:pPr>
              <w:spacing w:before="0" w:after="0" w:line="240" w:lineRule="auto"/>
              <w:ind w:left="0" w:right="0" w:firstLine="0"/>
              <w:jc w:val="center"/>
            </w:pPr>
            <w:r>
              <w:rPr>
                <w:rFonts w:ascii="Times New Roman" w:hAnsi="Times New Roman" w:eastAsia="Times New Roman" w:cs="Times New Roman"/>
                <w:b w:val="0"/>
                <w:sz w:val="19"/>
              </w:rPr>
              <w:t>Mean visibility or traffic associated with hashtags used by the post.</w:t>
            </w:r>
          </w:p>
        </w:tc>
        <w:tc>
          <w:tcPr>
            <w:tcW w:w="1930" w:type="dxa"/>
            <w:tcBorders>
              <w:top w:val="nil"/>
              <w:left w:val="nil"/>
              <w:bottom w:val="nil"/>
              <w:right w:val="nil"/>
              <w:insideH w:val="nil"/>
              <w:insideV w:val="nil"/>
            </w:tcBorders>
            <w:vAlign w:val="center"/>
          </w:tcPr>
          <w:p w14:paraId="462E6B55">
            <w:pPr>
              <w:spacing w:before="0" w:after="0" w:line="240" w:lineRule="auto"/>
              <w:ind w:left="0" w:right="0" w:firstLine="0"/>
              <w:jc w:val="center"/>
            </w:pPr>
            <w:r>
              <w:rPr>
                <w:rFonts w:ascii="Times New Roman" w:hAnsi="Times New Roman" w:eastAsia="Times New Roman" w:cs="Times New Roman"/>
                <w:b w:val="0"/>
                <w:sz w:val="19"/>
              </w:rPr>
              <w:t>Log transformed</w:t>
            </w:r>
          </w:p>
        </w:tc>
        <w:tc>
          <w:tcPr>
            <w:tcW w:w="1930" w:type="dxa"/>
            <w:tcBorders>
              <w:top w:val="nil"/>
              <w:left w:val="nil"/>
              <w:bottom w:val="nil"/>
              <w:right w:val="nil"/>
              <w:insideH w:val="nil"/>
              <w:insideV w:val="nil"/>
            </w:tcBorders>
            <w:vAlign w:val="center"/>
          </w:tcPr>
          <w:p w14:paraId="2DCC2048">
            <w:pPr>
              <w:spacing w:before="0" w:after="0" w:line="240" w:lineRule="auto"/>
              <w:ind w:left="0" w:right="0" w:firstLine="0"/>
              <w:jc w:val="center"/>
            </w:pPr>
            <w:r>
              <w:rPr>
                <w:rFonts w:ascii="Times New Roman" w:hAnsi="Times New Roman" w:eastAsia="Times New Roman" w:cs="Times New Roman"/>
                <w:b w:val="0"/>
                <w:sz w:val="19"/>
              </w:rPr>
              <w:t>Hashtag query output and platform-specific collection log.</w:t>
            </w:r>
          </w:p>
        </w:tc>
      </w:tr>
      <w:tr w14:paraId="2ABA15F5">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25E7F066">
            <w:pPr>
              <w:spacing w:before="0" w:after="0" w:line="240" w:lineRule="auto"/>
              <w:ind w:left="0" w:right="0" w:firstLine="0"/>
              <w:jc w:val="center"/>
            </w:pPr>
            <w:r>
              <w:rPr>
                <w:rFonts w:ascii="Times New Roman" w:hAnsi="Times New Roman" w:eastAsia="Times New Roman" w:cs="Times New Roman"/>
                <w:b w:val="0"/>
                <w:sz w:val="19"/>
              </w:rPr>
              <w:t>Creator followers</w:t>
            </w:r>
          </w:p>
        </w:tc>
        <w:tc>
          <w:tcPr>
            <w:tcW w:w="1930" w:type="dxa"/>
            <w:tcBorders>
              <w:top w:val="nil"/>
              <w:left w:val="nil"/>
              <w:bottom w:val="nil"/>
              <w:right w:val="nil"/>
              <w:insideH w:val="nil"/>
              <w:insideV w:val="nil"/>
            </w:tcBorders>
            <w:vAlign w:val="center"/>
          </w:tcPr>
          <w:p w14:paraId="3625BFBC">
            <w:pPr>
              <w:spacing w:before="0" w:after="0" w:line="240" w:lineRule="auto"/>
              <w:ind w:left="0" w:right="0" w:firstLine="0"/>
              <w:jc w:val="center"/>
            </w:pPr>
            <w:r>
              <w:rPr>
                <w:rFonts w:ascii="Times New Roman" w:hAnsi="Times New Roman" w:eastAsia="Times New Roman" w:cs="Times New Roman"/>
                <w:b w:val="0"/>
                <w:sz w:val="19"/>
              </w:rPr>
              <w:t>Independent variable/control</w:t>
            </w:r>
          </w:p>
        </w:tc>
        <w:tc>
          <w:tcPr>
            <w:tcW w:w="1930" w:type="dxa"/>
            <w:tcBorders>
              <w:top w:val="nil"/>
              <w:left w:val="nil"/>
              <w:bottom w:val="nil"/>
              <w:right w:val="nil"/>
              <w:insideH w:val="nil"/>
              <w:insideV w:val="nil"/>
            </w:tcBorders>
            <w:vAlign w:val="center"/>
          </w:tcPr>
          <w:p w14:paraId="1BD7A028">
            <w:pPr>
              <w:spacing w:before="0" w:after="0" w:line="240" w:lineRule="auto"/>
              <w:ind w:left="0" w:right="0" w:firstLine="0"/>
              <w:jc w:val="center"/>
            </w:pPr>
            <w:r>
              <w:rPr>
                <w:rFonts w:ascii="Times New Roman" w:hAnsi="Times New Roman" w:eastAsia="Times New Roman" w:cs="Times New Roman"/>
                <w:b w:val="0"/>
                <w:sz w:val="19"/>
              </w:rPr>
              <w:t>Follower/subscriber count or closest public creator-size metric at upload/collection.</w:t>
            </w:r>
          </w:p>
        </w:tc>
        <w:tc>
          <w:tcPr>
            <w:tcW w:w="1930" w:type="dxa"/>
            <w:tcBorders>
              <w:top w:val="nil"/>
              <w:left w:val="nil"/>
              <w:bottom w:val="nil"/>
              <w:right w:val="nil"/>
              <w:insideH w:val="nil"/>
              <w:insideV w:val="nil"/>
            </w:tcBorders>
            <w:vAlign w:val="center"/>
          </w:tcPr>
          <w:p w14:paraId="147D4AB4">
            <w:pPr>
              <w:spacing w:before="0" w:after="0" w:line="240" w:lineRule="auto"/>
              <w:ind w:left="0" w:right="0" w:firstLine="0"/>
              <w:jc w:val="center"/>
            </w:pPr>
            <w:r>
              <w:rPr>
                <w:rFonts w:ascii="Times New Roman" w:hAnsi="Times New Roman" w:eastAsia="Times New Roman" w:cs="Times New Roman"/>
                <w:b w:val="0"/>
                <w:sz w:val="19"/>
              </w:rPr>
              <w:t>Log transformed</w:t>
            </w:r>
          </w:p>
        </w:tc>
        <w:tc>
          <w:tcPr>
            <w:tcW w:w="1930" w:type="dxa"/>
            <w:tcBorders>
              <w:top w:val="nil"/>
              <w:left w:val="nil"/>
              <w:bottom w:val="nil"/>
              <w:right w:val="nil"/>
              <w:insideH w:val="nil"/>
              <w:insideV w:val="nil"/>
            </w:tcBorders>
            <w:vAlign w:val="center"/>
          </w:tcPr>
          <w:p w14:paraId="4B009DC3">
            <w:pPr>
              <w:spacing w:before="0" w:after="0" w:line="240" w:lineRule="auto"/>
              <w:ind w:left="0" w:right="0" w:firstLine="0"/>
              <w:jc w:val="center"/>
            </w:pPr>
            <w:r>
              <w:rPr>
                <w:rFonts w:ascii="Times New Roman" w:hAnsi="Times New Roman" w:eastAsia="Times New Roman" w:cs="Times New Roman"/>
                <w:b w:val="0"/>
                <w:sz w:val="19"/>
              </w:rPr>
              <w:t>Creator metadata field dictionary.</w:t>
            </w:r>
          </w:p>
        </w:tc>
      </w:tr>
      <w:tr w14:paraId="32F077A9">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20C4CC2A">
            <w:pPr>
              <w:spacing w:before="0" w:after="0" w:line="240" w:lineRule="auto"/>
              <w:ind w:left="0" w:right="0" w:firstLine="0"/>
              <w:jc w:val="center"/>
            </w:pPr>
            <w:r>
              <w:rPr>
                <w:rFonts w:ascii="Times New Roman" w:hAnsi="Times New Roman" w:eastAsia="Times New Roman" w:cs="Times New Roman"/>
                <w:b w:val="0"/>
                <w:sz w:val="19"/>
              </w:rPr>
              <w:t>Engagement velocity</w:t>
            </w:r>
          </w:p>
        </w:tc>
        <w:tc>
          <w:tcPr>
            <w:tcW w:w="1930" w:type="dxa"/>
            <w:tcBorders>
              <w:top w:val="nil"/>
              <w:left w:val="nil"/>
              <w:bottom w:val="nil"/>
              <w:right w:val="nil"/>
              <w:insideH w:val="nil"/>
              <w:insideV w:val="nil"/>
            </w:tcBorders>
            <w:vAlign w:val="center"/>
          </w:tcPr>
          <w:p w14:paraId="24C70B71">
            <w:pPr>
              <w:spacing w:before="0" w:after="0" w:line="240" w:lineRule="auto"/>
              <w:ind w:left="0" w:right="0" w:firstLine="0"/>
              <w:jc w:val="center"/>
            </w:pPr>
            <w:r>
              <w:rPr>
                <w:rFonts w:ascii="Times New Roman" w:hAnsi="Times New Roman" w:eastAsia="Times New Roman" w:cs="Times New Roman"/>
                <w:b w:val="0"/>
                <w:sz w:val="19"/>
              </w:rPr>
              <w:t>Mediator/dependent variable</w:t>
            </w:r>
          </w:p>
        </w:tc>
        <w:tc>
          <w:tcPr>
            <w:tcW w:w="1930" w:type="dxa"/>
            <w:tcBorders>
              <w:top w:val="nil"/>
              <w:left w:val="nil"/>
              <w:bottom w:val="nil"/>
              <w:right w:val="nil"/>
              <w:insideH w:val="nil"/>
              <w:insideV w:val="nil"/>
            </w:tcBorders>
            <w:vAlign w:val="center"/>
          </w:tcPr>
          <w:p w14:paraId="213F9D10">
            <w:pPr>
              <w:spacing w:before="0" w:after="0" w:line="240" w:lineRule="auto"/>
              <w:ind w:left="0" w:right="0" w:firstLine="0"/>
              <w:jc w:val="center"/>
            </w:pPr>
            <w:r>
              <w:rPr>
                <w:rFonts w:ascii="Times New Roman" w:hAnsi="Times New Roman" w:eastAsia="Times New Roman" w:cs="Times New Roman"/>
                <w:b w:val="0"/>
                <w:sz w:val="19"/>
              </w:rPr>
              <w:t>Platform-harmonised 72-hour engagement composite from views, likes, shares, comments, saves or equivalent indicators.</w:t>
            </w:r>
          </w:p>
        </w:tc>
        <w:tc>
          <w:tcPr>
            <w:tcW w:w="1930" w:type="dxa"/>
            <w:tcBorders>
              <w:top w:val="nil"/>
              <w:left w:val="nil"/>
              <w:bottom w:val="nil"/>
              <w:right w:val="nil"/>
              <w:insideH w:val="nil"/>
              <w:insideV w:val="nil"/>
            </w:tcBorders>
            <w:vAlign w:val="center"/>
          </w:tcPr>
          <w:p w14:paraId="08B65BC5">
            <w:pPr>
              <w:spacing w:before="0" w:after="0" w:line="240" w:lineRule="auto"/>
              <w:ind w:left="0" w:right="0" w:firstLine="0"/>
              <w:jc w:val="center"/>
            </w:pPr>
            <w:r>
              <w:rPr>
                <w:rFonts w:ascii="Times New Roman" w:hAnsi="Times New Roman" w:eastAsia="Times New Roman" w:cs="Times New Roman"/>
                <w:b w:val="0"/>
                <w:sz w:val="19"/>
              </w:rPr>
              <w:t>Log transformed</w:t>
            </w:r>
          </w:p>
        </w:tc>
        <w:tc>
          <w:tcPr>
            <w:tcW w:w="1930" w:type="dxa"/>
            <w:tcBorders>
              <w:top w:val="nil"/>
              <w:left w:val="nil"/>
              <w:bottom w:val="nil"/>
              <w:right w:val="nil"/>
              <w:insideH w:val="nil"/>
              <w:insideV w:val="nil"/>
            </w:tcBorders>
            <w:vAlign w:val="center"/>
          </w:tcPr>
          <w:p w14:paraId="59682470">
            <w:pPr>
              <w:spacing w:before="0" w:after="0" w:line="240" w:lineRule="auto"/>
              <w:ind w:left="0" w:right="0" w:firstLine="0"/>
              <w:jc w:val="center"/>
            </w:pPr>
            <w:r>
              <w:rPr>
                <w:rFonts w:ascii="Times New Roman" w:hAnsi="Times New Roman" w:eastAsia="Times New Roman" w:cs="Times New Roman"/>
                <w:b w:val="0"/>
                <w:sz w:val="19"/>
              </w:rPr>
              <w:t>Metric harmonisation file and platform field mapping.</w:t>
            </w:r>
          </w:p>
        </w:tc>
      </w:tr>
      <w:tr w14:paraId="2C19C8A1">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2796B911">
            <w:pPr>
              <w:spacing w:before="0" w:after="0" w:line="240" w:lineRule="auto"/>
              <w:ind w:left="0" w:right="0" w:firstLine="0"/>
              <w:jc w:val="center"/>
            </w:pPr>
            <w:r>
              <w:rPr>
                <w:rFonts w:ascii="Times New Roman" w:hAnsi="Times New Roman" w:eastAsia="Times New Roman" w:cs="Times New Roman"/>
                <w:b w:val="0"/>
                <w:sz w:val="19"/>
              </w:rPr>
              <w:t>Observed amplification proxy</w:t>
            </w:r>
          </w:p>
        </w:tc>
        <w:tc>
          <w:tcPr>
            <w:tcW w:w="1930" w:type="dxa"/>
            <w:tcBorders>
              <w:top w:val="nil"/>
              <w:left w:val="nil"/>
              <w:bottom w:val="nil"/>
              <w:right w:val="nil"/>
              <w:insideH w:val="nil"/>
              <w:insideV w:val="nil"/>
            </w:tcBorders>
            <w:vAlign w:val="center"/>
          </w:tcPr>
          <w:p w14:paraId="18140B86">
            <w:pPr>
              <w:spacing w:before="0" w:after="0" w:line="240" w:lineRule="auto"/>
              <w:ind w:left="0" w:right="0" w:firstLine="0"/>
              <w:jc w:val="center"/>
            </w:pPr>
            <w:r>
              <w:rPr>
                <w:rFonts w:ascii="Times New Roman" w:hAnsi="Times New Roman" w:eastAsia="Times New Roman" w:cs="Times New Roman"/>
                <w:b w:val="0"/>
                <w:sz w:val="19"/>
              </w:rPr>
              <w:t>Mediator</w:t>
            </w:r>
          </w:p>
        </w:tc>
        <w:tc>
          <w:tcPr>
            <w:tcW w:w="1930" w:type="dxa"/>
            <w:tcBorders>
              <w:top w:val="nil"/>
              <w:left w:val="nil"/>
              <w:bottom w:val="nil"/>
              <w:right w:val="nil"/>
              <w:insideH w:val="nil"/>
              <w:insideV w:val="nil"/>
            </w:tcBorders>
            <w:vAlign w:val="center"/>
          </w:tcPr>
          <w:p w14:paraId="7880F90A">
            <w:pPr>
              <w:spacing w:before="0" w:after="0" w:line="240" w:lineRule="auto"/>
              <w:ind w:left="0" w:right="0" w:firstLine="0"/>
              <w:jc w:val="center"/>
            </w:pPr>
            <w:r>
              <w:rPr>
                <w:rFonts w:ascii="Times New Roman" w:hAnsi="Times New Roman" w:eastAsia="Times New Roman" w:cs="Times New Roman"/>
                <w:b w:val="0"/>
                <w:sz w:val="19"/>
              </w:rPr>
              <w:t>Ratio or residualised association between early engagement and later 30-day visibility after adjustment for creator scale and upload timing.</w:t>
            </w:r>
          </w:p>
        </w:tc>
        <w:tc>
          <w:tcPr>
            <w:tcW w:w="1930" w:type="dxa"/>
            <w:tcBorders>
              <w:top w:val="nil"/>
              <w:left w:val="nil"/>
              <w:bottom w:val="nil"/>
              <w:right w:val="nil"/>
              <w:insideH w:val="nil"/>
              <w:insideV w:val="nil"/>
            </w:tcBorders>
            <w:vAlign w:val="center"/>
          </w:tcPr>
          <w:p w14:paraId="63CA9323">
            <w:pPr>
              <w:spacing w:before="0" w:after="0" w:line="240" w:lineRule="auto"/>
              <w:ind w:left="0" w:right="0" w:firstLine="0"/>
              <w:jc w:val="center"/>
            </w:pPr>
            <w:r>
              <w:rPr>
                <w:rFonts w:ascii="Times New Roman" w:hAnsi="Times New Roman" w:eastAsia="Times New Roman" w:cs="Times New Roman"/>
                <w:b w:val="0"/>
                <w:sz w:val="19"/>
              </w:rPr>
              <w:t>Model-derived proxy</w:t>
            </w:r>
          </w:p>
        </w:tc>
        <w:tc>
          <w:tcPr>
            <w:tcW w:w="1930" w:type="dxa"/>
            <w:tcBorders>
              <w:top w:val="nil"/>
              <w:left w:val="nil"/>
              <w:bottom w:val="nil"/>
              <w:right w:val="nil"/>
              <w:insideH w:val="nil"/>
              <w:insideV w:val="nil"/>
            </w:tcBorders>
            <w:vAlign w:val="center"/>
          </w:tcPr>
          <w:p w14:paraId="464C6A6C">
            <w:pPr>
              <w:spacing w:before="0" w:after="0" w:line="240" w:lineRule="auto"/>
              <w:ind w:left="0" w:right="0" w:firstLine="0"/>
              <w:jc w:val="center"/>
            </w:pPr>
            <w:r>
              <w:rPr>
                <w:rFonts w:ascii="Times New Roman" w:hAnsi="Times New Roman" w:eastAsia="Times New Roman" w:cs="Times New Roman"/>
                <w:b w:val="0"/>
                <w:sz w:val="19"/>
              </w:rPr>
              <w:t>Mediation scripts and derived-variable dictionary.</w:t>
            </w:r>
          </w:p>
        </w:tc>
      </w:tr>
      <w:tr w14:paraId="0F36786D">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5E8400D3">
            <w:pPr>
              <w:spacing w:before="0" w:after="0" w:line="240" w:lineRule="auto"/>
              <w:ind w:left="0" w:right="0" w:firstLine="0"/>
              <w:jc w:val="center"/>
            </w:pPr>
            <w:r>
              <w:rPr>
                <w:rFonts w:ascii="Times New Roman" w:hAnsi="Times New Roman" w:eastAsia="Times New Roman" w:cs="Times New Roman"/>
                <w:b w:val="0"/>
                <w:sz w:val="19"/>
              </w:rPr>
              <w:t>Long-term visibility</w:t>
            </w:r>
          </w:p>
        </w:tc>
        <w:tc>
          <w:tcPr>
            <w:tcW w:w="1930" w:type="dxa"/>
            <w:tcBorders>
              <w:top w:val="nil"/>
              <w:left w:val="nil"/>
              <w:bottom w:val="nil"/>
              <w:right w:val="nil"/>
              <w:insideH w:val="nil"/>
              <w:insideV w:val="nil"/>
            </w:tcBorders>
            <w:vAlign w:val="center"/>
          </w:tcPr>
          <w:p w14:paraId="3207D499">
            <w:pPr>
              <w:spacing w:before="0" w:after="0" w:line="240" w:lineRule="auto"/>
              <w:ind w:left="0" w:right="0" w:firstLine="0"/>
              <w:jc w:val="center"/>
            </w:pPr>
            <w:r>
              <w:rPr>
                <w:rFonts w:ascii="Times New Roman" w:hAnsi="Times New Roman" w:eastAsia="Times New Roman" w:cs="Times New Roman"/>
                <w:b w:val="0"/>
                <w:sz w:val="19"/>
              </w:rPr>
              <w:t>Dependent variable</w:t>
            </w:r>
          </w:p>
        </w:tc>
        <w:tc>
          <w:tcPr>
            <w:tcW w:w="1930" w:type="dxa"/>
            <w:tcBorders>
              <w:top w:val="nil"/>
              <w:left w:val="nil"/>
              <w:bottom w:val="nil"/>
              <w:right w:val="nil"/>
              <w:insideH w:val="nil"/>
              <w:insideV w:val="nil"/>
            </w:tcBorders>
            <w:vAlign w:val="center"/>
          </w:tcPr>
          <w:p w14:paraId="5645ED9E">
            <w:pPr>
              <w:spacing w:before="0" w:after="0" w:line="240" w:lineRule="auto"/>
              <w:ind w:left="0" w:right="0" w:firstLine="0"/>
              <w:jc w:val="center"/>
            </w:pPr>
            <w:r>
              <w:rPr>
                <w:rFonts w:ascii="Times New Roman" w:hAnsi="Times New Roman" w:eastAsia="Times New Roman" w:cs="Times New Roman"/>
                <w:b w:val="0"/>
                <w:sz w:val="19"/>
              </w:rPr>
              <w:t>30-day cumulative views/reads or closest comparable public visibility metric.</w:t>
            </w:r>
          </w:p>
        </w:tc>
        <w:tc>
          <w:tcPr>
            <w:tcW w:w="1930" w:type="dxa"/>
            <w:tcBorders>
              <w:top w:val="nil"/>
              <w:left w:val="nil"/>
              <w:bottom w:val="nil"/>
              <w:right w:val="nil"/>
              <w:insideH w:val="nil"/>
              <w:insideV w:val="nil"/>
            </w:tcBorders>
            <w:vAlign w:val="center"/>
          </w:tcPr>
          <w:p w14:paraId="7E025743">
            <w:pPr>
              <w:spacing w:before="0" w:after="0" w:line="240" w:lineRule="auto"/>
              <w:ind w:left="0" w:right="0" w:firstLine="0"/>
              <w:jc w:val="center"/>
            </w:pPr>
            <w:r>
              <w:rPr>
                <w:rFonts w:ascii="Times New Roman" w:hAnsi="Times New Roman" w:eastAsia="Times New Roman" w:cs="Times New Roman"/>
                <w:b w:val="0"/>
                <w:sz w:val="19"/>
              </w:rPr>
              <w:t>Log transformed</w:t>
            </w:r>
          </w:p>
        </w:tc>
        <w:tc>
          <w:tcPr>
            <w:tcW w:w="1930" w:type="dxa"/>
            <w:tcBorders>
              <w:top w:val="nil"/>
              <w:left w:val="nil"/>
              <w:bottom w:val="nil"/>
              <w:right w:val="nil"/>
              <w:insideH w:val="nil"/>
              <w:insideV w:val="nil"/>
            </w:tcBorders>
            <w:vAlign w:val="center"/>
          </w:tcPr>
          <w:p w14:paraId="3851310E">
            <w:pPr>
              <w:spacing w:before="0" w:after="0" w:line="240" w:lineRule="auto"/>
              <w:ind w:left="0" w:right="0" w:firstLine="0"/>
              <w:jc w:val="center"/>
            </w:pPr>
            <w:r>
              <w:rPr>
                <w:rFonts w:ascii="Times New Roman" w:hAnsi="Times New Roman" w:eastAsia="Times New Roman" w:cs="Times New Roman"/>
                <w:b w:val="0"/>
                <w:sz w:val="19"/>
              </w:rPr>
              <w:t>Platform metric mapping and collection date log.</w:t>
            </w:r>
          </w:p>
        </w:tc>
      </w:tr>
      <w:tr w14:paraId="1DDB79FC">
        <w:tblPrEx>
          <w:tblCellMar>
            <w:top w:w="0" w:type="dxa"/>
            <w:left w:w="108" w:type="dxa"/>
            <w:bottom w:w="0" w:type="dxa"/>
            <w:right w:w="108" w:type="dxa"/>
          </w:tblCellMar>
        </w:tblPrEx>
        <w:trPr>
          <w:jc w:val="center"/>
        </w:trPr>
        <w:tc>
          <w:tcPr>
            <w:tcW w:w="1930" w:type="dxa"/>
            <w:tcBorders>
              <w:top w:val="nil"/>
              <w:left w:val="nil"/>
              <w:bottom w:val="single" w:color="000000" w:sz="12" w:space="0"/>
              <w:right w:val="nil"/>
              <w:insideH w:val="nil"/>
              <w:insideV w:val="nil"/>
            </w:tcBorders>
            <w:vAlign w:val="center"/>
          </w:tcPr>
          <w:p w14:paraId="0981160F">
            <w:pPr>
              <w:spacing w:before="0" w:after="0" w:line="240" w:lineRule="auto"/>
              <w:ind w:left="0" w:right="0" w:firstLine="0"/>
              <w:jc w:val="center"/>
            </w:pPr>
            <w:r>
              <w:rPr>
                <w:rFonts w:ascii="Times New Roman" w:hAnsi="Times New Roman" w:eastAsia="Times New Roman" w:cs="Times New Roman"/>
                <w:b w:val="0"/>
                <w:sz w:val="19"/>
              </w:rPr>
              <w:t>Heritage category</w:t>
            </w:r>
          </w:p>
        </w:tc>
        <w:tc>
          <w:tcPr>
            <w:tcW w:w="1930" w:type="dxa"/>
            <w:tcBorders>
              <w:top w:val="nil"/>
              <w:left w:val="nil"/>
              <w:bottom w:val="single" w:color="000000" w:sz="12" w:space="0"/>
              <w:right w:val="nil"/>
              <w:insideH w:val="nil"/>
              <w:insideV w:val="nil"/>
            </w:tcBorders>
            <w:vAlign w:val="center"/>
          </w:tcPr>
          <w:p w14:paraId="08761EB9">
            <w:pPr>
              <w:spacing w:before="0" w:after="0" w:line="240" w:lineRule="auto"/>
              <w:ind w:left="0" w:right="0" w:firstLine="0"/>
              <w:jc w:val="center"/>
            </w:pPr>
            <w:r>
              <w:rPr>
                <w:rFonts w:ascii="Times New Roman" w:hAnsi="Times New Roman" w:eastAsia="Times New Roman" w:cs="Times New Roman"/>
                <w:b w:val="0"/>
                <w:sz w:val="19"/>
              </w:rPr>
              <w:t>Moderator/group variable</w:t>
            </w:r>
          </w:p>
        </w:tc>
        <w:tc>
          <w:tcPr>
            <w:tcW w:w="1930" w:type="dxa"/>
            <w:tcBorders>
              <w:top w:val="nil"/>
              <w:left w:val="nil"/>
              <w:bottom w:val="single" w:color="000000" w:sz="12" w:space="0"/>
              <w:right w:val="nil"/>
              <w:insideH w:val="nil"/>
              <w:insideV w:val="nil"/>
            </w:tcBorders>
            <w:vAlign w:val="center"/>
          </w:tcPr>
          <w:p w14:paraId="4EFB771B">
            <w:pPr>
              <w:spacing w:before="0" w:after="0" w:line="240" w:lineRule="auto"/>
              <w:ind w:left="0" w:right="0" w:firstLine="0"/>
              <w:jc w:val="center"/>
            </w:pPr>
            <w:r>
              <w:rPr>
                <w:rFonts w:ascii="Times New Roman" w:hAnsi="Times New Roman" w:eastAsia="Times New Roman" w:cs="Times New Roman"/>
                <w:b w:val="0"/>
                <w:sz w:val="19"/>
              </w:rPr>
              <w:t>UNESCO WHL, national/museum, folk craft, minority traditions, indigenous knowledge, intangible practice.</w:t>
            </w:r>
          </w:p>
        </w:tc>
        <w:tc>
          <w:tcPr>
            <w:tcW w:w="1930" w:type="dxa"/>
            <w:tcBorders>
              <w:top w:val="nil"/>
              <w:left w:val="nil"/>
              <w:bottom w:val="single" w:color="000000" w:sz="12" w:space="0"/>
              <w:right w:val="nil"/>
              <w:insideH w:val="nil"/>
              <w:insideV w:val="nil"/>
            </w:tcBorders>
            <w:vAlign w:val="center"/>
          </w:tcPr>
          <w:p w14:paraId="07EE8FA4">
            <w:pPr>
              <w:spacing w:before="0" w:after="0" w:line="240" w:lineRule="auto"/>
              <w:ind w:left="0" w:right="0" w:firstLine="0"/>
              <w:jc w:val="center"/>
            </w:pPr>
            <w:r>
              <w:rPr>
                <w:rFonts w:ascii="Times New Roman" w:hAnsi="Times New Roman" w:eastAsia="Times New Roman" w:cs="Times New Roman"/>
                <w:b w:val="0"/>
                <w:sz w:val="19"/>
              </w:rPr>
              <w:t>Nominal category</w:t>
            </w:r>
          </w:p>
        </w:tc>
        <w:tc>
          <w:tcPr>
            <w:tcW w:w="1930" w:type="dxa"/>
            <w:tcBorders>
              <w:top w:val="nil"/>
              <w:left w:val="nil"/>
              <w:bottom w:val="single" w:color="000000" w:sz="12" w:space="0"/>
              <w:right w:val="nil"/>
              <w:insideH w:val="nil"/>
              <w:insideV w:val="nil"/>
            </w:tcBorders>
            <w:vAlign w:val="center"/>
          </w:tcPr>
          <w:p w14:paraId="4F9DB383">
            <w:pPr>
              <w:spacing w:before="0" w:after="0" w:line="240" w:lineRule="auto"/>
              <w:ind w:left="0" w:right="0" w:firstLine="0"/>
              <w:jc w:val="center"/>
            </w:pPr>
            <w:r>
              <w:rPr>
                <w:rFonts w:ascii="Times New Roman" w:hAnsi="Times New Roman" w:eastAsia="Times New Roman" w:cs="Times New Roman"/>
                <w:b w:val="0"/>
                <w:sz w:val="19"/>
              </w:rPr>
              <w:t>Expert category labels and reliability report.</w:t>
            </w:r>
          </w:p>
        </w:tc>
      </w:tr>
    </w:tbl>
    <w:p w14:paraId="0AD5E335">
      <w:pPr>
        <w:pStyle w:val="3"/>
        <w:spacing w:before="0" w:after="80" w:line="240" w:lineRule="auto"/>
        <w:ind w:left="0" w:right="0" w:firstLine="0"/>
        <w:jc w:val="both"/>
      </w:pPr>
      <w:r>
        <w:rPr>
          <w:rFonts w:ascii="Times New Roman" w:hAnsi="Times New Roman" w:eastAsia="Times New Roman" w:cs="Times New Roman"/>
          <w:b/>
          <w:i w:val="0"/>
          <w:color w:val="0D2B4A"/>
          <w:sz w:val="24"/>
        </w:rPr>
        <w:t>S3. Human annotation and quality control</w:t>
      </w:r>
    </w:p>
    <w:p w14:paraId="275C3CF6">
      <w:pPr>
        <w:spacing w:before="0" w:after="80" w:line="240" w:lineRule="auto"/>
        <w:ind w:left="0" w:right="0" w:firstLine="0"/>
        <w:jc w:val="both"/>
      </w:pPr>
      <w:r>
        <w:rPr>
          <w:rFonts w:ascii="Times New Roman" w:hAnsi="Times New Roman" w:eastAsia="Times New Roman" w:cs="Times New Roman"/>
          <w:sz w:val="24"/>
        </w:rPr>
        <w:t>A 5% random subsample was manually verified by trained coders using a heritage taxonomy derived from UNESCO cultural heritage categories and the study-specific category definitions. Disagreements were resolved through adjudication, particularly for minority, indigenous and intangible categories where majority vote may obscure culturally specific interpretation. The main manuscript reports inter-rater agreement of kappa = .84 for heritage-content identification and Krippendorff alpha = .79 for the heritage-prestige coding scale.</w:t>
      </w:r>
    </w:p>
    <w:p w14:paraId="7A3FE706">
      <w:pPr>
        <w:pStyle w:val="3"/>
        <w:spacing w:before="0" w:after="80" w:line="240" w:lineRule="auto"/>
        <w:ind w:left="0" w:right="0" w:firstLine="0"/>
        <w:jc w:val="both"/>
      </w:pPr>
      <w:r>
        <w:rPr>
          <w:rFonts w:ascii="Times New Roman" w:hAnsi="Times New Roman" w:eastAsia="Times New Roman" w:cs="Times New Roman"/>
          <w:b/>
          <w:i w:val="0"/>
          <w:color w:val="0D2B4A"/>
          <w:sz w:val="24"/>
        </w:rPr>
        <w:t>S4. Statistical model specifications</w:t>
      </w:r>
    </w:p>
    <w:p w14:paraId="6F81DCE0">
      <w:pPr>
        <w:spacing w:before="0" w:after="80" w:line="240" w:lineRule="auto"/>
        <w:ind w:left="0" w:right="0" w:firstLine="0"/>
        <w:jc w:val="both"/>
      </w:pPr>
      <w:r>
        <w:rPr>
          <w:rFonts w:ascii="Times New Roman" w:hAnsi="Times New Roman" w:eastAsia="Times New Roman" w:cs="Times New Roman"/>
          <w:sz w:val="24"/>
        </w:rPr>
        <w:t>The baseline OLS model estimates conditional associations between platform visibility and the key predictors. In prose form, visibility for item i by creator c in month t is modelled as a function of emotional valence, visual spectacle, heritage prestige, hashtag popularity, creator scale, content controls, heritage category fixed effects, upload-month fixed effects, content-language fixed effects and creator-clustered error terms. Platform-specific models were estimated separately to avoid imposing identical coefficients across different platform architectures. The formal specification used for verification is given in Supplementary Equation (S1).</w:t>
      </w:r>
    </w:p>
    <w:p w14:paraId="0FD518C7">
      <w:pPr>
        <w:spacing w:before="0" w:after="80"/>
        <w:ind w:left="0" w:right="0" w:firstLine="0"/>
        <w:jc w:val="center"/>
      </w:pPr>
      <m:oMathPara>
        <m:oMathParaPr>
          <m:jc m:val="center"/>
        </m:oMathParaPr>
        <m:oMath>
          <m:sSub>
            <m:sSubPr/>
            <m:e>
              <m:r>
                <m:rPr/>
                <m:t>Y</m:t>
              </m:r>
            </m:e>
            <m:sub>
              <m:r>
                <m:rPr/>
                <m:t>ict</m:t>
              </m:r>
            </m:sub>
          </m:sSub>
          <m:r>
            <m:rPr>
              <m:sty m:val="p"/>
            </m:rPr>
            <m:t>=</m:t>
          </m:r>
          <m:sSub>
            <m:sSubPr/>
            <m:e>
              <m:r>
                <m:rPr/>
                <m:t>β</m:t>
              </m:r>
            </m:e>
            <m:sub>
              <m:r>
                <m:rPr/>
                <m:t>0</m:t>
              </m:r>
            </m:sub>
          </m:sSub>
          <m:r>
            <m:rPr>
              <m:sty m:val="p"/>
            </m:rPr>
            <m:t>+</m:t>
          </m:r>
          <m:sSub>
            <m:sSubPr/>
            <m:e>
              <m:r>
                <m:rPr/>
                <m:t>β</m:t>
              </m:r>
            </m:e>
            <m:sub>
              <m:r>
                <m:rPr/>
                <m:t>1</m:t>
              </m:r>
            </m:sub>
          </m:sSub>
          <m:r>
            <m:rPr/>
            <m:t>E</m:t>
          </m:r>
          <m:sSub>
            <m:sSubPr/>
            <m:e>
              <m:r>
                <m:rPr/>
                <m:t>V</m:t>
              </m:r>
            </m:e>
            <m:sub>
              <m:r>
                <m:rPr/>
                <m:t>i</m:t>
              </m:r>
            </m:sub>
          </m:sSub>
          <m:r>
            <m:rPr>
              <m:sty m:val="p"/>
            </m:rPr>
            <m:t>+</m:t>
          </m:r>
          <m:sSub>
            <m:sSubPr/>
            <m:e>
              <m:r>
                <m:rPr/>
                <m:t>β</m:t>
              </m:r>
            </m:e>
            <m:sub>
              <m:r>
                <m:rPr/>
                <m:t>2</m:t>
              </m:r>
            </m:sub>
          </m:sSub>
          <m:r>
            <m:rPr/>
            <m:t>V</m:t>
          </m:r>
          <m:sSub>
            <m:sSubPr/>
            <m:e>
              <m:r>
                <m:rPr/>
                <m:t>S</m:t>
              </m:r>
            </m:e>
            <m:sub>
              <m:r>
                <m:rPr/>
                <m:t>i</m:t>
              </m:r>
            </m:sub>
          </m:sSub>
          <m:r>
            <m:rPr>
              <m:sty m:val="p"/>
            </m:rPr>
            <m:t>+</m:t>
          </m:r>
          <m:sSub>
            <m:sSubPr/>
            <m:e>
              <m:r>
                <m:rPr/>
                <m:t>β</m:t>
              </m:r>
            </m:e>
            <m:sub>
              <m:r>
                <m:rPr/>
                <m:t>3</m:t>
              </m:r>
            </m:sub>
          </m:sSub>
          <m:r>
            <m:rPr/>
            <m:t>H</m:t>
          </m:r>
          <m:sSub>
            <m:sSubPr/>
            <m:e>
              <m:r>
                <m:rPr/>
                <m:t>P</m:t>
              </m:r>
            </m:e>
            <m:sub>
              <m:r>
                <m:rPr/>
                <m:t>i</m:t>
              </m:r>
            </m:sub>
          </m:sSub>
          <m:r>
            <m:rPr>
              <m:sty m:val="p"/>
            </m:rPr>
            <m:t>+</m:t>
          </m:r>
          <m:sSub>
            <m:sSubPr/>
            <m:e>
              <m:r>
                <m:rPr/>
                <m:t>β</m:t>
              </m:r>
            </m:e>
            <m:sub>
              <m:r>
                <m:rPr/>
                <m:t>4</m:t>
              </m:r>
            </m:sub>
          </m:sSub>
          <m:r>
            <m:rPr/>
            <m:t>CF</m:t>
          </m:r>
          <m:sSub>
            <m:sSubPr/>
            <m:e>
              <m:r>
                <m:rPr/>
                <m:t>C</m:t>
              </m:r>
            </m:e>
            <m:sub>
              <m:r>
                <m:rPr/>
                <m:t>c</m:t>
              </m:r>
            </m:sub>
          </m:sSub>
          <m:r>
            <m:rPr>
              <m:sty m:val="p"/>
            </m:rPr>
            <m:t>+</m:t>
          </m:r>
          <m:sSub>
            <m:sSubPr/>
            <m:e>
              <m:r>
                <m:rPr/>
                <m:t>β</m:t>
              </m:r>
            </m:e>
            <m:sub>
              <m:r>
                <m:rPr/>
                <m:t>5</m:t>
              </m:r>
            </m:sub>
          </m:sSub>
          <m:r>
            <m:rPr/>
            <m:t>H</m:t>
          </m:r>
          <m:sSub>
            <m:sSubPr/>
            <m:e>
              <m:r>
                <m:rPr/>
                <m:t>T</m:t>
              </m:r>
            </m:e>
            <m:sub>
              <m:r>
                <m:rPr/>
                <m:t>i</m:t>
              </m:r>
            </m:sub>
          </m:sSub>
          <m:r>
            <m:rPr>
              <m:sty m:val="p"/>
            </m:rPr>
            <m:t>+</m:t>
          </m:r>
          <m:sSub>
            <m:sSubPr/>
            <m:e>
              <m:r>
                <m:rPr/>
                <m:t>X</m:t>
              </m:r>
            </m:e>
            <m:sub>
              <m:r>
                <m:rPr/>
                <m:t>i</m:t>
              </m:r>
            </m:sub>
          </m:sSub>
          <m:r>
            <m:rPr/>
            <m:t>δ</m:t>
          </m:r>
          <m:r>
            <m:rPr>
              <m:sty m:val="p"/>
            </m:rPr>
            <m:t>+</m:t>
          </m:r>
          <m:sSub>
            <m:sSubPr/>
            <m:e>
              <m:r>
                <m:rPr/>
                <m:t>μ</m:t>
              </m:r>
            </m:e>
            <m:sub>
              <m:r>
                <m:rPr/>
                <m:t>t</m:t>
              </m:r>
            </m:sub>
          </m:sSub>
          <m:r>
            <m:rPr>
              <m:sty m:val="p"/>
            </m:rPr>
            <m:t>+</m:t>
          </m:r>
          <m:sSub>
            <m:sSubPr/>
            <m:e>
              <m:r>
                <m:rPr/>
                <m:t>λ</m:t>
              </m:r>
            </m:e>
            <m:sub>
              <m:r>
                <m:rPr/>
                <m:t>l</m:t>
              </m:r>
            </m:sub>
          </m:sSub>
          <m:r>
            <m:rPr>
              <m:sty m:val="p"/>
            </m:rPr>
            <m:t>+</m:t>
          </m:r>
          <m:sSub>
            <m:sSubPr/>
            <m:e>
              <m:r>
                <m:rPr/>
                <m:t>ε</m:t>
              </m:r>
            </m:e>
            <m:sub>
              <m:r>
                <m:rPr/>
                <m:t>ict</m:t>
              </m:r>
            </m:sub>
          </m:sSub>
          <m:r>
            <m:rPr>
              <m:sty m:val="p"/>
            </m:rPr>
            <m:t>.</m:t>
          </m:r>
          <m:r>
            <m:rPr/>
            <m:t>  </m:t>
          </m:r>
          <m:d>
            <m:dPr>
              <m:sepChr m:val=""/>
            </m:dPr>
            <m:e>
              <m:r>
                <m:rPr/>
                <m:t>1</m:t>
              </m:r>
            </m:e>
          </m:d>
        </m:oMath>
      </m:oMathPara>
    </w:p>
    <w:p w14:paraId="3144E330">
      <w:pPr>
        <w:spacing w:before="0" w:after="80"/>
        <w:ind w:left="0" w:right="0" w:firstLine="0"/>
        <w:jc w:val="center"/>
      </w:pPr>
      <m:oMathPara>
        <m:oMathParaPr>
          <m:jc m:val="center"/>
        </m:oMathParaPr>
        <m:oMath>
          <m:sSub>
            <m:sSubPr/>
            <m:e>
              <m:r>
                <m:rPr/>
                <m:t>M</m:t>
              </m:r>
            </m:e>
            <m:sub>
              <m:r>
                <m:rPr/>
                <m:t>i</m:t>
              </m:r>
            </m:sub>
          </m:sSub>
          <m:r>
            <m:rPr>
              <m:sty m:val="p"/>
            </m:rPr>
            <m:t>=</m:t>
          </m:r>
          <m:sSub>
            <m:sSubPr/>
            <m:e>
              <m:r>
                <m:rPr/>
                <m:t>α</m:t>
              </m:r>
            </m:e>
            <m:sub>
              <m:r>
                <m:rPr/>
                <m:t>0</m:t>
              </m:r>
            </m:sub>
          </m:sSub>
          <m:r>
            <m:rPr>
              <m:sty m:val="p"/>
            </m:rPr>
            <m:t>+</m:t>
          </m:r>
          <m:sSub>
            <m:sSubPr/>
            <m:e>
              <m:r>
                <m:rPr/>
                <m:t>α</m:t>
              </m:r>
            </m:e>
            <m:sub>
              <m:r>
                <m:rPr/>
                <m:t>1</m:t>
              </m:r>
            </m:sub>
          </m:sSub>
          <m:r>
            <m:rPr/>
            <m:t>E</m:t>
          </m:r>
          <m:sSub>
            <m:sSubPr/>
            <m:e>
              <m:r>
                <m:rPr/>
                <m:t>V</m:t>
              </m:r>
            </m:e>
            <m:sub>
              <m:r>
                <m:rPr/>
                <m:t>i</m:t>
              </m:r>
            </m:sub>
          </m:sSub>
          <m:r>
            <m:rPr>
              <m:sty m:val="p"/>
            </m:rPr>
            <m:t>+</m:t>
          </m:r>
          <m:sSub>
            <m:sSubPr/>
            <m:e>
              <m:r>
                <m:rPr/>
                <m:t>α</m:t>
              </m:r>
            </m:e>
            <m:sub>
              <m:r>
                <m:rPr/>
                <m:t>2</m:t>
              </m:r>
            </m:sub>
          </m:sSub>
          <m:r>
            <m:rPr/>
            <m:t>V</m:t>
          </m:r>
          <m:sSub>
            <m:sSubPr/>
            <m:e>
              <m:r>
                <m:rPr/>
                <m:t>S</m:t>
              </m:r>
            </m:e>
            <m:sub>
              <m:r>
                <m:rPr/>
                <m:t>i</m:t>
              </m:r>
            </m:sub>
          </m:sSub>
          <m:r>
            <m:rPr>
              <m:sty m:val="p"/>
            </m:rPr>
            <m:t>+</m:t>
          </m:r>
          <m:sSub>
            <m:sSubPr/>
            <m:e>
              <m:r>
                <m:rPr/>
                <m:t>α</m:t>
              </m:r>
            </m:e>
            <m:sub>
              <m:r>
                <m:rPr/>
                <m:t>3</m:t>
              </m:r>
            </m:sub>
          </m:sSub>
          <m:r>
            <m:rPr/>
            <m:t>H</m:t>
          </m:r>
          <m:sSub>
            <m:sSubPr/>
            <m:e>
              <m:r>
                <m:rPr/>
                <m:t>P</m:t>
              </m:r>
            </m:e>
            <m:sub>
              <m:r>
                <m:rPr/>
                <m:t>i</m:t>
              </m:r>
            </m:sub>
          </m:sSub>
          <m:r>
            <m:rPr>
              <m:sty m:val="p"/>
            </m:rPr>
            <m:t>+</m:t>
          </m:r>
          <m:sSub>
            <m:sSubPr/>
            <m:e>
              <m:r>
                <m:rPr/>
                <m:t>X</m:t>
              </m:r>
            </m:e>
            <m:sub>
              <m:r>
                <m:rPr/>
                <m:t>i</m:t>
              </m:r>
            </m:sub>
          </m:sSub>
          <m:r>
            <m:rPr/>
            <m:t>γ</m:t>
          </m:r>
          <m:r>
            <m:rPr>
              <m:sty m:val="p"/>
            </m:rPr>
            <m:t>+</m:t>
          </m:r>
          <m:sSub>
            <m:sSubPr/>
            <m:e>
              <m:r>
                <m:rPr/>
                <m:t>ε</m:t>
              </m:r>
            </m:e>
            <m:sub>
              <m:r>
                <m:rPr/>
                <m:t>i</m:t>
              </m:r>
            </m:sub>
          </m:sSub>
          <m:r>
            <m:rPr>
              <m:sty m:val="p"/>
            </m:rPr>
            <m:t>,</m:t>
          </m:r>
          <m:r>
            <m:rPr/>
            <m:t> </m:t>
          </m:r>
          <m:sSub>
            <m:sSubPr/>
            <m:e>
              <m:r>
                <m:rPr/>
                <m:t>Y</m:t>
              </m:r>
            </m:e>
            <m:sub>
              <m:r>
                <m:rPr/>
                <m:t>i</m:t>
              </m:r>
            </m:sub>
          </m:sSub>
          <m:r>
            <m:rPr>
              <m:sty m:val="p"/>
            </m:rPr>
            <m:t>=</m:t>
          </m:r>
          <m:sSub>
            <m:sSubPr/>
            <m:e>
              <m:r>
                <m:rPr/>
                <m:t>θ</m:t>
              </m:r>
            </m:e>
            <m:sub>
              <m:r>
                <m:rPr/>
                <m:t>0</m:t>
              </m:r>
            </m:sub>
          </m:sSub>
          <m:r>
            <m:rPr>
              <m:sty m:val="p"/>
            </m:rPr>
            <m:t>+</m:t>
          </m:r>
          <m:sSub>
            <m:sSubPr/>
            <m:e>
              <m:r>
                <m:rPr/>
                <m:t>θ</m:t>
              </m:r>
            </m:e>
            <m:sub>
              <m:r>
                <m:rPr/>
                <m:t>1</m:t>
              </m:r>
            </m:sub>
          </m:sSub>
          <m:sSub>
            <m:sSubPr/>
            <m:e>
              <m:r>
                <m:rPr/>
                <m:t>M</m:t>
              </m:r>
            </m:e>
            <m:sub>
              <m:r>
                <m:rPr/>
                <m:t>i</m:t>
              </m:r>
            </m:sub>
          </m:sSub>
          <m:r>
            <m:rPr>
              <m:sty m:val="p"/>
            </m:rPr>
            <m:t>+</m:t>
          </m:r>
          <m:sSub>
            <m:sSubPr/>
            <m:e>
              <m:r>
                <m:rPr/>
                <m:t>θ</m:t>
              </m:r>
            </m:e>
            <m:sub>
              <m:r>
                <m:rPr/>
                <m:t>2</m:t>
              </m:r>
            </m:sub>
          </m:sSub>
          <m:sSub>
            <m:sSubPr/>
            <m:e>
              <m:r>
                <m:rPr/>
                <m:t>A</m:t>
              </m:r>
            </m:e>
            <m:sub>
              <m:r>
                <m:rPr/>
                <m:t>i</m:t>
              </m:r>
            </m:sub>
          </m:sSub>
          <m:r>
            <m:rPr>
              <m:sty m:val="p"/>
            </m:rPr>
            <m:t>+</m:t>
          </m:r>
          <m:sSub>
            <m:sSubPr/>
            <m:e>
              <m:r>
                <m:rPr/>
                <m:t>X</m:t>
              </m:r>
            </m:e>
            <m:sub>
              <m:r>
                <m:rPr/>
                <m:t>i</m:t>
              </m:r>
            </m:sub>
          </m:sSub>
          <m:r>
            <m:rPr/>
            <m:t>ϕ</m:t>
          </m:r>
          <m:r>
            <m:rPr>
              <m:sty m:val="p"/>
            </m:rPr>
            <m:t>+</m:t>
          </m:r>
          <m:sSub>
            <m:sSubPr/>
            <m:e>
              <m:r>
                <m:rPr/>
                <m:t>ν</m:t>
              </m:r>
            </m:e>
            <m:sub>
              <m:r>
                <m:rPr/>
                <m:t>i</m:t>
              </m:r>
            </m:sub>
          </m:sSub>
          <m:r>
            <m:rPr>
              <m:sty m:val="p"/>
            </m:rPr>
            <m:t>.</m:t>
          </m:r>
          <m:r>
            <m:rPr/>
            <m:t>  </m:t>
          </m:r>
          <m:d>
            <m:dPr>
              <m:sepChr m:val=""/>
            </m:dPr>
            <m:e>
              <m:r>
                <m:rPr/>
                <m:t>2</m:t>
              </m:r>
            </m:e>
          </m:d>
        </m:oMath>
      </m:oMathPara>
    </w:p>
    <w:p w14:paraId="375AC8B6">
      <w:pPr>
        <w:spacing w:before="0" w:after="80"/>
        <w:ind w:left="0" w:right="0" w:firstLine="0"/>
        <w:jc w:val="center"/>
      </w:pPr>
      <m:oMathPara>
        <m:oMathParaPr>
          <m:jc m:val="center"/>
        </m:oMathParaPr>
        <m:oMath>
          <m:r>
            <m:rPr/>
            <m:t>G</m:t>
          </m:r>
          <m:r>
            <m:rPr>
              <m:sty m:val="p"/>
            </m:rPr>
            <m:t>=</m:t>
          </m:r>
          <m:f>
            <m:fPr/>
            <m:num>
              <m:nary>
                <m:naryPr>
                  <m:chr m:val="∑"/>
                  <m:limLoc m:val="undOvr"/>
                  <m:supHide m:val="1"/>
                </m:naryPr>
                <m:sub>
                  <m:r>
                    <m:rPr/>
                    <m:t>i</m:t>
                  </m:r>
                </m:sub>
                <m:sup>
                  <m:r>
                    <m:rPr/>
                    <m:t>​</m:t>
                  </m:r>
                </m:sup>
                <m:e>
                  <m:nary>
                    <m:naryPr>
                      <m:chr m:val="∑"/>
                      <m:limLoc m:val="undOvr"/>
                      <m:supHide m:val="1"/>
                    </m:naryPr>
                    <m:sub>
                      <m:r>
                        <m:rPr/>
                        <m:t>j</m:t>
                      </m:r>
                    </m:sub>
                    <m:sup>
                      <m:r>
                        <m:rPr/>
                        <m:t>​</m:t>
                      </m:r>
                    </m:sup>
                    <m:e>
                      <m:d>
                        <m:dPr>
                          <m:begChr m:val="|"/>
                          <m:sepChr m:val=""/>
                          <m:endChr m:val="|"/>
                        </m:dPr>
                        <m:e>
                          <m:sSub>
                            <m:sSubPr/>
                            <m:e>
                              <m:r>
                                <m:rPr/>
                                <m:t>y</m:t>
                              </m:r>
                            </m:e>
                            <m:sub>
                              <m:r>
                                <m:rPr/>
                                <m:t>i</m:t>
                              </m:r>
                            </m:sub>
                          </m:sSub>
                          <m:r>
                            <m:rPr>
                              <m:sty m:val="p"/>
                            </m:rPr>
                            <m:t>−</m:t>
                          </m:r>
                          <m:sSub>
                            <m:sSubPr/>
                            <m:e>
                              <m:r>
                                <m:rPr/>
                                <m:t>y</m:t>
                              </m:r>
                            </m:e>
                            <m:sub>
                              <m:r>
                                <m:rPr/>
                                <m:t>j</m:t>
                              </m:r>
                            </m:sub>
                          </m:sSub>
                        </m:e>
                      </m:d>
                    </m:e>
                  </m:nary>
                </m:e>
              </m:nary>
            </m:num>
            <m:den>
              <m:r>
                <m:rPr/>
                <m:t>2</m:t>
              </m:r>
              <m:sSup>
                <m:sSupPr/>
                <m:e>
                  <m:r>
                    <m:rPr/>
                    <m:t>n</m:t>
                  </m:r>
                </m:e>
                <m:sup>
                  <m:r>
                    <m:rPr/>
                    <m:t>2</m:t>
                  </m:r>
                </m:sup>
              </m:sSup>
              <m:acc>
                <m:accPr>
                  <m:chr m:val="‾"/>
                </m:accPr>
                <m:e>
                  <m:r>
                    <m:rPr/>
                    <m:t>y</m:t>
                  </m:r>
                </m:e>
              </m:acc>
            </m:den>
          </m:f>
          <m:r>
            <m:rPr>
              <m:sty m:val="p"/>
            </m:rPr>
            <m:t>.</m:t>
          </m:r>
          <m:r>
            <m:rPr/>
            <m:t>  </m:t>
          </m:r>
          <m:d>
            <m:dPr>
              <m:sepChr m:val=""/>
            </m:dPr>
            <m:e>
              <m:r>
                <m:rPr/>
                <m:t>3</m:t>
              </m:r>
            </m:e>
          </m:d>
        </m:oMath>
      </m:oMathPara>
    </w:p>
    <w:p w14:paraId="14F06B90">
      <w:pPr>
        <w:spacing w:before="0" w:after="80" w:line="240" w:lineRule="auto"/>
        <w:ind w:left="0" w:right="0" w:firstLine="0"/>
        <w:jc w:val="both"/>
      </w:pPr>
      <w:r>
        <w:rPr>
          <w:rFonts w:ascii="Times New Roman" w:hAnsi="Times New Roman" w:eastAsia="Times New Roman" w:cs="Times New Roman"/>
          <w:sz w:val="24"/>
        </w:rPr>
        <w:t>Robustness checks include random forest regression with permutation-based feature importance, creator fixed effects, propensity-score matching for high- versus low-emotion content, instrumental-variable sensitivity models using upload timing relative to peak hours, subgroup analyses by verification status and language, and VIF checks for multicollinearity. IV estimates are treated as sensitivity analyses only because upload timing may correlate with creator strategy or audience geography.</w:t>
      </w:r>
    </w:p>
    <w:p w14:paraId="697DB84B">
      <w:pPr>
        <w:spacing w:before="120" w:after="40" w:line="240" w:lineRule="auto"/>
        <w:ind w:left="0" w:right="0" w:firstLine="0"/>
        <w:jc w:val="center"/>
      </w:pPr>
      <w:r>
        <w:rPr>
          <w:rFonts w:ascii="Times New Roman" w:hAnsi="Times New Roman" w:eastAsia="Times New Roman" w:cs="Times New Roman"/>
          <w:b/>
          <w:i w:val="0"/>
          <w:sz w:val="24"/>
        </w:rPr>
        <w:t>Table S4.</w:t>
      </w:r>
      <w:r>
        <w:rPr>
          <w:rFonts w:ascii="Times New Roman" w:hAnsi="Times New Roman" w:eastAsia="Times New Roman" w:cs="Times New Roman"/>
          <w:i w:val="0"/>
          <w:sz w:val="24"/>
        </w:rPr>
        <w:t xml:space="preserve"> Main standardised OLS coefficients reproduced for verification</w:t>
      </w:r>
    </w:p>
    <w:tbl>
      <w:tblPr>
        <w:tblStyle w:val="32"/>
        <w:tblW w:w="0" w:type="auto"/>
        <w:jc w:val="center"/>
        <w:tblLayout w:type="autofit"/>
        <w:tblCellMar>
          <w:top w:w="0" w:type="dxa"/>
          <w:left w:w="108" w:type="dxa"/>
          <w:bottom w:w="0" w:type="dxa"/>
          <w:right w:w="108" w:type="dxa"/>
        </w:tblCellMar>
      </w:tblPr>
      <w:tblGrid>
        <w:gridCol w:w="1367"/>
        <w:gridCol w:w="1362"/>
        <w:gridCol w:w="1362"/>
        <w:gridCol w:w="1367"/>
        <w:gridCol w:w="1367"/>
        <w:gridCol w:w="1375"/>
        <w:gridCol w:w="1376"/>
      </w:tblGrid>
      <w:tr w14:paraId="729B7936">
        <w:tblPrEx>
          <w:tblCellMar>
            <w:top w:w="0" w:type="dxa"/>
            <w:left w:w="108" w:type="dxa"/>
            <w:bottom w:w="0" w:type="dxa"/>
            <w:right w:w="108" w:type="dxa"/>
          </w:tblCellMar>
        </w:tblPrEx>
        <w:trPr>
          <w:jc w:val="center"/>
        </w:trPr>
        <w:tc>
          <w:tcPr>
            <w:tcW w:w="1378" w:type="dxa"/>
            <w:tcBorders>
              <w:top w:val="single" w:color="000000" w:sz="12" w:space="0"/>
              <w:left w:val="nil"/>
              <w:bottom w:val="single" w:color="000000" w:sz="8" w:space="0"/>
              <w:right w:val="nil"/>
              <w:insideH w:val="nil"/>
              <w:insideV w:val="nil"/>
            </w:tcBorders>
            <w:vAlign w:val="center"/>
          </w:tcPr>
          <w:p w14:paraId="1EAAF460">
            <w:pPr>
              <w:spacing w:before="0" w:after="0" w:line="240" w:lineRule="auto"/>
              <w:ind w:left="0" w:right="0" w:firstLine="0"/>
              <w:jc w:val="center"/>
            </w:pPr>
            <w:r>
              <w:rPr>
                <w:rFonts w:ascii="Times New Roman" w:hAnsi="Times New Roman" w:eastAsia="Times New Roman" w:cs="Times New Roman"/>
                <w:b/>
                <w:sz w:val="19"/>
              </w:rPr>
              <w:t>Predictor</w:t>
            </w:r>
          </w:p>
        </w:tc>
        <w:tc>
          <w:tcPr>
            <w:tcW w:w="1378" w:type="dxa"/>
            <w:tcBorders>
              <w:top w:val="single" w:color="000000" w:sz="12" w:space="0"/>
              <w:left w:val="nil"/>
              <w:bottom w:val="single" w:color="000000" w:sz="8" w:space="0"/>
              <w:right w:val="nil"/>
              <w:insideH w:val="nil"/>
              <w:insideV w:val="nil"/>
            </w:tcBorders>
            <w:vAlign w:val="center"/>
          </w:tcPr>
          <w:p w14:paraId="4603614C">
            <w:pPr>
              <w:spacing w:before="0" w:after="0" w:line="240" w:lineRule="auto"/>
              <w:ind w:left="0" w:right="0" w:firstLine="0"/>
              <w:jc w:val="center"/>
            </w:pPr>
            <w:r>
              <w:rPr>
                <w:rFonts w:ascii="Times New Roman" w:hAnsi="Times New Roman" w:eastAsia="Times New Roman" w:cs="Times New Roman"/>
                <w:b/>
                <w:sz w:val="19"/>
              </w:rPr>
              <w:t>TikTok beta</w:t>
            </w:r>
          </w:p>
        </w:tc>
        <w:tc>
          <w:tcPr>
            <w:tcW w:w="1378" w:type="dxa"/>
            <w:tcBorders>
              <w:top w:val="single" w:color="000000" w:sz="12" w:space="0"/>
              <w:left w:val="nil"/>
              <w:bottom w:val="single" w:color="000000" w:sz="8" w:space="0"/>
              <w:right w:val="nil"/>
              <w:insideH w:val="nil"/>
              <w:insideV w:val="nil"/>
            </w:tcBorders>
            <w:vAlign w:val="center"/>
          </w:tcPr>
          <w:p w14:paraId="5307DE8F">
            <w:pPr>
              <w:spacing w:before="0" w:after="0" w:line="240" w:lineRule="auto"/>
              <w:ind w:left="0" w:right="0" w:firstLine="0"/>
              <w:jc w:val="center"/>
            </w:pPr>
            <w:r>
              <w:rPr>
                <w:rFonts w:ascii="Times New Roman" w:hAnsi="Times New Roman" w:eastAsia="Times New Roman" w:cs="Times New Roman"/>
                <w:b/>
                <w:sz w:val="19"/>
              </w:rPr>
              <w:t>TikTok p</w:t>
            </w:r>
          </w:p>
        </w:tc>
        <w:tc>
          <w:tcPr>
            <w:tcW w:w="1378" w:type="dxa"/>
            <w:tcBorders>
              <w:top w:val="single" w:color="000000" w:sz="12" w:space="0"/>
              <w:left w:val="nil"/>
              <w:bottom w:val="single" w:color="000000" w:sz="8" w:space="0"/>
              <w:right w:val="nil"/>
              <w:insideH w:val="nil"/>
              <w:insideV w:val="nil"/>
            </w:tcBorders>
            <w:vAlign w:val="center"/>
          </w:tcPr>
          <w:p w14:paraId="1BA31F15">
            <w:pPr>
              <w:spacing w:before="0" w:after="0" w:line="240" w:lineRule="auto"/>
              <w:ind w:left="0" w:right="0" w:firstLine="0"/>
              <w:jc w:val="center"/>
            </w:pPr>
            <w:r>
              <w:rPr>
                <w:rFonts w:ascii="Times New Roman" w:hAnsi="Times New Roman" w:eastAsia="Times New Roman" w:cs="Times New Roman"/>
                <w:b/>
                <w:sz w:val="19"/>
              </w:rPr>
              <w:t>YouTube beta</w:t>
            </w:r>
          </w:p>
        </w:tc>
        <w:tc>
          <w:tcPr>
            <w:tcW w:w="1378" w:type="dxa"/>
            <w:tcBorders>
              <w:top w:val="single" w:color="000000" w:sz="12" w:space="0"/>
              <w:left w:val="nil"/>
              <w:bottom w:val="single" w:color="000000" w:sz="8" w:space="0"/>
              <w:right w:val="nil"/>
              <w:insideH w:val="nil"/>
              <w:insideV w:val="nil"/>
            </w:tcBorders>
            <w:vAlign w:val="center"/>
          </w:tcPr>
          <w:p w14:paraId="0E500948">
            <w:pPr>
              <w:spacing w:before="0" w:after="0" w:line="240" w:lineRule="auto"/>
              <w:ind w:left="0" w:right="0" w:firstLine="0"/>
              <w:jc w:val="center"/>
            </w:pPr>
            <w:r>
              <w:rPr>
                <w:rFonts w:ascii="Times New Roman" w:hAnsi="Times New Roman" w:eastAsia="Times New Roman" w:cs="Times New Roman"/>
                <w:b/>
                <w:sz w:val="19"/>
              </w:rPr>
              <w:t>YouTube p</w:t>
            </w:r>
          </w:p>
        </w:tc>
        <w:tc>
          <w:tcPr>
            <w:tcW w:w="1378" w:type="dxa"/>
            <w:tcBorders>
              <w:top w:val="single" w:color="000000" w:sz="12" w:space="0"/>
              <w:left w:val="nil"/>
              <w:bottom w:val="single" w:color="000000" w:sz="8" w:space="0"/>
              <w:right w:val="nil"/>
              <w:insideH w:val="nil"/>
              <w:insideV w:val="nil"/>
            </w:tcBorders>
            <w:vAlign w:val="center"/>
          </w:tcPr>
          <w:p w14:paraId="77556954">
            <w:pPr>
              <w:spacing w:before="0" w:after="0" w:line="240" w:lineRule="auto"/>
              <w:ind w:left="0" w:right="0" w:firstLine="0"/>
              <w:jc w:val="center"/>
            </w:pPr>
            <w:r>
              <w:rPr>
                <w:rFonts w:ascii="Times New Roman" w:hAnsi="Times New Roman" w:eastAsia="Times New Roman" w:cs="Times New Roman"/>
                <w:b/>
                <w:sz w:val="19"/>
              </w:rPr>
              <w:t>Xiaohongshu beta</w:t>
            </w:r>
          </w:p>
        </w:tc>
        <w:tc>
          <w:tcPr>
            <w:tcW w:w="1378" w:type="dxa"/>
            <w:tcBorders>
              <w:top w:val="single" w:color="000000" w:sz="12" w:space="0"/>
              <w:left w:val="nil"/>
              <w:bottom w:val="single" w:color="000000" w:sz="8" w:space="0"/>
              <w:right w:val="nil"/>
              <w:insideH w:val="nil"/>
              <w:insideV w:val="nil"/>
            </w:tcBorders>
            <w:vAlign w:val="center"/>
          </w:tcPr>
          <w:p w14:paraId="233F0CC6">
            <w:pPr>
              <w:spacing w:before="0" w:after="0" w:line="240" w:lineRule="auto"/>
              <w:ind w:left="0" w:right="0" w:firstLine="0"/>
              <w:jc w:val="center"/>
            </w:pPr>
            <w:r>
              <w:rPr>
                <w:rFonts w:ascii="Times New Roman" w:hAnsi="Times New Roman" w:eastAsia="Times New Roman" w:cs="Times New Roman"/>
                <w:b/>
                <w:sz w:val="19"/>
              </w:rPr>
              <w:t>Xiaohongshu p</w:t>
            </w:r>
          </w:p>
        </w:tc>
      </w:tr>
      <w:tr w14:paraId="1E1B1113">
        <w:tblPrEx>
          <w:tblCellMar>
            <w:top w:w="0" w:type="dxa"/>
            <w:left w:w="108" w:type="dxa"/>
            <w:bottom w:w="0" w:type="dxa"/>
            <w:right w:w="108" w:type="dxa"/>
          </w:tblCellMar>
        </w:tblPrEx>
        <w:trPr>
          <w:jc w:val="center"/>
        </w:trPr>
        <w:tc>
          <w:tcPr>
            <w:tcW w:w="1378" w:type="dxa"/>
            <w:tcBorders>
              <w:top w:val="nil"/>
              <w:left w:val="nil"/>
              <w:bottom w:val="nil"/>
              <w:right w:val="nil"/>
              <w:insideH w:val="nil"/>
              <w:insideV w:val="nil"/>
            </w:tcBorders>
            <w:vAlign w:val="center"/>
          </w:tcPr>
          <w:p w14:paraId="15AA26E1">
            <w:pPr>
              <w:spacing w:before="0" w:after="0" w:line="240" w:lineRule="auto"/>
              <w:ind w:left="0" w:right="0" w:firstLine="0"/>
              <w:jc w:val="center"/>
            </w:pPr>
            <w:r>
              <w:rPr>
                <w:rFonts w:ascii="Times New Roman" w:hAnsi="Times New Roman" w:eastAsia="Times New Roman" w:cs="Times New Roman"/>
                <w:b w:val="0"/>
                <w:sz w:val="19"/>
              </w:rPr>
              <w:t>Emotional valence</w:t>
            </w:r>
          </w:p>
        </w:tc>
        <w:tc>
          <w:tcPr>
            <w:tcW w:w="1378" w:type="dxa"/>
            <w:tcBorders>
              <w:top w:val="nil"/>
              <w:left w:val="nil"/>
              <w:bottom w:val="nil"/>
              <w:right w:val="nil"/>
              <w:insideH w:val="nil"/>
              <w:insideV w:val="nil"/>
            </w:tcBorders>
            <w:vAlign w:val="center"/>
          </w:tcPr>
          <w:p w14:paraId="763006C8">
            <w:pPr>
              <w:spacing w:before="0" w:after="0" w:line="240" w:lineRule="auto"/>
              <w:ind w:left="0" w:right="0" w:firstLine="0"/>
              <w:jc w:val="center"/>
            </w:pPr>
            <w:r>
              <w:rPr>
                <w:rFonts w:ascii="Times New Roman" w:hAnsi="Times New Roman" w:eastAsia="Times New Roman" w:cs="Times New Roman"/>
                <w:b w:val="0"/>
                <w:sz w:val="19"/>
              </w:rPr>
              <w:t>.412</w:t>
            </w:r>
          </w:p>
        </w:tc>
        <w:tc>
          <w:tcPr>
            <w:tcW w:w="1378" w:type="dxa"/>
            <w:tcBorders>
              <w:top w:val="nil"/>
              <w:left w:val="nil"/>
              <w:bottom w:val="nil"/>
              <w:right w:val="nil"/>
              <w:insideH w:val="nil"/>
              <w:insideV w:val="nil"/>
            </w:tcBorders>
            <w:vAlign w:val="center"/>
          </w:tcPr>
          <w:p w14:paraId="0C2EFDB8">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1944176F">
            <w:pPr>
              <w:spacing w:before="0" w:after="0" w:line="240" w:lineRule="auto"/>
              <w:ind w:left="0" w:right="0" w:firstLine="0"/>
              <w:jc w:val="center"/>
            </w:pPr>
            <w:r>
              <w:rPr>
                <w:rFonts w:ascii="Times New Roman" w:hAnsi="Times New Roman" w:eastAsia="Times New Roman" w:cs="Times New Roman"/>
                <w:b w:val="0"/>
                <w:sz w:val="19"/>
              </w:rPr>
              <w:t>.287</w:t>
            </w:r>
          </w:p>
        </w:tc>
        <w:tc>
          <w:tcPr>
            <w:tcW w:w="1378" w:type="dxa"/>
            <w:tcBorders>
              <w:top w:val="nil"/>
              <w:left w:val="nil"/>
              <w:bottom w:val="nil"/>
              <w:right w:val="nil"/>
              <w:insideH w:val="nil"/>
              <w:insideV w:val="nil"/>
            </w:tcBorders>
            <w:vAlign w:val="center"/>
          </w:tcPr>
          <w:p w14:paraId="1E461054">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68F7BC05">
            <w:pPr>
              <w:spacing w:before="0" w:after="0" w:line="240" w:lineRule="auto"/>
              <w:ind w:left="0" w:right="0" w:firstLine="0"/>
              <w:jc w:val="center"/>
            </w:pPr>
            <w:r>
              <w:rPr>
                <w:rFonts w:ascii="Times New Roman" w:hAnsi="Times New Roman" w:eastAsia="Times New Roman" w:cs="Times New Roman"/>
                <w:b w:val="0"/>
                <w:sz w:val="19"/>
              </w:rPr>
              <w:t>.356</w:t>
            </w:r>
          </w:p>
        </w:tc>
        <w:tc>
          <w:tcPr>
            <w:tcW w:w="1378" w:type="dxa"/>
            <w:tcBorders>
              <w:top w:val="nil"/>
              <w:left w:val="nil"/>
              <w:bottom w:val="nil"/>
              <w:right w:val="nil"/>
              <w:insideH w:val="nil"/>
              <w:insideV w:val="nil"/>
            </w:tcBorders>
            <w:vAlign w:val="center"/>
          </w:tcPr>
          <w:p w14:paraId="52699657">
            <w:pPr>
              <w:spacing w:before="0" w:after="0" w:line="240" w:lineRule="auto"/>
              <w:ind w:left="0" w:right="0" w:firstLine="0"/>
              <w:jc w:val="center"/>
            </w:pPr>
            <w:r>
              <w:rPr>
                <w:rFonts w:ascii="Times New Roman" w:hAnsi="Times New Roman" w:eastAsia="Times New Roman" w:cs="Times New Roman"/>
                <w:b w:val="0"/>
                <w:sz w:val="19"/>
              </w:rPr>
              <w:t>&lt;.001</w:t>
            </w:r>
          </w:p>
        </w:tc>
      </w:tr>
      <w:tr w14:paraId="707102A4">
        <w:tblPrEx>
          <w:tblCellMar>
            <w:top w:w="0" w:type="dxa"/>
            <w:left w:w="108" w:type="dxa"/>
            <w:bottom w:w="0" w:type="dxa"/>
            <w:right w:w="108" w:type="dxa"/>
          </w:tblCellMar>
        </w:tblPrEx>
        <w:trPr>
          <w:jc w:val="center"/>
        </w:trPr>
        <w:tc>
          <w:tcPr>
            <w:tcW w:w="1378" w:type="dxa"/>
            <w:tcBorders>
              <w:top w:val="nil"/>
              <w:left w:val="nil"/>
              <w:bottom w:val="nil"/>
              <w:right w:val="nil"/>
              <w:insideH w:val="nil"/>
              <w:insideV w:val="nil"/>
            </w:tcBorders>
            <w:vAlign w:val="center"/>
          </w:tcPr>
          <w:p w14:paraId="0F8D9C3D">
            <w:pPr>
              <w:spacing w:before="0" w:after="0" w:line="240" w:lineRule="auto"/>
              <w:ind w:left="0" w:right="0" w:firstLine="0"/>
              <w:jc w:val="center"/>
            </w:pPr>
            <w:r>
              <w:rPr>
                <w:rFonts w:ascii="Times New Roman" w:hAnsi="Times New Roman" w:eastAsia="Times New Roman" w:cs="Times New Roman"/>
                <w:b w:val="0"/>
                <w:sz w:val="19"/>
              </w:rPr>
              <w:t>Visual spectacle</w:t>
            </w:r>
          </w:p>
        </w:tc>
        <w:tc>
          <w:tcPr>
            <w:tcW w:w="1378" w:type="dxa"/>
            <w:tcBorders>
              <w:top w:val="nil"/>
              <w:left w:val="nil"/>
              <w:bottom w:val="nil"/>
              <w:right w:val="nil"/>
              <w:insideH w:val="nil"/>
              <w:insideV w:val="nil"/>
            </w:tcBorders>
            <w:vAlign w:val="center"/>
          </w:tcPr>
          <w:p w14:paraId="2612A33D">
            <w:pPr>
              <w:spacing w:before="0" w:after="0" w:line="240" w:lineRule="auto"/>
              <w:ind w:left="0" w:right="0" w:firstLine="0"/>
              <w:jc w:val="center"/>
            </w:pPr>
            <w:r>
              <w:rPr>
                <w:rFonts w:ascii="Times New Roman" w:hAnsi="Times New Roman" w:eastAsia="Times New Roman" w:cs="Times New Roman"/>
                <w:b w:val="0"/>
                <w:sz w:val="19"/>
              </w:rPr>
              <w:t>.379</w:t>
            </w:r>
          </w:p>
        </w:tc>
        <w:tc>
          <w:tcPr>
            <w:tcW w:w="1378" w:type="dxa"/>
            <w:tcBorders>
              <w:top w:val="nil"/>
              <w:left w:val="nil"/>
              <w:bottom w:val="nil"/>
              <w:right w:val="nil"/>
              <w:insideH w:val="nil"/>
              <w:insideV w:val="nil"/>
            </w:tcBorders>
            <w:vAlign w:val="center"/>
          </w:tcPr>
          <w:p w14:paraId="702C747F">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5B794870">
            <w:pPr>
              <w:spacing w:before="0" w:after="0" w:line="240" w:lineRule="auto"/>
              <w:ind w:left="0" w:right="0" w:firstLine="0"/>
              <w:jc w:val="center"/>
            </w:pPr>
            <w:r>
              <w:rPr>
                <w:rFonts w:ascii="Times New Roman" w:hAnsi="Times New Roman" w:eastAsia="Times New Roman" w:cs="Times New Roman"/>
                <w:b w:val="0"/>
                <w:sz w:val="19"/>
              </w:rPr>
              <w:t>.341</w:t>
            </w:r>
          </w:p>
        </w:tc>
        <w:tc>
          <w:tcPr>
            <w:tcW w:w="1378" w:type="dxa"/>
            <w:tcBorders>
              <w:top w:val="nil"/>
              <w:left w:val="nil"/>
              <w:bottom w:val="nil"/>
              <w:right w:val="nil"/>
              <w:insideH w:val="nil"/>
              <w:insideV w:val="nil"/>
            </w:tcBorders>
            <w:vAlign w:val="center"/>
          </w:tcPr>
          <w:p w14:paraId="6A808CD4">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185341B1">
            <w:pPr>
              <w:spacing w:before="0" w:after="0" w:line="240" w:lineRule="auto"/>
              <w:ind w:left="0" w:right="0" w:firstLine="0"/>
              <w:jc w:val="center"/>
            </w:pPr>
            <w:r>
              <w:rPr>
                <w:rFonts w:ascii="Times New Roman" w:hAnsi="Times New Roman" w:eastAsia="Times New Roman" w:cs="Times New Roman"/>
                <w:b w:val="0"/>
                <w:sz w:val="19"/>
              </w:rPr>
              <w:t>.298</w:t>
            </w:r>
          </w:p>
        </w:tc>
        <w:tc>
          <w:tcPr>
            <w:tcW w:w="1378" w:type="dxa"/>
            <w:tcBorders>
              <w:top w:val="nil"/>
              <w:left w:val="nil"/>
              <w:bottom w:val="nil"/>
              <w:right w:val="nil"/>
              <w:insideH w:val="nil"/>
              <w:insideV w:val="nil"/>
            </w:tcBorders>
            <w:vAlign w:val="center"/>
          </w:tcPr>
          <w:p w14:paraId="70BE9226">
            <w:pPr>
              <w:spacing w:before="0" w:after="0" w:line="240" w:lineRule="auto"/>
              <w:ind w:left="0" w:right="0" w:firstLine="0"/>
              <w:jc w:val="center"/>
            </w:pPr>
            <w:r>
              <w:rPr>
                <w:rFonts w:ascii="Times New Roman" w:hAnsi="Times New Roman" w:eastAsia="Times New Roman" w:cs="Times New Roman"/>
                <w:b w:val="0"/>
                <w:sz w:val="19"/>
              </w:rPr>
              <w:t>&lt;.001</w:t>
            </w:r>
          </w:p>
        </w:tc>
      </w:tr>
      <w:tr w14:paraId="1A74673A">
        <w:tblPrEx>
          <w:tblCellMar>
            <w:top w:w="0" w:type="dxa"/>
            <w:left w:w="108" w:type="dxa"/>
            <w:bottom w:w="0" w:type="dxa"/>
            <w:right w:w="108" w:type="dxa"/>
          </w:tblCellMar>
        </w:tblPrEx>
        <w:trPr>
          <w:jc w:val="center"/>
        </w:trPr>
        <w:tc>
          <w:tcPr>
            <w:tcW w:w="1378" w:type="dxa"/>
            <w:tcBorders>
              <w:top w:val="nil"/>
              <w:left w:val="nil"/>
              <w:bottom w:val="nil"/>
              <w:right w:val="nil"/>
              <w:insideH w:val="nil"/>
              <w:insideV w:val="nil"/>
            </w:tcBorders>
            <w:vAlign w:val="center"/>
          </w:tcPr>
          <w:p w14:paraId="33BB6F7E">
            <w:pPr>
              <w:spacing w:before="0" w:after="0" w:line="240" w:lineRule="auto"/>
              <w:ind w:left="0" w:right="0" w:firstLine="0"/>
              <w:jc w:val="center"/>
            </w:pPr>
            <w:r>
              <w:rPr>
                <w:rFonts w:ascii="Times New Roman" w:hAnsi="Times New Roman" w:eastAsia="Times New Roman" w:cs="Times New Roman"/>
                <w:b w:val="0"/>
                <w:sz w:val="19"/>
              </w:rPr>
              <w:t>Heritage prestige</w:t>
            </w:r>
          </w:p>
        </w:tc>
        <w:tc>
          <w:tcPr>
            <w:tcW w:w="1378" w:type="dxa"/>
            <w:tcBorders>
              <w:top w:val="nil"/>
              <w:left w:val="nil"/>
              <w:bottom w:val="nil"/>
              <w:right w:val="nil"/>
              <w:insideH w:val="nil"/>
              <w:insideV w:val="nil"/>
            </w:tcBorders>
            <w:vAlign w:val="center"/>
          </w:tcPr>
          <w:p w14:paraId="27706129">
            <w:pPr>
              <w:spacing w:before="0" w:after="0" w:line="240" w:lineRule="auto"/>
              <w:ind w:left="0" w:right="0" w:firstLine="0"/>
              <w:jc w:val="center"/>
            </w:pPr>
            <w:r>
              <w:rPr>
                <w:rFonts w:ascii="Times New Roman" w:hAnsi="Times New Roman" w:eastAsia="Times New Roman" w:cs="Times New Roman"/>
                <w:b w:val="0"/>
                <w:sz w:val="19"/>
              </w:rPr>
              <w:t>-.218</w:t>
            </w:r>
          </w:p>
        </w:tc>
        <w:tc>
          <w:tcPr>
            <w:tcW w:w="1378" w:type="dxa"/>
            <w:tcBorders>
              <w:top w:val="nil"/>
              <w:left w:val="nil"/>
              <w:bottom w:val="nil"/>
              <w:right w:val="nil"/>
              <w:insideH w:val="nil"/>
              <w:insideV w:val="nil"/>
            </w:tcBorders>
            <w:vAlign w:val="center"/>
          </w:tcPr>
          <w:p w14:paraId="758E6C2F">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6539F385">
            <w:pPr>
              <w:spacing w:before="0" w:after="0" w:line="240" w:lineRule="auto"/>
              <w:ind w:left="0" w:right="0" w:firstLine="0"/>
              <w:jc w:val="center"/>
            </w:pPr>
            <w:r>
              <w:rPr>
                <w:rFonts w:ascii="Times New Roman" w:hAnsi="Times New Roman" w:eastAsia="Times New Roman" w:cs="Times New Roman"/>
                <w:b w:val="0"/>
                <w:sz w:val="19"/>
              </w:rPr>
              <w:t>-.194</w:t>
            </w:r>
          </w:p>
        </w:tc>
        <w:tc>
          <w:tcPr>
            <w:tcW w:w="1378" w:type="dxa"/>
            <w:tcBorders>
              <w:top w:val="nil"/>
              <w:left w:val="nil"/>
              <w:bottom w:val="nil"/>
              <w:right w:val="nil"/>
              <w:insideH w:val="nil"/>
              <w:insideV w:val="nil"/>
            </w:tcBorders>
            <w:vAlign w:val="center"/>
          </w:tcPr>
          <w:p w14:paraId="0E785961">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7098516D">
            <w:pPr>
              <w:spacing w:before="0" w:after="0" w:line="240" w:lineRule="auto"/>
              <w:ind w:left="0" w:right="0" w:firstLine="0"/>
              <w:jc w:val="center"/>
            </w:pPr>
            <w:r>
              <w:rPr>
                <w:rFonts w:ascii="Times New Roman" w:hAnsi="Times New Roman" w:eastAsia="Times New Roman" w:cs="Times New Roman"/>
                <w:b w:val="0"/>
                <w:sz w:val="19"/>
              </w:rPr>
              <w:t>-.241</w:t>
            </w:r>
          </w:p>
        </w:tc>
        <w:tc>
          <w:tcPr>
            <w:tcW w:w="1378" w:type="dxa"/>
            <w:tcBorders>
              <w:top w:val="nil"/>
              <w:left w:val="nil"/>
              <w:bottom w:val="nil"/>
              <w:right w:val="nil"/>
              <w:insideH w:val="nil"/>
              <w:insideV w:val="nil"/>
            </w:tcBorders>
            <w:vAlign w:val="center"/>
          </w:tcPr>
          <w:p w14:paraId="363ED8BD">
            <w:pPr>
              <w:spacing w:before="0" w:after="0" w:line="240" w:lineRule="auto"/>
              <w:ind w:left="0" w:right="0" w:firstLine="0"/>
              <w:jc w:val="center"/>
            </w:pPr>
            <w:r>
              <w:rPr>
                <w:rFonts w:ascii="Times New Roman" w:hAnsi="Times New Roman" w:eastAsia="Times New Roman" w:cs="Times New Roman"/>
                <w:b w:val="0"/>
                <w:sz w:val="19"/>
              </w:rPr>
              <w:t>&lt;.001</w:t>
            </w:r>
          </w:p>
        </w:tc>
      </w:tr>
      <w:tr w14:paraId="252837E3">
        <w:tblPrEx>
          <w:tblCellMar>
            <w:top w:w="0" w:type="dxa"/>
            <w:left w:w="108" w:type="dxa"/>
            <w:bottom w:w="0" w:type="dxa"/>
            <w:right w:w="108" w:type="dxa"/>
          </w:tblCellMar>
        </w:tblPrEx>
        <w:trPr>
          <w:jc w:val="center"/>
        </w:trPr>
        <w:tc>
          <w:tcPr>
            <w:tcW w:w="1378" w:type="dxa"/>
            <w:tcBorders>
              <w:top w:val="nil"/>
              <w:left w:val="nil"/>
              <w:bottom w:val="nil"/>
              <w:right w:val="nil"/>
              <w:insideH w:val="nil"/>
              <w:insideV w:val="nil"/>
            </w:tcBorders>
            <w:vAlign w:val="center"/>
          </w:tcPr>
          <w:p w14:paraId="54C7B2DD">
            <w:pPr>
              <w:spacing w:before="0" w:after="0" w:line="240" w:lineRule="auto"/>
              <w:ind w:left="0" w:right="0" w:firstLine="0"/>
              <w:jc w:val="center"/>
            </w:pPr>
            <w:r>
              <w:rPr>
                <w:rFonts w:ascii="Times New Roman" w:hAnsi="Times New Roman" w:eastAsia="Times New Roman" w:cs="Times New Roman"/>
                <w:b w:val="0"/>
                <w:sz w:val="19"/>
              </w:rPr>
              <w:t>Hashtag popularity</w:t>
            </w:r>
          </w:p>
        </w:tc>
        <w:tc>
          <w:tcPr>
            <w:tcW w:w="1378" w:type="dxa"/>
            <w:tcBorders>
              <w:top w:val="nil"/>
              <w:left w:val="nil"/>
              <w:bottom w:val="nil"/>
              <w:right w:val="nil"/>
              <w:insideH w:val="nil"/>
              <w:insideV w:val="nil"/>
            </w:tcBorders>
            <w:vAlign w:val="center"/>
          </w:tcPr>
          <w:p w14:paraId="241A67BE">
            <w:pPr>
              <w:spacing w:before="0" w:after="0" w:line="240" w:lineRule="auto"/>
              <w:ind w:left="0" w:right="0" w:firstLine="0"/>
              <w:jc w:val="center"/>
            </w:pPr>
            <w:r>
              <w:rPr>
                <w:rFonts w:ascii="Times New Roman" w:hAnsi="Times New Roman" w:eastAsia="Times New Roman" w:cs="Times New Roman"/>
                <w:b w:val="0"/>
                <w:sz w:val="19"/>
              </w:rPr>
              <w:t>.334</w:t>
            </w:r>
          </w:p>
        </w:tc>
        <w:tc>
          <w:tcPr>
            <w:tcW w:w="1378" w:type="dxa"/>
            <w:tcBorders>
              <w:top w:val="nil"/>
              <w:left w:val="nil"/>
              <w:bottom w:val="nil"/>
              <w:right w:val="nil"/>
              <w:insideH w:val="nil"/>
              <w:insideV w:val="nil"/>
            </w:tcBorders>
            <w:vAlign w:val="center"/>
          </w:tcPr>
          <w:p w14:paraId="192C2F9C">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41B1C29D">
            <w:pPr>
              <w:spacing w:before="0" w:after="0" w:line="240" w:lineRule="auto"/>
              <w:ind w:left="0" w:right="0" w:firstLine="0"/>
              <w:jc w:val="center"/>
            </w:pPr>
            <w:r>
              <w:rPr>
                <w:rFonts w:ascii="Times New Roman" w:hAnsi="Times New Roman" w:eastAsia="Times New Roman" w:cs="Times New Roman"/>
                <w:b w:val="0"/>
                <w:sz w:val="19"/>
              </w:rPr>
              <w:t>.251</w:t>
            </w:r>
          </w:p>
        </w:tc>
        <w:tc>
          <w:tcPr>
            <w:tcW w:w="1378" w:type="dxa"/>
            <w:tcBorders>
              <w:top w:val="nil"/>
              <w:left w:val="nil"/>
              <w:bottom w:val="nil"/>
              <w:right w:val="nil"/>
              <w:insideH w:val="nil"/>
              <w:insideV w:val="nil"/>
            </w:tcBorders>
            <w:vAlign w:val="center"/>
          </w:tcPr>
          <w:p w14:paraId="073AA4F4">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64C0D730">
            <w:pPr>
              <w:spacing w:before="0" w:after="0" w:line="240" w:lineRule="auto"/>
              <w:ind w:left="0" w:right="0" w:firstLine="0"/>
              <w:jc w:val="center"/>
            </w:pPr>
            <w:r>
              <w:rPr>
                <w:rFonts w:ascii="Times New Roman" w:hAnsi="Times New Roman" w:eastAsia="Times New Roman" w:cs="Times New Roman"/>
                <w:b w:val="0"/>
                <w:sz w:val="19"/>
              </w:rPr>
              <w:t>.378</w:t>
            </w:r>
          </w:p>
        </w:tc>
        <w:tc>
          <w:tcPr>
            <w:tcW w:w="1378" w:type="dxa"/>
            <w:tcBorders>
              <w:top w:val="nil"/>
              <w:left w:val="nil"/>
              <w:bottom w:val="nil"/>
              <w:right w:val="nil"/>
              <w:insideH w:val="nil"/>
              <w:insideV w:val="nil"/>
            </w:tcBorders>
            <w:vAlign w:val="center"/>
          </w:tcPr>
          <w:p w14:paraId="5DE15E56">
            <w:pPr>
              <w:spacing w:before="0" w:after="0" w:line="240" w:lineRule="auto"/>
              <w:ind w:left="0" w:right="0" w:firstLine="0"/>
              <w:jc w:val="center"/>
            </w:pPr>
            <w:r>
              <w:rPr>
                <w:rFonts w:ascii="Times New Roman" w:hAnsi="Times New Roman" w:eastAsia="Times New Roman" w:cs="Times New Roman"/>
                <w:b w:val="0"/>
                <w:sz w:val="19"/>
              </w:rPr>
              <w:t>&lt;.001</w:t>
            </w:r>
          </w:p>
        </w:tc>
      </w:tr>
      <w:tr w14:paraId="139B7A38">
        <w:tblPrEx>
          <w:tblCellMar>
            <w:top w:w="0" w:type="dxa"/>
            <w:left w:w="108" w:type="dxa"/>
            <w:bottom w:w="0" w:type="dxa"/>
            <w:right w:w="108" w:type="dxa"/>
          </w:tblCellMar>
        </w:tblPrEx>
        <w:trPr>
          <w:jc w:val="center"/>
        </w:trPr>
        <w:tc>
          <w:tcPr>
            <w:tcW w:w="1378" w:type="dxa"/>
            <w:tcBorders>
              <w:top w:val="nil"/>
              <w:left w:val="nil"/>
              <w:bottom w:val="nil"/>
              <w:right w:val="nil"/>
              <w:insideH w:val="nil"/>
              <w:insideV w:val="nil"/>
            </w:tcBorders>
            <w:vAlign w:val="center"/>
          </w:tcPr>
          <w:p w14:paraId="2820F3AD">
            <w:pPr>
              <w:spacing w:before="0" w:after="0" w:line="240" w:lineRule="auto"/>
              <w:ind w:left="0" w:right="0" w:firstLine="0"/>
              <w:jc w:val="center"/>
            </w:pPr>
            <w:r>
              <w:rPr>
                <w:rFonts w:ascii="Times New Roman" w:hAnsi="Times New Roman" w:eastAsia="Times New Roman" w:cs="Times New Roman"/>
                <w:b w:val="0"/>
                <w:sz w:val="19"/>
              </w:rPr>
              <w:t>Creator followers (log)</w:t>
            </w:r>
          </w:p>
        </w:tc>
        <w:tc>
          <w:tcPr>
            <w:tcW w:w="1378" w:type="dxa"/>
            <w:tcBorders>
              <w:top w:val="nil"/>
              <w:left w:val="nil"/>
              <w:bottom w:val="nil"/>
              <w:right w:val="nil"/>
              <w:insideH w:val="nil"/>
              <w:insideV w:val="nil"/>
            </w:tcBorders>
            <w:vAlign w:val="center"/>
          </w:tcPr>
          <w:p w14:paraId="68CE6A2C">
            <w:pPr>
              <w:spacing w:before="0" w:after="0" w:line="240" w:lineRule="auto"/>
              <w:ind w:left="0" w:right="0" w:firstLine="0"/>
              <w:jc w:val="center"/>
            </w:pPr>
            <w:r>
              <w:rPr>
                <w:rFonts w:ascii="Times New Roman" w:hAnsi="Times New Roman" w:eastAsia="Times New Roman" w:cs="Times New Roman"/>
                <w:b w:val="0"/>
                <w:sz w:val="19"/>
              </w:rPr>
              <w:t>.291</w:t>
            </w:r>
          </w:p>
        </w:tc>
        <w:tc>
          <w:tcPr>
            <w:tcW w:w="1378" w:type="dxa"/>
            <w:tcBorders>
              <w:top w:val="nil"/>
              <w:left w:val="nil"/>
              <w:bottom w:val="nil"/>
              <w:right w:val="nil"/>
              <w:insideH w:val="nil"/>
              <w:insideV w:val="nil"/>
            </w:tcBorders>
            <w:vAlign w:val="center"/>
          </w:tcPr>
          <w:p w14:paraId="5C03FBAF">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5023CB99">
            <w:pPr>
              <w:spacing w:before="0" w:after="0" w:line="240" w:lineRule="auto"/>
              <w:ind w:left="0" w:right="0" w:firstLine="0"/>
              <w:jc w:val="center"/>
            </w:pPr>
            <w:r>
              <w:rPr>
                <w:rFonts w:ascii="Times New Roman" w:hAnsi="Times New Roman" w:eastAsia="Times New Roman" w:cs="Times New Roman"/>
                <w:b w:val="0"/>
                <w:sz w:val="19"/>
              </w:rPr>
              <w:t>.388</w:t>
            </w:r>
          </w:p>
        </w:tc>
        <w:tc>
          <w:tcPr>
            <w:tcW w:w="1378" w:type="dxa"/>
            <w:tcBorders>
              <w:top w:val="nil"/>
              <w:left w:val="nil"/>
              <w:bottom w:val="nil"/>
              <w:right w:val="nil"/>
              <w:insideH w:val="nil"/>
              <w:insideV w:val="nil"/>
            </w:tcBorders>
            <w:vAlign w:val="center"/>
          </w:tcPr>
          <w:p w14:paraId="43E1F14E">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nil"/>
              <w:right w:val="nil"/>
              <w:insideH w:val="nil"/>
              <w:insideV w:val="nil"/>
            </w:tcBorders>
            <w:vAlign w:val="center"/>
          </w:tcPr>
          <w:p w14:paraId="0331269A">
            <w:pPr>
              <w:spacing w:before="0" w:after="0" w:line="240" w:lineRule="auto"/>
              <w:ind w:left="0" w:right="0" w:firstLine="0"/>
              <w:jc w:val="center"/>
            </w:pPr>
            <w:r>
              <w:rPr>
                <w:rFonts w:ascii="Times New Roman" w:hAnsi="Times New Roman" w:eastAsia="Times New Roman" w:cs="Times New Roman"/>
                <w:b w:val="0"/>
                <w:sz w:val="19"/>
              </w:rPr>
              <w:t>.274</w:t>
            </w:r>
          </w:p>
        </w:tc>
        <w:tc>
          <w:tcPr>
            <w:tcW w:w="1378" w:type="dxa"/>
            <w:tcBorders>
              <w:top w:val="nil"/>
              <w:left w:val="nil"/>
              <w:bottom w:val="nil"/>
              <w:right w:val="nil"/>
              <w:insideH w:val="nil"/>
              <w:insideV w:val="nil"/>
            </w:tcBorders>
            <w:vAlign w:val="center"/>
          </w:tcPr>
          <w:p w14:paraId="27837E36">
            <w:pPr>
              <w:spacing w:before="0" w:after="0" w:line="240" w:lineRule="auto"/>
              <w:ind w:left="0" w:right="0" w:firstLine="0"/>
              <w:jc w:val="center"/>
            </w:pPr>
            <w:r>
              <w:rPr>
                <w:rFonts w:ascii="Times New Roman" w:hAnsi="Times New Roman" w:eastAsia="Times New Roman" w:cs="Times New Roman"/>
                <w:b w:val="0"/>
                <w:sz w:val="19"/>
              </w:rPr>
              <w:t>&lt;.001</w:t>
            </w:r>
          </w:p>
        </w:tc>
      </w:tr>
      <w:tr w14:paraId="4D5E11CD">
        <w:tblPrEx>
          <w:tblCellMar>
            <w:top w:w="0" w:type="dxa"/>
            <w:left w:w="108" w:type="dxa"/>
            <w:bottom w:w="0" w:type="dxa"/>
            <w:right w:w="108" w:type="dxa"/>
          </w:tblCellMar>
        </w:tblPrEx>
        <w:trPr>
          <w:jc w:val="center"/>
        </w:trPr>
        <w:tc>
          <w:tcPr>
            <w:tcW w:w="1378" w:type="dxa"/>
            <w:tcBorders>
              <w:top w:val="nil"/>
              <w:left w:val="nil"/>
              <w:bottom w:val="nil"/>
              <w:right w:val="nil"/>
              <w:insideH w:val="nil"/>
              <w:insideV w:val="nil"/>
            </w:tcBorders>
            <w:vAlign w:val="center"/>
          </w:tcPr>
          <w:p w14:paraId="720196B1">
            <w:pPr>
              <w:spacing w:before="0" w:after="0" w:line="240" w:lineRule="auto"/>
              <w:ind w:left="0" w:right="0" w:firstLine="0"/>
              <w:jc w:val="center"/>
            </w:pPr>
            <w:r>
              <w:rPr>
                <w:rFonts w:ascii="Times New Roman" w:hAnsi="Times New Roman" w:eastAsia="Times New Roman" w:cs="Times New Roman"/>
                <w:b w:val="0"/>
                <w:sz w:val="19"/>
              </w:rPr>
              <w:t>Content length</w:t>
            </w:r>
          </w:p>
        </w:tc>
        <w:tc>
          <w:tcPr>
            <w:tcW w:w="1378" w:type="dxa"/>
            <w:tcBorders>
              <w:top w:val="nil"/>
              <w:left w:val="nil"/>
              <w:bottom w:val="nil"/>
              <w:right w:val="nil"/>
              <w:insideH w:val="nil"/>
              <w:insideV w:val="nil"/>
            </w:tcBorders>
            <w:vAlign w:val="center"/>
          </w:tcPr>
          <w:p w14:paraId="6536B388">
            <w:pPr>
              <w:spacing w:before="0" w:after="0" w:line="240" w:lineRule="auto"/>
              <w:ind w:left="0" w:right="0" w:firstLine="0"/>
              <w:jc w:val="center"/>
            </w:pPr>
            <w:r>
              <w:rPr>
                <w:rFonts w:ascii="Times New Roman" w:hAnsi="Times New Roman" w:eastAsia="Times New Roman" w:cs="Times New Roman"/>
                <w:b w:val="0"/>
                <w:sz w:val="19"/>
              </w:rPr>
              <w:t>.087</w:t>
            </w:r>
          </w:p>
        </w:tc>
        <w:tc>
          <w:tcPr>
            <w:tcW w:w="1378" w:type="dxa"/>
            <w:tcBorders>
              <w:top w:val="nil"/>
              <w:left w:val="nil"/>
              <w:bottom w:val="nil"/>
              <w:right w:val="nil"/>
              <w:insideH w:val="nil"/>
              <w:insideV w:val="nil"/>
            </w:tcBorders>
            <w:vAlign w:val="center"/>
          </w:tcPr>
          <w:p w14:paraId="667F8BE0">
            <w:pPr>
              <w:spacing w:before="0" w:after="0" w:line="240" w:lineRule="auto"/>
              <w:ind w:left="0" w:right="0" w:firstLine="0"/>
              <w:jc w:val="center"/>
            </w:pPr>
            <w:r>
              <w:rPr>
                <w:rFonts w:ascii="Times New Roman" w:hAnsi="Times New Roman" w:eastAsia="Times New Roman" w:cs="Times New Roman"/>
                <w:b w:val="0"/>
                <w:sz w:val="19"/>
              </w:rPr>
              <w:t>.012</w:t>
            </w:r>
          </w:p>
        </w:tc>
        <w:tc>
          <w:tcPr>
            <w:tcW w:w="1378" w:type="dxa"/>
            <w:tcBorders>
              <w:top w:val="nil"/>
              <w:left w:val="nil"/>
              <w:bottom w:val="nil"/>
              <w:right w:val="nil"/>
              <w:insideH w:val="nil"/>
              <w:insideV w:val="nil"/>
            </w:tcBorders>
            <w:vAlign w:val="center"/>
          </w:tcPr>
          <w:p w14:paraId="05DC7D5A">
            <w:pPr>
              <w:spacing w:before="0" w:after="0" w:line="240" w:lineRule="auto"/>
              <w:ind w:left="0" w:right="0" w:firstLine="0"/>
              <w:jc w:val="center"/>
            </w:pPr>
            <w:r>
              <w:rPr>
                <w:rFonts w:ascii="Times New Roman" w:hAnsi="Times New Roman" w:eastAsia="Times New Roman" w:cs="Times New Roman"/>
                <w:b w:val="0"/>
                <w:sz w:val="19"/>
              </w:rPr>
              <w:t>.162</w:t>
            </w:r>
          </w:p>
        </w:tc>
        <w:tc>
          <w:tcPr>
            <w:tcW w:w="1378" w:type="dxa"/>
            <w:tcBorders>
              <w:top w:val="nil"/>
              <w:left w:val="nil"/>
              <w:bottom w:val="nil"/>
              <w:right w:val="nil"/>
              <w:insideH w:val="nil"/>
              <w:insideV w:val="nil"/>
            </w:tcBorders>
            <w:vAlign w:val="center"/>
          </w:tcPr>
          <w:p w14:paraId="0749A11B">
            <w:pPr>
              <w:spacing w:before="0" w:after="0" w:line="240" w:lineRule="auto"/>
              <w:ind w:left="0" w:right="0" w:firstLine="0"/>
              <w:jc w:val="center"/>
            </w:pPr>
            <w:r>
              <w:rPr>
                <w:rFonts w:ascii="Times New Roman" w:hAnsi="Times New Roman" w:eastAsia="Times New Roman" w:cs="Times New Roman"/>
                <w:b w:val="0"/>
                <w:sz w:val="19"/>
              </w:rPr>
              <w:t>.001</w:t>
            </w:r>
          </w:p>
        </w:tc>
        <w:tc>
          <w:tcPr>
            <w:tcW w:w="1378" w:type="dxa"/>
            <w:tcBorders>
              <w:top w:val="nil"/>
              <w:left w:val="nil"/>
              <w:bottom w:val="nil"/>
              <w:right w:val="nil"/>
              <w:insideH w:val="nil"/>
              <w:insideV w:val="nil"/>
            </w:tcBorders>
            <w:vAlign w:val="center"/>
          </w:tcPr>
          <w:p w14:paraId="0ACC9FB7">
            <w:pPr>
              <w:spacing w:before="0" w:after="0" w:line="240" w:lineRule="auto"/>
              <w:ind w:left="0" w:right="0" w:firstLine="0"/>
              <w:jc w:val="center"/>
            </w:pPr>
            <w:r>
              <w:rPr>
                <w:rFonts w:ascii="Times New Roman" w:hAnsi="Times New Roman" w:eastAsia="Times New Roman" w:cs="Times New Roman"/>
                <w:b w:val="0"/>
                <w:sz w:val="19"/>
              </w:rPr>
              <w:t>.094</w:t>
            </w:r>
          </w:p>
        </w:tc>
        <w:tc>
          <w:tcPr>
            <w:tcW w:w="1378" w:type="dxa"/>
            <w:tcBorders>
              <w:top w:val="nil"/>
              <w:left w:val="nil"/>
              <w:bottom w:val="nil"/>
              <w:right w:val="nil"/>
              <w:insideH w:val="nil"/>
              <w:insideV w:val="nil"/>
            </w:tcBorders>
            <w:vAlign w:val="center"/>
          </w:tcPr>
          <w:p w14:paraId="343038C4">
            <w:pPr>
              <w:spacing w:before="0" w:after="0" w:line="240" w:lineRule="auto"/>
              <w:ind w:left="0" w:right="0" w:firstLine="0"/>
              <w:jc w:val="center"/>
            </w:pPr>
            <w:r>
              <w:rPr>
                <w:rFonts w:ascii="Times New Roman" w:hAnsi="Times New Roman" w:eastAsia="Times New Roman" w:cs="Times New Roman"/>
                <w:b w:val="0"/>
                <w:sz w:val="19"/>
              </w:rPr>
              <w:t>.009</w:t>
            </w:r>
          </w:p>
        </w:tc>
      </w:tr>
      <w:tr w14:paraId="264FAE50">
        <w:tblPrEx>
          <w:tblCellMar>
            <w:top w:w="0" w:type="dxa"/>
            <w:left w:w="108" w:type="dxa"/>
            <w:bottom w:w="0" w:type="dxa"/>
            <w:right w:w="108" w:type="dxa"/>
          </w:tblCellMar>
        </w:tblPrEx>
        <w:trPr>
          <w:jc w:val="center"/>
        </w:trPr>
        <w:tc>
          <w:tcPr>
            <w:tcW w:w="1378" w:type="dxa"/>
            <w:tcBorders>
              <w:top w:val="nil"/>
              <w:left w:val="nil"/>
              <w:bottom w:val="single" w:color="000000" w:sz="12" w:space="0"/>
              <w:right w:val="nil"/>
              <w:insideH w:val="nil"/>
              <w:insideV w:val="nil"/>
            </w:tcBorders>
            <w:vAlign w:val="center"/>
          </w:tcPr>
          <w:p w14:paraId="18713B33">
            <w:pPr>
              <w:spacing w:before="0" w:after="0" w:line="240" w:lineRule="auto"/>
              <w:ind w:left="0" w:right="0" w:firstLine="0"/>
              <w:jc w:val="center"/>
            </w:pPr>
            <w:r>
              <w:rPr>
                <w:rFonts w:ascii="Times New Roman" w:hAnsi="Times New Roman" w:eastAsia="Times New Roman" w:cs="Times New Roman"/>
                <w:b w:val="0"/>
                <w:sz w:val="19"/>
              </w:rPr>
              <w:t>Audio quality</w:t>
            </w:r>
          </w:p>
        </w:tc>
        <w:tc>
          <w:tcPr>
            <w:tcW w:w="1378" w:type="dxa"/>
            <w:tcBorders>
              <w:top w:val="nil"/>
              <w:left w:val="nil"/>
              <w:bottom w:val="single" w:color="000000" w:sz="12" w:space="0"/>
              <w:right w:val="nil"/>
              <w:insideH w:val="nil"/>
              <w:insideV w:val="nil"/>
            </w:tcBorders>
            <w:vAlign w:val="center"/>
          </w:tcPr>
          <w:p w14:paraId="5441661E">
            <w:pPr>
              <w:spacing w:before="0" w:after="0" w:line="240" w:lineRule="auto"/>
              <w:ind w:left="0" w:right="0" w:firstLine="0"/>
              <w:jc w:val="center"/>
            </w:pPr>
            <w:r>
              <w:rPr>
                <w:rFonts w:ascii="Times New Roman" w:hAnsi="Times New Roman" w:eastAsia="Times New Roman" w:cs="Times New Roman"/>
                <w:b w:val="0"/>
                <w:sz w:val="19"/>
              </w:rPr>
              <w:t>.143</w:t>
            </w:r>
          </w:p>
        </w:tc>
        <w:tc>
          <w:tcPr>
            <w:tcW w:w="1378" w:type="dxa"/>
            <w:tcBorders>
              <w:top w:val="nil"/>
              <w:left w:val="nil"/>
              <w:bottom w:val="single" w:color="000000" w:sz="12" w:space="0"/>
              <w:right w:val="nil"/>
              <w:insideH w:val="nil"/>
              <w:insideV w:val="nil"/>
            </w:tcBorders>
            <w:vAlign w:val="center"/>
          </w:tcPr>
          <w:p w14:paraId="2B7C5611">
            <w:pPr>
              <w:spacing w:before="0" w:after="0" w:line="240" w:lineRule="auto"/>
              <w:ind w:left="0" w:right="0" w:firstLine="0"/>
              <w:jc w:val="center"/>
            </w:pPr>
            <w:r>
              <w:rPr>
                <w:rFonts w:ascii="Times New Roman" w:hAnsi="Times New Roman" w:eastAsia="Times New Roman" w:cs="Times New Roman"/>
                <w:b w:val="0"/>
                <w:sz w:val="19"/>
              </w:rPr>
              <w:t>.003</w:t>
            </w:r>
          </w:p>
        </w:tc>
        <w:tc>
          <w:tcPr>
            <w:tcW w:w="1378" w:type="dxa"/>
            <w:tcBorders>
              <w:top w:val="nil"/>
              <w:left w:val="nil"/>
              <w:bottom w:val="single" w:color="000000" w:sz="12" w:space="0"/>
              <w:right w:val="nil"/>
              <w:insideH w:val="nil"/>
              <w:insideV w:val="nil"/>
            </w:tcBorders>
            <w:vAlign w:val="center"/>
          </w:tcPr>
          <w:p w14:paraId="39D420C9">
            <w:pPr>
              <w:spacing w:before="0" w:after="0" w:line="240" w:lineRule="auto"/>
              <w:ind w:left="0" w:right="0" w:firstLine="0"/>
              <w:jc w:val="center"/>
            </w:pPr>
            <w:r>
              <w:rPr>
                <w:rFonts w:ascii="Times New Roman" w:hAnsi="Times New Roman" w:eastAsia="Times New Roman" w:cs="Times New Roman"/>
                <w:b w:val="0"/>
                <w:sz w:val="19"/>
              </w:rPr>
              <w:t>.211</w:t>
            </w:r>
          </w:p>
        </w:tc>
        <w:tc>
          <w:tcPr>
            <w:tcW w:w="1378" w:type="dxa"/>
            <w:tcBorders>
              <w:top w:val="nil"/>
              <w:left w:val="nil"/>
              <w:bottom w:val="single" w:color="000000" w:sz="12" w:space="0"/>
              <w:right w:val="nil"/>
              <w:insideH w:val="nil"/>
              <w:insideV w:val="nil"/>
            </w:tcBorders>
            <w:vAlign w:val="center"/>
          </w:tcPr>
          <w:p w14:paraId="3727746A">
            <w:pPr>
              <w:spacing w:before="0" w:after="0" w:line="240" w:lineRule="auto"/>
              <w:ind w:left="0" w:right="0" w:firstLine="0"/>
              <w:jc w:val="center"/>
            </w:pPr>
            <w:r>
              <w:rPr>
                <w:rFonts w:ascii="Times New Roman" w:hAnsi="Times New Roman" w:eastAsia="Times New Roman" w:cs="Times New Roman"/>
                <w:b w:val="0"/>
                <w:sz w:val="19"/>
              </w:rPr>
              <w:t>&lt;.001</w:t>
            </w:r>
          </w:p>
        </w:tc>
        <w:tc>
          <w:tcPr>
            <w:tcW w:w="1378" w:type="dxa"/>
            <w:tcBorders>
              <w:top w:val="nil"/>
              <w:left w:val="nil"/>
              <w:bottom w:val="single" w:color="000000" w:sz="12" w:space="0"/>
              <w:right w:val="nil"/>
              <w:insideH w:val="nil"/>
              <w:insideV w:val="nil"/>
            </w:tcBorders>
            <w:vAlign w:val="center"/>
          </w:tcPr>
          <w:p w14:paraId="405E679F">
            <w:pPr>
              <w:spacing w:before="0" w:after="0" w:line="240" w:lineRule="auto"/>
              <w:ind w:left="0" w:right="0" w:firstLine="0"/>
              <w:jc w:val="center"/>
            </w:pPr>
            <w:r>
              <w:rPr>
                <w:rFonts w:ascii="Times New Roman" w:hAnsi="Times New Roman" w:eastAsia="Times New Roman" w:cs="Times New Roman"/>
                <w:b w:val="0"/>
                <w:sz w:val="19"/>
              </w:rPr>
              <w:t>.178</w:t>
            </w:r>
          </w:p>
        </w:tc>
        <w:tc>
          <w:tcPr>
            <w:tcW w:w="1378" w:type="dxa"/>
            <w:tcBorders>
              <w:top w:val="nil"/>
              <w:left w:val="nil"/>
              <w:bottom w:val="single" w:color="000000" w:sz="12" w:space="0"/>
              <w:right w:val="nil"/>
              <w:insideH w:val="nil"/>
              <w:insideV w:val="nil"/>
            </w:tcBorders>
            <w:vAlign w:val="center"/>
          </w:tcPr>
          <w:p w14:paraId="3CCBA931">
            <w:pPr>
              <w:spacing w:before="0" w:after="0" w:line="240" w:lineRule="auto"/>
              <w:ind w:left="0" w:right="0" w:firstLine="0"/>
              <w:jc w:val="center"/>
            </w:pPr>
            <w:r>
              <w:rPr>
                <w:rFonts w:ascii="Times New Roman" w:hAnsi="Times New Roman" w:eastAsia="Times New Roman" w:cs="Times New Roman"/>
                <w:b w:val="0"/>
                <w:sz w:val="19"/>
              </w:rPr>
              <w:t>&lt;.001</w:t>
            </w:r>
          </w:p>
        </w:tc>
      </w:tr>
    </w:tbl>
    <w:p w14:paraId="13A0BBB5">
      <w:pPr>
        <w:spacing w:before="0" w:after="80" w:line="240" w:lineRule="auto"/>
        <w:ind w:left="0" w:right="0" w:firstLine="0"/>
        <w:jc w:val="both"/>
      </w:pPr>
      <w:r>
        <w:rPr>
          <w:rFonts w:ascii="Times New Roman" w:hAnsi="Times New Roman" w:eastAsia="Times New Roman" w:cs="Times New Roman"/>
          <w:i/>
          <w:sz w:val="21"/>
        </w:rPr>
        <w:t>Note. The table reproduces the standardised coefficients in the revised manuscript for editorial cross-checking. The unstandardised coefficients, cluster-robust standard errors, 95% confidence intervals and missing-data diagnostics should accompany the statistical output files where permitted by platform-policy and data-governance restrictions.</w:t>
      </w:r>
    </w:p>
    <w:p w14:paraId="672ACC8F">
      <w:pPr>
        <w:spacing w:before="120" w:after="40" w:line="240" w:lineRule="auto"/>
        <w:ind w:left="0" w:right="0" w:firstLine="0"/>
        <w:jc w:val="center"/>
      </w:pPr>
      <w:r>
        <w:rPr>
          <w:rFonts w:ascii="Times New Roman" w:hAnsi="Times New Roman" w:eastAsia="Times New Roman" w:cs="Times New Roman"/>
          <w:b/>
          <w:i w:val="0"/>
          <w:sz w:val="24"/>
        </w:rPr>
        <w:t>Table S5.</w:t>
      </w:r>
      <w:r>
        <w:rPr>
          <w:rFonts w:ascii="Times New Roman" w:hAnsi="Times New Roman" w:eastAsia="Times New Roman" w:cs="Times New Roman"/>
          <w:i w:val="0"/>
          <w:sz w:val="24"/>
        </w:rPr>
        <w:t xml:space="preserve"> Descriptive heritage-category visibility gaps</w:t>
      </w:r>
    </w:p>
    <w:tbl>
      <w:tblPr>
        <w:tblStyle w:val="32"/>
        <w:tblW w:w="0" w:type="auto"/>
        <w:jc w:val="center"/>
        <w:tblLayout w:type="autofit"/>
        <w:tblCellMar>
          <w:top w:w="0" w:type="dxa"/>
          <w:left w:w="108" w:type="dxa"/>
          <w:bottom w:w="0" w:type="dxa"/>
          <w:right w:w="108" w:type="dxa"/>
        </w:tblCellMar>
      </w:tblPr>
      <w:tblGrid>
        <w:gridCol w:w="1927"/>
        <w:gridCol w:w="1910"/>
        <w:gridCol w:w="1907"/>
        <w:gridCol w:w="1918"/>
        <w:gridCol w:w="1914"/>
      </w:tblGrid>
      <w:tr w14:paraId="6427D81E">
        <w:tblPrEx>
          <w:tblCellMar>
            <w:top w:w="0" w:type="dxa"/>
            <w:left w:w="108" w:type="dxa"/>
            <w:bottom w:w="0" w:type="dxa"/>
            <w:right w:w="108" w:type="dxa"/>
          </w:tblCellMar>
        </w:tblPrEx>
        <w:trPr>
          <w:jc w:val="center"/>
        </w:trPr>
        <w:tc>
          <w:tcPr>
            <w:tcW w:w="1930" w:type="dxa"/>
            <w:tcBorders>
              <w:top w:val="single" w:color="000000" w:sz="12" w:space="0"/>
              <w:left w:val="nil"/>
              <w:bottom w:val="single" w:color="000000" w:sz="8" w:space="0"/>
              <w:right w:val="nil"/>
              <w:insideH w:val="nil"/>
              <w:insideV w:val="nil"/>
            </w:tcBorders>
            <w:vAlign w:val="center"/>
          </w:tcPr>
          <w:p w14:paraId="7112BDBB">
            <w:pPr>
              <w:spacing w:before="0" w:after="0" w:line="240" w:lineRule="auto"/>
              <w:ind w:left="0" w:right="0" w:firstLine="0"/>
              <w:jc w:val="center"/>
            </w:pPr>
            <w:r>
              <w:rPr>
                <w:rFonts w:ascii="Times New Roman" w:hAnsi="Times New Roman" w:eastAsia="Times New Roman" w:cs="Times New Roman"/>
                <w:b/>
                <w:sz w:val="19"/>
              </w:rPr>
              <w:t>Category</w:t>
            </w:r>
          </w:p>
        </w:tc>
        <w:tc>
          <w:tcPr>
            <w:tcW w:w="1930" w:type="dxa"/>
            <w:tcBorders>
              <w:top w:val="single" w:color="000000" w:sz="12" w:space="0"/>
              <w:left w:val="nil"/>
              <w:bottom w:val="single" w:color="000000" w:sz="8" w:space="0"/>
              <w:right w:val="nil"/>
              <w:insideH w:val="nil"/>
              <w:insideV w:val="nil"/>
            </w:tcBorders>
            <w:vAlign w:val="center"/>
          </w:tcPr>
          <w:p w14:paraId="1F52F963">
            <w:pPr>
              <w:spacing w:before="0" w:after="0" w:line="240" w:lineRule="auto"/>
              <w:ind w:left="0" w:right="0" w:firstLine="0"/>
              <w:jc w:val="center"/>
            </w:pPr>
            <w:r>
              <w:rPr>
                <w:rFonts w:ascii="Times New Roman" w:hAnsi="Times New Roman" w:eastAsia="Times New Roman" w:cs="Times New Roman"/>
                <w:b/>
                <w:sz w:val="19"/>
              </w:rPr>
              <w:t>Mean log views</w:t>
            </w:r>
          </w:p>
        </w:tc>
        <w:tc>
          <w:tcPr>
            <w:tcW w:w="1930" w:type="dxa"/>
            <w:tcBorders>
              <w:top w:val="single" w:color="000000" w:sz="12" w:space="0"/>
              <w:left w:val="nil"/>
              <w:bottom w:val="single" w:color="000000" w:sz="8" w:space="0"/>
              <w:right w:val="nil"/>
              <w:insideH w:val="nil"/>
              <w:insideV w:val="nil"/>
            </w:tcBorders>
            <w:vAlign w:val="center"/>
          </w:tcPr>
          <w:p w14:paraId="5D57EB24">
            <w:pPr>
              <w:spacing w:before="0" w:after="0" w:line="240" w:lineRule="auto"/>
              <w:ind w:left="0" w:right="0" w:firstLine="0"/>
              <w:jc w:val="center"/>
            </w:pPr>
            <w:r>
              <w:rPr>
                <w:rFonts w:ascii="Times New Roman" w:hAnsi="Times New Roman" w:eastAsia="Times New Roman" w:cs="Times New Roman"/>
                <w:b/>
                <w:sz w:val="19"/>
              </w:rPr>
              <w:t>SD</w:t>
            </w:r>
          </w:p>
        </w:tc>
        <w:tc>
          <w:tcPr>
            <w:tcW w:w="1930" w:type="dxa"/>
            <w:tcBorders>
              <w:top w:val="single" w:color="000000" w:sz="12" w:space="0"/>
              <w:left w:val="nil"/>
              <w:bottom w:val="single" w:color="000000" w:sz="8" w:space="0"/>
              <w:right w:val="nil"/>
              <w:insideH w:val="nil"/>
              <w:insideV w:val="nil"/>
            </w:tcBorders>
            <w:vAlign w:val="center"/>
          </w:tcPr>
          <w:p w14:paraId="10944E00">
            <w:pPr>
              <w:spacing w:before="0" w:after="0" w:line="240" w:lineRule="auto"/>
              <w:ind w:left="0" w:right="0" w:firstLine="0"/>
              <w:jc w:val="center"/>
            </w:pPr>
            <w:r>
              <w:rPr>
                <w:rFonts w:ascii="Times New Roman" w:hAnsi="Times New Roman" w:eastAsia="Times New Roman" w:cs="Times New Roman"/>
                <w:b/>
                <w:sz w:val="19"/>
              </w:rPr>
              <w:t>Comparison with UNESCO WHL</w:t>
            </w:r>
          </w:p>
        </w:tc>
        <w:tc>
          <w:tcPr>
            <w:tcW w:w="1930" w:type="dxa"/>
            <w:tcBorders>
              <w:top w:val="single" w:color="000000" w:sz="12" w:space="0"/>
              <w:left w:val="nil"/>
              <w:bottom w:val="single" w:color="000000" w:sz="8" w:space="0"/>
              <w:right w:val="nil"/>
              <w:insideH w:val="nil"/>
              <w:insideV w:val="nil"/>
            </w:tcBorders>
            <w:vAlign w:val="center"/>
          </w:tcPr>
          <w:p w14:paraId="20034498">
            <w:pPr>
              <w:spacing w:before="0" w:after="0" w:line="240" w:lineRule="auto"/>
              <w:ind w:left="0" w:right="0" w:firstLine="0"/>
              <w:jc w:val="center"/>
            </w:pPr>
            <w:r>
              <w:rPr>
                <w:rFonts w:ascii="Times New Roman" w:hAnsi="Times New Roman" w:eastAsia="Times New Roman" w:cs="Times New Roman"/>
                <w:b/>
                <w:sz w:val="19"/>
              </w:rPr>
              <w:t>Visibility gap</w:t>
            </w:r>
          </w:p>
        </w:tc>
      </w:tr>
      <w:tr w14:paraId="215EE90B">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2F3740C4">
            <w:pPr>
              <w:spacing w:before="0" w:after="0" w:line="240" w:lineRule="auto"/>
              <w:ind w:left="0" w:right="0" w:firstLine="0"/>
              <w:jc w:val="center"/>
            </w:pPr>
            <w:r>
              <w:rPr>
                <w:rFonts w:ascii="Times New Roman" w:hAnsi="Times New Roman" w:eastAsia="Times New Roman" w:cs="Times New Roman"/>
                <w:b w:val="0"/>
                <w:sz w:val="19"/>
              </w:rPr>
              <w:t>UNESCO World Heritage</w:t>
            </w:r>
          </w:p>
        </w:tc>
        <w:tc>
          <w:tcPr>
            <w:tcW w:w="1930" w:type="dxa"/>
            <w:tcBorders>
              <w:top w:val="nil"/>
              <w:left w:val="nil"/>
              <w:bottom w:val="nil"/>
              <w:right w:val="nil"/>
              <w:insideH w:val="nil"/>
              <w:insideV w:val="nil"/>
            </w:tcBorders>
            <w:vAlign w:val="center"/>
          </w:tcPr>
          <w:p w14:paraId="0D414F26">
            <w:pPr>
              <w:spacing w:before="0" w:after="0" w:line="240" w:lineRule="auto"/>
              <w:ind w:left="0" w:right="0" w:firstLine="0"/>
              <w:jc w:val="center"/>
            </w:pPr>
            <w:r>
              <w:rPr>
                <w:rFonts w:ascii="Times New Roman" w:hAnsi="Times New Roman" w:eastAsia="Times New Roman" w:cs="Times New Roman"/>
                <w:b w:val="0"/>
                <w:sz w:val="19"/>
              </w:rPr>
              <w:t>11.84</w:t>
            </w:r>
          </w:p>
        </w:tc>
        <w:tc>
          <w:tcPr>
            <w:tcW w:w="1930" w:type="dxa"/>
            <w:tcBorders>
              <w:top w:val="nil"/>
              <w:left w:val="nil"/>
              <w:bottom w:val="nil"/>
              <w:right w:val="nil"/>
              <w:insideH w:val="nil"/>
              <w:insideV w:val="nil"/>
            </w:tcBorders>
            <w:vAlign w:val="center"/>
          </w:tcPr>
          <w:p w14:paraId="0D68F791">
            <w:pPr>
              <w:spacing w:before="0" w:after="0" w:line="240" w:lineRule="auto"/>
              <w:ind w:left="0" w:right="0" w:firstLine="0"/>
              <w:jc w:val="center"/>
            </w:pPr>
            <w:r>
              <w:rPr>
                <w:rFonts w:ascii="Times New Roman" w:hAnsi="Times New Roman" w:eastAsia="Times New Roman" w:cs="Times New Roman"/>
                <w:b w:val="0"/>
                <w:sz w:val="19"/>
              </w:rPr>
              <w:t>1.12</w:t>
            </w:r>
          </w:p>
        </w:tc>
        <w:tc>
          <w:tcPr>
            <w:tcW w:w="1930" w:type="dxa"/>
            <w:tcBorders>
              <w:top w:val="nil"/>
              <w:left w:val="nil"/>
              <w:bottom w:val="nil"/>
              <w:right w:val="nil"/>
              <w:insideH w:val="nil"/>
              <w:insideV w:val="nil"/>
            </w:tcBorders>
            <w:vAlign w:val="center"/>
          </w:tcPr>
          <w:p w14:paraId="63789B91">
            <w:pPr>
              <w:spacing w:before="0" w:after="0" w:line="240" w:lineRule="auto"/>
              <w:ind w:left="0" w:right="0" w:firstLine="0"/>
              <w:jc w:val="center"/>
            </w:pPr>
            <w:r>
              <w:rPr>
                <w:rFonts w:ascii="Times New Roman" w:hAnsi="Times New Roman" w:eastAsia="Times New Roman" w:cs="Times New Roman"/>
                <w:b w:val="0"/>
                <w:sz w:val="19"/>
              </w:rPr>
              <w:t>Reference</w:t>
            </w:r>
          </w:p>
        </w:tc>
        <w:tc>
          <w:tcPr>
            <w:tcW w:w="1930" w:type="dxa"/>
            <w:tcBorders>
              <w:top w:val="nil"/>
              <w:left w:val="nil"/>
              <w:bottom w:val="nil"/>
              <w:right w:val="nil"/>
              <w:insideH w:val="nil"/>
              <w:insideV w:val="nil"/>
            </w:tcBorders>
            <w:vAlign w:val="center"/>
          </w:tcPr>
          <w:p w14:paraId="07733D84">
            <w:pPr>
              <w:spacing w:before="0" w:after="0" w:line="240" w:lineRule="auto"/>
              <w:ind w:left="0" w:right="0" w:firstLine="0"/>
              <w:jc w:val="center"/>
            </w:pPr>
            <w:r>
              <w:rPr>
                <w:rFonts w:ascii="Times New Roman" w:hAnsi="Times New Roman" w:eastAsia="Times New Roman" w:cs="Times New Roman"/>
                <w:b w:val="0"/>
                <w:sz w:val="19"/>
              </w:rPr>
              <w:t>None</w:t>
            </w:r>
          </w:p>
        </w:tc>
      </w:tr>
      <w:tr w14:paraId="6FA45EE9">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7194994F">
            <w:pPr>
              <w:spacing w:before="0" w:after="0" w:line="240" w:lineRule="auto"/>
              <w:ind w:left="0" w:right="0" w:firstLine="0"/>
              <w:jc w:val="center"/>
            </w:pPr>
            <w:r>
              <w:rPr>
                <w:rFonts w:ascii="Times New Roman" w:hAnsi="Times New Roman" w:eastAsia="Times New Roman" w:cs="Times New Roman"/>
                <w:b w:val="0"/>
                <w:sz w:val="19"/>
              </w:rPr>
              <w:t>National monument/museum</w:t>
            </w:r>
          </w:p>
        </w:tc>
        <w:tc>
          <w:tcPr>
            <w:tcW w:w="1930" w:type="dxa"/>
            <w:tcBorders>
              <w:top w:val="nil"/>
              <w:left w:val="nil"/>
              <w:bottom w:val="nil"/>
              <w:right w:val="nil"/>
              <w:insideH w:val="nil"/>
              <w:insideV w:val="nil"/>
            </w:tcBorders>
            <w:vAlign w:val="center"/>
          </w:tcPr>
          <w:p w14:paraId="54635594">
            <w:pPr>
              <w:spacing w:before="0" w:after="0" w:line="240" w:lineRule="auto"/>
              <w:ind w:left="0" w:right="0" w:firstLine="0"/>
              <w:jc w:val="center"/>
            </w:pPr>
            <w:r>
              <w:rPr>
                <w:rFonts w:ascii="Times New Roman" w:hAnsi="Times New Roman" w:eastAsia="Times New Roman" w:cs="Times New Roman"/>
                <w:b w:val="0"/>
                <w:sz w:val="19"/>
              </w:rPr>
              <w:t>10.67</w:t>
            </w:r>
          </w:p>
        </w:tc>
        <w:tc>
          <w:tcPr>
            <w:tcW w:w="1930" w:type="dxa"/>
            <w:tcBorders>
              <w:top w:val="nil"/>
              <w:left w:val="nil"/>
              <w:bottom w:val="nil"/>
              <w:right w:val="nil"/>
              <w:insideH w:val="nil"/>
              <w:insideV w:val="nil"/>
            </w:tcBorders>
            <w:vAlign w:val="center"/>
          </w:tcPr>
          <w:p w14:paraId="6DA50CFC">
            <w:pPr>
              <w:spacing w:before="0" w:after="0" w:line="240" w:lineRule="auto"/>
              <w:ind w:left="0" w:right="0" w:firstLine="0"/>
              <w:jc w:val="center"/>
            </w:pPr>
            <w:r>
              <w:rPr>
                <w:rFonts w:ascii="Times New Roman" w:hAnsi="Times New Roman" w:eastAsia="Times New Roman" w:cs="Times New Roman"/>
                <w:b w:val="0"/>
                <w:sz w:val="19"/>
              </w:rPr>
              <w:t>1.24</w:t>
            </w:r>
          </w:p>
        </w:tc>
        <w:tc>
          <w:tcPr>
            <w:tcW w:w="1930" w:type="dxa"/>
            <w:tcBorders>
              <w:top w:val="nil"/>
              <w:left w:val="nil"/>
              <w:bottom w:val="nil"/>
              <w:right w:val="nil"/>
              <w:insideH w:val="nil"/>
              <w:insideV w:val="nil"/>
            </w:tcBorders>
            <w:vAlign w:val="center"/>
          </w:tcPr>
          <w:p w14:paraId="42E598F0">
            <w:pPr>
              <w:spacing w:before="0" w:after="0" w:line="240" w:lineRule="auto"/>
              <w:ind w:left="0" w:right="0" w:firstLine="0"/>
              <w:jc w:val="center"/>
            </w:pPr>
            <w:r>
              <w:rPr>
                <w:rFonts w:ascii="Times New Roman" w:hAnsi="Times New Roman" w:eastAsia="Times New Roman" w:cs="Times New Roman"/>
                <w:b w:val="0"/>
                <w:sz w:val="19"/>
              </w:rPr>
              <w:t>t=28.4, p&lt;.001</w:t>
            </w:r>
          </w:p>
        </w:tc>
        <w:tc>
          <w:tcPr>
            <w:tcW w:w="1930" w:type="dxa"/>
            <w:tcBorders>
              <w:top w:val="nil"/>
              <w:left w:val="nil"/>
              <w:bottom w:val="nil"/>
              <w:right w:val="nil"/>
              <w:insideH w:val="nil"/>
              <w:insideV w:val="nil"/>
            </w:tcBorders>
            <w:vAlign w:val="center"/>
          </w:tcPr>
          <w:p w14:paraId="37D0343A">
            <w:pPr>
              <w:spacing w:before="0" w:after="0" w:line="240" w:lineRule="auto"/>
              <w:ind w:left="0" w:right="0" w:firstLine="0"/>
              <w:jc w:val="center"/>
            </w:pPr>
            <w:r>
              <w:rPr>
                <w:rFonts w:ascii="Times New Roman" w:hAnsi="Times New Roman" w:eastAsia="Times New Roman" w:cs="Times New Roman"/>
                <w:b w:val="0"/>
                <w:sz w:val="19"/>
              </w:rPr>
              <w:t>Moderate (-10.3%)</w:t>
            </w:r>
          </w:p>
        </w:tc>
      </w:tr>
      <w:tr w14:paraId="15CF3BB2">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22AF29B7">
            <w:pPr>
              <w:spacing w:before="0" w:after="0" w:line="240" w:lineRule="auto"/>
              <w:ind w:left="0" w:right="0" w:firstLine="0"/>
              <w:jc w:val="center"/>
            </w:pPr>
            <w:r>
              <w:rPr>
                <w:rFonts w:ascii="Times New Roman" w:hAnsi="Times New Roman" w:eastAsia="Times New Roman" w:cs="Times New Roman"/>
                <w:b w:val="0"/>
                <w:sz w:val="19"/>
              </w:rPr>
              <w:t>Urban folk craft</w:t>
            </w:r>
          </w:p>
        </w:tc>
        <w:tc>
          <w:tcPr>
            <w:tcW w:w="1930" w:type="dxa"/>
            <w:tcBorders>
              <w:top w:val="nil"/>
              <w:left w:val="nil"/>
              <w:bottom w:val="nil"/>
              <w:right w:val="nil"/>
              <w:insideH w:val="nil"/>
              <w:insideV w:val="nil"/>
            </w:tcBorders>
            <w:vAlign w:val="center"/>
          </w:tcPr>
          <w:p w14:paraId="3AAF3741">
            <w:pPr>
              <w:spacing w:before="0" w:after="0" w:line="240" w:lineRule="auto"/>
              <w:ind w:left="0" w:right="0" w:firstLine="0"/>
              <w:jc w:val="center"/>
            </w:pPr>
            <w:r>
              <w:rPr>
                <w:rFonts w:ascii="Times New Roman" w:hAnsi="Times New Roman" w:eastAsia="Times New Roman" w:cs="Times New Roman"/>
                <w:b w:val="0"/>
                <w:sz w:val="19"/>
              </w:rPr>
              <w:t>9.91</w:t>
            </w:r>
          </w:p>
        </w:tc>
        <w:tc>
          <w:tcPr>
            <w:tcW w:w="1930" w:type="dxa"/>
            <w:tcBorders>
              <w:top w:val="nil"/>
              <w:left w:val="nil"/>
              <w:bottom w:val="nil"/>
              <w:right w:val="nil"/>
              <w:insideH w:val="nil"/>
              <w:insideV w:val="nil"/>
            </w:tcBorders>
            <w:vAlign w:val="center"/>
          </w:tcPr>
          <w:p w14:paraId="3E4D930C">
            <w:pPr>
              <w:spacing w:before="0" w:after="0" w:line="240" w:lineRule="auto"/>
              <w:ind w:left="0" w:right="0" w:firstLine="0"/>
              <w:jc w:val="center"/>
            </w:pPr>
            <w:r>
              <w:rPr>
                <w:rFonts w:ascii="Times New Roman" w:hAnsi="Times New Roman" w:eastAsia="Times New Roman" w:cs="Times New Roman"/>
                <w:b w:val="0"/>
                <w:sz w:val="19"/>
              </w:rPr>
              <w:t>1.38</w:t>
            </w:r>
          </w:p>
        </w:tc>
        <w:tc>
          <w:tcPr>
            <w:tcW w:w="1930" w:type="dxa"/>
            <w:tcBorders>
              <w:top w:val="nil"/>
              <w:left w:val="nil"/>
              <w:bottom w:val="nil"/>
              <w:right w:val="nil"/>
              <w:insideH w:val="nil"/>
              <w:insideV w:val="nil"/>
            </w:tcBorders>
            <w:vAlign w:val="center"/>
          </w:tcPr>
          <w:p w14:paraId="5F7BA934">
            <w:pPr>
              <w:spacing w:before="0" w:after="0" w:line="240" w:lineRule="auto"/>
              <w:ind w:left="0" w:right="0" w:firstLine="0"/>
              <w:jc w:val="center"/>
            </w:pPr>
            <w:r>
              <w:rPr>
                <w:rFonts w:ascii="Times New Roman" w:hAnsi="Times New Roman" w:eastAsia="Times New Roman" w:cs="Times New Roman"/>
                <w:b w:val="0"/>
                <w:sz w:val="19"/>
              </w:rPr>
              <w:t>t=44.1, p&lt;.001</w:t>
            </w:r>
          </w:p>
        </w:tc>
        <w:tc>
          <w:tcPr>
            <w:tcW w:w="1930" w:type="dxa"/>
            <w:tcBorders>
              <w:top w:val="nil"/>
              <w:left w:val="nil"/>
              <w:bottom w:val="nil"/>
              <w:right w:val="nil"/>
              <w:insideH w:val="nil"/>
              <w:insideV w:val="nil"/>
            </w:tcBorders>
            <w:vAlign w:val="center"/>
          </w:tcPr>
          <w:p w14:paraId="560F8BA3">
            <w:pPr>
              <w:spacing w:before="0" w:after="0" w:line="240" w:lineRule="auto"/>
              <w:ind w:left="0" w:right="0" w:firstLine="0"/>
              <w:jc w:val="center"/>
            </w:pPr>
            <w:r>
              <w:rPr>
                <w:rFonts w:ascii="Times New Roman" w:hAnsi="Times New Roman" w:eastAsia="Times New Roman" w:cs="Times New Roman"/>
                <w:b w:val="0"/>
                <w:sz w:val="19"/>
              </w:rPr>
              <w:t>Large (-16.3%)</w:t>
            </w:r>
          </w:p>
        </w:tc>
      </w:tr>
      <w:tr w14:paraId="2684482D">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4678F1D2">
            <w:pPr>
              <w:spacing w:before="0" w:after="0" w:line="240" w:lineRule="auto"/>
              <w:ind w:left="0" w:right="0" w:firstLine="0"/>
              <w:jc w:val="center"/>
            </w:pPr>
            <w:r>
              <w:rPr>
                <w:rFonts w:ascii="Times New Roman" w:hAnsi="Times New Roman" w:eastAsia="Times New Roman" w:cs="Times New Roman"/>
                <w:b w:val="0"/>
                <w:sz w:val="19"/>
              </w:rPr>
              <w:t>Minority cultural traditions</w:t>
            </w:r>
          </w:p>
        </w:tc>
        <w:tc>
          <w:tcPr>
            <w:tcW w:w="1930" w:type="dxa"/>
            <w:tcBorders>
              <w:top w:val="nil"/>
              <w:left w:val="nil"/>
              <w:bottom w:val="nil"/>
              <w:right w:val="nil"/>
              <w:insideH w:val="nil"/>
              <w:insideV w:val="nil"/>
            </w:tcBorders>
            <w:vAlign w:val="center"/>
          </w:tcPr>
          <w:p w14:paraId="3B08EEC5">
            <w:pPr>
              <w:spacing w:before="0" w:after="0" w:line="240" w:lineRule="auto"/>
              <w:ind w:left="0" w:right="0" w:firstLine="0"/>
              <w:jc w:val="center"/>
            </w:pPr>
            <w:r>
              <w:rPr>
                <w:rFonts w:ascii="Times New Roman" w:hAnsi="Times New Roman" w:eastAsia="Times New Roman" w:cs="Times New Roman"/>
                <w:b w:val="0"/>
                <w:sz w:val="19"/>
              </w:rPr>
              <w:t>8.73</w:t>
            </w:r>
          </w:p>
        </w:tc>
        <w:tc>
          <w:tcPr>
            <w:tcW w:w="1930" w:type="dxa"/>
            <w:tcBorders>
              <w:top w:val="nil"/>
              <w:left w:val="nil"/>
              <w:bottom w:val="nil"/>
              <w:right w:val="nil"/>
              <w:insideH w:val="nil"/>
              <w:insideV w:val="nil"/>
            </w:tcBorders>
            <w:vAlign w:val="center"/>
          </w:tcPr>
          <w:p w14:paraId="4BF5D515">
            <w:pPr>
              <w:spacing w:before="0" w:after="0" w:line="240" w:lineRule="auto"/>
              <w:ind w:left="0" w:right="0" w:firstLine="0"/>
              <w:jc w:val="center"/>
            </w:pPr>
            <w:r>
              <w:rPr>
                <w:rFonts w:ascii="Times New Roman" w:hAnsi="Times New Roman" w:eastAsia="Times New Roman" w:cs="Times New Roman"/>
                <w:b w:val="0"/>
                <w:sz w:val="19"/>
              </w:rPr>
              <w:t>1.51</w:t>
            </w:r>
          </w:p>
        </w:tc>
        <w:tc>
          <w:tcPr>
            <w:tcW w:w="1930" w:type="dxa"/>
            <w:tcBorders>
              <w:top w:val="nil"/>
              <w:left w:val="nil"/>
              <w:bottom w:val="nil"/>
              <w:right w:val="nil"/>
              <w:insideH w:val="nil"/>
              <w:insideV w:val="nil"/>
            </w:tcBorders>
            <w:vAlign w:val="center"/>
          </w:tcPr>
          <w:p w14:paraId="24D07681">
            <w:pPr>
              <w:spacing w:before="0" w:after="0" w:line="240" w:lineRule="auto"/>
              <w:ind w:left="0" w:right="0" w:firstLine="0"/>
              <w:jc w:val="center"/>
            </w:pPr>
            <w:r>
              <w:rPr>
                <w:rFonts w:ascii="Times New Roman" w:hAnsi="Times New Roman" w:eastAsia="Times New Roman" w:cs="Times New Roman"/>
                <w:b w:val="0"/>
                <w:sz w:val="19"/>
              </w:rPr>
              <w:t>t=71.6, p&lt;.001</w:t>
            </w:r>
          </w:p>
        </w:tc>
        <w:tc>
          <w:tcPr>
            <w:tcW w:w="1930" w:type="dxa"/>
            <w:tcBorders>
              <w:top w:val="nil"/>
              <w:left w:val="nil"/>
              <w:bottom w:val="nil"/>
              <w:right w:val="nil"/>
              <w:insideH w:val="nil"/>
              <w:insideV w:val="nil"/>
            </w:tcBorders>
            <w:vAlign w:val="center"/>
          </w:tcPr>
          <w:p w14:paraId="56526CE7">
            <w:pPr>
              <w:spacing w:before="0" w:after="0" w:line="240" w:lineRule="auto"/>
              <w:ind w:left="0" w:right="0" w:firstLine="0"/>
              <w:jc w:val="center"/>
            </w:pPr>
            <w:r>
              <w:rPr>
                <w:rFonts w:ascii="Times New Roman" w:hAnsi="Times New Roman" w:eastAsia="Times New Roman" w:cs="Times New Roman"/>
                <w:b w:val="0"/>
                <w:sz w:val="19"/>
              </w:rPr>
              <w:t>Very large (-26.3%)</w:t>
            </w:r>
          </w:p>
        </w:tc>
      </w:tr>
      <w:tr w14:paraId="3BE6259D">
        <w:tblPrEx>
          <w:tblCellMar>
            <w:top w:w="0" w:type="dxa"/>
            <w:left w:w="108" w:type="dxa"/>
            <w:bottom w:w="0" w:type="dxa"/>
            <w:right w:w="108" w:type="dxa"/>
          </w:tblCellMar>
        </w:tblPrEx>
        <w:trPr>
          <w:jc w:val="center"/>
        </w:trPr>
        <w:tc>
          <w:tcPr>
            <w:tcW w:w="1930" w:type="dxa"/>
            <w:tcBorders>
              <w:top w:val="nil"/>
              <w:left w:val="nil"/>
              <w:bottom w:val="nil"/>
              <w:right w:val="nil"/>
              <w:insideH w:val="nil"/>
              <w:insideV w:val="nil"/>
            </w:tcBorders>
            <w:vAlign w:val="center"/>
          </w:tcPr>
          <w:p w14:paraId="0066D0E1">
            <w:pPr>
              <w:spacing w:before="0" w:after="0" w:line="240" w:lineRule="auto"/>
              <w:ind w:left="0" w:right="0" w:firstLine="0"/>
              <w:jc w:val="center"/>
            </w:pPr>
            <w:r>
              <w:rPr>
                <w:rFonts w:ascii="Times New Roman" w:hAnsi="Times New Roman" w:eastAsia="Times New Roman" w:cs="Times New Roman"/>
                <w:b w:val="0"/>
                <w:sz w:val="19"/>
              </w:rPr>
              <w:t>Indigenous knowledge systems</w:t>
            </w:r>
          </w:p>
        </w:tc>
        <w:tc>
          <w:tcPr>
            <w:tcW w:w="1930" w:type="dxa"/>
            <w:tcBorders>
              <w:top w:val="nil"/>
              <w:left w:val="nil"/>
              <w:bottom w:val="nil"/>
              <w:right w:val="nil"/>
              <w:insideH w:val="nil"/>
              <w:insideV w:val="nil"/>
            </w:tcBorders>
            <w:vAlign w:val="center"/>
          </w:tcPr>
          <w:p w14:paraId="213FC97D">
            <w:pPr>
              <w:spacing w:before="0" w:after="0" w:line="240" w:lineRule="auto"/>
              <w:ind w:left="0" w:right="0" w:firstLine="0"/>
              <w:jc w:val="center"/>
            </w:pPr>
            <w:r>
              <w:rPr>
                <w:rFonts w:ascii="Times New Roman" w:hAnsi="Times New Roman" w:eastAsia="Times New Roman" w:cs="Times New Roman"/>
                <w:b w:val="0"/>
                <w:sz w:val="19"/>
              </w:rPr>
              <w:t>7.84</w:t>
            </w:r>
          </w:p>
        </w:tc>
        <w:tc>
          <w:tcPr>
            <w:tcW w:w="1930" w:type="dxa"/>
            <w:tcBorders>
              <w:top w:val="nil"/>
              <w:left w:val="nil"/>
              <w:bottom w:val="nil"/>
              <w:right w:val="nil"/>
              <w:insideH w:val="nil"/>
              <w:insideV w:val="nil"/>
            </w:tcBorders>
            <w:vAlign w:val="center"/>
          </w:tcPr>
          <w:p w14:paraId="1E7A37A7">
            <w:pPr>
              <w:spacing w:before="0" w:after="0" w:line="240" w:lineRule="auto"/>
              <w:ind w:left="0" w:right="0" w:firstLine="0"/>
              <w:jc w:val="center"/>
            </w:pPr>
            <w:r>
              <w:rPr>
                <w:rFonts w:ascii="Times New Roman" w:hAnsi="Times New Roman" w:eastAsia="Times New Roman" w:cs="Times New Roman"/>
                <w:b w:val="0"/>
                <w:sz w:val="19"/>
              </w:rPr>
              <w:t>1.63</w:t>
            </w:r>
          </w:p>
        </w:tc>
        <w:tc>
          <w:tcPr>
            <w:tcW w:w="1930" w:type="dxa"/>
            <w:tcBorders>
              <w:top w:val="nil"/>
              <w:left w:val="nil"/>
              <w:bottom w:val="nil"/>
              <w:right w:val="nil"/>
              <w:insideH w:val="nil"/>
              <w:insideV w:val="nil"/>
            </w:tcBorders>
            <w:vAlign w:val="center"/>
          </w:tcPr>
          <w:p w14:paraId="1ED4FC7B">
            <w:pPr>
              <w:spacing w:before="0" w:after="0" w:line="240" w:lineRule="auto"/>
              <w:ind w:left="0" w:right="0" w:firstLine="0"/>
              <w:jc w:val="center"/>
            </w:pPr>
            <w:r>
              <w:rPr>
                <w:rFonts w:ascii="Times New Roman" w:hAnsi="Times New Roman" w:eastAsia="Times New Roman" w:cs="Times New Roman"/>
                <w:b w:val="0"/>
                <w:sz w:val="19"/>
              </w:rPr>
              <w:t>t=89.3, p&lt;.001</w:t>
            </w:r>
          </w:p>
        </w:tc>
        <w:tc>
          <w:tcPr>
            <w:tcW w:w="1930" w:type="dxa"/>
            <w:tcBorders>
              <w:top w:val="nil"/>
              <w:left w:val="nil"/>
              <w:bottom w:val="nil"/>
              <w:right w:val="nil"/>
              <w:insideH w:val="nil"/>
              <w:insideV w:val="nil"/>
            </w:tcBorders>
            <w:vAlign w:val="center"/>
          </w:tcPr>
          <w:p w14:paraId="007F75EE">
            <w:pPr>
              <w:spacing w:before="0" w:after="0" w:line="240" w:lineRule="auto"/>
              <w:ind w:left="0" w:right="0" w:firstLine="0"/>
              <w:jc w:val="center"/>
            </w:pPr>
            <w:r>
              <w:rPr>
                <w:rFonts w:ascii="Times New Roman" w:hAnsi="Times New Roman" w:eastAsia="Times New Roman" w:cs="Times New Roman"/>
                <w:b w:val="0"/>
                <w:sz w:val="19"/>
              </w:rPr>
              <w:t>Extreme (-33.8%)</w:t>
            </w:r>
          </w:p>
        </w:tc>
      </w:tr>
      <w:tr w14:paraId="41AB1151">
        <w:tblPrEx>
          <w:tblCellMar>
            <w:top w:w="0" w:type="dxa"/>
            <w:left w:w="108" w:type="dxa"/>
            <w:bottom w:w="0" w:type="dxa"/>
            <w:right w:w="108" w:type="dxa"/>
          </w:tblCellMar>
        </w:tblPrEx>
        <w:trPr>
          <w:jc w:val="center"/>
        </w:trPr>
        <w:tc>
          <w:tcPr>
            <w:tcW w:w="1930" w:type="dxa"/>
            <w:tcBorders>
              <w:top w:val="nil"/>
              <w:left w:val="nil"/>
              <w:bottom w:val="single" w:color="000000" w:sz="12" w:space="0"/>
              <w:right w:val="nil"/>
              <w:insideH w:val="nil"/>
              <w:insideV w:val="nil"/>
            </w:tcBorders>
            <w:vAlign w:val="center"/>
          </w:tcPr>
          <w:p w14:paraId="00111E19">
            <w:pPr>
              <w:spacing w:before="0" w:after="0" w:line="240" w:lineRule="auto"/>
              <w:ind w:left="0" w:right="0" w:firstLine="0"/>
              <w:jc w:val="center"/>
            </w:pPr>
            <w:r>
              <w:rPr>
                <w:rFonts w:ascii="Times New Roman" w:hAnsi="Times New Roman" w:eastAsia="Times New Roman" w:cs="Times New Roman"/>
                <w:b w:val="0"/>
                <w:sz w:val="19"/>
              </w:rPr>
              <w:t>Intangible practice (non-visual)</w:t>
            </w:r>
          </w:p>
        </w:tc>
        <w:tc>
          <w:tcPr>
            <w:tcW w:w="1930" w:type="dxa"/>
            <w:tcBorders>
              <w:top w:val="nil"/>
              <w:left w:val="nil"/>
              <w:bottom w:val="single" w:color="000000" w:sz="12" w:space="0"/>
              <w:right w:val="nil"/>
              <w:insideH w:val="nil"/>
              <w:insideV w:val="nil"/>
            </w:tcBorders>
            <w:vAlign w:val="center"/>
          </w:tcPr>
          <w:p w14:paraId="0F40C644">
            <w:pPr>
              <w:spacing w:before="0" w:after="0" w:line="240" w:lineRule="auto"/>
              <w:ind w:left="0" w:right="0" w:firstLine="0"/>
              <w:jc w:val="center"/>
            </w:pPr>
            <w:r>
              <w:rPr>
                <w:rFonts w:ascii="Times New Roman" w:hAnsi="Times New Roman" w:eastAsia="Times New Roman" w:cs="Times New Roman"/>
                <w:b w:val="0"/>
                <w:sz w:val="19"/>
              </w:rPr>
              <w:t>8.22</w:t>
            </w:r>
          </w:p>
        </w:tc>
        <w:tc>
          <w:tcPr>
            <w:tcW w:w="1930" w:type="dxa"/>
            <w:tcBorders>
              <w:top w:val="nil"/>
              <w:left w:val="nil"/>
              <w:bottom w:val="single" w:color="000000" w:sz="12" w:space="0"/>
              <w:right w:val="nil"/>
              <w:insideH w:val="nil"/>
              <w:insideV w:val="nil"/>
            </w:tcBorders>
            <w:vAlign w:val="center"/>
          </w:tcPr>
          <w:p w14:paraId="4F75DDB1">
            <w:pPr>
              <w:spacing w:before="0" w:after="0" w:line="240" w:lineRule="auto"/>
              <w:ind w:left="0" w:right="0" w:firstLine="0"/>
              <w:jc w:val="center"/>
            </w:pPr>
            <w:r>
              <w:rPr>
                <w:rFonts w:ascii="Times New Roman" w:hAnsi="Times New Roman" w:eastAsia="Times New Roman" w:cs="Times New Roman"/>
                <w:b w:val="0"/>
                <w:sz w:val="19"/>
              </w:rPr>
              <w:t>1.57</w:t>
            </w:r>
          </w:p>
        </w:tc>
        <w:tc>
          <w:tcPr>
            <w:tcW w:w="1930" w:type="dxa"/>
            <w:tcBorders>
              <w:top w:val="nil"/>
              <w:left w:val="nil"/>
              <w:bottom w:val="single" w:color="000000" w:sz="12" w:space="0"/>
              <w:right w:val="nil"/>
              <w:insideH w:val="nil"/>
              <w:insideV w:val="nil"/>
            </w:tcBorders>
            <w:vAlign w:val="center"/>
          </w:tcPr>
          <w:p w14:paraId="5152934F">
            <w:pPr>
              <w:spacing w:before="0" w:after="0" w:line="240" w:lineRule="auto"/>
              <w:ind w:left="0" w:right="0" w:firstLine="0"/>
              <w:jc w:val="center"/>
            </w:pPr>
            <w:r>
              <w:rPr>
                <w:rFonts w:ascii="Times New Roman" w:hAnsi="Times New Roman" w:eastAsia="Times New Roman" w:cs="Times New Roman"/>
                <w:b w:val="0"/>
                <w:sz w:val="19"/>
              </w:rPr>
              <w:t>t=78.2, p&lt;.001</w:t>
            </w:r>
          </w:p>
        </w:tc>
        <w:tc>
          <w:tcPr>
            <w:tcW w:w="1930" w:type="dxa"/>
            <w:tcBorders>
              <w:top w:val="nil"/>
              <w:left w:val="nil"/>
              <w:bottom w:val="single" w:color="000000" w:sz="12" w:space="0"/>
              <w:right w:val="nil"/>
              <w:insideH w:val="nil"/>
              <w:insideV w:val="nil"/>
            </w:tcBorders>
            <w:vAlign w:val="center"/>
          </w:tcPr>
          <w:p w14:paraId="05F0892E">
            <w:pPr>
              <w:spacing w:before="0" w:after="0" w:line="240" w:lineRule="auto"/>
              <w:ind w:left="0" w:right="0" w:firstLine="0"/>
              <w:jc w:val="center"/>
            </w:pPr>
            <w:r>
              <w:rPr>
                <w:rFonts w:ascii="Times New Roman" w:hAnsi="Times New Roman" w:eastAsia="Times New Roman" w:cs="Times New Roman"/>
                <w:b w:val="0"/>
                <w:sz w:val="19"/>
              </w:rPr>
              <w:t>Extreme (-30.6%)</w:t>
            </w:r>
          </w:p>
        </w:tc>
      </w:tr>
    </w:tbl>
    <w:p w14:paraId="38FE2E3F">
      <w:pPr>
        <w:pStyle w:val="3"/>
        <w:spacing w:before="0" w:after="80" w:line="240" w:lineRule="auto"/>
        <w:ind w:left="0" w:right="0" w:firstLine="0"/>
        <w:jc w:val="both"/>
      </w:pPr>
      <w:r>
        <w:rPr>
          <w:rFonts w:ascii="Times New Roman" w:hAnsi="Times New Roman" w:eastAsia="Times New Roman" w:cs="Times New Roman"/>
          <w:b/>
          <w:i w:val="0"/>
          <w:color w:val="0D2B4A"/>
          <w:sz w:val="24"/>
        </w:rPr>
        <w:t>S5. Robustness and sensitivity reporting summary</w:t>
      </w:r>
    </w:p>
    <w:tbl>
      <w:tblPr>
        <w:tblStyle w:val="32"/>
        <w:tblW w:w="0" w:type="auto"/>
        <w:jc w:val="center"/>
        <w:tblLayout w:type="autofit"/>
        <w:tblCellMar>
          <w:top w:w="0" w:type="dxa"/>
          <w:left w:w="108" w:type="dxa"/>
          <w:bottom w:w="0" w:type="dxa"/>
          <w:right w:w="108" w:type="dxa"/>
        </w:tblCellMar>
      </w:tblPr>
      <w:tblGrid>
        <w:gridCol w:w="3193"/>
        <w:gridCol w:w="3190"/>
        <w:gridCol w:w="3193"/>
      </w:tblGrid>
      <w:tr w14:paraId="40B88DA7">
        <w:tblPrEx>
          <w:tblCellMar>
            <w:top w:w="0" w:type="dxa"/>
            <w:left w:w="108" w:type="dxa"/>
            <w:bottom w:w="0" w:type="dxa"/>
            <w:right w:w="108" w:type="dxa"/>
          </w:tblCellMar>
        </w:tblPrEx>
        <w:trPr>
          <w:jc w:val="center"/>
        </w:trPr>
        <w:tc>
          <w:tcPr>
            <w:tcW w:w="3216" w:type="dxa"/>
            <w:tcBorders>
              <w:top w:val="single" w:color="000000" w:sz="12" w:space="0"/>
              <w:left w:val="nil"/>
              <w:bottom w:val="single" w:color="000000" w:sz="8" w:space="0"/>
              <w:right w:val="nil"/>
              <w:insideH w:val="nil"/>
              <w:insideV w:val="nil"/>
            </w:tcBorders>
            <w:vAlign w:val="center"/>
          </w:tcPr>
          <w:p w14:paraId="43BFED3F">
            <w:pPr>
              <w:spacing w:before="0" w:after="0" w:line="240" w:lineRule="auto"/>
              <w:ind w:left="0" w:right="0" w:firstLine="0"/>
              <w:jc w:val="center"/>
            </w:pPr>
            <w:r>
              <w:rPr>
                <w:rFonts w:ascii="Times New Roman" w:hAnsi="Times New Roman" w:eastAsia="Times New Roman" w:cs="Times New Roman"/>
                <w:b/>
                <w:sz w:val="19"/>
              </w:rPr>
              <w:t>Check</w:t>
            </w:r>
          </w:p>
        </w:tc>
        <w:tc>
          <w:tcPr>
            <w:tcW w:w="3216" w:type="dxa"/>
            <w:tcBorders>
              <w:top w:val="single" w:color="000000" w:sz="12" w:space="0"/>
              <w:left w:val="nil"/>
              <w:bottom w:val="single" w:color="000000" w:sz="8" w:space="0"/>
              <w:right w:val="nil"/>
              <w:insideH w:val="nil"/>
              <w:insideV w:val="nil"/>
            </w:tcBorders>
            <w:vAlign w:val="center"/>
          </w:tcPr>
          <w:p w14:paraId="1F62451D">
            <w:pPr>
              <w:spacing w:before="0" w:after="0" w:line="240" w:lineRule="auto"/>
              <w:ind w:left="0" w:right="0" w:firstLine="0"/>
              <w:jc w:val="center"/>
            </w:pPr>
            <w:r>
              <w:rPr>
                <w:rFonts w:ascii="Times New Roman" w:hAnsi="Times New Roman" w:eastAsia="Times New Roman" w:cs="Times New Roman"/>
                <w:b/>
                <w:sz w:val="19"/>
              </w:rPr>
              <w:t>Purpose</w:t>
            </w:r>
          </w:p>
        </w:tc>
        <w:tc>
          <w:tcPr>
            <w:tcW w:w="3216" w:type="dxa"/>
            <w:tcBorders>
              <w:top w:val="single" w:color="000000" w:sz="12" w:space="0"/>
              <w:left w:val="nil"/>
              <w:bottom w:val="single" w:color="000000" w:sz="8" w:space="0"/>
              <w:right w:val="nil"/>
              <w:insideH w:val="nil"/>
              <w:insideV w:val="nil"/>
            </w:tcBorders>
            <w:vAlign w:val="center"/>
          </w:tcPr>
          <w:p w14:paraId="4C8B2F6D">
            <w:pPr>
              <w:spacing w:before="0" w:after="0" w:line="240" w:lineRule="auto"/>
              <w:ind w:left="0" w:right="0" w:firstLine="0"/>
              <w:jc w:val="center"/>
            </w:pPr>
            <w:r>
              <w:rPr>
                <w:rFonts w:ascii="Times New Roman" w:hAnsi="Times New Roman" w:eastAsia="Times New Roman" w:cs="Times New Roman"/>
                <w:b/>
                <w:sz w:val="19"/>
              </w:rPr>
              <w:t>Reporting status in revised materials</w:t>
            </w:r>
          </w:p>
        </w:tc>
      </w:tr>
      <w:tr w14:paraId="54192AC3">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4CC6DA9F">
            <w:pPr>
              <w:spacing w:before="0" w:after="0" w:line="240" w:lineRule="auto"/>
              <w:ind w:left="0" w:right="0" w:firstLine="0"/>
              <w:jc w:val="center"/>
            </w:pPr>
            <w:r>
              <w:rPr>
                <w:rFonts w:ascii="Times New Roman" w:hAnsi="Times New Roman" w:eastAsia="Times New Roman" w:cs="Times New Roman"/>
                <w:b w:val="0"/>
                <w:sz w:val="19"/>
              </w:rPr>
              <w:t>Random forest feature importance</w:t>
            </w:r>
          </w:p>
        </w:tc>
        <w:tc>
          <w:tcPr>
            <w:tcW w:w="3216" w:type="dxa"/>
            <w:tcBorders>
              <w:top w:val="nil"/>
              <w:left w:val="nil"/>
              <w:bottom w:val="nil"/>
              <w:right w:val="nil"/>
              <w:insideH w:val="nil"/>
              <w:insideV w:val="nil"/>
            </w:tcBorders>
            <w:vAlign w:val="center"/>
          </w:tcPr>
          <w:p w14:paraId="70B0E96E">
            <w:pPr>
              <w:spacing w:before="0" w:after="0" w:line="240" w:lineRule="auto"/>
              <w:ind w:left="0" w:right="0" w:firstLine="0"/>
              <w:jc w:val="center"/>
            </w:pPr>
            <w:r>
              <w:rPr>
                <w:rFonts w:ascii="Times New Roman" w:hAnsi="Times New Roman" w:eastAsia="Times New Roman" w:cs="Times New Roman"/>
                <w:b w:val="0"/>
                <w:sz w:val="19"/>
              </w:rPr>
              <w:t>Check whether non-linear predictor ranking is consistent with OLS.</w:t>
            </w:r>
          </w:p>
        </w:tc>
        <w:tc>
          <w:tcPr>
            <w:tcW w:w="3216" w:type="dxa"/>
            <w:tcBorders>
              <w:top w:val="nil"/>
              <w:left w:val="nil"/>
              <w:bottom w:val="nil"/>
              <w:right w:val="nil"/>
              <w:insideH w:val="nil"/>
              <w:insideV w:val="nil"/>
            </w:tcBorders>
            <w:vAlign w:val="center"/>
          </w:tcPr>
          <w:p w14:paraId="5135CC12">
            <w:pPr>
              <w:spacing w:before="0" w:after="0" w:line="240" w:lineRule="auto"/>
              <w:ind w:left="0" w:right="0" w:firstLine="0"/>
              <w:jc w:val="center"/>
            </w:pPr>
            <w:r>
              <w:rPr>
                <w:rFonts w:ascii="Times New Roman" w:hAnsi="Times New Roman" w:eastAsia="Times New Roman" w:cs="Times New Roman"/>
                <w:b w:val="0"/>
                <w:sz w:val="19"/>
              </w:rPr>
              <w:t>Emotional valence, visual spectacle, creator followers and hashtag popularity remain leading predictors across platforms.</w:t>
            </w:r>
          </w:p>
        </w:tc>
      </w:tr>
      <w:tr w14:paraId="7F4FD483">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471D1164">
            <w:pPr>
              <w:spacing w:before="0" w:after="0" w:line="240" w:lineRule="auto"/>
              <w:ind w:left="0" w:right="0" w:firstLine="0"/>
              <w:jc w:val="center"/>
            </w:pPr>
            <w:r>
              <w:rPr>
                <w:rFonts w:ascii="Times New Roman" w:hAnsi="Times New Roman" w:eastAsia="Times New Roman" w:cs="Times New Roman"/>
                <w:b w:val="0"/>
                <w:sz w:val="19"/>
              </w:rPr>
              <w:t>Creator fixed effects</w:t>
            </w:r>
          </w:p>
        </w:tc>
        <w:tc>
          <w:tcPr>
            <w:tcW w:w="3216" w:type="dxa"/>
            <w:tcBorders>
              <w:top w:val="nil"/>
              <w:left w:val="nil"/>
              <w:bottom w:val="nil"/>
              <w:right w:val="nil"/>
              <w:insideH w:val="nil"/>
              <w:insideV w:val="nil"/>
            </w:tcBorders>
            <w:vAlign w:val="center"/>
          </w:tcPr>
          <w:p w14:paraId="051264C3">
            <w:pPr>
              <w:spacing w:before="0" w:after="0" w:line="240" w:lineRule="auto"/>
              <w:ind w:left="0" w:right="0" w:firstLine="0"/>
              <w:jc w:val="center"/>
            </w:pPr>
            <w:r>
              <w:rPr>
                <w:rFonts w:ascii="Times New Roman" w:hAnsi="Times New Roman" w:eastAsia="Times New Roman" w:cs="Times New Roman"/>
                <w:b w:val="0"/>
                <w:sz w:val="19"/>
              </w:rPr>
              <w:t>Reduce confounding from time-invariant creator reputation.</w:t>
            </w:r>
          </w:p>
        </w:tc>
        <w:tc>
          <w:tcPr>
            <w:tcW w:w="3216" w:type="dxa"/>
            <w:tcBorders>
              <w:top w:val="nil"/>
              <w:left w:val="nil"/>
              <w:bottom w:val="nil"/>
              <w:right w:val="nil"/>
              <w:insideH w:val="nil"/>
              <w:insideV w:val="nil"/>
            </w:tcBorders>
            <w:vAlign w:val="center"/>
          </w:tcPr>
          <w:p w14:paraId="431AD398">
            <w:pPr>
              <w:spacing w:before="0" w:after="0" w:line="240" w:lineRule="auto"/>
              <w:ind w:left="0" w:right="0" w:firstLine="0"/>
              <w:jc w:val="center"/>
            </w:pPr>
            <w:r>
              <w:rPr>
                <w:rFonts w:ascii="Times New Roman" w:hAnsi="Times New Roman" w:eastAsia="Times New Roman" w:cs="Times New Roman"/>
                <w:b w:val="0"/>
                <w:sz w:val="19"/>
              </w:rPr>
              <w:t>Category disadvantage remains directionally consistent; manuscript reports Indigenous delta = -2.41 and Intangible delta = -2.18.</w:t>
            </w:r>
          </w:p>
        </w:tc>
      </w:tr>
      <w:tr w14:paraId="45A4E09E">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7155D278">
            <w:pPr>
              <w:spacing w:before="0" w:after="0" w:line="240" w:lineRule="auto"/>
              <w:ind w:left="0" w:right="0" w:firstLine="0"/>
              <w:jc w:val="center"/>
            </w:pPr>
            <w:r>
              <w:rPr>
                <w:rFonts w:ascii="Times New Roman" w:hAnsi="Times New Roman" w:eastAsia="Times New Roman" w:cs="Times New Roman"/>
                <w:b w:val="0"/>
                <w:sz w:val="19"/>
              </w:rPr>
              <w:t>Gini coefficients</w:t>
            </w:r>
          </w:p>
        </w:tc>
        <w:tc>
          <w:tcPr>
            <w:tcW w:w="3216" w:type="dxa"/>
            <w:tcBorders>
              <w:top w:val="nil"/>
              <w:left w:val="nil"/>
              <w:bottom w:val="nil"/>
              <w:right w:val="nil"/>
              <w:insideH w:val="nil"/>
              <w:insideV w:val="nil"/>
            </w:tcBorders>
            <w:vAlign w:val="center"/>
          </w:tcPr>
          <w:p w14:paraId="72C87EB6">
            <w:pPr>
              <w:spacing w:before="0" w:after="0" w:line="240" w:lineRule="auto"/>
              <w:ind w:left="0" w:right="0" w:firstLine="0"/>
              <w:jc w:val="center"/>
            </w:pPr>
            <w:r>
              <w:rPr>
                <w:rFonts w:ascii="Times New Roman" w:hAnsi="Times New Roman" w:eastAsia="Times New Roman" w:cs="Times New Roman"/>
                <w:b w:val="0"/>
                <w:sz w:val="19"/>
              </w:rPr>
              <w:t>Measure concentration of views across creators by platform-month.</w:t>
            </w:r>
          </w:p>
        </w:tc>
        <w:tc>
          <w:tcPr>
            <w:tcW w:w="3216" w:type="dxa"/>
            <w:tcBorders>
              <w:top w:val="nil"/>
              <w:left w:val="nil"/>
              <w:bottom w:val="nil"/>
              <w:right w:val="nil"/>
              <w:insideH w:val="nil"/>
              <w:insideV w:val="nil"/>
            </w:tcBorders>
            <w:vAlign w:val="center"/>
          </w:tcPr>
          <w:p w14:paraId="1E188A11">
            <w:pPr>
              <w:spacing w:before="0" w:after="0" w:line="240" w:lineRule="auto"/>
              <w:ind w:left="0" w:right="0" w:firstLine="0"/>
              <w:jc w:val="center"/>
            </w:pPr>
            <w:r>
              <w:rPr>
                <w:rFonts w:ascii="Times New Roman" w:hAnsi="Times New Roman" w:eastAsia="Times New Roman" w:cs="Times New Roman"/>
                <w:b w:val="0"/>
                <w:sz w:val="19"/>
              </w:rPr>
              <w:t>Main manuscript reports increases from Jan 2022 to Dec 2023: TikTok .68 to .81, YouTube .61 to .71, Xiaohongshu .55 to .74.</w:t>
            </w:r>
          </w:p>
        </w:tc>
      </w:tr>
      <w:tr w14:paraId="3C31776A">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28F1595A">
            <w:pPr>
              <w:spacing w:before="0" w:after="0" w:line="240" w:lineRule="auto"/>
              <w:ind w:left="0" w:right="0" w:firstLine="0"/>
              <w:jc w:val="center"/>
            </w:pPr>
            <w:r>
              <w:rPr>
                <w:rFonts w:ascii="Times New Roman" w:hAnsi="Times New Roman" w:eastAsia="Times New Roman" w:cs="Times New Roman"/>
                <w:b w:val="0"/>
                <w:sz w:val="19"/>
              </w:rPr>
              <w:t>PSM high/low emotion comparison</w:t>
            </w:r>
          </w:p>
        </w:tc>
        <w:tc>
          <w:tcPr>
            <w:tcW w:w="3216" w:type="dxa"/>
            <w:tcBorders>
              <w:top w:val="nil"/>
              <w:left w:val="nil"/>
              <w:bottom w:val="nil"/>
              <w:right w:val="nil"/>
              <w:insideH w:val="nil"/>
              <w:insideV w:val="nil"/>
            </w:tcBorders>
            <w:vAlign w:val="center"/>
          </w:tcPr>
          <w:p w14:paraId="7EDF64ED">
            <w:pPr>
              <w:spacing w:before="0" w:after="0" w:line="240" w:lineRule="auto"/>
              <w:ind w:left="0" w:right="0" w:firstLine="0"/>
              <w:jc w:val="center"/>
            </w:pPr>
            <w:r>
              <w:rPr>
                <w:rFonts w:ascii="Times New Roman" w:hAnsi="Times New Roman" w:eastAsia="Times New Roman" w:cs="Times New Roman"/>
                <w:b w:val="0"/>
                <w:sz w:val="19"/>
              </w:rPr>
              <w:t>Reduce observable confounding in emotion-visibility association.</w:t>
            </w:r>
          </w:p>
        </w:tc>
        <w:tc>
          <w:tcPr>
            <w:tcW w:w="3216" w:type="dxa"/>
            <w:tcBorders>
              <w:top w:val="nil"/>
              <w:left w:val="nil"/>
              <w:bottom w:val="nil"/>
              <w:right w:val="nil"/>
              <w:insideH w:val="nil"/>
              <w:insideV w:val="nil"/>
            </w:tcBorders>
            <w:vAlign w:val="center"/>
          </w:tcPr>
          <w:p w14:paraId="50A13427">
            <w:pPr>
              <w:spacing w:before="0" w:after="0" w:line="240" w:lineRule="auto"/>
              <w:ind w:left="0" w:right="0" w:firstLine="0"/>
              <w:jc w:val="center"/>
            </w:pPr>
            <w:r>
              <w:rPr>
                <w:rFonts w:ascii="Times New Roman" w:hAnsi="Times New Roman" w:eastAsia="Times New Roman" w:cs="Times New Roman"/>
                <w:b w:val="0"/>
                <w:sz w:val="19"/>
              </w:rPr>
              <w:t>Retained as a robustness check; balance diagnostics should accompany analysis outputs.</w:t>
            </w:r>
          </w:p>
        </w:tc>
      </w:tr>
      <w:tr w14:paraId="15B70136">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4A5FD86B">
            <w:pPr>
              <w:spacing w:before="0" w:after="0" w:line="240" w:lineRule="auto"/>
              <w:ind w:left="0" w:right="0" w:firstLine="0"/>
              <w:jc w:val="center"/>
            </w:pPr>
            <w:r>
              <w:rPr>
                <w:rFonts w:ascii="Times New Roman" w:hAnsi="Times New Roman" w:eastAsia="Times New Roman" w:cs="Times New Roman"/>
                <w:b w:val="0"/>
                <w:sz w:val="19"/>
              </w:rPr>
              <w:t>IV upload-time sensitivity</w:t>
            </w:r>
          </w:p>
        </w:tc>
        <w:tc>
          <w:tcPr>
            <w:tcW w:w="3216" w:type="dxa"/>
            <w:tcBorders>
              <w:top w:val="nil"/>
              <w:left w:val="nil"/>
              <w:bottom w:val="nil"/>
              <w:right w:val="nil"/>
              <w:insideH w:val="nil"/>
              <w:insideV w:val="nil"/>
            </w:tcBorders>
            <w:vAlign w:val="center"/>
          </w:tcPr>
          <w:p w14:paraId="64A049E3">
            <w:pPr>
              <w:spacing w:before="0" w:after="0" w:line="240" w:lineRule="auto"/>
              <w:ind w:left="0" w:right="0" w:firstLine="0"/>
              <w:jc w:val="center"/>
            </w:pPr>
            <w:r>
              <w:rPr>
                <w:rFonts w:ascii="Times New Roman" w:hAnsi="Times New Roman" w:eastAsia="Times New Roman" w:cs="Times New Roman"/>
                <w:b w:val="0"/>
                <w:sz w:val="19"/>
              </w:rPr>
              <w:t>Test robustness using upload timing relative to peak hours.</w:t>
            </w:r>
          </w:p>
        </w:tc>
        <w:tc>
          <w:tcPr>
            <w:tcW w:w="3216" w:type="dxa"/>
            <w:tcBorders>
              <w:top w:val="nil"/>
              <w:left w:val="nil"/>
              <w:bottom w:val="nil"/>
              <w:right w:val="nil"/>
              <w:insideH w:val="nil"/>
              <w:insideV w:val="nil"/>
            </w:tcBorders>
            <w:vAlign w:val="center"/>
          </w:tcPr>
          <w:p w14:paraId="2685D311">
            <w:pPr>
              <w:spacing w:before="0" w:after="0" w:line="240" w:lineRule="auto"/>
              <w:ind w:left="0" w:right="0" w:firstLine="0"/>
              <w:jc w:val="center"/>
            </w:pPr>
            <w:r>
              <w:rPr>
                <w:rFonts w:ascii="Times New Roman" w:hAnsi="Times New Roman" w:eastAsia="Times New Roman" w:cs="Times New Roman"/>
                <w:b w:val="0"/>
                <w:sz w:val="19"/>
              </w:rPr>
              <w:t>Interpreted only as sensitivity evidence because exclusion restriction may be imperfect.</w:t>
            </w:r>
          </w:p>
        </w:tc>
      </w:tr>
      <w:tr w14:paraId="51C379D7">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634AA33D">
            <w:pPr>
              <w:spacing w:before="0" w:after="0" w:line="240" w:lineRule="auto"/>
              <w:ind w:left="0" w:right="0" w:firstLine="0"/>
              <w:jc w:val="center"/>
            </w:pPr>
            <w:r>
              <w:rPr>
                <w:rFonts w:ascii="Times New Roman" w:hAnsi="Times New Roman" w:eastAsia="Times New Roman" w:cs="Times New Roman"/>
                <w:b w:val="0"/>
                <w:sz w:val="19"/>
              </w:rPr>
              <w:t>Multicollinearity</w:t>
            </w:r>
          </w:p>
        </w:tc>
        <w:tc>
          <w:tcPr>
            <w:tcW w:w="3216" w:type="dxa"/>
            <w:tcBorders>
              <w:top w:val="nil"/>
              <w:left w:val="nil"/>
              <w:bottom w:val="nil"/>
              <w:right w:val="nil"/>
              <w:insideH w:val="nil"/>
              <w:insideV w:val="nil"/>
            </w:tcBorders>
            <w:vAlign w:val="center"/>
          </w:tcPr>
          <w:p w14:paraId="049A5477">
            <w:pPr>
              <w:spacing w:before="0" w:after="0" w:line="240" w:lineRule="auto"/>
              <w:ind w:left="0" w:right="0" w:firstLine="0"/>
              <w:jc w:val="center"/>
            </w:pPr>
            <w:r>
              <w:rPr>
                <w:rFonts w:ascii="Times New Roman" w:hAnsi="Times New Roman" w:eastAsia="Times New Roman" w:cs="Times New Roman"/>
                <w:b w:val="0"/>
                <w:sz w:val="19"/>
              </w:rPr>
              <w:t>Assess predictor redundancy.</w:t>
            </w:r>
          </w:p>
        </w:tc>
        <w:tc>
          <w:tcPr>
            <w:tcW w:w="3216" w:type="dxa"/>
            <w:tcBorders>
              <w:top w:val="nil"/>
              <w:left w:val="nil"/>
              <w:bottom w:val="nil"/>
              <w:right w:val="nil"/>
              <w:insideH w:val="nil"/>
              <w:insideV w:val="nil"/>
            </w:tcBorders>
            <w:vAlign w:val="center"/>
          </w:tcPr>
          <w:p w14:paraId="5B1E654E">
            <w:pPr>
              <w:spacing w:before="0" w:after="0" w:line="240" w:lineRule="auto"/>
              <w:ind w:left="0" w:right="0" w:firstLine="0"/>
              <w:jc w:val="center"/>
            </w:pPr>
            <w:r>
              <w:rPr>
                <w:rFonts w:ascii="Times New Roman" w:hAnsi="Times New Roman" w:eastAsia="Times New Roman" w:cs="Times New Roman"/>
                <w:b w:val="0"/>
                <w:sz w:val="19"/>
              </w:rPr>
              <w:t>All VIF values reported below 3.0 in the revised manuscript.</w:t>
            </w:r>
          </w:p>
        </w:tc>
      </w:tr>
      <w:tr w14:paraId="6E6F43AD">
        <w:tblPrEx>
          <w:tblCellMar>
            <w:top w:w="0" w:type="dxa"/>
            <w:left w:w="108" w:type="dxa"/>
            <w:bottom w:w="0" w:type="dxa"/>
            <w:right w:w="108" w:type="dxa"/>
          </w:tblCellMar>
        </w:tblPrEx>
        <w:trPr>
          <w:jc w:val="center"/>
        </w:trPr>
        <w:tc>
          <w:tcPr>
            <w:tcW w:w="3216" w:type="dxa"/>
            <w:tcBorders>
              <w:top w:val="nil"/>
              <w:left w:val="nil"/>
              <w:bottom w:val="single" w:color="000000" w:sz="12" w:space="0"/>
              <w:right w:val="nil"/>
              <w:insideH w:val="nil"/>
              <w:insideV w:val="nil"/>
            </w:tcBorders>
            <w:vAlign w:val="center"/>
          </w:tcPr>
          <w:p w14:paraId="67A7DABE">
            <w:pPr>
              <w:spacing w:before="0" w:after="0" w:line="240" w:lineRule="auto"/>
              <w:ind w:left="0" w:right="0" w:firstLine="0"/>
              <w:jc w:val="center"/>
            </w:pPr>
            <w:r>
              <w:rPr>
                <w:rFonts w:ascii="Times New Roman" w:hAnsi="Times New Roman" w:eastAsia="Times New Roman" w:cs="Times New Roman"/>
                <w:b w:val="0"/>
                <w:sz w:val="19"/>
              </w:rPr>
              <w:t>Language and verification subgroup checks</w:t>
            </w:r>
          </w:p>
        </w:tc>
        <w:tc>
          <w:tcPr>
            <w:tcW w:w="3216" w:type="dxa"/>
            <w:tcBorders>
              <w:top w:val="nil"/>
              <w:left w:val="nil"/>
              <w:bottom w:val="single" w:color="000000" w:sz="12" w:space="0"/>
              <w:right w:val="nil"/>
              <w:insideH w:val="nil"/>
              <w:insideV w:val="nil"/>
            </w:tcBorders>
            <w:vAlign w:val="center"/>
          </w:tcPr>
          <w:p w14:paraId="115F8F8D">
            <w:pPr>
              <w:spacing w:before="0" w:after="0" w:line="240" w:lineRule="auto"/>
              <w:ind w:left="0" w:right="0" w:firstLine="0"/>
              <w:jc w:val="center"/>
            </w:pPr>
            <w:r>
              <w:rPr>
                <w:rFonts w:ascii="Times New Roman" w:hAnsi="Times New Roman" w:eastAsia="Times New Roman" w:cs="Times New Roman"/>
                <w:b w:val="0"/>
                <w:sz w:val="19"/>
              </w:rPr>
              <w:t>Assess whether patterns persist across linguistic and institutional contexts.</w:t>
            </w:r>
          </w:p>
        </w:tc>
        <w:tc>
          <w:tcPr>
            <w:tcW w:w="3216" w:type="dxa"/>
            <w:tcBorders>
              <w:top w:val="nil"/>
              <w:left w:val="nil"/>
              <w:bottom w:val="single" w:color="000000" w:sz="12" w:space="0"/>
              <w:right w:val="nil"/>
              <w:insideH w:val="nil"/>
              <w:insideV w:val="nil"/>
            </w:tcBorders>
            <w:vAlign w:val="center"/>
          </w:tcPr>
          <w:p w14:paraId="6B12CD7E">
            <w:pPr>
              <w:spacing w:before="0" w:after="0" w:line="240" w:lineRule="auto"/>
              <w:ind w:left="0" w:right="0" w:firstLine="0"/>
              <w:jc w:val="center"/>
            </w:pPr>
            <w:r>
              <w:rPr>
                <w:rFonts w:ascii="Times New Roman" w:hAnsi="Times New Roman" w:eastAsia="Times New Roman" w:cs="Times New Roman"/>
                <w:b w:val="0"/>
                <w:sz w:val="19"/>
              </w:rPr>
              <w:t>Reported as subgroup sensitivity checks in Methods and intended output inventory.</w:t>
            </w:r>
          </w:p>
        </w:tc>
      </w:tr>
    </w:tbl>
    <w:p w14:paraId="11DAD7D7">
      <w:pPr>
        <w:pStyle w:val="3"/>
        <w:spacing w:before="0" w:after="80" w:line="240" w:lineRule="auto"/>
        <w:ind w:left="0" w:right="0" w:firstLine="0"/>
        <w:jc w:val="both"/>
      </w:pPr>
      <w:r>
        <w:rPr>
          <w:rFonts w:ascii="Times New Roman" w:hAnsi="Times New Roman" w:eastAsia="Times New Roman" w:cs="Times New Roman"/>
          <w:b/>
          <w:i w:val="0"/>
          <w:color w:val="0D2B4A"/>
          <w:sz w:val="24"/>
        </w:rPr>
        <w:t>S6. Reproducibility and data-governance package</w:t>
      </w:r>
    </w:p>
    <w:p w14:paraId="6A051C20">
      <w:pPr>
        <w:spacing w:before="0" w:after="80" w:line="240" w:lineRule="auto"/>
        <w:ind w:left="0" w:right="0" w:firstLine="0"/>
        <w:jc w:val="both"/>
      </w:pPr>
      <w:r>
        <w:rPr>
          <w:rFonts w:ascii="Times New Roman" w:hAnsi="Times New Roman" w:eastAsia="Times New Roman" w:cs="Times New Roman"/>
          <w:sz w:val="24"/>
        </w:rPr>
        <w:t>Because platform policies may restrict redistribution of raw URLs, post identifiers and account identifiers, the recommended replication package separates non-identifying derived materials from restricted raw records. The following files are suitable for public release where permitted or controlled editorial verification where platform policies restrict public redistribution.</w:t>
      </w:r>
    </w:p>
    <w:tbl>
      <w:tblPr>
        <w:tblStyle w:val="32"/>
        <w:tblW w:w="0" w:type="auto"/>
        <w:jc w:val="center"/>
        <w:tblLayout w:type="autofit"/>
        <w:tblCellMar>
          <w:top w:w="0" w:type="dxa"/>
          <w:left w:w="108" w:type="dxa"/>
          <w:bottom w:w="0" w:type="dxa"/>
          <w:right w:w="108" w:type="dxa"/>
        </w:tblCellMar>
      </w:tblPr>
      <w:tblGrid>
        <w:gridCol w:w="2870"/>
        <w:gridCol w:w="2239"/>
        <w:gridCol w:w="2226"/>
        <w:gridCol w:w="2241"/>
      </w:tblGrid>
      <w:tr w14:paraId="02C5F56C">
        <w:tblPrEx>
          <w:tblCellMar>
            <w:top w:w="0" w:type="dxa"/>
            <w:left w:w="108" w:type="dxa"/>
            <w:bottom w:w="0" w:type="dxa"/>
            <w:right w:w="108" w:type="dxa"/>
          </w:tblCellMar>
        </w:tblPrEx>
        <w:trPr>
          <w:jc w:val="center"/>
        </w:trPr>
        <w:tc>
          <w:tcPr>
            <w:tcW w:w="2412" w:type="dxa"/>
            <w:tcBorders>
              <w:top w:val="single" w:color="000000" w:sz="12" w:space="0"/>
              <w:left w:val="nil"/>
              <w:bottom w:val="single" w:color="000000" w:sz="8" w:space="0"/>
              <w:right w:val="nil"/>
              <w:insideH w:val="nil"/>
              <w:insideV w:val="nil"/>
            </w:tcBorders>
            <w:vAlign w:val="center"/>
          </w:tcPr>
          <w:p w14:paraId="735AE205">
            <w:pPr>
              <w:spacing w:before="0" w:after="0" w:line="240" w:lineRule="auto"/>
              <w:ind w:left="0" w:right="0" w:firstLine="0"/>
              <w:jc w:val="center"/>
            </w:pPr>
            <w:r>
              <w:rPr>
                <w:rFonts w:ascii="Times New Roman" w:hAnsi="Times New Roman" w:eastAsia="Times New Roman" w:cs="Times New Roman"/>
                <w:b/>
                <w:sz w:val="19"/>
              </w:rPr>
              <w:t>File or folder</w:t>
            </w:r>
          </w:p>
        </w:tc>
        <w:tc>
          <w:tcPr>
            <w:tcW w:w="2412" w:type="dxa"/>
            <w:tcBorders>
              <w:top w:val="single" w:color="000000" w:sz="12" w:space="0"/>
              <w:left w:val="nil"/>
              <w:bottom w:val="single" w:color="000000" w:sz="8" w:space="0"/>
              <w:right w:val="nil"/>
              <w:insideH w:val="nil"/>
              <w:insideV w:val="nil"/>
            </w:tcBorders>
            <w:vAlign w:val="center"/>
          </w:tcPr>
          <w:p w14:paraId="22ABBED3">
            <w:pPr>
              <w:spacing w:before="0" w:after="0" w:line="240" w:lineRule="auto"/>
              <w:ind w:left="0" w:right="0" w:firstLine="0"/>
              <w:jc w:val="center"/>
            </w:pPr>
            <w:r>
              <w:rPr>
                <w:rFonts w:ascii="Times New Roman" w:hAnsi="Times New Roman" w:eastAsia="Times New Roman" w:cs="Times New Roman"/>
                <w:b/>
                <w:sz w:val="19"/>
              </w:rPr>
              <w:t>Content</w:t>
            </w:r>
          </w:p>
        </w:tc>
        <w:tc>
          <w:tcPr>
            <w:tcW w:w="2412" w:type="dxa"/>
            <w:tcBorders>
              <w:top w:val="single" w:color="000000" w:sz="12" w:space="0"/>
              <w:left w:val="nil"/>
              <w:bottom w:val="single" w:color="000000" w:sz="8" w:space="0"/>
              <w:right w:val="nil"/>
              <w:insideH w:val="nil"/>
              <w:insideV w:val="nil"/>
            </w:tcBorders>
            <w:vAlign w:val="center"/>
          </w:tcPr>
          <w:p w14:paraId="39D960B3">
            <w:pPr>
              <w:spacing w:before="0" w:after="0" w:line="240" w:lineRule="auto"/>
              <w:ind w:left="0" w:right="0" w:firstLine="0"/>
              <w:jc w:val="center"/>
            </w:pPr>
            <w:r>
              <w:rPr>
                <w:rFonts w:ascii="Times New Roman" w:hAnsi="Times New Roman" w:eastAsia="Times New Roman" w:cs="Times New Roman"/>
                <w:b/>
                <w:sz w:val="19"/>
              </w:rPr>
              <w:t>Identifiability risk</w:t>
            </w:r>
          </w:p>
        </w:tc>
        <w:tc>
          <w:tcPr>
            <w:tcW w:w="2412" w:type="dxa"/>
            <w:tcBorders>
              <w:top w:val="single" w:color="000000" w:sz="12" w:space="0"/>
              <w:left w:val="nil"/>
              <w:bottom w:val="single" w:color="000000" w:sz="8" w:space="0"/>
              <w:right w:val="nil"/>
              <w:insideH w:val="nil"/>
              <w:insideV w:val="nil"/>
            </w:tcBorders>
            <w:vAlign w:val="center"/>
          </w:tcPr>
          <w:p w14:paraId="537E350A">
            <w:pPr>
              <w:spacing w:before="0" w:after="0" w:line="240" w:lineRule="auto"/>
              <w:ind w:left="0" w:right="0" w:firstLine="0"/>
              <w:jc w:val="center"/>
            </w:pPr>
            <w:r>
              <w:rPr>
                <w:rFonts w:ascii="Times New Roman" w:hAnsi="Times New Roman" w:eastAsia="Times New Roman" w:cs="Times New Roman"/>
                <w:b/>
                <w:sz w:val="19"/>
              </w:rPr>
              <w:t>Recommended access</w:t>
            </w:r>
          </w:p>
        </w:tc>
      </w:tr>
      <w:tr w14:paraId="6DB536C3">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13F67850">
            <w:pPr>
              <w:spacing w:before="0" w:after="0" w:line="240" w:lineRule="auto"/>
              <w:ind w:left="0" w:right="0" w:firstLine="0"/>
              <w:jc w:val="center"/>
            </w:pPr>
            <w:r>
              <w:rPr>
                <w:rFonts w:ascii="Times New Roman" w:hAnsi="Times New Roman" w:eastAsia="Times New Roman" w:cs="Times New Roman"/>
                <w:b w:val="0"/>
                <w:sz w:val="19"/>
              </w:rPr>
              <w:t>README</w:t>
            </w:r>
          </w:p>
        </w:tc>
        <w:tc>
          <w:tcPr>
            <w:tcW w:w="2412" w:type="dxa"/>
            <w:tcBorders>
              <w:top w:val="nil"/>
              <w:left w:val="nil"/>
              <w:bottom w:val="nil"/>
              <w:right w:val="nil"/>
              <w:insideH w:val="nil"/>
              <w:insideV w:val="nil"/>
            </w:tcBorders>
            <w:vAlign w:val="center"/>
          </w:tcPr>
          <w:p w14:paraId="36917FC1">
            <w:pPr>
              <w:spacing w:before="0" w:after="0" w:line="240" w:lineRule="auto"/>
              <w:ind w:left="0" w:right="0" w:firstLine="0"/>
              <w:jc w:val="center"/>
            </w:pPr>
            <w:r>
              <w:rPr>
                <w:rFonts w:ascii="Times New Roman" w:hAnsi="Times New Roman" w:eastAsia="Times New Roman" w:cs="Times New Roman"/>
                <w:b w:val="0"/>
                <w:sz w:val="19"/>
              </w:rPr>
              <w:t>Study overview, corpus dates, platform fields, folder structure and reproducibility notes.</w:t>
            </w:r>
          </w:p>
        </w:tc>
        <w:tc>
          <w:tcPr>
            <w:tcW w:w="2412" w:type="dxa"/>
            <w:tcBorders>
              <w:top w:val="nil"/>
              <w:left w:val="nil"/>
              <w:bottom w:val="nil"/>
              <w:right w:val="nil"/>
              <w:insideH w:val="nil"/>
              <w:insideV w:val="nil"/>
            </w:tcBorders>
            <w:vAlign w:val="center"/>
          </w:tcPr>
          <w:p w14:paraId="7319E2DF">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3EF6A2D7">
            <w:pPr>
              <w:spacing w:before="0" w:after="0" w:line="240" w:lineRule="auto"/>
              <w:ind w:left="0" w:right="0" w:firstLine="0"/>
              <w:jc w:val="center"/>
            </w:pPr>
            <w:r>
              <w:rPr>
                <w:rFonts w:ascii="Times New Roman" w:hAnsi="Times New Roman" w:eastAsia="Times New Roman" w:cs="Times New Roman"/>
                <w:b w:val="0"/>
                <w:sz w:val="19"/>
              </w:rPr>
              <w:t>Public or editorial verification</w:t>
            </w:r>
          </w:p>
        </w:tc>
      </w:tr>
      <w:tr w14:paraId="14DF32B0">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1A78D805">
            <w:pPr>
              <w:spacing w:before="0" w:after="0" w:line="240" w:lineRule="auto"/>
              <w:ind w:left="0" w:right="0" w:firstLine="0"/>
              <w:jc w:val="center"/>
            </w:pPr>
            <w:r>
              <w:rPr>
                <w:rFonts w:ascii="Times New Roman" w:hAnsi="Times New Roman" w:eastAsia="Times New Roman" w:cs="Times New Roman"/>
                <w:b w:val="0"/>
                <w:sz w:val="19"/>
              </w:rPr>
              <w:t>keyword_taxonomy.csv</w:t>
            </w:r>
          </w:p>
        </w:tc>
        <w:tc>
          <w:tcPr>
            <w:tcW w:w="2412" w:type="dxa"/>
            <w:tcBorders>
              <w:top w:val="nil"/>
              <w:left w:val="nil"/>
              <w:bottom w:val="nil"/>
              <w:right w:val="nil"/>
              <w:insideH w:val="nil"/>
              <w:insideV w:val="nil"/>
            </w:tcBorders>
            <w:vAlign w:val="center"/>
          </w:tcPr>
          <w:p w14:paraId="5FC9CD2A">
            <w:pPr>
              <w:spacing w:before="0" w:after="0" w:line="240" w:lineRule="auto"/>
              <w:ind w:left="0" w:right="0" w:firstLine="0"/>
              <w:jc w:val="center"/>
            </w:pPr>
            <w:r>
              <w:rPr>
                <w:rFonts w:ascii="Times New Roman" w:hAnsi="Times New Roman" w:eastAsia="Times New Roman" w:cs="Times New Roman"/>
                <w:b w:val="0"/>
                <w:sz w:val="19"/>
              </w:rPr>
              <w:t>Search terms, hashtag families and language equivalents.</w:t>
            </w:r>
          </w:p>
        </w:tc>
        <w:tc>
          <w:tcPr>
            <w:tcW w:w="2412" w:type="dxa"/>
            <w:tcBorders>
              <w:top w:val="nil"/>
              <w:left w:val="nil"/>
              <w:bottom w:val="nil"/>
              <w:right w:val="nil"/>
              <w:insideH w:val="nil"/>
              <w:insideV w:val="nil"/>
            </w:tcBorders>
            <w:vAlign w:val="center"/>
          </w:tcPr>
          <w:p w14:paraId="5DD5FCEC">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5AC49844">
            <w:pPr>
              <w:spacing w:before="0" w:after="0" w:line="240" w:lineRule="auto"/>
              <w:ind w:left="0" w:right="0" w:firstLine="0"/>
              <w:jc w:val="center"/>
            </w:pPr>
            <w:r>
              <w:rPr>
                <w:rFonts w:ascii="Times New Roman" w:hAnsi="Times New Roman" w:eastAsia="Times New Roman" w:cs="Times New Roman"/>
                <w:b w:val="0"/>
                <w:sz w:val="19"/>
              </w:rPr>
              <w:t>Public</w:t>
            </w:r>
          </w:p>
        </w:tc>
      </w:tr>
      <w:tr w14:paraId="0F030B73">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211C426B">
            <w:pPr>
              <w:spacing w:before="0" w:after="0" w:line="240" w:lineRule="auto"/>
              <w:ind w:left="0" w:right="0" w:firstLine="0"/>
              <w:jc w:val="center"/>
            </w:pPr>
            <w:r>
              <w:rPr>
                <w:rFonts w:ascii="Times New Roman" w:hAnsi="Times New Roman" w:eastAsia="Times New Roman" w:cs="Times New Roman"/>
                <w:b w:val="0"/>
                <w:sz w:val="19"/>
              </w:rPr>
              <w:t>exclusion_log_template.csv</w:t>
            </w:r>
          </w:p>
        </w:tc>
        <w:tc>
          <w:tcPr>
            <w:tcW w:w="2412" w:type="dxa"/>
            <w:tcBorders>
              <w:top w:val="nil"/>
              <w:left w:val="nil"/>
              <w:bottom w:val="nil"/>
              <w:right w:val="nil"/>
              <w:insideH w:val="nil"/>
              <w:insideV w:val="nil"/>
            </w:tcBorders>
            <w:vAlign w:val="center"/>
          </w:tcPr>
          <w:p w14:paraId="39CE057D">
            <w:pPr>
              <w:spacing w:before="0" w:after="0" w:line="240" w:lineRule="auto"/>
              <w:ind w:left="0" w:right="0" w:firstLine="0"/>
              <w:jc w:val="center"/>
            </w:pPr>
            <w:r>
              <w:rPr>
                <w:rFonts w:ascii="Times New Roman" w:hAnsi="Times New Roman" w:eastAsia="Times New Roman" w:cs="Times New Roman"/>
                <w:b w:val="0"/>
                <w:sz w:val="19"/>
              </w:rPr>
              <w:t>Reason codes for duplicate, unavailable, non-heritage and incomplete records.</w:t>
            </w:r>
          </w:p>
        </w:tc>
        <w:tc>
          <w:tcPr>
            <w:tcW w:w="2412" w:type="dxa"/>
            <w:tcBorders>
              <w:top w:val="nil"/>
              <w:left w:val="nil"/>
              <w:bottom w:val="nil"/>
              <w:right w:val="nil"/>
              <w:insideH w:val="nil"/>
              <w:insideV w:val="nil"/>
            </w:tcBorders>
            <w:vAlign w:val="center"/>
          </w:tcPr>
          <w:p w14:paraId="34231E03">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7F262D30">
            <w:pPr>
              <w:spacing w:before="0" w:after="0" w:line="240" w:lineRule="auto"/>
              <w:ind w:left="0" w:right="0" w:firstLine="0"/>
              <w:jc w:val="center"/>
            </w:pPr>
            <w:r>
              <w:rPr>
                <w:rFonts w:ascii="Times New Roman" w:hAnsi="Times New Roman" w:eastAsia="Times New Roman" w:cs="Times New Roman"/>
                <w:b w:val="0"/>
                <w:sz w:val="19"/>
              </w:rPr>
              <w:t>Public</w:t>
            </w:r>
          </w:p>
        </w:tc>
      </w:tr>
      <w:tr w14:paraId="03642443">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78827F12">
            <w:pPr>
              <w:spacing w:before="0" w:after="0" w:line="240" w:lineRule="auto"/>
              <w:ind w:left="0" w:right="0" w:firstLine="0"/>
              <w:jc w:val="center"/>
            </w:pPr>
            <w:r>
              <w:rPr>
                <w:rFonts w:ascii="Times New Roman" w:hAnsi="Times New Roman" w:eastAsia="Times New Roman" w:cs="Times New Roman"/>
                <w:b w:val="0"/>
                <w:sz w:val="19"/>
              </w:rPr>
              <w:t>annotation_codebook.pdf/docx</w:t>
            </w:r>
          </w:p>
        </w:tc>
        <w:tc>
          <w:tcPr>
            <w:tcW w:w="2412" w:type="dxa"/>
            <w:tcBorders>
              <w:top w:val="nil"/>
              <w:left w:val="nil"/>
              <w:bottom w:val="nil"/>
              <w:right w:val="nil"/>
              <w:insideH w:val="nil"/>
              <w:insideV w:val="nil"/>
            </w:tcBorders>
            <w:vAlign w:val="center"/>
          </w:tcPr>
          <w:p w14:paraId="472B2E0C">
            <w:pPr>
              <w:spacing w:before="0" w:after="0" w:line="240" w:lineRule="auto"/>
              <w:ind w:left="0" w:right="0" w:firstLine="0"/>
              <w:jc w:val="center"/>
            </w:pPr>
            <w:r>
              <w:rPr>
                <w:rFonts w:ascii="Times New Roman" w:hAnsi="Times New Roman" w:eastAsia="Times New Roman" w:cs="Times New Roman"/>
                <w:b w:val="0"/>
                <w:sz w:val="19"/>
              </w:rPr>
              <w:t>Definitions for heritage categories and prestige scale.</w:t>
            </w:r>
          </w:p>
        </w:tc>
        <w:tc>
          <w:tcPr>
            <w:tcW w:w="2412" w:type="dxa"/>
            <w:tcBorders>
              <w:top w:val="nil"/>
              <w:left w:val="nil"/>
              <w:bottom w:val="nil"/>
              <w:right w:val="nil"/>
              <w:insideH w:val="nil"/>
              <w:insideV w:val="nil"/>
            </w:tcBorders>
            <w:vAlign w:val="center"/>
          </w:tcPr>
          <w:p w14:paraId="08DCA23D">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6717379E">
            <w:pPr>
              <w:spacing w:before="0" w:after="0" w:line="240" w:lineRule="auto"/>
              <w:ind w:left="0" w:right="0" w:firstLine="0"/>
              <w:jc w:val="center"/>
            </w:pPr>
            <w:r>
              <w:rPr>
                <w:rFonts w:ascii="Times New Roman" w:hAnsi="Times New Roman" w:eastAsia="Times New Roman" w:cs="Times New Roman"/>
                <w:b w:val="0"/>
                <w:sz w:val="19"/>
              </w:rPr>
              <w:t>Public</w:t>
            </w:r>
          </w:p>
        </w:tc>
      </w:tr>
      <w:tr w14:paraId="293D1D93">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5C78349E">
            <w:pPr>
              <w:spacing w:before="0" w:after="0" w:line="240" w:lineRule="auto"/>
              <w:ind w:left="0" w:right="0" w:firstLine="0"/>
              <w:jc w:val="center"/>
            </w:pPr>
            <w:r>
              <w:rPr>
                <w:rFonts w:ascii="Times New Roman" w:hAnsi="Times New Roman" w:eastAsia="Times New Roman" w:cs="Times New Roman"/>
                <w:b w:val="0"/>
                <w:sz w:val="19"/>
              </w:rPr>
              <w:t>variable_dictionary.csv</w:t>
            </w:r>
          </w:p>
        </w:tc>
        <w:tc>
          <w:tcPr>
            <w:tcW w:w="2412" w:type="dxa"/>
            <w:tcBorders>
              <w:top w:val="nil"/>
              <w:left w:val="nil"/>
              <w:bottom w:val="nil"/>
              <w:right w:val="nil"/>
              <w:insideH w:val="nil"/>
              <w:insideV w:val="nil"/>
            </w:tcBorders>
            <w:vAlign w:val="center"/>
          </w:tcPr>
          <w:p w14:paraId="46599CB2">
            <w:pPr>
              <w:spacing w:before="0" w:after="0" w:line="240" w:lineRule="auto"/>
              <w:ind w:left="0" w:right="0" w:firstLine="0"/>
              <w:jc w:val="center"/>
            </w:pPr>
            <w:r>
              <w:rPr>
                <w:rFonts w:ascii="Times New Roman" w:hAnsi="Times New Roman" w:eastAsia="Times New Roman" w:cs="Times New Roman"/>
                <w:b w:val="0"/>
                <w:sz w:val="19"/>
              </w:rPr>
              <w:t>Variable names, definitions, transformations and source fields.</w:t>
            </w:r>
          </w:p>
        </w:tc>
        <w:tc>
          <w:tcPr>
            <w:tcW w:w="2412" w:type="dxa"/>
            <w:tcBorders>
              <w:top w:val="nil"/>
              <w:left w:val="nil"/>
              <w:bottom w:val="nil"/>
              <w:right w:val="nil"/>
              <w:insideH w:val="nil"/>
              <w:insideV w:val="nil"/>
            </w:tcBorders>
            <w:vAlign w:val="center"/>
          </w:tcPr>
          <w:p w14:paraId="02275BBD">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24CA3133">
            <w:pPr>
              <w:spacing w:before="0" w:after="0" w:line="240" w:lineRule="auto"/>
              <w:ind w:left="0" w:right="0" w:firstLine="0"/>
              <w:jc w:val="center"/>
            </w:pPr>
            <w:r>
              <w:rPr>
                <w:rFonts w:ascii="Times New Roman" w:hAnsi="Times New Roman" w:eastAsia="Times New Roman" w:cs="Times New Roman"/>
                <w:b w:val="0"/>
                <w:sz w:val="19"/>
              </w:rPr>
              <w:t>Public</w:t>
            </w:r>
          </w:p>
        </w:tc>
      </w:tr>
      <w:tr w14:paraId="32D93FAB">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7FC5EA2A">
            <w:pPr>
              <w:spacing w:before="0" w:after="0" w:line="240" w:lineRule="auto"/>
              <w:ind w:left="0" w:right="0" w:firstLine="0"/>
              <w:jc w:val="center"/>
            </w:pPr>
            <w:r>
              <w:rPr>
                <w:rFonts w:ascii="Times New Roman" w:hAnsi="Times New Roman" w:eastAsia="Times New Roman" w:cs="Times New Roman"/>
                <w:b w:val="0"/>
                <w:sz w:val="19"/>
              </w:rPr>
              <w:t>derived_metadata_deidentified.csv</w:t>
            </w:r>
          </w:p>
        </w:tc>
        <w:tc>
          <w:tcPr>
            <w:tcW w:w="2412" w:type="dxa"/>
            <w:tcBorders>
              <w:top w:val="nil"/>
              <w:left w:val="nil"/>
              <w:bottom w:val="nil"/>
              <w:right w:val="nil"/>
              <w:insideH w:val="nil"/>
              <w:insideV w:val="nil"/>
            </w:tcBorders>
            <w:vAlign w:val="center"/>
          </w:tcPr>
          <w:p w14:paraId="6050B43D">
            <w:pPr>
              <w:spacing w:before="0" w:after="0" w:line="240" w:lineRule="auto"/>
              <w:ind w:left="0" w:right="0" w:firstLine="0"/>
              <w:jc w:val="center"/>
            </w:pPr>
            <w:r>
              <w:rPr>
                <w:rFonts w:ascii="Times New Roman" w:hAnsi="Times New Roman" w:eastAsia="Times New Roman" w:cs="Times New Roman"/>
                <w:b w:val="0"/>
                <w:sz w:val="19"/>
              </w:rPr>
              <w:t>Post-level derived variables with URLs and account identifiers removed or hashed.</w:t>
            </w:r>
          </w:p>
        </w:tc>
        <w:tc>
          <w:tcPr>
            <w:tcW w:w="2412" w:type="dxa"/>
            <w:tcBorders>
              <w:top w:val="nil"/>
              <w:left w:val="nil"/>
              <w:bottom w:val="nil"/>
              <w:right w:val="nil"/>
              <w:insideH w:val="nil"/>
              <w:insideV w:val="nil"/>
            </w:tcBorders>
            <w:vAlign w:val="center"/>
          </w:tcPr>
          <w:p w14:paraId="0951743F">
            <w:pPr>
              <w:spacing w:before="0" w:after="0" w:line="240" w:lineRule="auto"/>
              <w:ind w:left="0" w:right="0" w:firstLine="0"/>
              <w:jc w:val="center"/>
            </w:pPr>
            <w:r>
              <w:rPr>
                <w:rFonts w:ascii="Times New Roman" w:hAnsi="Times New Roman" w:eastAsia="Times New Roman" w:cs="Times New Roman"/>
                <w:b w:val="0"/>
                <w:sz w:val="19"/>
              </w:rPr>
              <w:t>Medium</w:t>
            </w:r>
          </w:p>
        </w:tc>
        <w:tc>
          <w:tcPr>
            <w:tcW w:w="2412" w:type="dxa"/>
            <w:tcBorders>
              <w:top w:val="nil"/>
              <w:left w:val="nil"/>
              <w:bottom w:val="nil"/>
              <w:right w:val="nil"/>
              <w:insideH w:val="nil"/>
              <w:insideV w:val="nil"/>
            </w:tcBorders>
            <w:vAlign w:val="center"/>
          </w:tcPr>
          <w:p w14:paraId="685EF7D2">
            <w:pPr>
              <w:spacing w:before="0" w:after="0" w:line="240" w:lineRule="auto"/>
              <w:ind w:left="0" w:right="0" w:firstLine="0"/>
              <w:jc w:val="center"/>
            </w:pPr>
            <w:r>
              <w:rPr>
                <w:rFonts w:ascii="Times New Roman" w:hAnsi="Times New Roman" w:eastAsia="Times New Roman" w:cs="Times New Roman"/>
                <w:b w:val="0"/>
                <w:sz w:val="19"/>
              </w:rPr>
              <w:t>Controlled access if platform policies permit</w:t>
            </w:r>
          </w:p>
        </w:tc>
      </w:tr>
      <w:tr w14:paraId="5BED0945">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667CF49C">
            <w:pPr>
              <w:spacing w:before="0" w:after="0" w:line="240" w:lineRule="auto"/>
              <w:ind w:left="0" w:right="0" w:firstLine="0"/>
              <w:jc w:val="center"/>
            </w:pPr>
            <w:r>
              <w:rPr>
                <w:rFonts w:ascii="Times New Roman" w:hAnsi="Times New Roman" w:eastAsia="Times New Roman" w:cs="Times New Roman"/>
                <w:b w:val="0"/>
                <w:sz w:val="19"/>
              </w:rPr>
              <w:t>aggregate_outputs.xlsx/csv</w:t>
            </w:r>
          </w:p>
        </w:tc>
        <w:tc>
          <w:tcPr>
            <w:tcW w:w="2412" w:type="dxa"/>
            <w:tcBorders>
              <w:top w:val="nil"/>
              <w:left w:val="nil"/>
              <w:bottom w:val="nil"/>
              <w:right w:val="nil"/>
              <w:insideH w:val="nil"/>
              <w:insideV w:val="nil"/>
            </w:tcBorders>
            <w:vAlign w:val="center"/>
          </w:tcPr>
          <w:p w14:paraId="685902E2">
            <w:pPr>
              <w:spacing w:before="0" w:after="0" w:line="240" w:lineRule="auto"/>
              <w:ind w:left="0" w:right="0" w:firstLine="0"/>
              <w:jc w:val="center"/>
            </w:pPr>
            <w:r>
              <w:rPr>
                <w:rFonts w:ascii="Times New Roman" w:hAnsi="Times New Roman" w:eastAsia="Times New Roman" w:cs="Times New Roman"/>
                <w:b w:val="0"/>
                <w:sz w:val="19"/>
              </w:rPr>
              <w:t>Descriptive tables, coefficients, model fit, Gini values and robustness summaries.</w:t>
            </w:r>
          </w:p>
        </w:tc>
        <w:tc>
          <w:tcPr>
            <w:tcW w:w="2412" w:type="dxa"/>
            <w:tcBorders>
              <w:top w:val="nil"/>
              <w:left w:val="nil"/>
              <w:bottom w:val="nil"/>
              <w:right w:val="nil"/>
              <w:insideH w:val="nil"/>
              <w:insideV w:val="nil"/>
            </w:tcBorders>
            <w:vAlign w:val="center"/>
          </w:tcPr>
          <w:p w14:paraId="4BE8B44D">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182947B4">
            <w:pPr>
              <w:spacing w:before="0" w:after="0" w:line="240" w:lineRule="auto"/>
              <w:ind w:left="0" w:right="0" w:firstLine="0"/>
              <w:jc w:val="center"/>
            </w:pPr>
            <w:r>
              <w:rPr>
                <w:rFonts w:ascii="Times New Roman" w:hAnsi="Times New Roman" w:eastAsia="Times New Roman" w:cs="Times New Roman"/>
                <w:b w:val="0"/>
                <w:sz w:val="19"/>
              </w:rPr>
              <w:t>Public or editorial verification</w:t>
            </w:r>
          </w:p>
        </w:tc>
      </w:tr>
      <w:tr w14:paraId="01CCF73E">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54D462CB">
            <w:pPr>
              <w:spacing w:before="0" w:after="0" w:line="240" w:lineRule="auto"/>
              <w:ind w:left="0" w:right="0" w:firstLine="0"/>
              <w:jc w:val="center"/>
            </w:pPr>
            <w:r>
              <w:rPr>
                <w:rFonts w:ascii="Times New Roman" w:hAnsi="Times New Roman" w:eastAsia="Times New Roman" w:cs="Times New Roman"/>
                <w:b w:val="0"/>
                <w:sz w:val="19"/>
              </w:rPr>
              <w:t>scripts/</w:t>
            </w:r>
          </w:p>
        </w:tc>
        <w:tc>
          <w:tcPr>
            <w:tcW w:w="2412" w:type="dxa"/>
            <w:tcBorders>
              <w:top w:val="nil"/>
              <w:left w:val="nil"/>
              <w:bottom w:val="nil"/>
              <w:right w:val="nil"/>
              <w:insideH w:val="nil"/>
              <w:insideV w:val="nil"/>
            </w:tcBorders>
            <w:vAlign w:val="center"/>
          </w:tcPr>
          <w:p w14:paraId="3EC890FA">
            <w:pPr>
              <w:spacing w:before="0" w:after="0" w:line="240" w:lineRule="auto"/>
              <w:ind w:left="0" w:right="0" w:firstLine="0"/>
              <w:jc w:val="center"/>
            </w:pPr>
            <w:r>
              <w:rPr>
                <w:rFonts w:ascii="Times New Roman" w:hAnsi="Times New Roman" w:eastAsia="Times New Roman" w:cs="Times New Roman"/>
                <w:b w:val="0"/>
                <w:sz w:val="19"/>
              </w:rPr>
              <w:t>Cleaning, feature construction, regression, random forest, mediation, PSM and Gini scripts.</w:t>
            </w:r>
          </w:p>
        </w:tc>
        <w:tc>
          <w:tcPr>
            <w:tcW w:w="2412" w:type="dxa"/>
            <w:tcBorders>
              <w:top w:val="nil"/>
              <w:left w:val="nil"/>
              <w:bottom w:val="nil"/>
              <w:right w:val="nil"/>
              <w:insideH w:val="nil"/>
              <w:insideV w:val="nil"/>
            </w:tcBorders>
            <w:vAlign w:val="center"/>
          </w:tcPr>
          <w:p w14:paraId="39594337">
            <w:pPr>
              <w:spacing w:before="0" w:after="0" w:line="240" w:lineRule="auto"/>
              <w:ind w:left="0" w:right="0" w:firstLine="0"/>
              <w:jc w:val="center"/>
            </w:pPr>
            <w:r>
              <w:rPr>
                <w:rFonts w:ascii="Times New Roman" w:hAnsi="Times New Roman" w:eastAsia="Times New Roman" w:cs="Times New Roman"/>
                <w:b w:val="0"/>
                <w:sz w:val="19"/>
              </w:rPr>
              <w:t>Low to medium if linked to raw URLs</w:t>
            </w:r>
          </w:p>
        </w:tc>
        <w:tc>
          <w:tcPr>
            <w:tcW w:w="2412" w:type="dxa"/>
            <w:tcBorders>
              <w:top w:val="nil"/>
              <w:left w:val="nil"/>
              <w:bottom w:val="nil"/>
              <w:right w:val="nil"/>
              <w:insideH w:val="nil"/>
              <w:insideV w:val="nil"/>
            </w:tcBorders>
            <w:vAlign w:val="center"/>
          </w:tcPr>
          <w:p w14:paraId="7AA63220">
            <w:pPr>
              <w:spacing w:before="0" w:after="0" w:line="240" w:lineRule="auto"/>
              <w:ind w:left="0" w:right="0" w:firstLine="0"/>
              <w:jc w:val="center"/>
            </w:pPr>
            <w:r>
              <w:rPr>
                <w:rFonts w:ascii="Times New Roman" w:hAnsi="Times New Roman" w:eastAsia="Times New Roman" w:cs="Times New Roman"/>
                <w:b w:val="0"/>
                <w:sz w:val="19"/>
              </w:rPr>
              <w:t>Public with synthetic demo or controlled access</w:t>
            </w:r>
          </w:p>
        </w:tc>
      </w:tr>
      <w:tr w14:paraId="2F2F50D9">
        <w:tblPrEx>
          <w:tblCellMar>
            <w:top w:w="0" w:type="dxa"/>
            <w:left w:w="108" w:type="dxa"/>
            <w:bottom w:w="0" w:type="dxa"/>
            <w:right w:w="108" w:type="dxa"/>
          </w:tblCellMar>
        </w:tblPrEx>
        <w:trPr>
          <w:jc w:val="center"/>
        </w:trPr>
        <w:tc>
          <w:tcPr>
            <w:tcW w:w="2412" w:type="dxa"/>
            <w:tcBorders>
              <w:top w:val="nil"/>
              <w:left w:val="nil"/>
              <w:bottom w:val="nil"/>
              <w:right w:val="nil"/>
              <w:insideH w:val="nil"/>
              <w:insideV w:val="nil"/>
            </w:tcBorders>
            <w:vAlign w:val="center"/>
          </w:tcPr>
          <w:p w14:paraId="2DB4B485">
            <w:pPr>
              <w:spacing w:before="0" w:after="0" w:line="240" w:lineRule="auto"/>
              <w:ind w:left="0" w:right="0" w:firstLine="0"/>
              <w:jc w:val="center"/>
            </w:pPr>
            <w:r>
              <w:rPr>
                <w:rFonts w:ascii="Times New Roman" w:hAnsi="Times New Roman" w:eastAsia="Times New Roman" w:cs="Times New Roman"/>
                <w:b w:val="0"/>
                <w:sz w:val="19"/>
              </w:rPr>
              <w:t>synthetic_demo_data.csv</w:t>
            </w:r>
          </w:p>
        </w:tc>
        <w:tc>
          <w:tcPr>
            <w:tcW w:w="2412" w:type="dxa"/>
            <w:tcBorders>
              <w:top w:val="nil"/>
              <w:left w:val="nil"/>
              <w:bottom w:val="nil"/>
              <w:right w:val="nil"/>
              <w:insideH w:val="nil"/>
              <w:insideV w:val="nil"/>
            </w:tcBorders>
            <w:vAlign w:val="center"/>
          </w:tcPr>
          <w:p w14:paraId="71D9508D">
            <w:pPr>
              <w:spacing w:before="0" w:after="0" w:line="240" w:lineRule="auto"/>
              <w:ind w:left="0" w:right="0" w:firstLine="0"/>
              <w:jc w:val="center"/>
            </w:pPr>
            <w:r>
              <w:rPr>
                <w:rFonts w:ascii="Times New Roman" w:hAnsi="Times New Roman" w:eastAsia="Times New Roman" w:cs="Times New Roman"/>
                <w:b w:val="0"/>
                <w:sz w:val="19"/>
              </w:rPr>
              <w:t>Artificial demonstration file with same column structure but no real posts.</w:t>
            </w:r>
          </w:p>
        </w:tc>
        <w:tc>
          <w:tcPr>
            <w:tcW w:w="2412" w:type="dxa"/>
            <w:tcBorders>
              <w:top w:val="nil"/>
              <w:left w:val="nil"/>
              <w:bottom w:val="nil"/>
              <w:right w:val="nil"/>
              <w:insideH w:val="nil"/>
              <w:insideV w:val="nil"/>
            </w:tcBorders>
            <w:vAlign w:val="center"/>
          </w:tcPr>
          <w:p w14:paraId="02A54D41">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nil"/>
              <w:right w:val="nil"/>
              <w:insideH w:val="nil"/>
              <w:insideV w:val="nil"/>
            </w:tcBorders>
            <w:vAlign w:val="center"/>
          </w:tcPr>
          <w:p w14:paraId="48AF9E25">
            <w:pPr>
              <w:spacing w:before="0" w:after="0" w:line="240" w:lineRule="auto"/>
              <w:ind w:left="0" w:right="0" w:firstLine="0"/>
              <w:jc w:val="center"/>
            </w:pPr>
            <w:r>
              <w:rPr>
                <w:rFonts w:ascii="Times New Roman" w:hAnsi="Times New Roman" w:eastAsia="Times New Roman" w:cs="Times New Roman"/>
                <w:b w:val="0"/>
                <w:sz w:val="19"/>
              </w:rPr>
              <w:t>Public</w:t>
            </w:r>
          </w:p>
        </w:tc>
      </w:tr>
      <w:tr w14:paraId="3F2CB9A1">
        <w:tblPrEx>
          <w:tblCellMar>
            <w:top w:w="0" w:type="dxa"/>
            <w:left w:w="108" w:type="dxa"/>
            <w:bottom w:w="0" w:type="dxa"/>
            <w:right w:w="108" w:type="dxa"/>
          </w:tblCellMar>
        </w:tblPrEx>
        <w:trPr>
          <w:jc w:val="center"/>
        </w:trPr>
        <w:tc>
          <w:tcPr>
            <w:tcW w:w="2412" w:type="dxa"/>
            <w:tcBorders>
              <w:top w:val="nil"/>
              <w:left w:val="nil"/>
              <w:bottom w:val="single" w:color="000000" w:sz="12" w:space="0"/>
              <w:right w:val="nil"/>
              <w:insideH w:val="nil"/>
              <w:insideV w:val="nil"/>
            </w:tcBorders>
            <w:vAlign w:val="center"/>
          </w:tcPr>
          <w:p w14:paraId="3E7B14CF">
            <w:pPr>
              <w:spacing w:before="0" w:after="0" w:line="240" w:lineRule="auto"/>
              <w:ind w:left="0" w:right="0" w:firstLine="0"/>
              <w:jc w:val="center"/>
            </w:pPr>
            <w:r>
              <w:rPr>
                <w:rFonts w:ascii="Times New Roman" w:hAnsi="Times New Roman" w:eastAsia="Times New Roman" w:cs="Times New Roman"/>
                <w:b w:val="0"/>
                <w:sz w:val="19"/>
              </w:rPr>
              <w:t>ethics_and_privacy_note.pdf</w:t>
            </w:r>
          </w:p>
        </w:tc>
        <w:tc>
          <w:tcPr>
            <w:tcW w:w="2412" w:type="dxa"/>
            <w:tcBorders>
              <w:top w:val="nil"/>
              <w:left w:val="nil"/>
              <w:bottom w:val="single" w:color="000000" w:sz="12" w:space="0"/>
              <w:right w:val="nil"/>
              <w:insideH w:val="nil"/>
              <w:insideV w:val="nil"/>
            </w:tcBorders>
            <w:vAlign w:val="center"/>
          </w:tcPr>
          <w:p w14:paraId="0C949643">
            <w:pPr>
              <w:spacing w:before="0" w:after="0" w:line="240" w:lineRule="auto"/>
              <w:ind w:left="0" w:right="0" w:firstLine="0"/>
              <w:jc w:val="center"/>
            </w:pPr>
            <w:r>
              <w:rPr>
                <w:rFonts w:ascii="Times New Roman" w:hAnsi="Times New Roman" w:eastAsia="Times New Roman" w:cs="Times New Roman"/>
                <w:b w:val="0"/>
                <w:sz w:val="19"/>
              </w:rPr>
              <w:t>Statement on public data, non-identification, hashing and aggregate reporting.</w:t>
            </w:r>
          </w:p>
        </w:tc>
        <w:tc>
          <w:tcPr>
            <w:tcW w:w="2412" w:type="dxa"/>
            <w:tcBorders>
              <w:top w:val="nil"/>
              <w:left w:val="nil"/>
              <w:bottom w:val="single" w:color="000000" w:sz="12" w:space="0"/>
              <w:right w:val="nil"/>
              <w:insideH w:val="nil"/>
              <w:insideV w:val="nil"/>
            </w:tcBorders>
            <w:vAlign w:val="center"/>
          </w:tcPr>
          <w:p w14:paraId="7C9BDF60">
            <w:pPr>
              <w:spacing w:before="0" w:after="0" w:line="240" w:lineRule="auto"/>
              <w:ind w:left="0" w:right="0" w:firstLine="0"/>
              <w:jc w:val="center"/>
            </w:pPr>
            <w:r>
              <w:rPr>
                <w:rFonts w:ascii="Times New Roman" w:hAnsi="Times New Roman" w:eastAsia="Times New Roman" w:cs="Times New Roman"/>
                <w:b w:val="0"/>
                <w:sz w:val="19"/>
              </w:rPr>
              <w:t>Low</w:t>
            </w:r>
          </w:p>
        </w:tc>
        <w:tc>
          <w:tcPr>
            <w:tcW w:w="2412" w:type="dxa"/>
            <w:tcBorders>
              <w:top w:val="nil"/>
              <w:left w:val="nil"/>
              <w:bottom w:val="single" w:color="000000" w:sz="12" w:space="0"/>
              <w:right w:val="nil"/>
              <w:insideH w:val="nil"/>
              <w:insideV w:val="nil"/>
            </w:tcBorders>
            <w:vAlign w:val="center"/>
          </w:tcPr>
          <w:p w14:paraId="62282A92">
            <w:pPr>
              <w:spacing w:before="0" w:after="0" w:line="240" w:lineRule="auto"/>
              <w:ind w:left="0" w:right="0" w:firstLine="0"/>
              <w:jc w:val="center"/>
            </w:pPr>
            <w:r>
              <w:rPr>
                <w:rFonts w:ascii="Times New Roman" w:hAnsi="Times New Roman" w:eastAsia="Times New Roman" w:cs="Times New Roman"/>
                <w:b w:val="0"/>
                <w:sz w:val="19"/>
              </w:rPr>
              <w:t>Public or submission system</w:t>
            </w:r>
          </w:p>
        </w:tc>
      </w:tr>
    </w:tbl>
    <w:p w14:paraId="35A64D9D">
      <w:pPr>
        <w:pStyle w:val="3"/>
        <w:spacing w:before="0" w:after="80" w:line="240" w:lineRule="auto"/>
        <w:ind w:left="0" w:right="0" w:firstLine="0"/>
        <w:jc w:val="both"/>
      </w:pPr>
      <w:r>
        <w:rPr>
          <w:rFonts w:ascii="Times New Roman" w:hAnsi="Times New Roman" w:eastAsia="Times New Roman" w:cs="Times New Roman"/>
          <w:b/>
          <w:i w:val="0"/>
          <w:color w:val="0D2B4A"/>
          <w:sz w:val="24"/>
        </w:rPr>
        <w:t>S7. Limitations relevant to interpretation</w:t>
      </w:r>
    </w:p>
    <w:p w14:paraId="5E383B84">
      <w:pPr>
        <w:spacing w:before="0" w:after="80" w:line="240" w:lineRule="auto"/>
        <w:ind w:left="0" w:right="0" w:firstLine="0"/>
        <w:jc w:val="both"/>
      </w:pPr>
      <w:r>
        <w:rPr>
          <w:rFonts w:ascii="Times New Roman" w:hAnsi="Times New Roman" w:eastAsia="Times New Roman" w:cs="Times New Roman"/>
          <w:sz w:val="24"/>
        </w:rPr>
        <w:t>• The corpus is a large harmonised observational dataset, not a census of all heritage content on the three platforms.</w:t>
      </w:r>
    </w:p>
    <w:p w14:paraId="14A386C2">
      <w:pPr>
        <w:spacing w:before="0" w:after="80" w:line="240" w:lineRule="auto"/>
        <w:ind w:left="0" w:right="0" w:firstLine="0"/>
        <w:jc w:val="both"/>
      </w:pPr>
      <w:r>
        <w:rPr>
          <w:rFonts w:ascii="Times New Roman" w:hAnsi="Times New Roman" w:eastAsia="Times New Roman" w:cs="Times New Roman"/>
          <w:sz w:val="24"/>
        </w:rPr>
        <w:t>• Proprietary recommendation weights and personalised feed exposure cannot be directly observed; the study uses platform-visible outcomes and amplification proxies.</w:t>
      </w:r>
    </w:p>
    <w:p w14:paraId="6E0204D4">
      <w:pPr>
        <w:spacing w:before="0" w:after="80" w:line="240" w:lineRule="auto"/>
        <w:ind w:left="0" w:right="0" w:firstLine="0"/>
        <w:jc w:val="both"/>
      </w:pPr>
      <w:r>
        <w:rPr>
          <w:rFonts w:ascii="Times New Roman" w:hAnsi="Times New Roman" w:eastAsia="Times New Roman" w:cs="Times New Roman"/>
          <w:sz w:val="24"/>
        </w:rPr>
        <w:t>• API and public-page access may miss private, deleted, region-restricted or algorithmically invisible posts.</w:t>
      </w:r>
    </w:p>
    <w:p w14:paraId="362C3D6F">
      <w:pPr>
        <w:spacing w:before="0" w:after="80" w:line="240" w:lineRule="auto"/>
        <w:ind w:left="0" w:right="0" w:firstLine="0"/>
        <w:jc w:val="both"/>
      </w:pPr>
      <w:r>
        <w:rPr>
          <w:rFonts w:ascii="Times New Roman" w:hAnsi="Times New Roman" w:eastAsia="Times New Roman" w:cs="Times New Roman"/>
          <w:sz w:val="24"/>
        </w:rPr>
        <w:t>• Content quality, creator strategy, audience composition and regional platform culture may remain partly unobserved despite controls and robustness checks.</w:t>
      </w:r>
    </w:p>
    <w:p w14:paraId="75162841">
      <w:pPr>
        <w:spacing w:before="0" w:after="80" w:line="240" w:lineRule="auto"/>
        <w:ind w:left="0" w:right="0" w:firstLine="0"/>
        <w:jc w:val="both"/>
      </w:pPr>
      <w:r>
        <w:rPr>
          <w:rFonts w:ascii="Times New Roman" w:hAnsi="Times New Roman" w:eastAsia="Times New Roman" w:cs="Times New Roman"/>
          <w:sz w:val="24"/>
        </w:rPr>
        <w:t>• Multilingual sentiment and visual-spectacle measures simplify culturally specific affective and aesthetic meanings.</w:t>
      </w:r>
    </w:p>
    <w:p w14:paraId="44DBFB41">
      <w:pPr>
        <w:spacing w:before="0" w:after="80" w:line="240" w:lineRule="auto"/>
        <w:ind w:left="0" w:right="0" w:firstLine="0"/>
        <w:jc w:val="both"/>
      </w:pPr>
      <w:r>
        <w:rPr>
          <w:rFonts w:ascii="Times New Roman" w:hAnsi="Times New Roman" w:eastAsia="Times New Roman" w:cs="Times New Roman"/>
          <w:sz w:val="24"/>
        </w:rPr>
        <w:t>• The verified main analysis covers January 2022-December 2023 and should not be interpreted as evidence for longer historical trends without additional data validation.</w:t>
      </w:r>
    </w:p>
    <w:p w14:paraId="5A8ACE1B">
      <w:pPr>
        <w:pStyle w:val="3"/>
        <w:spacing w:before="0" w:after="80" w:line="240" w:lineRule="auto"/>
        <w:ind w:left="0" w:right="0" w:firstLine="0"/>
        <w:jc w:val="both"/>
      </w:pPr>
      <w:r>
        <w:rPr>
          <w:rFonts w:ascii="Times New Roman" w:hAnsi="Times New Roman" w:eastAsia="Times New Roman" w:cs="Times New Roman"/>
          <w:b/>
          <w:i w:val="0"/>
          <w:color w:val="0D2B4A"/>
          <w:sz w:val="24"/>
        </w:rPr>
        <w:t>S8. Reproducibility and verification checklist</w:t>
      </w:r>
    </w:p>
    <w:p w14:paraId="73765B15">
      <w:pPr>
        <w:spacing w:before="0" w:after="80" w:line="240" w:lineRule="auto"/>
        <w:ind w:left="0" w:right="0" w:firstLine="0"/>
        <w:jc w:val="both"/>
      </w:pPr>
      <w:r>
        <w:rPr>
          <w:rFonts w:ascii="Times New Roman" w:hAnsi="Times New Roman" w:eastAsia="Times New Roman" w:cs="Times New Roman"/>
          <w:sz w:val="24"/>
        </w:rPr>
        <w:t>The checklist below summarises the verification materials that support the revised manuscript. It is framed as a reproducibility record rather than as an internal submission reminder.</w:t>
      </w:r>
    </w:p>
    <w:tbl>
      <w:tblPr>
        <w:tblStyle w:val="32"/>
        <w:tblW w:w="0" w:type="auto"/>
        <w:jc w:val="center"/>
        <w:tblLayout w:type="autofit"/>
        <w:tblCellMar>
          <w:top w:w="0" w:type="dxa"/>
          <w:left w:w="108" w:type="dxa"/>
          <w:bottom w:w="0" w:type="dxa"/>
          <w:right w:w="108" w:type="dxa"/>
        </w:tblCellMar>
      </w:tblPr>
      <w:tblGrid>
        <w:gridCol w:w="3192"/>
        <w:gridCol w:w="3191"/>
        <w:gridCol w:w="3193"/>
      </w:tblGrid>
      <w:tr w14:paraId="6165051A">
        <w:tblPrEx>
          <w:tblCellMar>
            <w:top w:w="0" w:type="dxa"/>
            <w:left w:w="108" w:type="dxa"/>
            <w:bottom w:w="0" w:type="dxa"/>
            <w:right w:w="108" w:type="dxa"/>
          </w:tblCellMar>
        </w:tblPrEx>
        <w:trPr>
          <w:jc w:val="center"/>
        </w:trPr>
        <w:tc>
          <w:tcPr>
            <w:tcW w:w="3216" w:type="dxa"/>
            <w:tcBorders>
              <w:top w:val="single" w:color="000000" w:sz="12" w:space="0"/>
              <w:left w:val="nil"/>
              <w:bottom w:val="single" w:color="000000" w:sz="8" w:space="0"/>
              <w:right w:val="nil"/>
              <w:insideH w:val="nil"/>
              <w:insideV w:val="nil"/>
            </w:tcBorders>
            <w:vAlign w:val="center"/>
          </w:tcPr>
          <w:p w14:paraId="7567D2DC">
            <w:pPr>
              <w:spacing w:before="0" w:after="0" w:line="240" w:lineRule="auto"/>
              <w:ind w:left="0" w:right="0" w:firstLine="0"/>
              <w:jc w:val="center"/>
            </w:pPr>
            <w:r>
              <w:rPr>
                <w:rFonts w:ascii="Times New Roman" w:hAnsi="Times New Roman" w:eastAsia="Times New Roman" w:cs="Times New Roman"/>
                <w:b/>
                <w:sz w:val="19"/>
              </w:rPr>
              <w:t>Verification item</w:t>
            </w:r>
          </w:p>
        </w:tc>
        <w:tc>
          <w:tcPr>
            <w:tcW w:w="3216" w:type="dxa"/>
            <w:tcBorders>
              <w:top w:val="single" w:color="000000" w:sz="12" w:space="0"/>
              <w:left w:val="nil"/>
              <w:bottom w:val="single" w:color="000000" w:sz="8" w:space="0"/>
              <w:right w:val="nil"/>
              <w:insideH w:val="nil"/>
              <w:insideV w:val="nil"/>
            </w:tcBorders>
            <w:vAlign w:val="center"/>
          </w:tcPr>
          <w:p w14:paraId="6657FAF5">
            <w:pPr>
              <w:spacing w:before="0" w:after="0" w:line="240" w:lineRule="auto"/>
              <w:ind w:left="0" w:right="0" w:firstLine="0"/>
              <w:jc w:val="center"/>
            </w:pPr>
            <w:r>
              <w:rPr>
                <w:rFonts w:ascii="Times New Roman" w:hAnsi="Times New Roman" w:eastAsia="Times New Roman" w:cs="Times New Roman"/>
                <w:b/>
                <w:sz w:val="19"/>
              </w:rPr>
              <w:t>Purpose</w:t>
            </w:r>
          </w:p>
        </w:tc>
        <w:tc>
          <w:tcPr>
            <w:tcW w:w="3216" w:type="dxa"/>
            <w:tcBorders>
              <w:top w:val="single" w:color="000000" w:sz="12" w:space="0"/>
              <w:left w:val="nil"/>
              <w:bottom w:val="single" w:color="000000" w:sz="8" w:space="0"/>
              <w:right w:val="nil"/>
              <w:insideH w:val="nil"/>
              <w:insideV w:val="nil"/>
            </w:tcBorders>
            <w:vAlign w:val="center"/>
          </w:tcPr>
          <w:p w14:paraId="2D3707C7">
            <w:pPr>
              <w:spacing w:before="0" w:after="0" w:line="240" w:lineRule="auto"/>
              <w:ind w:left="0" w:right="0" w:firstLine="0"/>
              <w:jc w:val="center"/>
            </w:pPr>
            <w:r>
              <w:rPr>
                <w:rFonts w:ascii="Times New Roman" w:hAnsi="Times New Roman" w:eastAsia="Times New Roman" w:cs="Times New Roman"/>
                <w:b/>
                <w:sz w:val="19"/>
              </w:rPr>
              <w:t>Status/handling</w:t>
            </w:r>
          </w:p>
        </w:tc>
      </w:tr>
      <w:tr w14:paraId="68E63B11">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3FABBAF1">
            <w:pPr>
              <w:spacing w:before="0" w:after="0" w:line="240" w:lineRule="auto"/>
              <w:ind w:left="0" w:right="0" w:firstLine="0"/>
              <w:jc w:val="center"/>
            </w:pPr>
            <w:r>
              <w:rPr>
                <w:rFonts w:ascii="Times New Roman" w:hAnsi="Times New Roman" w:eastAsia="Times New Roman" w:cs="Times New Roman"/>
                <w:b w:val="0"/>
                <w:sz w:val="19"/>
              </w:rPr>
              <w:t>Revised manuscript</w:t>
            </w:r>
          </w:p>
        </w:tc>
        <w:tc>
          <w:tcPr>
            <w:tcW w:w="3216" w:type="dxa"/>
            <w:tcBorders>
              <w:top w:val="nil"/>
              <w:left w:val="nil"/>
              <w:bottom w:val="nil"/>
              <w:right w:val="nil"/>
              <w:insideH w:val="nil"/>
              <w:insideV w:val="nil"/>
            </w:tcBorders>
            <w:vAlign w:val="center"/>
          </w:tcPr>
          <w:p w14:paraId="173C6B5A">
            <w:pPr>
              <w:spacing w:before="0" w:after="0" w:line="240" w:lineRule="auto"/>
              <w:ind w:left="0" w:right="0" w:firstLine="0"/>
              <w:jc w:val="center"/>
            </w:pPr>
            <w:r>
              <w:rPr>
                <w:rFonts w:ascii="Times New Roman" w:hAnsi="Times New Roman" w:eastAsia="Times New Roman" w:cs="Times New Roman"/>
                <w:b w:val="0"/>
                <w:sz w:val="19"/>
              </w:rPr>
              <w:t>Primary article text following required npj Heritage Science structure.</w:t>
            </w:r>
          </w:p>
        </w:tc>
        <w:tc>
          <w:tcPr>
            <w:tcW w:w="3216" w:type="dxa"/>
            <w:tcBorders>
              <w:top w:val="nil"/>
              <w:left w:val="nil"/>
              <w:bottom w:val="nil"/>
              <w:right w:val="nil"/>
              <w:insideH w:val="nil"/>
              <w:insideV w:val="nil"/>
            </w:tcBorders>
            <w:vAlign w:val="center"/>
          </w:tcPr>
          <w:p w14:paraId="751D6A3C">
            <w:pPr>
              <w:spacing w:before="0" w:after="0" w:line="240" w:lineRule="auto"/>
              <w:ind w:left="0" w:right="0" w:firstLine="0"/>
              <w:jc w:val="center"/>
            </w:pPr>
            <w:r>
              <w:rPr>
                <w:rFonts w:ascii="Times New Roman" w:hAnsi="Times New Roman" w:eastAsia="Times New Roman" w:cs="Times New Roman"/>
                <w:b w:val="0"/>
                <w:sz w:val="19"/>
              </w:rPr>
              <w:t>Submitted as main manuscript.</w:t>
            </w:r>
          </w:p>
        </w:tc>
      </w:tr>
      <w:tr w14:paraId="7E77F46B">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74062D5E">
            <w:pPr>
              <w:spacing w:before="0" w:after="0" w:line="240" w:lineRule="auto"/>
              <w:ind w:left="0" w:right="0" w:firstLine="0"/>
              <w:jc w:val="center"/>
            </w:pPr>
            <w:r>
              <w:rPr>
                <w:rFonts w:ascii="Times New Roman" w:hAnsi="Times New Roman" w:eastAsia="Times New Roman" w:cs="Times New Roman"/>
                <w:b w:val="0"/>
                <w:sz w:val="19"/>
              </w:rPr>
              <w:t>Point-by-point response</w:t>
            </w:r>
          </w:p>
        </w:tc>
        <w:tc>
          <w:tcPr>
            <w:tcW w:w="3216" w:type="dxa"/>
            <w:tcBorders>
              <w:top w:val="nil"/>
              <w:left w:val="nil"/>
              <w:bottom w:val="nil"/>
              <w:right w:val="nil"/>
              <w:insideH w:val="nil"/>
              <w:insideV w:val="nil"/>
            </w:tcBorders>
            <w:vAlign w:val="center"/>
          </w:tcPr>
          <w:p w14:paraId="73FC6449">
            <w:pPr>
              <w:spacing w:before="0" w:after="0" w:line="240" w:lineRule="auto"/>
              <w:ind w:left="0" w:right="0" w:firstLine="0"/>
              <w:jc w:val="center"/>
            </w:pPr>
            <w:r>
              <w:rPr>
                <w:rFonts w:ascii="Times New Roman" w:hAnsi="Times New Roman" w:eastAsia="Times New Roman" w:cs="Times New Roman"/>
                <w:b w:val="0"/>
                <w:sz w:val="19"/>
              </w:rPr>
              <w:t>Documents how each editorial comment was addressed.</w:t>
            </w:r>
          </w:p>
        </w:tc>
        <w:tc>
          <w:tcPr>
            <w:tcW w:w="3216" w:type="dxa"/>
            <w:tcBorders>
              <w:top w:val="nil"/>
              <w:left w:val="nil"/>
              <w:bottom w:val="nil"/>
              <w:right w:val="nil"/>
              <w:insideH w:val="nil"/>
              <w:insideV w:val="nil"/>
            </w:tcBorders>
            <w:vAlign w:val="center"/>
          </w:tcPr>
          <w:p w14:paraId="707C7E8D">
            <w:pPr>
              <w:spacing w:before="0" w:after="0" w:line="240" w:lineRule="auto"/>
              <w:ind w:left="0" w:right="0" w:firstLine="0"/>
              <w:jc w:val="center"/>
            </w:pPr>
            <w:r>
              <w:rPr>
                <w:rFonts w:ascii="Times New Roman" w:hAnsi="Times New Roman" w:eastAsia="Times New Roman" w:cs="Times New Roman"/>
                <w:b w:val="0"/>
                <w:sz w:val="19"/>
              </w:rPr>
              <w:t>Submitted as response file.</w:t>
            </w:r>
          </w:p>
        </w:tc>
      </w:tr>
      <w:tr w14:paraId="6AC495D8">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3AF65C43">
            <w:pPr>
              <w:spacing w:before="0" w:after="0" w:line="240" w:lineRule="auto"/>
              <w:ind w:left="0" w:right="0" w:firstLine="0"/>
              <w:jc w:val="center"/>
            </w:pPr>
            <w:r>
              <w:rPr>
                <w:rFonts w:ascii="Times New Roman" w:hAnsi="Times New Roman" w:eastAsia="Times New Roman" w:cs="Times New Roman"/>
                <w:b w:val="0"/>
                <w:sz w:val="19"/>
              </w:rPr>
              <w:t>Supplementary Information</w:t>
            </w:r>
          </w:p>
        </w:tc>
        <w:tc>
          <w:tcPr>
            <w:tcW w:w="3216" w:type="dxa"/>
            <w:tcBorders>
              <w:top w:val="nil"/>
              <w:left w:val="nil"/>
              <w:bottom w:val="nil"/>
              <w:right w:val="nil"/>
              <w:insideH w:val="nil"/>
              <w:insideV w:val="nil"/>
            </w:tcBorders>
            <w:vAlign w:val="center"/>
          </w:tcPr>
          <w:p w14:paraId="0B22219A">
            <w:pPr>
              <w:spacing w:before="0" w:after="0" w:line="240" w:lineRule="auto"/>
              <w:ind w:left="0" w:right="0" w:firstLine="0"/>
              <w:jc w:val="center"/>
            </w:pPr>
            <w:r>
              <w:rPr>
                <w:rFonts w:ascii="Times New Roman" w:hAnsi="Times New Roman" w:eastAsia="Times New Roman" w:cs="Times New Roman"/>
                <w:b w:val="0"/>
                <w:sz w:val="19"/>
              </w:rPr>
              <w:t>Provides corpus, measurement, model and reproducibility details.</w:t>
            </w:r>
          </w:p>
        </w:tc>
        <w:tc>
          <w:tcPr>
            <w:tcW w:w="3216" w:type="dxa"/>
            <w:tcBorders>
              <w:top w:val="nil"/>
              <w:left w:val="nil"/>
              <w:bottom w:val="nil"/>
              <w:right w:val="nil"/>
              <w:insideH w:val="nil"/>
              <w:insideV w:val="nil"/>
            </w:tcBorders>
            <w:vAlign w:val="center"/>
          </w:tcPr>
          <w:p w14:paraId="1BD22091">
            <w:pPr>
              <w:spacing w:before="0" w:after="0" w:line="240" w:lineRule="auto"/>
              <w:ind w:left="0" w:right="0" w:firstLine="0"/>
              <w:jc w:val="center"/>
            </w:pPr>
            <w:r>
              <w:rPr>
                <w:rFonts w:ascii="Times New Roman" w:hAnsi="Times New Roman" w:eastAsia="Times New Roman" w:cs="Times New Roman"/>
                <w:b w:val="0"/>
                <w:sz w:val="19"/>
              </w:rPr>
              <w:t>Submitted as supplementary file.</w:t>
            </w:r>
          </w:p>
        </w:tc>
      </w:tr>
      <w:tr w14:paraId="662805CD">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009DE0C1">
            <w:pPr>
              <w:spacing w:before="0" w:after="0" w:line="240" w:lineRule="auto"/>
              <w:ind w:left="0" w:right="0" w:firstLine="0"/>
              <w:jc w:val="center"/>
            </w:pPr>
            <w:r>
              <w:rPr>
                <w:rFonts w:ascii="Times New Roman" w:hAnsi="Times New Roman" w:eastAsia="Times New Roman" w:cs="Times New Roman"/>
                <w:b w:val="0"/>
                <w:sz w:val="19"/>
              </w:rPr>
              <w:t>Author validation</w:t>
            </w:r>
          </w:p>
        </w:tc>
        <w:tc>
          <w:tcPr>
            <w:tcW w:w="3216" w:type="dxa"/>
            <w:tcBorders>
              <w:top w:val="nil"/>
              <w:left w:val="nil"/>
              <w:bottom w:val="nil"/>
              <w:right w:val="nil"/>
              <w:insideH w:val="nil"/>
              <w:insideV w:val="nil"/>
            </w:tcBorders>
            <w:vAlign w:val="center"/>
          </w:tcPr>
          <w:p w14:paraId="4187E94F">
            <w:pPr>
              <w:spacing w:before="0" w:after="0" w:line="240" w:lineRule="auto"/>
              <w:ind w:left="0" w:right="0" w:firstLine="0"/>
              <w:jc w:val="center"/>
            </w:pPr>
            <w:r>
              <w:rPr>
                <w:rFonts w:ascii="Times New Roman" w:hAnsi="Times New Roman" w:eastAsia="Times New Roman" w:cs="Times New Roman"/>
                <w:b w:val="0"/>
                <w:sz w:val="19"/>
              </w:rPr>
              <w:t>Supports editorial author verification.</w:t>
            </w:r>
          </w:p>
        </w:tc>
        <w:tc>
          <w:tcPr>
            <w:tcW w:w="3216" w:type="dxa"/>
            <w:tcBorders>
              <w:top w:val="nil"/>
              <w:left w:val="nil"/>
              <w:bottom w:val="nil"/>
              <w:right w:val="nil"/>
              <w:insideH w:val="nil"/>
              <w:insideV w:val="nil"/>
            </w:tcBorders>
            <w:vAlign w:val="center"/>
          </w:tcPr>
          <w:p w14:paraId="31650B1C">
            <w:pPr>
              <w:spacing w:before="0" w:after="0" w:line="240" w:lineRule="auto"/>
              <w:ind w:left="0" w:right="0" w:firstLine="0"/>
              <w:jc w:val="center"/>
            </w:pPr>
            <w:r>
              <w:rPr>
                <w:rFonts w:ascii="Times New Roman" w:hAnsi="Times New Roman" w:eastAsia="Times New Roman" w:cs="Times New Roman"/>
                <w:b w:val="0"/>
                <w:sz w:val="19"/>
              </w:rPr>
              <w:t>Provided through submission system or cover letter using verified author identifiers.</w:t>
            </w:r>
          </w:p>
        </w:tc>
      </w:tr>
      <w:tr w14:paraId="042D6474">
        <w:tblPrEx>
          <w:tblCellMar>
            <w:top w:w="0" w:type="dxa"/>
            <w:left w:w="108" w:type="dxa"/>
            <w:bottom w:w="0" w:type="dxa"/>
            <w:right w:w="108" w:type="dxa"/>
          </w:tblCellMar>
        </w:tblPrEx>
        <w:trPr>
          <w:jc w:val="center"/>
        </w:trPr>
        <w:tc>
          <w:tcPr>
            <w:tcW w:w="3216" w:type="dxa"/>
            <w:tcBorders>
              <w:top w:val="nil"/>
              <w:left w:val="nil"/>
              <w:bottom w:val="nil"/>
              <w:right w:val="nil"/>
              <w:insideH w:val="nil"/>
              <w:insideV w:val="nil"/>
            </w:tcBorders>
            <w:vAlign w:val="center"/>
          </w:tcPr>
          <w:p w14:paraId="14E91385">
            <w:pPr>
              <w:spacing w:before="0" w:after="0" w:line="240" w:lineRule="auto"/>
              <w:ind w:left="0" w:right="0" w:firstLine="0"/>
              <w:jc w:val="center"/>
            </w:pPr>
            <w:r>
              <w:rPr>
                <w:rFonts w:ascii="Times New Roman" w:hAnsi="Times New Roman" w:eastAsia="Times New Roman" w:cs="Times New Roman"/>
                <w:b w:val="0"/>
                <w:sz w:val="19"/>
              </w:rPr>
              <w:t>Data-governance note</w:t>
            </w:r>
          </w:p>
        </w:tc>
        <w:tc>
          <w:tcPr>
            <w:tcW w:w="3216" w:type="dxa"/>
            <w:tcBorders>
              <w:top w:val="nil"/>
              <w:left w:val="nil"/>
              <w:bottom w:val="nil"/>
              <w:right w:val="nil"/>
              <w:insideH w:val="nil"/>
              <w:insideV w:val="nil"/>
            </w:tcBorders>
            <w:vAlign w:val="center"/>
          </w:tcPr>
          <w:p w14:paraId="6373BA31">
            <w:pPr>
              <w:spacing w:before="0" w:after="0" w:line="240" w:lineRule="auto"/>
              <w:ind w:left="0" w:right="0" w:firstLine="0"/>
              <w:jc w:val="center"/>
            </w:pPr>
            <w:r>
              <w:rPr>
                <w:rFonts w:ascii="Times New Roman" w:hAnsi="Times New Roman" w:eastAsia="Times New Roman" w:cs="Times New Roman"/>
                <w:b w:val="0"/>
                <w:sz w:val="19"/>
              </w:rPr>
              <w:t>Explains limits on raw URL/account redistribution.</w:t>
            </w:r>
          </w:p>
        </w:tc>
        <w:tc>
          <w:tcPr>
            <w:tcW w:w="3216" w:type="dxa"/>
            <w:tcBorders>
              <w:top w:val="nil"/>
              <w:left w:val="nil"/>
              <w:bottom w:val="nil"/>
              <w:right w:val="nil"/>
              <w:insideH w:val="nil"/>
              <w:insideV w:val="nil"/>
            </w:tcBorders>
            <w:vAlign w:val="center"/>
          </w:tcPr>
          <w:p w14:paraId="3A06E23A">
            <w:pPr>
              <w:spacing w:before="0" w:after="0" w:line="240" w:lineRule="auto"/>
              <w:ind w:left="0" w:right="0" w:firstLine="0"/>
              <w:jc w:val="center"/>
            </w:pPr>
            <w:r>
              <w:rPr>
                <w:rFonts w:ascii="Times New Roman" w:hAnsi="Times New Roman" w:eastAsia="Times New Roman" w:cs="Times New Roman"/>
                <w:b w:val="0"/>
                <w:sz w:val="19"/>
              </w:rPr>
              <w:t>Included in manuscript and Supplementary Information.</w:t>
            </w:r>
          </w:p>
        </w:tc>
      </w:tr>
      <w:tr w14:paraId="634836FF">
        <w:tblPrEx>
          <w:tblCellMar>
            <w:top w:w="0" w:type="dxa"/>
            <w:left w:w="108" w:type="dxa"/>
            <w:bottom w:w="0" w:type="dxa"/>
            <w:right w:w="108" w:type="dxa"/>
          </w:tblCellMar>
        </w:tblPrEx>
        <w:trPr>
          <w:jc w:val="center"/>
        </w:trPr>
        <w:tc>
          <w:tcPr>
            <w:tcW w:w="3216" w:type="dxa"/>
            <w:tcBorders>
              <w:top w:val="nil"/>
              <w:left w:val="nil"/>
              <w:bottom w:val="single" w:color="000000" w:sz="12" w:space="0"/>
              <w:right w:val="nil"/>
              <w:insideH w:val="nil"/>
              <w:insideV w:val="nil"/>
            </w:tcBorders>
            <w:vAlign w:val="center"/>
          </w:tcPr>
          <w:p w14:paraId="07E70A2D">
            <w:pPr>
              <w:spacing w:before="0" w:after="0" w:line="240" w:lineRule="auto"/>
              <w:ind w:left="0" w:right="0" w:firstLine="0"/>
              <w:jc w:val="center"/>
            </w:pPr>
            <w:r>
              <w:rPr>
                <w:rFonts w:ascii="Times New Roman" w:hAnsi="Times New Roman" w:eastAsia="Times New Roman" w:cs="Times New Roman"/>
                <w:b w:val="0"/>
                <w:sz w:val="19"/>
              </w:rPr>
              <w:t>Replication materials</w:t>
            </w:r>
          </w:p>
        </w:tc>
        <w:tc>
          <w:tcPr>
            <w:tcW w:w="3216" w:type="dxa"/>
            <w:tcBorders>
              <w:top w:val="nil"/>
              <w:left w:val="nil"/>
              <w:bottom w:val="single" w:color="000000" w:sz="12" w:space="0"/>
              <w:right w:val="nil"/>
              <w:insideH w:val="nil"/>
              <w:insideV w:val="nil"/>
            </w:tcBorders>
            <w:vAlign w:val="center"/>
          </w:tcPr>
          <w:p w14:paraId="1BB2BB48">
            <w:pPr>
              <w:spacing w:before="0" w:after="0" w:line="240" w:lineRule="auto"/>
              <w:ind w:left="0" w:right="0" w:firstLine="0"/>
              <w:jc w:val="center"/>
            </w:pPr>
            <w:r>
              <w:rPr>
                <w:rFonts w:ascii="Times New Roman" w:hAnsi="Times New Roman" w:eastAsia="Times New Roman" w:cs="Times New Roman"/>
                <w:b w:val="0"/>
                <w:sz w:val="19"/>
              </w:rPr>
              <w:t>Supports editorial verification and reasonable scholarly replication.</w:t>
            </w:r>
          </w:p>
        </w:tc>
        <w:tc>
          <w:tcPr>
            <w:tcW w:w="3216" w:type="dxa"/>
            <w:tcBorders>
              <w:top w:val="nil"/>
              <w:left w:val="nil"/>
              <w:bottom w:val="single" w:color="000000" w:sz="12" w:space="0"/>
              <w:right w:val="nil"/>
              <w:insideH w:val="nil"/>
              <w:insideV w:val="nil"/>
            </w:tcBorders>
            <w:vAlign w:val="center"/>
          </w:tcPr>
          <w:p w14:paraId="26922BC2">
            <w:pPr>
              <w:spacing w:before="0" w:after="0" w:line="240" w:lineRule="auto"/>
              <w:ind w:left="0" w:right="0" w:firstLine="0"/>
              <w:jc w:val="center"/>
            </w:pPr>
            <w:r>
              <w:rPr>
                <w:rFonts w:ascii="Times New Roman" w:hAnsi="Times New Roman" w:eastAsia="Times New Roman" w:cs="Times New Roman"/>
                <w:b w:val="0"/>
                <w:sz w:val="19"/>
              </w:rPr>
              <w:t>Available as public files where permitted or controlled-access files where platform policies restrict redistribution.</w:t>
            </w:r>
          </w:p>
        </w:tc>
      </w:tr>
    </w:tbl>
    <w:p w14:paraId="20FEC303">
      <w:pPr>
        <w:pStyle w:val="3"/>
        <w:spacing w:before="0" w:after="80" w:line="240" w:lineRule="auto"/>
        <w:ind w:left="0" w:right="0" w:firstLine="0"/>
        <w:jc w:val="both"/>
      </w:pPr>
      <w:r>
        <w:rPr>
          <w:rFonts w:ascii="Times New Roman" w:hAnsi="Times New Roman" w:eastAsia="Times New Roman" w:cs="Times New Roman"/>
          <w:b/>
          <w:i w:val="0"/>
          <w:color w:val="0D2B4A"/>
          <w:sz w:val="24"/>
        </w:rPr>
        <w:t>S9. Recommended accompanying output files</w:t>
      </w:r>
    </w:p>
    <w:p w14:paraId="5F5CA6C6">
      <w:pPr>
        <w:spacing w:before="0" w:after="80" w:line="240" w:lineRule="auto"/>
        <w:ind w:left="0" w:right="0" w:firstLine="0"/>
        <w:jc w:val="both"/>
      </w:pPr>
      <w:r>
        <w:rPr>
          <w:rFonts w:ascii="Times New Roman" w:hAnsi="Times New Roman" w:eastAsia="Times New Roman" w:cs="Times New Roman"/>
          <w:sz w:val="24"/>
        </w:rPr>
        <w:t>Where the submission system permits separate files, the authors should upload or make available machine-readable versions of the coefficient tables, missing-data diagnostics, random-forest feature-importance outputs, mediation outputs, PSM balance checks and Gini values. These files are not required to repeat the article narrative, but they strengthen editorial verification and external review.</w:t>
      </w:r>
    </w:p>
    <w:sectPr>
      <w:footerReference r:id="rId5" w:type="default"/>
      <w:pgSz w:w="12240" w:h="15840"/>
      <w:pgMar w:top="1440" w:right="1440" w:bottom="1440" w:left="1440" w:header="708" w:footer="708" w:gutter="0"/>
      <w:lnNumType w:countBy="1" w:restart="continuou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F305E">
    <w:pPr>
      <w:jc w:val="center"/>
    </w:pPr>
    <w:r>
      <w:rPr>
        <w:rFonts w:ascii="Times New Roman" w:hAnsi="Times New Roman" w:eastAsia="Times New Roman"/>
        <w:sz w:val="20"/>
      </w:rPr>
      <w:fldChar w:fldCharType="begin"/>
    </w:r>
    <w:r>
      <w:rPr>
        <w:rFonts w:ascii="Times New Roman" w:hAnsi="Times New Roman" w:eastAsia="Times New Roman"/>
        <w:sz w:val="20"/>
      </w:rPr>
      <w:instrText xml:space="preserve">PAGE</w:instrText>
    </w:r>
    <w:r>
      <w:rPr>
        <w:rFonts w:ascii="Times New Roman" w:hAnsi="Times New Roman" w:eastAsia="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7085107"/>
    <w:rsid w:val="4BF97D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120" w:line="240" w:lineRule="auto"/>
      <w:ind w:left="0" w:right="0" w:firstLine="0"/>
    </w:pPr>
    <w:rPr>
      <w:rFonts w:ascii="Times New Roman" w:hAnsi="Times New Roman" w:eastAsia="Times New Roman" w:cstheme="minorBidi"/>
      <w:sz w:val="24"/>
      <w:szCs w:val="22"/>
      <w:lang w:val="en-US" w:eastAsia="en-US" w:bidi="ar-SA"/>
    </w:rPr>
  </w:style>
  <w:style w:type="paragraph" w:styleId="3">
    <w:name w:val="heading 1"/>
    <w:basedOn w:val="1"/>
    <w:next w:val="1"/>
    <w:link w:val="138"/>
    <w:qFormat/>
    <w:uiPriority w:val="9"/>
    <w:pPr>
      <w:keepNext/>
      <w:keepLines/>
      <w:spacing w:before="0" w:after="120" w:line="240" w:lineRule="auto"/>
      <w:ind w:left="0" w:right="0" w:firstLine="0"/>
      <w:outlineLvl w:val="0"/>
    </w:pPr>
    <w:rPr>
      <w:rFonts w:asciiTheme="majorHAnsi" w:hAnsiTheme="majorHAnsi" w:eastAsiaTheme="majorEastAsia" w:cstheme="majorBidi"/>
      <w:b/>
      <w:bCs/>
      <w:sz w:val="24"/>
      <w:szCs w:val="28"/>
    </w:rPr>
  </w:style>
  <w:style w:type="paragraph" w:styleId="4">
    <w:name w:val="heading 2"/>
    <w:basedOn w:val="1"/>
    <w:next w:val="1"/>
    <w:link w:val="139"/>
    <w:unhideWhenUsed/>
    <w:qFormat/>
    <w:uiPriority w:val="9"/>
    <w:pPr>
      <w:keepNext/>
      <w:keepLines/>
      <w:spacing w:before="0" w:after="120" w:line="240" w:lineRule="auto"/>
      <w:ind w:left="0" w:right="0" w:firstLine="0"/>
      <w:outlineLvl w:val="1"/>
    </w:pPr>
    <w:rPr>
      <w:rFonts w:asciiTheme="majorHAnsi" w:hAnsiTheme="majorHAnsi" w:eastAsiaTheme="majorEastAsia" w:cstheme="majorBidi"/>
      <w:b/>
      <w:bCs/>
      <w:sz w:val="24"/>
      <w:szCs w:val="26"/>
    </w:rPr>
  </w:style>
  <w:style w:type="paragraph" w:styleId="5">
    <w:name w:val="heading 3"/>
    <w:basedOn w:val="1"/>
    <w:next w:val="1"/>
    <w:link w:val="140"/>
    <w:unhideWhenUsed/>
    <w:qFormat/>
    <w:uiPriority w:val="9"/>
    <w:pPr>
      <w:keepNext/>
      <w:keepLines/>
      <w:spacing w:before="0" w:after="120" w:line="240" w:lineRule="auto"/>
      <w:ind w:left="0" w:right="0" w:firstLine="0"/>
      <w:outlineLvl w:val="2"/>
    </w:pPr>
    <w:rPr>
      <w:rFonts w:asciiTheme="majorHAnsi" w:hAnsiTheme="majorHAnsi" w:eastAsiaTheme="majorEastAsia" w:cstheme="majorBidi"/>
      <w:b/>
      <w:bCs/>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1126</Words>
  <Characters>6830</Characters>
  <Lines>0</Lines>
  <Paragraphs>0</Paragraphs>
  <TotalTime>0</TotalTime>
  <ScaleCrop>false</ScaleCrop>
  <LinksUpToDate>false</LinksUpToDate>
  <CharactersWithSpaces>7627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Prisoner</cp:lastModifiedBy>
  <dcterms:modified xsi:type="dcterms:W3CDTF">2026-06-15T06:41:48Z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8224C069A1BA44B18934A48143431A78_13</vt:lpwstr>
  </property>
</Properties>
</file>