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54258">
      <w:pPr>
        <w:pStyle w:val="2"/>
        <w:rPr>
          <w:rFonts w:ascii="Times New Roman" w:hAnsi="Times New Roman" w:cs="Times New Roman" w:eastAsiaTheme="minorEastAsia"/>
        </w:rPr>
      </w:pPr>
      <w:bookmarkStart w:id="0" w:name="_GoBack"/>
      <w:bookmarkEnd w:id="0"/>
      <w:r>
        <w:rPr>
          <w:rFonts w:ascii="Times New Roman" w:hAnsi="Times New Roman" w:cs="Times New Roman"/>
        </w:rPr>
        <w:t>Supplementary Text1</w:t>
      </w:r>
      <w:r>
        <w:rPr>
          <w:rFonts w:ascii="Times New Roman" w:hAnsi="Times New Roman" w:cs="Times New Roman" w:eastAsiaTheme="minorEastAsia"/>
        </w:rPr>
        <w:t xml:space="preserve">  Estimation of carbon allocation</w:t>
      </w:r>
    </w:p>
    <w:p w14:paraId="3A6EF6FF">
      <w:pPr>
        <w:pStyle w:val="3"/>
        <w:rPr>
          <w:rFonts w:ascii="Times New Roman" w:hAnsi="Times New Roman" w:cs="Times New Roman"/>
        </w:rPr>
      </w:pPr>
      <w:r>
        <w:rPr>
          <w:rFonts w:ascii="Times New Roman" w:hAnsi="Times New Roman" w:cs="Times New Roman"/>
        </w:rPr>
        <w:t>1.1 Data preprocessing and temporal consistency</w:t>
      </w:r>
    </w:p>
    <w:p w14:paraId="4E0663FC">
      <w:pPr>
        <w:ind w:firstLine="480"/>
        <w:rPr>
          <w:rFonts w:ascii="Times New Roman" w:hAnsi="Times New Roman" w:cs="Times New Roman"/>
          <w:b/>
        </w:rPr>
      </w:pPr>
      <w:r>
        <w:rPr>
          <w:rFonts w:ascii="Times New Roman" w:hAnsi="Times New Roman" w:cs="Times New Roman"/>
        </w:rPr>
        <w:t>To facilitate the integration of multi-source datasets, we harmonized all observations to a common 8-day temporal resolution. A strict consistency protocol was enforced: only timesteps exhibiting concurrent availability of X-VOD, L-VOD, and all environmental variables (SM, P, VPD, Rn,</w:t>
      </w:r>
      <m:oMath>
        <m:sSub>
          <m:sSubPr>
            <m:ctrlPr>
              <w:rPr>
                <w:rFonts w:ascii="Cambria Math" w:hAnsi="Cambria Math" w:cs="Times New Roman"/>
              </w:rPr>
            </m:ctrlPr>
          </m:sSubPr>
          <m:e>
            <m:r>
              <m:rPr>
                <m:nor/>
              </m:rPr>
              <w:rPr>
                <w:rFonts w:ascii="Times New Roman" w:hAnsi="Times New Roman" w:cs="Times New Roman"/>
                <w:i/>
              </w:rPr>
              <m:t>T</m:t>
            </m:r>
            <m:ctrlPr>
              <w:rPr>
                <w:rFonts w:ascii="Cambria Math" w:hAnsi="Cambria Math" w:cs="Times New Roman"/>
              </w:rPr>
            </m:ctrlPr>
          </m:e>
          <m:sub>
            <m:r>
              <m:rPr>
                <m:nor/>
              </m:rPr>
              <w:rPr>
                <w:rFonts w:ascii="Times New Roman" w:hAnsi="Times New Roman" w:cs="Times New Roman"/>
                <w:i/>
              </w:rPr>
              <m:t>a</m:t>
            </m:r>
            <m:ctrlPr>
              <w:rPr>
                <w:rFonts w:ascii="Cambria Math" w:hAnsi="Cambria Math" w:cs="Times New Roman"/>
              </w:rPr>
            </m:ctrlPr>
          </m:sub>
        </m:sSub>
      </m:oMath>
      <w:r>
        <w:rPr>
          <w:rFonts w:ascii="Times New Roman" w:hAnsi="Times New Roman" w:cs="Times New Roman"/>
        </w:rPr>
        <w:t>) were retained for analysis. Missing or invalid values were masked as NaN, implicitly applying a spatial mask based on valid data availability during subsequent model fitting.</w:t>
      </w:r>
    </w:p>
    <w:p w14:paraId="6636A219">
      <w:pPr>
        <w:pStyle w:val="3"/>
        <w:rPr>
          <w:rFonts w:ascii="Times New Roman" w:hAnsi="Times New Roman" w:cs="Times New Roman"/>
        </w:rPr>
      </w:pPr>
      <w:r>
        <w:rPr>
          <w:rFonts w:ascii="Times New Roman" w:hAnsi="Times New Roman" w:cs="Times New Roman"/>
        </w:rPr>
        <w:t>1.2 Climate effect removal using regression residuals</w:t>
      </w:r>
    </w:p>
    <w:p w14:paraId="58F573F8">
      <w:pPr>
        <w:ind w:firstLine="480"/>
        <w:rPr>
          <w:rFonts w:ascii="Times New Roman" w:hAnsi="Times New Roman" w:cs="Times New Roman"/>
        </w:rPr>
      </w:pPr>
      <w:r>
        <w:rPr>
          <w:rFonts w:ascii="Times New Roman" w:hAnsi="Times New Roman" w:cs="Times New Roman"/>
        </w:rPr>
        <w:t>To isolate vegetation structural variability, climate-driven effects were removed using pixel-wise multiple linear regression:</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9"/>
        <w:gridCol w:w="1383"/>
      </w:tblGrid>
      <w:tr w14:paraId="4B713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38" w:type="dxa"/>
          </w:tcPr>
          <w:p w14:paraId="5B6ED798">
            <w:pPr>
              <w:ind w:firstLine="0" w:firstLineChars="0"/>
              <w:jc w:val="center"/>
              <w:rPr>
                <w:rFonts w:ascii="Times New Roman" w:hAnsi="Times New Roman" w:cs="Times New Roman"/>
              </w:rPr>
            </w:pPr>
            <w:r>
              <w:rPr>
                <w:rFonts w:ascii="Times New Roman" w:hAnsi="Times New Roman" w:cs="Times New Roman"/>
                <w:position w:val="-12"/>
              </w:rPr>
              <w:object>
                <v:shape id="_x0000_i1025" o:spt="75" type="#_x0000_t75" style="height:18.55pt;width:281.1pt;" o:ole="t" filled="f" o:preferrelative="t" stroked="f" coordsize="21600,21600">
                  <v:path/>
                  <v:fill on="f" focussize="0,0"/>
                  <v:stroke on="f" joinstyle="miter"/>
                  <v:imagedata r:id="rId13" o:title=""/>
                  <o:lock v:ext="edit" aspectratio="f"/>
                  <w10:wrap type="none"/>
                  <w10:anchorlock/>
                </v:shape>
                <o:OLEObject Type="Embed" ProgID="Equation.DSMT4" ShapeID="_x0000_i1025" DrawAspect="Content" ObjectID="_1468075725" r:id="rId12">
                  <o:LockedField>false</o:LockedField>
                </o:OLEObject>
              </w:object>
            </w:r>
          </w:p>
        </w:tc>
        <w:tc>
          <w:tcPr>
            <w:tcW w:w="1518" w:type="dxa"/>
          </w:tcPr>
          <w:p w14:paraId="4651CEA4">
            <w:pPr>
              <w:ind w:firstLine="0" w:firstLineChars="0"/>
              <w:jc w:val="right"/>
              <w:rPr>
                <w:rFonts w:ascii="Times New Roman" w:hAnsi="Times New Roman" w:cs="Times New Roman"/>
              </w:rPr>
            </w:pPr>
            <w:r>
              <w:rPr>
                <w:rFonts w:ascii="Times New Roman" w:hAnsi="Times New Roman" w:cs="Times New Roman"/>
              </w:rPr>
              <w:t>(1)</w:t>
            </w:r>
          </w:p>
        </w:tc>
      </w:tr>
    </w:tbl>
    <w:p w14:paraId="523FDC89">
      <w:pPr>
        <w:ind w:firstLine="480"/>
        <w:rPr>
          <w:rFonts w:ascii="Times New Roman" w:hAnsi="Times New Roman" w:cs="Times New Roman"/>
        </w:rPr>
      </w:pPr>
      <w:r>
        <w:rPr>
          <w:rFonts w:ascii="Times New Roman" w:hAnsi="Times New Roman" w:cs="Times New Roman"/>
        </w:rPr>
        <w:t xml:space="preserve">where </w:t>
      </w:r>
      <m:oMath>
        <m:r>
          <m:rPr>
            <m:nor/>
          </m:rPr>
          <w:rPr>
            <w:rFonts w:ascii="Times New Roman" w:hAnsi="Times New Roman" w:cs="Times New Roman"/>
            <w:i/>
          </w:rPr>
          <m:t>VO</m:t>
        </m:r>
        <m:sSub>
          <m:sSubPr>
            <m:ctrlPr>
              <w:rPr>
                <w:rFonts w:ascii="Cambria Math" w:hAnsi="Cambria Math" w:cs="Times New Roman"/>
              </w:rPr>
            </m:ctrlPr>
          </m:sSubPr>
          <m:e>
            <m:r>
              <m:rPr>
                <m:nor/>
              </m:rPr>
              <w:rPr>
                <w:rFonts w:ascii="Times New Roman" w:hAnsi="Times New Roman" w:cs="Times New Roman"/>
                <w:i/>
              </w:rPr>
              <m:t>D</m:t>
            </m:r>
            <m:ctrlPr>
              <w:rPr>
                <w:rFonts w:ascii="Cambria Math" w:hAnsi="Cambria Math" w:cs="Times New Roman"/>
              </w:rPr>
            </m:ctrlPr>
          </m:e>
          <m:sub>
            <m:r>
              <m:rPr>
                <m:nor/>
              </m:rPr>
              <w:rPr>
                <w:rFonts w:ascii="Times New Roman" w:hAnsi="Times New Roman" w:cs="Times New Roman"/>
                <w:i/>
              </w:rPr>
              <m:t>t</m:t>
            </m:r>
            <m:ctrlPr>
              <w:rPr>
                <w:rFonts w:ascii="Cambria Math" w:hAnsi="Cambria Math" w:cs="Times New Roman"/>
              </w:rPr>
            </m:ctrlPr>
          </m:sub>
        </m:sSub>
      </m:oMath>
      <w:r>
        <w:rPr>
          <w:rFonts w:ascii="Times New Roman" w:hAnsi="Times New Roman" w:cs="Times New Roman"/>
        </w:rPr>
        <w:t xml:space="preserve">represents X-VOD or L-VOD at time </w:t>
      </w:r>
      <m:oMath>
        <m:r>
          <m:rPr>
            <m:nor/>
          </m:rPr>
          <w:rPr>
            <w:rFonts w:ascii="Times New Roman" w:hAnsi="Times New Roman" w:cs="Times New Roman"/>
            <w:i/>
          </w:rPr>
          <m:t>t</m:t>
        </m:r>
      </m:oMath>
      <w:r>
        <w:rPr>
          <w:rFonts w:ascii="Times New Roman" w:hAnsi="Times New Roman" w:cs="Times New Roman"/>
        </w:rPr>
        <w:t>, where</w:t>
      </w:r>
      <w:r>
        <w:rPr>
          <w:rFonts w:ascii="Times New Roman" w:hAnsi="Times New Roman" w:cs="Times New Roman"/>
          <w:position w:val="-12"/>
        </w:rPr>
        <w:object>
          <v:shape id="_x0000_i1026" o:spt="75" type="#_x0000_t75" style="height:18pt;width:12.7pt;" o:ole="t" filled="f" o:preferrelative="t" stroked="f" coordsize="21600,21600">
            <v:path/>
            <v:fill on="f" focussize="0,0"/>
            <v:stroke on="f" joinstyle="miter"/>
            <v:imagedata r:id="rId15" o:title=""/>
            <o:lock v:ext="edit" aspectratio="t"/>
            <w10:wrap type="none"/>
            <w10:anchorlock/>
          </v:shape>
          <o:OLEObject Type="Embed" ProgID="Equation.DSMT4" ShapeID="_x0000_i1026" DrawAspect="Content" ObjectID="_1468075726" r:id="rId14">
            <o:LockedField>false</o:LockedField>
          </o:OLEObject>
        </w:object>
      </w:r>
      <w:r>
        <w:rPr>
          <w:rFonts w:ascii="Times New Roman" w:hAnsi="Times New Roman" w:cs="Times New Roman"/>
        </w:rPr>
        <w:t>represents the climate-independent structural component of vegetation optical depth. he regression was applied independently for each pixel using all available observations with complete predictor information. Pixels with fewer than 10 valid samples were excluded to ensure model stability. The structural residual was computed as: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29"/>
        <w:gridCol w:w="793"/>
      </w:tblGrid>
      <w:tr w14:paraId="4164E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6" w:type="dxa"/>
          </w:tcPr>
          <w:p w14:paraId="76FC522D">
            <w:pPr>
              <w:ind w:firstLine="0" w:firstLineChars="0"/>
              <w:jc w:val="center"/>
              <w:rPr>
                <w:rFonts w:ascii="Times New Roman" w:hAnsi="Times New Roman" w:cs="Times New Roman"/>
              </w:rPr>
            </w:pPr>
            <w:r>
              <w:rPr>
                <w:rFonts w:ascii="Times New Roman" w:hAnsi="Times New Roman" w:cs="Times New Roman"/>
                <w:position w:val="-12"/>
              </w:rPr>
              <w:object>
                <v:shape id="_x0000_i1027" o:spt="75" type="#_x0000_t75" style="height:21.7pt;width:92.1pt;" o:ole="t" filled="f" o:preferrelative="t" stroked="f" coordsize="21600,21600">
                  <v:path/>
                  <v:fill on="f" focussize="0,0"/>
                  <v:stroke on="f" joinstyle="miter"/>
                  <v:imagedata r:id="rId17" o:title=""/>
                  <o:lock v:ext="edit" aspectratio="t"/>
                  <w10:wrap type="none"/>
                  <w10:anchorlock/>
                </v:shape>
                <o:OLEObject Type="Embed" ProgID="Equation.DSMT4" ShapeID="_x0000_i1027" DrawAspect="Content" ObjectID="_1468075727" r:id="rId16">
                  <o:LockedField>false</o:LockedField>
                </o:OLEObject>
              </w:object>
            </w:r>
          </w:p>
        </w:tc>
        <w:tc>
          <w:tcPr>
            <w:tcW w:w="810" w:type="dxa"/>
          </w:tcPr>
          <w:p w14:paraId="48E98374">
            <w:pPr>
              <w:ind w:firstLine="0" w:firstLineChars="0"/>
              <w:jc w:val="right"/>
              <w:rPr>
                <w:rFonts w:ascii="Times New Roman" w:hAnsi="Times New Roman" w:cs="Times New Roman"/>
              </w:rPr>
            </w:pPr>
            <w:r>
              <w:rPr>
                <w:rFonts w:ascii="Times New Roman" w:hAnsi="Times New Roman" w:cs="Times New Roman"/>
              </w:rPr>
              <w:t>(2)</w:t>
            </w:r>
          </w:p>
        </w:tc>
      </w:tr>
    </w:tbl>
    <w:p w14:paraId="56829BE3">
      <w:pPr>
        <w:pStyle w:val="3"/>
        <w:rPr>
          <w:rFonts w:ascii="Times New Roman" w:hAnsi="Times New Roman" w:cs="Times New Roman"/>
        </w:rPr>
      </w:pPr>
      <w:r>
        <w:rPr>
          <w:rFonts w:ascii="Times New Roman" w:hAnsi="Times New Roman" w:cs="Times New Roman"/>
        </w:rPr>
        <w:t>1.3 Growing-season aggregation</w:t>
      </w:r>
    </w:p>
    <w:p w14:paraId="6BA32A74">
      <w:pPr>
        <w:ind w:firstLine="480"/>
        <w:rPr>
          <w:rFonts w:ascii="Times New Roman" w:hAnsi="Times New Roman" w:cs="Times New Roman"/>
        </w:rPr>
      </w:pPr>
      <w:r>
        <w:rPr>
          <w:rFonts w:ascii="Times New Roman" w:hAnsi="Times New Roman" w:cs="Times New Roman"/>
        </w:rPr>
        <w:t xml:space="preserve">To suppress short-term fluctuations and enhance structural signals, residuals were smoothed using a backward moving average with a window size of 8 time steps. Then the growing-season structural signals were defined using June–August. For each year </w:t>
      </w:r>
      <m:oMath>
        <m:r>
          <m:rPr>
            <m:nor/>
          </m:rPr>
          <w:rPr>
            <w:rFonts w:ascii="Times New Roman" w:hAnsi="Times New Roman" w:cs="Times New Roman"/>
            <w:i/>
          </w:rPr>
          <m:t>y</m:t>
        </m:r>
      </m:oMath>
      <w:r>
        <w:rPr>
          <w:rFonts w:ascii="Times New Roman" w:hAnsi="Times New Roman" w:cs="Times New Roman"/>
        </w:rPr>
        <w:t>, the seasonal structural state was computed as: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3"/>
        <w:gridCol w:w="659"/>
      </w:tblGrid>
      <w:tr w14:paraId="6DB8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14:paraId="6DA09FEB">
            <w:pPr>
              <w:ind w:firstLine="0" w:firstLineChars="0"/>
              <w:jc w:val="center"/>
              <w:rPr>
                <w:rFonts w:ascii="Times New Roman" w:hAnsi="Times New Roman" w:cs="Times New Roman"/>
              </w:rPr>
            </w:pPr>
            <w:r>
              <w:rPr>
                <w:rFonts w:ascii="Times New Roman" w:hAnsi="Times New Roman" w:cs="Times New Roman"/>
                <w:position w:val="-34"/>
              </w:rPr>
              <w:object>
                <v:shape id="_x0000_i1028" o:spt="75" type="#_x0000_t75" style="height:36.55pt;width:82.05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18">
                  <o:LockedField>false</o:LockedField>
                </o:OLEObject>
              </w:object>
            </w:r>
          </w:p>
        </w:tc>
        <w:tc>
          <w:tcPr>
            <w:tcW w:w="668" w:type="dxa"/>
          </w:tcPr>
          <w:p w14:paraId="4623FD45">
            <w:pPr>
              <w:ind w:firstLine="0" w:firstLineChars="0"/>
              <w:jc w:val="right"/>
              <w:rPr>
                <w:rFonts w:ascii="Times New Roman" w:hAnsi="Times New Roman" w:cs="Times New Roman"/>
              </w:rPr>
            </w:pPr>
            <w:r>
              <w:rPr>
                <w:rFonts w:ascii="Times New Roman" w:hAnsi="Times New Roman" w:cs="Times New Roman"/>
              </w:rPr>
              <w:t>(3)</w:t>
            </w:r>
          </w:p>
        </w:tc>
      </w:tr>
    </w:tbl>
    <w:p w14:paraId="4CA9953A">
      <w:pPr>
        <w:ind w:firstLine="0" w:firstLineChars="0"/>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rPr>
            </m:ctrlPr>
          </m:sSubPr>
          <m:e>
            <m:r>
              <m:rPr>
                <m:nor/>
              </m:rPr>
              <w:rPr>
                <w:rFonts w:ascii="Times New Roman" w:hAnsi="Times New Roman" w:cs="Times New Roman"/>
                <w:i/>
              </w:rPr>
              <m:t>n</m:t>
            </m:r>
            <m:ctrlPr>
              <w:rPr>
                <w:rFonts w:ascii="Cambria Math" w:hAnsi="Cambria Math" w:cs="Times New Roman"/>
              </w:rPr>
            </m:ctrlPr>
          </m:e>
          <m:sub>
            <m:r>
              <m:rPr>
                <m:nor/>
              </m:rPr>
              <w:rPr>
                <w:rFonts w:ascii="Times New Roman" w:hAnsi="Times New Roman" w:cs="Times New Roman"/>
                <w:i/>
              </w:rPr>
              <m:t>y</m:t>
            </m:r>
            <m:ctrlPr>
              <w:rPr>
                <w:rFonts w:ascii="Cambria Math" w:hAnsi="Cambria Math" w:cs="Times New Roman"/>
              </w:rPr>
            </m:ctrlPr>
          </m:sub>
        </m:sSub>
      </m:oMath>
      <w:r>
        <w:rPr>
          <w:rFonts w:ascii="Times New Roman" w:hAnsi="Times New Roman" w:cs="Times New Roman"/>
        </w:rPr>
        <w:t>is the number of valid observations within the growing season. This step was applied separately for X-VOD and L-VOD residuals.</w:t>
      </w:r>
    </w:p>
    <w:p w14:paraId="20CEA9D0">
      <w:pPr>
        <w:pStyle w:val="3"/>
        <w:rPr>
          <w:rFonts w:ascii="Times New Roman" w:hAnsi="Times New Roman" w:cs="Times New Roman"/>
        </w:rPr>
      </w:pPr>
      <w:r>
        <w:rPr>
          <w:rFonts w:ascii="Times New Roman" w:hAnsi="Times New Roman" w:cs="Times New Roman"/>
        </w:rPr>
        <w:t>1.4 Interannual structural increment calculation</w:t>
      </w:r>
    </w:p>
    <w:p w14:paraId="33555EF0">
      <w:pPr>
        <w:ind w:firstLine="480"/>
        <w:rPr>
          <w:rFonts w:ascii="Times New Roman" w:hAnsi="Times New Roman" w:cs="Times New Roman"/>
        </w:rPr>
      </w:pPr>
      <w:r>
        <w:rPr>
          <w:rFonts w:ascii="Times New Roman" w:hAnsi="Times New Roman" w:cs="Times New Roman"/>
        </w:rPr>
        <w:t>We quantified carbon allocation based on interannual structural signals rather than intra-annual variations to better capture persistent vegetation investment while minimizing confounding effects from phenology and short-term environmental fluctuations. To capture directional carbon allocation dynamics, interannual structural increments were defined as: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4"/>
        <w:gridCol w:w="658"/>
      </w:tblGrid>
      <w:tr w14:paraId="2041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14:paraId="6D27F6E0">
            <w:pPr>
              <w:ind w:firstLine="0" w:firstLineChars="0"/>
              <w:jc w:val="center"/>
              <w:rPr>
                <w:rFonts w:ascii="Times New Roman" w:hAnsi="Times New Roman" w:cs="Times New Roman"/>
              </w:rPr>
            </w:pPr>
            <w:r>
              <w:rPr>
                <w:rFonts w:ascii="Times New Roman" w:hAnsi="Times New Roman" w:cs="Times New Roman"/>
                <w:position w:val="-14"/>
              </w:rPr>
              <w:object>
                <v:shape id="_x0000_i1029" o:spt="75" type="#_x0000_t75" style="height:19.6pt;width:113.8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0">
                  <o:LockedField>false</o:LockedField>
                </o:OLEObject>
              </w:object>
            </w:r>
          </w:p>
        </w:tc>
        <w:tc>
          <w:tcPr>
            <w:tcW w:w="668" w:type="dxa"/>
          </w:tcPr>
          <w:p w14:paraId="3136D97A">
            <w:pPr>
              <w:ind w:firstLine="0" w:firstLineChars="0"/>
              <w:jc w:val="right"/>
              <w:rPr>
                <w:rFonts w:ascii="Times New Roman" w:hAnsi="Times New Roman" w:cs="Times New Roman"/>
              </w:rPr>
            </w:pPr>
            <w:r>
              <w:rPr>
                <w:rFonts w:ascii="Times New Roman" w:hAnsi="Times New Roman" w:cs="Times New Roman"/>
              </w:rPr>
              <w:t>(4)</w:t>
            </w:r>
          </w:p>
        </w:tc>
      </w:tr>
    </w:tbl>
    <w:p w14:paraId="191EE656">
      <w:pPr>
        <w:ind w:firstLine="480"/>
        <w:rPr>
          <w:rFonts w:ascii="Times New Roman" w:hAnsi="Times New Roman" w:cs="Times New Roman"/>
        </w:rPr>
      </w:pPr>
      <w:r>
        <w:rPr>
          <w:rFonts w:ascii="Times New Roman" w:hAnsi="Times New Roman" w:cs="Times New Roman"/>
        </w:rPr>
        <w:t>This formulation retains only positive changes, representing net structural investment, while excluding declines potentially associated with disturbances or short-term variability. The cumulative structural increment over the study period (2010–2020) was calculated as: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3"/>
        <w:gridCol w:w="659"/>
      </w:tblGrid>
      <w:tr w14:paraId="41E9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14:paraId="51771DAD">
            <w:pPr>
              <w:ind w:firstLine="0" w:firstLineChars="0"/>
              <w:jc w:val="center"/>
              <w:rPr>
                <w:rFonts w:ascii="Times New Roman" w:hAnsi="Times New Roman" w:cs="Times New Roman"/>
              </w:rPr>
            </w:pPr>
            <w:r>
              <w:rPr>
                <w:rFonts w:ascii="Times New Roman" w:hAnsi="Times New Roman" w:cs="Times New Roman"/>
                <w:position w:val="-30"/>
              </w:rPr>
              <w:object>
                <v:shape id="_x0000_i1030" o:spt="75" type="#_x0000_t75" style="height:28.6pt;width:75.2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p>
        </w:tc>
        <w:tc>
          <w:tcPr>
            <w:tcW w:w="668" w:type="dxa"/>
          </w:tcPr>
          <w:p w14:paraId="61BA44AC">
            <w:pPr>
              <w:ind w:firstLine="0" w:firstLineChars="0"/>
              <w:jc w:val="right"/>
              <w:rPr>
                <w:rFonts w:ascii="Times New Roman" w:hAnsi="Times New Roman" w:cs="Times New Roman"/>
              </w:rPr>
            </w:pPr>
            <w:r>
              <w:rPr>
                <w:rFonts w:ascii="Times New Roman" w:hAnsi="Times New Roman" w:cs="Times New Roman"/>
              </w:rPr>
              <w:t>(5)</w:t>
            </w:r>
          </w:p>
        </w:tc>
      </w:tr>
    </w:tbl>
    <w:p w14:paraId="2FD34023">
      <w:pPr>
        <w:ind w:firstLine="480"/>
        <w:rPr>
          <w:rFonts w:ascii="Times New Roman" w:hAnsi="Times New Roman" w:cs="Times New Roman"/>
        </w:rPr>
      </w:pPr>
      <w:r>
        <w:rPr>
          <w:rFonts w:ascii="Times New Roman" w:hAnsi="Times New Roman" w:cs="Times New Roman"/>
        </w:rPr>
        <w:t>This procedure was conducted independently for X-VOD and L-VOD.</w:t>
      </w:r>
    </w:p>
    <w:p w14:paraId="56503C3B">
      <w:pPr>
        <w:pStyle w:val="3"/>
        <w:rPr>
          <w:rFonts w:ascii="Times New Roman" w:hAnsi="Times New Roman" w:cs="Times New Roman"/>
        </w:rPr>
      </w:pPr>
      <w:r>
        <w:rPr>
          <w:rFonts w:ascii="Times New Roman" w:hAnsi="Times New Roman" w:cs="Times New Roman"/>
        </w:rPr>
        <w:t>1.5 Carbon allocation estimation</w:t>
      </w:r>
    </w:p>
    <w:p w14:paraId="5F238224">
      <w:pPr>
        <w:ind w:firstLine="480"/>
        <w:rPr>
          <w:rFonts w:ascii="Times New Roman" w:hAnsi="Times New Roman" w:cs="Times New Roman"/>
        </w:rPr>
      </w:pPr>
      <w:r>
        <w:rPr>
          <w:rFonts w:ascii="Times New Roman" w:hAnsi="Times New Roman" w:cs="Times New Roman"/>
        </w:rPr>
        <w:t>Leaf carbon allocation was defined as the relative contribution of X-VOD structural increments: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3"/>
        <w:gridCol w:w="659"/>
      </w:tblGrid>
      <w:tr w14:paraId="4ACFB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14:paraId="70448FB1">
            <w:pPr>
              <w:ind w:firstLine="0" w:firstLineChars="0"/>
              <w:jc w:val="center"/>
              <w:rPr>
                <w:rFonts w:ascii="Times New Roman" w:hAnsi="Times New Roman" w:cs="Times New Roman"/>
              </w:rPr>
            </w:pPr>
            <w:r>
              <w:rPr>
                <w:rFonts w:ascii="Times New Roman" w:hAnsi="Times New Roman" w:cs="Times New Roman"/>
                <w:position w:val="-30"/>
              </w:rPr>
              <w:object>
                <v:shape id="_x0000_i1031" o:spt="75" type="#_x0000_t75" style="height:34.4pt;width:88.4pt;" o:ole="t" filled="f" o:preferrelative="t" stroked="f" coordsize="21600,21600">
                  <v:path/>
                  <v:fill on="f" focussize="0,0"/>
                  <v:stroke on="f" joinstyle="miter"/>
                  <v:imagedata r:id="rId25" o:title=""/>
                  <o:lock v:ext="edit" aspectratio="t"/>
                  <w10:wrap type="none"/>
                  <w10:anchorlock/>
                </v:shape>
                <o:OLEObject Type="Embed" ProgID="Equation.DSMT4" ShapeID="_x0000_i1031" DrawAspect="Content" ObjectID="_1468075731" r:id="rId24">
                  <o:LockedField>false</o:LockedField>
                </o:OLEObject>
              </w:object>
            </w:r>
          </w:p>
        </w:tc>
        <w:tc>
          <w:tcPr>
            <w:tcW w:w="668" w:type="dxa"/>
          </w:tcPr>
          <w:p w14:paraId="114979BB">
            <w:pPr>
              <w:ind w:firstLine="0" w:firstLineChars="0"/>
              <w:jc w:val="right"/>
              <w:rPr>
                <w:rFonts w:ascii="Times New Roman" w:hAnsi="Times New Roman" w:cs="Times New Roman"/>
              </w:rPr>
            </w:pPr>
            <w:r>
              <w:rPr>
                <w:rFonts w:ascii="Times New Roman" w:hAnsi="Times New Roman" w:cs="Times New Roman"/>
              </w:rPr>
              <w:t>(6)</w:t>
            </w:r>
          </w:p>
        </w:tc>
      </w:tr>
      <w:tr w14:paraId="704E8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14:paraId="1E512D93">
            <w:pPr>
              <w:ind w:firstLine="0" w:firstLineChars="0"/>
              <w:jc w:val="center"/>
              <w:rPr>
                <w:rFonts w:ascii="Times New Roman" w:hAnsi="Times New Roman" w:cs="Times New Roman"/>
              </w:rPr>
            </w:pPr>
            <w:r>
              <w:rPr>
                <w:rFonts w:ascii="Times New Roman" w:hAnsi="Times New Roman" w:cs="Times New Roman"/>
                <w:position w:val="-14"/>
              </w:rPr>
              <w:object>
                <v:shape id="_x0000_i1032" o:spt="75" type="#_x0000_t75" style="height:19.6pt;width:74.1pt;" o:ole="t" filled="f" o:preferrelative="t" stroked="f" coordsize="21600,21600">
                  <v:path/>
                  <v:fill on="f" focussize="0,0"/>
                  <v:stroke on="f" joinstyle="miter"/>
                  <v:imagedata r:id="rId27" o:title=""/>
                  <o:lock v:ext="edit" aspectratio="t"/>
                  <w10:wrap type="none"/>
                  <w10:anchorlock/>
                </v:shape>
                <o:OLEObject Type="Embed" ProgID="Equation.DSMT4" ShapeID="_x0000_i1032" DrawAspect="Content" ObjectID="_1468075732" r:id="rId26">
                  <o:LockedField>false</o:LockedField>
                </o:OLEObject>
              </w:object>
            </w:r>
          </w:p>
        </w:tc>
        <w:tc>
          <w:tcPr>
            <w:tcW w:w="668" w:type="dxa"/>
          </w:tcPr>
          <w:p w14:paraId="2B4E2783">
            <w:pPr>
              <w:ind w:firstLine="0" w:firstLineChars="0"/>
              <w:jc w:val="right"/>
              <w:rPr>
                <w:rFonts w:ascii="Times New Roman" w:hAnsi="Times New Roman" w:cs="Times New Roman"/>
              </w:rPr>
            </w:pPr>
            <w:r>
              <w:rPr>
                <w:rFonts w:ascii="Times New Roman" w:hAnsi="Times New Roman" w:cs="Times New Roman"/>
              </w:rPr>
              <w:t>(7)</w:t>
            </w:r>
          </w:p>
        </w:tc>
      </w:tr>
    </w:tbl>
    <w:p w14:paraId="10BEA4E4">
      <w:pPr>
        <w:ind w:firstLine="0" w:firstLineChars="0"/>
        <w:rPr>
          <w:rFonts w:ascii="Times New Roman" w:hAnsi="Times New Roman" w:eastAsia="等线" w:cs="Times New Roman"/>
          <w:lang w:bidi="ar"/>
        </w:rPr>
      </w:pPr>
    </w:p>
    <w:p w14:paraId="7CC87C31">
      <w:pPr>
        <w:pStyle w:val="2"/>
        <w:rPr>
          <w:rFonts w:hint="eastAsia" w:eastAsia="等线"/>
          <w:lang w:bidi="ar"/>
        </w:rPr>
      </w:pPr>
      <w:r>
        <w:rPr>
          <w:rFonts w:hint="eastAsia" w:eastAsia="等线"/>
          <w:lang w:bidi="ar"/>
        </w:rPr>
        <w:t>Supplementary Figures</w:t>
      </w:r>
    </w:p>
    <w:p w14:paraId="2E32E304">
      <w:pPr>
        <w:ind w:firstLine="0" w:firstLineChars="0"/>
        <w:rPr>
          <w:rFonts w:ascii="Times New Roman" w:hAnsi="Times New Roman" w:eastAsia="宋体" w:cs="Times New Roman"/>
        </w:rPr>
      </w:pPr>
      <w:r>
        <w:rPr>
          <w:rFonts w:hint="eastAsia" w:ascii="Times New Roman" w:hAnsi="Times New Roman" w:eastAsia="宋体" w:cs="Times New Roman"/>
        </w:rPr>
        <w:drawing>
          <wp:inline distT="0" distB="0" distL="114300" distR="114300">
            <wp:extent cx="4744720" cy="4537075"/>
            <wp:effectExtent l="0" t="0" r="17780" b="15875"/>
            <wp:docPr id="3" name="图片 3" descr="附录图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录图_2"/>
                    <pic:cNvPicPr>
                      <a:picLocks noChangeAspect="1"/>
                    </pic:cNvPicPr>
                  </pic:nvPicPr>
                  <pic:blipFill>
                    <a:blip r:embed="rId28"/>
                    <a:stretch>
                      <a:fillRect/>
                    </a:stretch>
                  </pic:blipFill>
                  <pic:spPr>
                    <a:xfrm>
                      <a:off x="0" y="0"/>
                      <a:ext cx="4744720" cy="4537075"/>
                    </a:xfrm>
                    <a:prstGeom prst="rect">
                      <a:avLst/>
                    </a:prstGeom>
                  </pic:spPr>
                </pic:pic>
              </a:graphicData>
            </a:graphic>
          </wp:inline>
        </w:drawing>
      </w:r>
    </w:p>
    <w:p w14:paraId="235008A5">
      <w:pPr>
        <w:ind w:firstLine="0" w:firstLineChars="0"/>
        <w:rPr>
          <w:rFonts w:ascii="Times New Roman" w:hAnsi="Times New Roman" w:cs="Times New Roman" w:eastAsiaTheme="minorEastAsia"/>
        </w:rPr>
      </w:pPr>
      <w:r>
        <w:rPr>
          <w:rFonts w:hint="eastAsia" w:ascii="Times New Roman" w:hAnsi="Times New Roman" w:cs="Times New Roman" w:eastAsiaTheme="minorEastAsia"/>
        </w:rPr>
        <w:t xml:space="preserve">Figure S1. </w:t>
      </w:r>
      <w:r>
        <w:rPr>
          <w:rFonts w:hint="eastAsia" w:ascii="Times New Roman" w:hAnsi="Times New Roman" w:cs="Times New Roman" w:eastAsiaTheme="minorEastAsia"/>
          <w:b/>
          <w:bCs/>
        </w:rPr>
        <w:t xml:space="preserve">Spatial patterns of leaf and woody biomass trends. </w:t>
      </w:r>
      <w:r>
        <w:rPr>
          <w:rFonts w:hint="eastAsia" w:ascii="Times New Roman" w:hAnsi="Times New Roman" w:cs="Times New Roman" w:eastAsiaTheme="minorEastAsia"/>
        </w:rPr>
        <w:t>Continuous trends in (a) leaf biomass and (b) woody biomass across boreal forests.</w:t>
      </w:r>
    </w:p>
    <w:p w14:paraId="506859EA">
      <w:pPr>
        <w:ind w:firstLine="0" w:firstLineChars="0"/>
        <w:rPr>
          <w:rFonts w:ascii="Times New Roman" w:hAnsi="Times New Roman" w:cs="Times New Roman" w:eastAsiaTheme="minorEastAsia"/>
        </w:rPr>
      </w:pPr>
    </w:p>
    <w:p w14:paraId="4E4E33C8">
      <w:pPr>
        <w:spacing w:line="240" w:lineRule="auto"/>
        <w:ind w:left="480" w:hanging="480" w:hangingChars="200"/>
        <w:rPr>
          <w:rFonts w:ascii="Times New Roman" w:hAnsi="Times New Roman" w:cs="Times New Roman" w:eastAsiaTheme="minorEastAsia"/>
        </w:rPr>
      </w:pPr>
      <w:r>
        <w:rPr>
          <w:rFonts w:hint="eastAsia" w:ascii="Times New Roman" w:hAnsi="Times New Roman" w:cs="Times New Roman" w:eastAsiaTheme="minorEastAsia"/>
        </w:rPr>
        <w:drawing>
          <wp:inline distT="0" distB="0" distL="114300" distR="114300">
            <wp:extent cx="5273040" cy="4406900"/>
            <wp:effectExtent l="0" t="0" r="3810" b="12700"/>
            <wp:docPr id="4" name="图片 4" descr="附录图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录图_3"/>
                    <pic:cNvPicPr>
                      <a:picLocks noChangeAspect="1"/>
                    </pic:cNvPicPr>
                  </pic:nvPicPr>
                  <pic:blipFill>
                    <a:blip r:embed="rId29"/>
                    <a:stretch>
                      <a:fillRect/>
                    </a:stretch>
                  </pic:blipFill>
                  <pic:spPr>
                    <a:xfrm>
                      <a:off x="0" y="0"/>
                      <a:ext cx="5273040" cy="4406900"/>
                    </a:xfrm>
                    <a:prstGeom prst="rect">
                      <a:avLst/>
                    </a:prstGeom>
                  </pic:spPr>
                </pic:pic>
              </a:graphicData>
            </a:graphic>
          </wp:inline>
        </w:drawing>
      </w:r>
    </w:p>
    <w:p w14:paraId="1C064ADC">
      <w:pPr>
        <w:ind w:firstLine="0" w:firstLineChars="0"/>
        <w:rPr>
          <w:rFonts w:ascii="Times New Roman" w:hAnsi="Times New Roman" w:cs="Times New Roman" w:eastAsiaTheme="minorEastAsia"/>
        </w:rPr>
      </w:pPr>
      <w:r>
        <w:rPr>
          <w:rFonts w:hint="eastAsia" w:ascii="Times New Roman" w:hAnsi="Times New Roman" w:cs="Times New Roman" w:eastAsiaTheme="minorEastAsia"/>
          <w:b/>
          <w:bCs/>
        </w:rPr>
        <w:t>Supplementary</w:t>
      </w:r>
      <w:r>
        <w:rPr>
          <w:rFonts w:ascii="Times New Roman" w:hAnsi="Times New Roman" w:cs="Times New Roman" w:eastAsiaTheme="minorEastAsia"/>
        </w:rPr>
        <w:t xml:space="preserve"> Fig. S</w:t>
      </w:r>
      <w:r>
        <w:rPr>
          <w:rFonts w:hint="eastAsia" w:ascii="Times New Roman" w:hAnsi="Times New Roman" w:cs="Times New Roman" w:eastAsiaTheme="minorEastAsia"/>
        </w:rPr>
        <w:t>2</w:t>
      </w:r>
      <w:r>
        <w:rPr>
          <w:rFonts w:ascii="Times New Roman" w:hAnsi="Times New Roman" w:cs="Times New Roman" w:eastAsiaTheme="minorEastAsia"/>
        </w:rPr>
        <w:t>.</w:t>
      </w:r>
      <w:r>
        <w:rPr>
          <w:rFonts w:hint="eastAsia" w:ascii="Times New Roman" w:hAnsi="Times New Roman" w:cs="Times New Roman" w:eastAsiaTheme="minorEastAsia"/>
        </w:rPr>
        <w:t xml:space="preserve"> </w:t>
      </w:r>
      <w:r>
        <w:rPr>
          <w:rFonts w:hint="eastAsia" w:ascii="Times New Roman" w:hAnsi="Times New Roman" w:cs="Times New Roman" w:eastAsiaTheme="minorEastAsia"/>
          <w:b/>
          <w:bCs/>
        </w:rPr>
        <w:t xml:space="preserve">Spatial pattern and validation of leaf allocation. </w:t>
      </w:r>
      <w:r>
        <w:rPr>
          <w:rFonts w:hint="eastAsia" w:ascii="Times New Roman" w:hAnsi="Times New Roman" w:cs="Times New Roman" w:eastAsiaTheme="minorEastAsia"/>
        </w:rPr>
        <w:t>(a) Spatial distribution of estimated leaf allocation. (b) Latitudinal variation in leaf allocation. (c) Frequency distribution of leaf allocation. d, Comparison between estimated and observed leaf allocation.</w:t>
      </w:r>
    </w:p>
    <w:p w14:paraId="38729232">
      <w:pPr>
        <w:ind w:firstLine="0" w:firstLineChars="0"/>
        <w:rPr>
          <w:rFonts w:ascii="Times New Roman" w:hAnsi="Times New Roman" w:cs="Times New Roman" w:eastAsiaTheme="minorEastAsia"/>
        </w:rPr>
      </w:pPr>
    </w:p>
    <w:p w14:paraId="1E5F4B74">
      <w:pPr>
        <w:ind w:firstLine="0" w:firstLineChars="0"/>
        <w:rPr>
          <w:rFonts w:ascii="Times New Roman" w:hAnsi="Times New Roman" w:cs="Times New Roman" w:eastAsiaTheme="minorEastAsia"/>
        </w:rPr>
      </w:pPr>
      <w:r>
        <w:rPr>
          <w:rFonts w:hint="eastAsia" w:ascii="Times New Roman" w:hAnsi="Times New Roman" w:cs="Times New Roman" w:eastAsiaTheme="minorEastAsia"/>
        </w:rPr>
        <w:drawing>
          <wp:inline distT="0" distB="0" distL="114300" distR="114300">
            <wp:extent cx="5269230" cy="3094990"/>
            <wp:effectExtent l="0" t="0" r="7620" b="10160"/>
            <wp:docPr id="5" name="图片 5" descr="Figure1_Allocation_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1_Allocation_Classification"/>
                    <pic:cNvPicPr>
                      <a:picLocks noChangeAspect="1"/>
                    </pic:cNvPicPr>
                  </pic:nvPicPr>
                  <pic:blipFill>
                    <a:blip r:embed="rId30"/>
                    <a:stretch>
                      <a:fillRect/>
                    </a:stretch>
                  </pic:blipFill>
                  <pic:spPr>
                    <a:xfrm>
                      <a:off x="0" y="0"/>
                      <a:ext cx="5269230" cy="3094990"/>
                    </a:xfrm>
                    <a:prstGeom prst="rect">
                      <a:avLst/>
                    </a:prstGeom>
                  </pic:spPr>
                </pic:pic>
              </a:graphicData>
            </a:graphic>
          </wp:inline>
        </w:drawing>
      </w:r>
    </w:p>
    <w:p w14:paraId="1507BB93">
      <w:pPr>
        <w:ind w:firstLine="0" w:firstLineChars="0"/>
        <w:rPr>
          <w:rFonts w:ascii="Times New Roman" w:hAnsi="Times New Roman" w:cs="Times New Roman" w:eastAsiaTheme="minorEastAsia"/>
          <w:b/>
          <w:bCs/>
        </w:rPr>
      </w:pPr>
      <w:r>
        <w:rPr>
          <w:rFonts w:hint="eastAsia" w:ascii="Times New Roman" w:hAnsi="Times New Roman" w:cs="Times New Roman" w:eastAsiaTheme="minorEastAsia"/>
          <w:b/>
          <w:bCs/>
        </w:rPr>
        <w:t>Supplementary</w:t>
      </w:r>
      <w:r>
        <w:rPr>
          <w:rFonts w:ascii="Times New Roman" w:hAnsi="Times New Roman" w:cs="Times New Roman" w:eastAsiaTheme="minorEastAsia"/>
        </w:rPr>
        <w:t xml:space="preserve"> Fig. S</w:t>
      </w:r>
      <w:r>
        <w:rPr>
          <w:rFonts w:hint="eastAsia" w:ascii="Times New Roman" w:hAnsi="Times New Roman" w:cs="Times New Roman" w:eastAsiaTheme="minorEastAsia"/>
        </w:rPr>
        <w:t>3</w:t>
      </w:r>
      <w:r>
        <w:rPr>
          <w:rFonts w:ascii="Times New Roman" w:hAnsi="Times New Roman" w:cs="Times New Roman" w:eastAsiaTheme="minorEastAsia"/>
        </w:rPr>
        <w:t>.</w:t>
      </w:r>
      <w:r>
        <w:rPr>
          <w:rFonts w:hint="eastAsia" w:ascii="Times New Roman" w:hAnsi="Times New Roman" w:cs="Times New Roman" w:eastAsiaTheme="minorEastAsia"/>
        </w:rPr>
        <w:t xml:space="preserve"> </w:t>
      </w:r>
      <w:r>
        <w:rPr>
          <w:rFonts w:hint="eastAsia" w:ascii="Times New Roman" w:hAnsi="Times New Roman" w:cs="Times New Roman" w:eastAsiaTheme="minorEastAsia"/>
          <w:b/>
          <w:bCs/>
        </w:rPr>
        <w:t>Spatial pattern of leaf allocation trends.</w:t>
      </w:r>
    </w:p>
    <w:p w14:paraId="651709D4">
      <w:pPr>
        <w:ind w:firstLine="0" w:firstLineChars="0"/>
        <w:rPr>
          <w:rFonts w:ascii="Times New Roman" w:hAnsi="Times New Roman" w:cs="Times New Roman" w:eastAsiaTheme="minorEastAsia"/>
          <w:b/>
          <w:bCs/>
        </w:rPr>
      </w:pPr>
    </w:p>
    <w:p w14:paraId="631F50F3">
      <w:pPr>
        <w:ind w:firstLine="0" w:firstLineChars="0"/>
        <w:rPr>
          <w:rFonts w:ascii="Times New Roman" w:hAnsi="Times New Roman" w:cs="Times New Roman" w:eastAsiaTheme="minorEastAsia"/>
        </w:rPr>
      </w:pPr>
    </w:p>
    <w:p w14:paraId="5660D8B5">
      <w:pPr>
        <w:ind w:firstLine="0" w:firstLineChars="0"/>
        <w:rPr>
          <w:rFonts w:ascii="Times New Roman" w:hAnsi="Times New Roman" w:eastAsia="等线" w:cs="Times New Roman"/>
        </w:rPr>
      </w:pPr>
      <w:r>
        <w:rPr>
          <w:rFonts w:ascii="Times New Roman" w:hAnsi="Times New Roman" w:eastAsia="等线" w:cs="Times New Roman"/>
          <w:lang w:bidi="ar"/>
        </w:rPr>
        <w:drawing>
          <wp:inline distT="0" distB="0" distL="114300" distR="114300">
            <wp:extent cx="5276850" cy="5543550"/>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1"/>
                    <a:stretch>
                      <a:fillRect/>
                    </a:stretch>
                  </pic:blipFill>
                  <pic:spPr>
                    <a:xfrm>
                      <a:off x="0" y="0"/>
                      <a:ext cx="5276850" cy="5543550"/>
                    </a:xfrm>
                    <a:prstGeom prst="rect">
                      <a:avLst/>
                    </a:prstGeom>
                    <a:noFill/>
                    <a:ln>
                      <a:noFill/>
                    </a:ln>
                  </pic:spPr>
                </pic:pic>
              </a:graphicData>
            </a:graphic>
          </wp:inline>
        </w:drawing>
      </w:r>
    </w:p>
    <w:p w14:paraId="5FEFF399">
      <w:pPr>
        <w:ind w:firstLine="0" w:firstLineChars="0"/>
        <w:rPr>
          <w:rFonts w:ascii="Times New Roman" w:hAnsi="Times New Roman" w:eastAsia="等线" w:cs="Times New Roman"/>
          <w:sz w:val="21"/>
          <w:szCs w:val="21"/>
          <w:lang w:bidi="ar"/>
        </w:rPr>
      </w:pPr>
      <w:r>
        <w:rPr>
          <w:rFonts w:hint="eastAsia" w:ascii="Times New Roman" w:hAnsi="Times New Roman" w:cs="Times New Roman" w:eastAsiaTheme="minorEastAsia"/>
          <w:b/>
          <w:bCs/>
        </w:rPr>
        <w:t>Supplementary</w:t>
      </w:r>
      <w:r>
        <w:rPr>
          <w:rFonts w:ascii="Times New Roman" w:hAnsi="Times New Roman" w:cs="Times New Roman" w:eastAsiaTheme="minorEastAsia"/>
        </w:rPr>
        <w:t xml:space="preserve"> Fig. S</w:t>
      </w:r>
      <w:r>
        <w:rPr>
          <w:rFonts w:hint="eastAsia" w:ascii="Times New Roman" w:hAnsi="Times New Roman" w:cs="Times New Roman" w:eastAsiaTheme="minorEastAsia"/>
        </w:rPr>
        <w:t>4</w:t>
      </w:r>
      <w:r>
        <w:rPr>
          <w:rFonts w:ascii="Times New Roman" w:hAnsi="Times New Roman" w:eastAsia="等线" w:cs="Times New Roman"/>
          <w:sz w:val="21"/>
          <w:szCs w:val="21"/>
          <w:lang w:bidi="ar"/>
        </w:rPr>
        <w:t xml:space="preserve">. </w:t>
      </w:r>
      <w:r>
        <w:rPr>
          <w:rFonts w:ascii="Times New Roman" w:hAnsi="Times New Roman" w:eastAsia="等线" w:cs="Times New Roman"/>
          <w:b/>
          <w:bCs/>
          <w:sz w:val="21"/>
          <w:szCs w:val="21"/>
          <w:lang w:bidi="ar"/>
        </w:rPr>
        <w:t>Ecological regions and tree cover distribution in Northern Eurasia boreal forest.</w:t>
      </w:r>
      <w:r>
        <w:rPr>
          <w:rFonts w:ascii="Times New Roman" w:hAnsi="Times New Roman" w:eastAsia="等线" w:cs="Times New Roman"/>
          <w:sz w:val="21"/>
          <w:szCs w:val="21"/>
          <w:lang w:bidi="ar"/>
        </w:rPr>
        <w:t xml:space="preserve"> (a) Spatial delineation of ecological regions across Northern Eurasia boreal forest. (b) Spatial pattern of tree cover (%) across the study area.</w:t>
      </w:r>
    </w:p>
    <w:p w14:paraId="1611310C">
      <w:pPr>
        <w:ind w:firstLine="0" w:firstLineChars="0"/>
        <w:rPr>
          <w:rFonts w:ascii="Times New Roman" w:hAnsi="Times New Roman" w:eastAsia="等线" w:cs="Times New Roman"/>
          <w:sz w:val="21"/>
          <w:szCs w:val="21"/>
          <w:lang w:bidi="ar"/>
        </w:rPr>
      </w:pPr>
    </w:p>
    <w:p w14:paraId="490CB0C5">
      <w:pPr>
        <w:ind w:firstLine="0" w:firstLineChars="0"/>
        <w:jc w:val="center"/>
        <w:rPr>
          <w:rFonts w:ascii="Times New Roman" w:hAnsi="Times New Roman" w:eastAsia="等线" w:cs="Times New Roman"/>
          <w:sz w:val="21"/>
          <w:szCs w:val="21"/>
        </w:rPr>
      </w:pPr>
      <w:r>
        <w:rPr>
          <w:rFonts w:hint="eastAsia" w:ascii="Times New Roman" w:hAnsi="Times New Roman" w:cs="Times New Roman" w:eastAsiaTheme="minorEastAsia"/>
        </w:rPr>
        <w:drawing>
          <wp:inline distT="0" distB="0" distL="0" distR="0">
            <wp:extent cx="3764915" cy="2832100"/>
            <wp:effectExtent l="0" t="0" r="6985" b="6350"/>
            <wp:docPr id="9020150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15021" name="图片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771166" cy="2836890"/>
                    </a:xfrm>
                    <a:prstGeom prst="rect">
                      <a:avLst/>
                    </a:prstGeom>
                    <a:noFill/>
                    <a:ln>
                      <a:noFill/>
                    </a:ln>
                  </pic:spPr>
                </pic:pic>
              </a:graphicData>
            </a:graphic>
          </wp:inline>
        </w:drawing>
      </w:r>
    </w:p>
    <w:p w14:paraId="64B3A096">
      <w:pPr>
        <w:ind w:firstLine="0" w:firstLineChars="0"/>
        <w:rPr>
          <w:rFonts w:ascii="Times New Roman" w:hAnsi="Times New Roman" w:cs="Times New Roman" w:eastAsiaTheme="minorEastAsia"/>
        </w:rPr>
      </w:pPr>
      <w:r>
        <w:rPr>
          <w:rFonts w:hint="eastAsia" w:ascii="Times New Roman" w:hAnsi="Times New Roman" w:cs="Times New Roman" w:eastAsiaTheme="minorEastAsia"/>
          <w:b/>
          <w:bCs/>
        </w:rPr>
        <w:t>Supplementary S5</w:t>
      </w:r>
      <w:r>
        <w:rPr>
          <w:rFonts w:hint="eastAsia" w:ascii="Times New Roman" w:hAnsi="Times New Roman" w:cs="Times New Roman" w:eastAsiaTheme="minorEastAsia"/>
        </w:rPr>
        <w:t xml:space="preserve">. </w:t>
      </w:r>
      <w:r>
        <w:rPr>
          <w:rFonts w:ascii="Times New Roman" w:hAnsi="Times New Roman" w:cs="Times New Roman" w:eastAsiaTheme="minorEastAsia"/>
        </w:rPr>
        <w:t xml:space="preserve">Mean carbon loss </w:t>
      </w:r>
      <w:r>
        <w:rPr>
          <w:rFonts w:hint="eastAsia" w:ascii="Times New Roman" w:hAnsi="Times New Roman" w:cs="Times New Roman" w:eastAsiaTheme="minorEastAsia"/>
        </w:rPr>
        <w:t xml:space="preserve">induced by background-morality </w:t>
      </w:r>
      <w:r>
        <w:rPr>
          <w:rFonts w:ascii="Times New Roman" w:hAnsi="Times New Roman" w:cs="Times New Roman" w:eastAsiaTheme="minorEastAsia"/>
        </w:rPr>
        <w:t>under 1-year, 2-year consecutive, and 3-year consecutive drought events across lower and higher wetting regions.</w:t>
      </w:r>
    </w:p>
    <w:p w14:paraId="5777F2E7"/>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lnNumType w:countBy="1" w:restart="continuous"/>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1856781"/>
    </w:sdtPr>
    <w:sdtContent>
      <w:p w14:paraId="433F0C1D">
        <w:pPr>
          <w:pStyle w:val="4"/>
          <w:ind w:firstLine="360"/>
          <w:jc w:val="center"/>
        </w:pPr>
        <w:r>
          <w:fldChar w:fldCharType="begin"/>
        </w:r>
        <w:r>
          <w:instrText xml:space="preserve">PAGE   \* MERGEFORMAT</w:instrText>
        </w:r>
        <w:r>
          <w:fldChar w:fldCharType="separate"/>
        </w:r>
        <w:r>
          <w:rPr>
            <w:lang w:val="zh-CN"/>
          </w:rPr>
          <w:t>2</w:t>
        </w:r>
        <w:r>
          <w:fldChar w:fldCharType="end"/>
        </w:r>
      </w:p>
    </w:sdtContent>
  </w:sdt>
  <w:p w14:paraId="64C087C7">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265C7">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7229B">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BEC2C">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3A270">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CCFDF">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293403"/>
    <w:multiLevelType w:val="multilevel"/>
    <w:tmpl w:val="77293403"/>
    <w:lvl w:ilvl="0" w:tentative="0">
      <w:start w:val="1"/>
      <w:numFmt w:val="none"/>
      <w:pStyle w:val="2"/>
      <w:lvlText w:val=""/>
      <w:lvlJc w:val="left"/>
      <w:pPr>
        <w:ind w:left="425" w:hanging="425"/>
      </w:pPr>
      <w:rPr>
        <w:rFonts w:hint="eastAsia"/>
      </w:rPr>
    </w:lvl>
    <w:lvl w:ilvl="1" w:tentative="0">
      <w:start w:val="1"/>
      <w:numFmt w:val="decimal"/>
      <w:pStyle w:val="3"/>
      <w:lvlText w:val="%1"/>
      <w:lvlJc w:val="left"/>
      <w:pPr>
        <w:ind w:left="992" w:hanging="567"/>
      </w:pPr>
      <w:rPr>
        <w:rFonts w:hint="eastAsia"/>
      </w:rPr>
    </w:lvl>
    <w:lvl w:ilvl="2" w:tentative="0">
      <w:start w:val="1"/>
      <w:numFmt w:val="decimal"/>
      <w:lvlText w:val="%1"/>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D72D08"/>
    <w:rsid w:val="41B33765"/>
    <w:rsid w:val="54410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Times New Roman" w:asciiTheme="minorHAnsi" w:hAnsiTheme="minorHAnsi" w:cstheme="minorBidi"/>
      <w:kern w:val="2"/>
      <w:sz w:val="24"/>
      <w:szCs w:val="24"/>
      <w:lang w:val="en-US" w:eastAsia="zh-CN" w:bidi="ar-SA"/>
      <w14:ligatures w14:val="standardContextual"/>
    </w:rPr>
  </w:style>
  <w:style w:type="paragraph" w:styleId="2">
    <w:name w:val="heading 1"/>
    <w:basedOn w:val="1"/>
    <w:next w:val="1"/>
    <w:qFormat/>
    <w:uiPriority w:val="9"/>
    <w:pPr>
      <w:keepNext/>
      <w:keepLines/>
      <w:numPr>
        <w:ilvl w:val="0"/>
        <w:numId w:val="1"/>
      </w:numPr>
      <w:spacing w:before="120" w:after="120"/>
      <w:ind w:left="0" w:firstLine="0" w:firstLineChars="0"/>
      <w:outlineLvl w:val="0"/>
    </w:pPr>
    <w:rPr>
      <w:rFonts w:asciiTheme="majorHAnsi" w:hAnsiTheme="majorHAnsi" w:cstheme="majorBidi"/>
      <w:b/>
      <w:color w:val="000000" w:themeColor="text1"/>
      <w:sz w:val="28"/>
      <w:szCs w:val="48"/>
      <w14:textFill>
        <w14:solidFill>
          <w14:schemeClr w14:val="tx1"/>
        </w14:solidFill>
      </w14:textFill>
    </w:rPr>
  </w:style>
  <w:style w:type="paragraph" w:styleId="3">
    <w:name w:val="heading 2"/>
    <w:basedOn w:val="1"/>
    <w:next w:val="1"/>
    <w:unhideWhenUsed/>
    <w:qFormat/>
    <w:uiPriority w:val="9"/>
    <w:pPr>
      <w:keepNext/>
      <w:keepLines/>
      <w:numPr>
        <w:ilvl w:val="1"/>
        <w:numId w:val="1"/>
      </w:numPr>
      <w:spacing w:before="160" w:after="80"/>
      <w:ind w:left="0" w:firstLine="0" w:firstLineChars="0"/>
      <w:outlineLvl w:val="1"/>
    </w:pPr>
    <w:rPr>
      <w:rFonts w:asciiTheme="majorHAnsi" w:hAnsiTheme="majorHAnsi" w:cstheme="majorBidi"/>
      <w:b/>
      <w:color w:val="000000" w:themeColor="text1"/>
      <w:szCs w:val="40"/>
      <w14:textFill>
        <w14:solidFill>
          <w14:schemeClr w14:val="tx1"/>
        </w14:solidFill>
      </w14:textFill>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unhideWhenUsed/>
    <w:qFormat/>
    <w:uiPriority w:val="99"/>
    <w:pPr>
      <w:tabs>
        <w:tab w:val="center" w:pos="4153"/>
        <w:tab w:val="right" w:pos="8306"/>
      </w:tabs>
      <w:snapToGrid w:val="0"/>
      <w:spacing w:line="240" w:lineRule="auto"/>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13.png"/><Relationship Id="rId31" Type="http://schemas.openxmlformats.org/officeDocument/2006/relationships/image" Target="media/image12.jpe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jpeg"/><Relationship Id="rId27" Type="http://schemas.openxmlformats.org/officeDocument/2006/relationships/image" Target="media/image8.wmf"/><Relationship Id="rId26" Type="http://schemas.openxmlformats.org/officeDocument/2006/relationships/oleObject" Target="embeddings/oleObject8.bin"/><Relationship Id="rId25" Type="http://schemas.openxmlformats.org/officeDocument/2006/relationships/image" Target="media/image7.wmf"/><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2026-06-03T07:02:49Z</dcterms:created>
  <dc:creator>HP</dc:creator>
  <cp:lastModifiedBy>Yujie</cp:lastModifiedBy>
  <dcterms:modified xsi:type="dcterms:W3CDTF">2026-06-03T07:03:44Z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eyJoZGlkIjoiNGNjNzg4MDExMWFkOGMzMGIyNzgxZTkxNzhmMzBkZmQiLCJ1c2VySWQiOiIxMzc2MDEyNjI2In0=</vt:lpwstr>
  </property>
  <property fmtid="{D5CDD505-2E9C-101B-9397-08002B2CF9AE}" pid="4" name="ICV">
    <vt:lpwstr>659F327F2AD64EED85DFE2E192F0BA75_12</vt:lpwstr>
  </property>
</Properties>
</file>