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2E0" w:rsidRPr="006C7A10" w:rsidRDefault="00E7657F" w:rsidP="00B522E0">
      <w:pPr>
        <w:keepNext/>
        <w:spacing w:before="240" w:after="240"/>
        <w:ind w:firstLine="0"/>
        <w:jc w:val="center"/>
        <w:outlineLvl w:val="1"/>
        <w:rPr>
          <w:rFonts w:asciiTheme="minorHAnsi" w:hAnsiTheme="minorHAnsi" w:cstheme="minorHAnsi"/>
          <w:b/>
          <w:bCs/>
          <w:sz w:val="32"/>
          <w:szCs w:val="32"/>
          <w:lang w:eastAsia="de-DE"/>
        </w:rPr>
      </w:pPr>
      <w:bookmarkStart w:id="0" w:name="_Hlk183619914"/>
      <w:r w:rsidRPr="006C7A10">
        <w:rPr>
          <w:rFonts w:asciiTheme="minorHAnsi" w:hAnsiTheme="minorHAnsi" w:cstheme="minorHAnsi"/>
          <w:b/>
          <w:bCs/>
          <w:sz w:val="32"/>
          <w:szCs w:val="32"/>
          <w:lang w:val="en-GB" w:eastAsia="de-DE"/>
        </w:rPr>
        <w:t xml:space="preserve">Supplementary </w:t>
      </w:r>
      <w:r w:rsidRPr="006C7A10">
        <w:rPr>
          <w:rFonts w:asciiTheme="minorHAnsi" w:hAnsiTheme="minorHAnsi" w:cstheme="minorHAnsi"/>
          <w:b/>
          <w:bCs/>
          <w:sz w:val="32"/>
          <w:szCs w:val="32"/>
          <w:lang w:eastAsia="de-DE"/>
        </w:rPr>
        <w:t>materials</w:t>
      </w:r>
      <w:r w:rsidR="00B522E0" w:rsidRPr="006C7A10">
        <w:rPr>
          <w:rFonts w:asciiTheme="minorHAnsi" w:hAnsiTheme="minorHAnsi" w:cstheme="minorHAnsi"/>
          <w:b/>
          <w:bCs/>
          <w:sz w:val="32"/>
          <w:szCs w:val="32"/>
          <w:lang w:eastAsia="de-DE"/>
        </w:rPr>
        <w:t xml:space="preserve"> </w:t>
      </w:r>
    </w:p>
    <w:p w:rsidR="00B522E0" w:rsidRPr="006C7A10" w:rsidRDefault="00B522E0" w:rsidP="00B522E0">
      <w:pPr>
        <w:pStyle w:val="Heading1"/>
        <w:numPr>
          <w:ilvl w:val="0"/>
          <w:numId w:val="2"/>
        </w:numPr>
        <w:tabs>
          <w:tab w:val="num" w:pos="360"/>
        </w:tabs>
        <w:spacing w:before="240" w:after="240"/>
        <w:ind w:left="0" w:firstLine="0"/>
        <w:jc w:val="both"/>
        <w:rPr>
          <w:rFonts w:asciiTheme="minorHAnsi" w:hAnsiTheme="minorHAnsi" w:cstheme="minorHAnsi"/>
          <w:b/>
          <w:bCs/>
          <w:color w:val="auto"/>
          <w:sz w:val="24"/>
          <w:szCs w:val="24"/>
          <w:lang w:eastAsia="de-DE"/>
        </w:rPr>
      </w:pPr>
      <w:bookmarkStart w:id="1" w:name="_Hlk203063818"/>
      <w:r w:rsidRPr="006C7A10">
        <w:rPr>
          <w:rFonts w:asciiTheme="minorHAnsi" w:hAnsiTheme="minorHAnsi" w:cstheme="minorHAnsi"/>
          <w:b/>
          <w:bCs/>
          <w:color w:val="auto"/>
          <w:sz w:val="24"/>
          <w:szCs w:val="24"/>
          <w:lang w:eastAsia="de-DE"/>
        </w:rPr>
        <w:t xml:space="preserve">Supplementary methods </w:t>
      </w:r>
    </w:p>
    <w:bookmarkEnd w:id="1"/>
    <w:p w:rsidR="00B522E0" w:rsidRPr="006C7A10" w:rsidRDefault="00B522E0" w:rsidP="00B522E0">
      <w:pPr>
        <w:pStyle w:val="Heading1"/>
        <w:numPr>
          <w:ilvl w:val="1"/>
          <w:numId w:val="1"/>
        </w:numPr>
        <w:tabs>
          <w:tab w:val="num" w:pos="360"/>
        </w:tabs>
        <w:spacing w:before="240" w:after="240"/>
        <w:ind w:left="426" w:hanging="426"/>
        <w:jc w:val="both"/>
        <w:rPr>
          <w:rFonts w:asciiTheme="minorHAnsi" w:hAnsiTheme="minorHAnsi" w:cstheme="minorHAnsi"/>
          <w:i/>
          <w:iCs/>
          <w:color w:val="auto"/>
          <w:sz w:val="24"/>
          <w:szCs w:val="24"/>
          <w:lang w:eastAsia="de-DE"/>
        </w:rPr>
      </w:pPr>
      <w:r w:rsidRPr="006C7A10">
        <w:rPr>
          <w:rFonts w:asciiTheme="minorHAnsi" w:hAnsiTheme="minorHAnsi" w:cstheme="minorHAnsi"/>
          <w:i/>
          <w:iCs/>
          <w:color w:val="auto"/>
          <w:sz w:val="24"/>
          <w:szCs w:val="24"/>
          <w:lang w:eastAsia="de-DE"/>
        </w:rPr>
        <w:t xml:space="preserve">Description of the conceptual model, mathematical model and estimations </w:t>
      </w:r>
    </w:p>
    <w:p w:rsidR="00B522E0" w:rsidRPr="006C7A10" w:rsidRDefault="00B522E0" w:rsidP="00B522E0">
      <w:pPr>
        <w:spacing w:before="240" w:after="240"/>
        <w:ind w:firstLine="0"/>
        <w:rPr>
          <w:rFonts w:asciiTheme="minorHAnsi" w:hAnsiTheme="minorHAnsi" w:cstheme="minorHAnsi"/>
          <w:b/>
          <w:bCs/>
          <w:i/>
          <w:iCs/>
        </w:rPr>
      </w:pPr>
      <w:r w:rsidRPr="006C7A10">
        <w:rPr>
          <w:rFonts w:asciiTheme="minorHAnsi" w:hAnsiTheme="minorHAnsi" w:cstheme="minorHAnsi"/>
          <w:b/>
          <w:bCs/>
          <w:i/>
          <w:iCs/>
        </w:rPr>
        <w:t xml:space="preserve">Risks </w:t>
      </w:r>
    </w:p>
    <w:p w:rsidR="00B522E0" w:rsidRPr="006C7A10" w:rsidRDefault="00B522E0" w:rsidP="00B522E0">
      <w:pPr>
        <w:spacing w:before="240" w:after="240"/>
        <w:ind w:firstLine="0"/>
        <w:jc w:val="both"/>
        <w:rPr>
          <w:rFonts w:asciiTheme="minorHAnsi" w:eastAsiaTheme="minorHAnsi" w:hAnsiTheme="minorHAnsi" w:cstheme="minorHAnsi"/>
          <w:kern w:val="2"/>
        </w:rPr>
      </w:pPr>
      <w:r w:rsidRPr="006C7A10">
        <w:rPr>
          <w:rFonts w:asciiTheme="minorHAnsi" w:eastAsiaTheme="minorEastAsia" w:hAnsiTheme="minorHAnsi" w:cstheme="minorHAnsi"/>
          <w:kern w:val="2"/>
        </w:rPr>
        <w:t xml:space="preserve">The experts identified two main risks affecting the decisions’ outcome, namely droughts and global financial crises. The former was noted to influence wildlife population and forest growth similar to </w:t>
      </w:r>
      <w:r w:rsidRPr="006C7A10">
        <w:rPr>
          <w:rFonts w:asciiTheme="minorHAnsi" w:eastAsiaTheme="minorEastAsia" w:hAnsiTheme="minorHAnsi" w:cstheme="minorHAnsi"/>
          <w:kern w:val="2"/>
        </w:rPr>
        <w:fldChar w:fldCharType="begin"/>
      </w:r>
      <w:r w:rsidRPr="006C7A10">
        <w:rPr>
          <w:rFonts w:asciiTheme="minorHAnsi" w:eastAsiaTheme="minorEastAsia" w:hAnsiTheme="minorHAnsi" w:cstheme="minorHAnsi"/>
          <w:kern w:val="2"/>
        </w:rPr>
        <w:instrText xml:space="preserve"> ADDIN ZOTERO_ITEM CSL_CITATION {"citationID":"CUoRKzjY","properties":{"formattedCitation":"(Guldemond et al., 2022)","plainCitation":"(Guldemond et al., 2022)","dontUpdate":true,"noteIndex":0},"citationItems":[{"id":8915,"uris":["http://zotero.org/users/7267932/items/267WKKCS"],"itemData":{"id":8915,"type":"article-journal","abstract":"Disturbances that change population structure may evoke transient dynamics that can be assessed within a demographic resilience framework. Conservation management interventions are conceptually disturbances that can be evaluated through such a framework to inform management actions and goals. The Main Camp in Addo Elephant National Park in South Africa presents a case study. Here management reduced the size of the elephant (Loxodonta africana) population by 26%. We compared population growth, modelled trends, constructed life tables and parameterized population projection matrices from data collected before, during and after the interventions. The interventions reduced population size and density, but co-occurring droughts may have reduced subsequent population growth and stage-specific survival. Transient dynamics followed the interventions and droughts and were associated with an unstable stage structure. The effect of adult survival on modelled asymptotic growth (its elasticity) was greater than a change in fertility. However, lowered juvenile survival contributed most to changes in transient growth. Management plans for elephant populations should consider the length of transients induced by interventions and environmental disturbances such as droughts. Our approach can benefit the assessment of population responses of elephants to disturbances such as poaching and persistent droughts elsewhere in Africa.","container-title":"Conservation Science and Practice","DOI":"10.1111/csp2.12741","language":"en","note":"_eprint: https://onlinelibrary.wiley.com/doi/pdf/10.1111/csp2.12741","page":"e12741","source":"Wiley Online Library","title":"Demographic responses of an insular elephant population to removal as a management intervention","volume":"4","author":[{"family":"Guldemond","given":"Robert A. R."},{"family":"Louw","given":"Cornelius J."},{"family":"Maré","given":"Celesté"},{"family":"Nørgaard","given":"Camilla"},{"family":"Aarde","given":"Rudi J.","non-dropping-particle":"van"}],"issued":{"date-parts":[["2022"]]}}}],"schema":"https://github.com/citation-style-language/schema/raw/master/csl-citation.json"} </w:instrText>
      </w:r>
      <w:r w:rsidRPr="006C7A10">
        <w:rPr>
          <w:rFonts w:asciiTheme="minorHAnsi" w:eastAsiaTheme="minorEastAsia" w:hAnsiTheme="minorHAnsi" w:cstheme="minorHAnsi"/>
          <w:kern w:val="2"/>
        </w:rPr>
        <w:fldChar w:fldCharType="separate"/>
      </w:r>
      <w:r w:rsidRPr="006C7A10">
        <w:rPr>
          <w:rFonts w:asciiTheme="minorHAnsi" w:eastAsiaTheme="minorEastAsia" w:hAnsiTheme="minorHAnsi" w:cstheme="minorHAnsi"/>
          <w:kern w:val="2"/>
        </w:rPr>
        <w:t>Guldemond et al. (2022</w:t>
      </w:r>
      <w:r w:rsidRPr="006C7A10">
        <w:rPr>
          <w:rFonts w:asciiTheme="minorHAnsi" w:eastAsiaTheme="minorEastAsia" w:hAnsiTheme="minorHAnsi" w:cstheme="minorHAnsi"/>
          <w:kern w:val="2"/>
        </w:rPr>
        <w:fldChar w:fldCharType="end"/>
      </w:r>
      <w:r w:rsidRPr="006C7A10">
        <w:rPr>
          <w:rFonts w:asciiTheme="minorHAnsi" w:eastAsiaTheme="minorEastAsia" w:hAnsiTheme="minorHAnsi" w:cstheme="minorHAnsi"/>
          <w:kern w:val="2"/>
        </w:rPr>
        <w:t xml:space="preserve">) and </w:t>
      </w:r>
      <w:r w:rsidRPr="006C7A10">
        <w:rPr>
          <w:rFonts w:asciiTheme="minorHAnsi" w:eastAsiaTheme="minorEastAsia" w:hAnsiTheme="minorHAnsi" w:cstheme="minorHAnsi"/>
          <w:kern w:val="2"/>
        </w:rPr>
        <w:fldChar w:fldCharType="begin"/>
      </w:r>
      <w:r w:rsidRPr="006C7A10">
        <w:rPr>
          <w:rFonts w:asciiTheme="minorHAnsi" w:eastAsiaTheme="minorEastAsia" w:hAnsiTheme="minorHAnsi" w:cstheme="minorHAnsi"/>
          <w:kern w:val="2"/>
        </w:rPr>
        <w:instrText xml:space="preserve"> ADDIN ZOTERO_ITEM CSL_CITATION {"citationID":"T3gksjOd","properties":{"formattedCitation":"(Wato et al., 2016)","plainCitation":"(Wato et al., 2016)","dontUpdate":true,"noteIndex":0},"citationItems":[{"id":9126,"uris":["http://zotero.org/users/7267932/items/LRRU54G8"],"itemData":{"id":9126,"type":"article-journal","abstract":"Elephant inhabiting arid and semi-arid savannas often experience periods of drought, which, if prolonged, may cause mortality. During dry periods, elephant aggregate around water sources and deplete local forage availability. However, the relationships between adult elephant mortality and both high local elephant density and forage availability close to water during dry periods remain unexplored. We hypothesized that elephant mortality is higher: a) when dry periods are longer, b) closer to water points, and c) in areas with higher local elephant density. Using nine years of elephant carcass data from Tsavo Conservation Area in Kenya, we analysed the probability of adult elephant mortality using maximum entropy modelling (MaxEnt). We found that elephant carcasses were aggregated and elephant mortality was negatively correlated with four months cumulative precipitation prior to death (which contributed 41% to the model), Normalised Difference Vegetation Index (NDVI) (19%) and distance to water (6%), while local elephant density (19%) showed a positive correlation. Three seasons (long dry, short dry and short wet seasons) showed high probability of elephant mortality, whereas low probability was found during long wet seasons. Our results strongly suggest that elephants starve to death in prolonged drought. Artificial water holes may lead to lower mortality, but also to larger populations with subsequent high browsing pressure on the vegetation. Our results suggest that elephant populations in arid and semi-arid savannas appear to be regulated by drought-induced mortalities, which may be the best way of controlling elephant numbers without having to cull.","container-title":"Biological Conservation","DOI":"10.1016/j.biocon.2016.09.007","ISSN":"0006-3207","journalAbbreviation":"Biological Conservation","page":"89-96","source":"ScienceDirect","title":"Prolonged drought results in starvation of African elephant (&lt;i&gt;Loxodonta africana&lt;/i&gt;)","volume":"203","author":[{"family":"Wato","given":"Yussuf A."},{"family":"Heitkönig","given":"Ignas M. A."},{"family":"Wieren","given":"Sipke E.","non-dropping-particle":"van"},{"family":"Wahungu","given":"Geoffrey"},{"family":"Prins","given":"Herbert H. T."},{"family":"Langevelde","given":"Frank","non-dropping-particle":"van"}],"issued":{"date-parts":[["2016",11,1]]}}}],"schema":"https://github.com/citation-style-language/schema/raw/master/csl-citation.json"} </w:instrText>
      </w:r>
      <w:r w:rsidRPr="006C7A10">
        <w:rPr>
          <w:rFonts w:asciiTheme="minorHAnsi" w:eastAsiaTheme="minorEastAsia" w:hAnsiTheme="minorHAnsi" w:cstheme="minorHAnsi"/>
          <w:kern w:val="2"/>
        </w:rPr>
        <w:fldChar w:fldCharType="separate"/>
      </w:r>
      <w:r w:rsidRPr="006C7A10">
        <w:rPr>
          <w:rFonts w:asciiTheme="minorHAnsi" w:eastAsiaTheme="minorEastAsia" w:hAnsiTheme="minorHAnsi" w:cstheme="minorHAnsi"/>
          <w:kern w:val="2"/>
        </w:rPr>
        <w:t>Wato et al. (2016)</w:t>
      </w:r>
      <w:r w:rsidRPr="006C7A10">
        <w:rPr>
          <w:rFonts w:asciiTheme="minorHAnsi" w:eastAsiaTheme="minorEastAsia" w:hAnsiTheme="minorHAnsi" w:cstheme="minorHAnsi"/>
          <w:kern w:val="2"/>
        </w:rPr>
        <w:fldChar w:fldCharType="end"/>
      </w:r>
      <w:r w:rsidRPr="006C7A10">
        <w:rPr>
          <w:rFonts w:asciiTheme="minorHAnsi" w:eastAsiaTheme="minorEastAsia" w:hAnsiTheme="minorHAnsi" w:cstheme="minorHAnsi"/>
          <w:kern w:val="2"/>
        </w:rPr>
        <w:t xml:space="preserve">. A global market crisis could impact tourism development and butterfly farming because both practices depend on foreign markets </w:t>
      </w:r>
      <w:r w:rsidRPr="006C7A10">
        <w:rPr>
          <w:rFonts w:asciiTheme="minorHAnsi" w:eastAsiaTheme="minorEastAsia" w:hAnsiTheme="minorHAnsi" w:cstheme="minorHAnsi"/>
          <w:kern w:val="2"/>
        </w:rPr>
        <w:fldChar w:fldCharType="begin"/>
      </w:r>
      <w:r w:rsidRPr="006C7A10">
        <w:rPr>
          <w:rFonts w:asciiTheme="minorHAnsi" w:eastAsiaTheme="minorEastAsia" w:hAnsiTheme="minorHAnsi" w:cstheme="minorHAnsi"/>
          <w:kern w:val="2"/>
        </w:rPr>
        <w:instrText xml:space="preserve"> ADDIN ZOTERO_ITEM CSL_CITATION {"citationID":"j7uHUBZH","properties":{"formattedCitation":"(Anderson &amp; Saidi, 2011)","plainCitation":"(Anderson &amp; Saidi, 2011)","noteIndex":0},"citationItems":[{"id":8981,"uris":["http://zotero.org/users/7267932/items/KJXDYQBI"],"itemData":{"id":8981,"type":"article-journal","abstract":"This study measures the impact of internationalization on poverty alleviation in the developing economies. The focus is on the Amani Butterfly Project in Tanzania. Particularly, the study estimates the income generated from the export of butterflies, and measures its impact on alleviating poverty in the community. Also, it identifies challenges encountered during the production and exportation of butterfly products. The study employs primary data with a sample set of 90 butterfly fanners. The findings reveal that over 250 rural households within the study area derive their livelihoods from the forest through butterfly exportation. Moreover, improvements in food security, primary health care and education have also been recorded. However, despite the positive developments, butterfly farming in Tanzania has a number of challenges before developing its full potential. Some are related to pupae production, such as access to production of pupae varieties that are in demand by butterfly buyers, while others are associated with market access, the identification of new markets, product transportation and low prices found in the current markets. The paper concludes by drawing attention to the managerial and political implications, and future research directions.","container-title":"Journal of Poverty Alleviation &amp; International Development","issue":"2","language":"en","source":"196.44.168.103:4000","title":"Internationalization and Poverty Alleviation: Practical Evidence from Amani Butterfly Project in Tanzania","title-short":"Internationalization and Poverty Alleviation","URL":"http://hdl.handle.net/123456789/1546","volume":"2","author":[{"family":"Anderson","given":"Wineaster"},{"family":"Saidi","given":"Sheghembe A."}],"accessed":{"date-parts":[["2024",4,3]]},"issued":{"date-parts":[["2011"]]}}}],"schema":"https://github.com/citation-style-language/schema/raw/master/csl-citation.json"} </w:instrText>
      </w:r>
      <w:r w:rsidRPr="006C7A10">
        <w:rPr>
          <w:rFonts w:asciiTheme="minorHAnsi" w:eastAsiaTheme="minorEastAsia" w:hAnsiTheme="minorHAnsi" w:cstheme="minorHAnsi"/>
          <w:kern w:val="2"/>
        </w:rPr>
        <w:fldChar w:fldCharType="separate"/>
      </w:r>
      <w:r w:rsidRPr="006C7A10">
        <w:rPr>
          <w:rFonts w:asciiTheme="minorHAnsi" w:eastAsiaTheme="minorEastAsia" w:hAnsiTheme="minorHAnsi" w:cstheme="minorHAnsi"/>
          <w:kern w:val="2"/>
        </w:rPr>
        <w:t>(Anderson &amp; Saidi, 2011)</w:t>
      </w:r>
      <w:r w:rsidRPr="006C7A10">
        <w:rPr>
          <w:rFonts w:asciiTheme="minorHAnsi" w:eastAsiaTheme="minorEastAsia" w:hAnsiTheme="minorHAnsi" w:cstheme="minorHAnsi"/>
          <w:kern w:val="2"/>
        </w:rPr>
        <w:fldChar w:fldCharType="end"/>
      </w:r>
      <w:r w:rsidRPr="006C7A10">
        <w:rPr>
          <w:rFonts w:asciiTheme="minorHAnsi" w:eastAsiaTheme="minorEastAsia" w:hAnsiTheme="minorHAnsi" w:cstheme="minorHAnsi"/>
          <w:kern w:val="2"/>
        </w:rPr>
        <w:t>. Experts estimated the probability of occurrence for these two risks and the potential losses they could cause to the decision outcomes. The probability of a global market crisis was estimated by considering its potential determinants such as pandemics, financial recessions, and social conflicts. This was supplemented from relevant literature, such as</w:t>
      </w:r>
      <w:r w:rsidRPr="006C7A10">
        <w:rPr>
          <w:rFonts w:asciiTheme="minorHAnsi" w:eastAsiaTheme="minorEastAsia" w:hAnsiTheme="minorHAnsi" w:cstheme="minorHAnsi"/>
          <w:kern w:val="2"/>
        </w:rPr>
        <w:fldChar w:fldCharType="begin"/>
      </w:r>
      <w:r w:rsidRPr="006C7A10">
        <w:rPr>
          <w:rFonts w:asciiTheme="minorHAnsi" w:eastAsiaTheme="minorEastAsia" w:hAnsiTheme="minorHAnsi" w:cstheme="minorHAnsi"/>
          <w:kern w:val="2"/>
        </w:rPr>
        <w:instrText xml:space="preserve"> ADDIN ZOTERO_ITEM CSL_CITATION {"citationID":"q0vJRWBZ","properties":{"formattedCitation":"(Greenwood et al., 2022)","plainCitation":"(Greenwood et al., 2022)","dontUpdate":true,"noteIndex":0},"citationItems":[{"id":9116,"uris":["http://zotero.org/users/7267932/items/KEZKCXPQ"],"itemData":{"id":9116,"type":"article-journal","abstract":"Using historical data on postwar financial crises around the world, we show that the combination of rapid credit and asset price growth over the prior three years, whether in the nonfinancial business or the household sector, is associated with a 40% probability of entering a financial crisis within the next three years. This compares with a roughly 7% probability in normal times, when neither credit nor asset price growth is elevated. Our evidence challenges the view that financial crises are unpredictable “bolts from the sky” and supports the Kindleberger-Minsky view that crises are the byproduct of predictable, boom-bust credit cycles. This predictability favors policies that lean against incipient credit-market booms.","container-title":"The Journal of Finance","DOI":"10.1111/jofi.13105","ISSN":"1540-6261","issue":"2","language":"en","license":"© 2022 the American Finance Association","note":"_eprint: https://onlinelibrary.wiley.com/doi/pdf/10.1111/jofi.13105","page":"863-921","source":"Wiley Online Library","title":"Predictable Financial Crises","volume":"77","author":[{"family":"Greenwood","given":"Robin"},{"family":"Hanson","given":"Samuel G."},{"family":"Shleifer","given":"Andrei"},{"family":"Sørensen","given":"Jakob Ahm"}],"issued":{"date-parts":[["2022"]]}}}],"schema":"https://github.com/citation-style-language/schema/raw/master/csl-citation.json"} </w:instrText>
      </w:r>
      <w:r w:rsidRPr="006C7A10">
        <w:rPr>
          <w:rFonts w:asciiTheme="minorHAnsi" w:eastAsiaTheme="minorEastAsia" w:hAnsiTheme="minorHAnsi" w:cstheme="minorHAnsi"/>
          <w:kern w:val="2"/>
        </w:rPr>
        <w:fldChar w:fldCharType="separate"/>
      </w:r>
      <w:r w:rsidRPr="006C7A10">
        <w:rPr>
          <w:rFonts w:asciiTheme="minorHAnsi" w:eastAsiaTheme="minorEastAsia" w:hAnsiTheme="minorHAnsi" w:cstheme="minorHAnsi"/>
          <w:kern w:val="2"/>
        </w:rPr>
        <w:t xml:space="preserve"> Greenwood et al. (2022</w:t>
      </w:r>
      <w:r w:rsidRPr="006C7A10">
        <w:rPr>
          <w:rFonts w:asciiTheme="minorHAnsi" w:eastAsiaTheme="minorEastAsia" w:hAnsiTheme="minorHAnsi" w:cstheme="minorHAnsi"/>
          <w:kern w:val="2"/>
        </w:rPr>
        <w:fldChar w:fldCharType="end"/>
      </w:r>
      <w:r w:rsidRPr="006C7A10">
        <w:rPr>
          <w:rFonts w:asciiTheme="minorHAnsi" w:eastAsiaTheme="minorEastAsia" w:hAnsiTheme="minorHAnsi" w:cstheme="minorHAnsi"/>
          <w:kern w:val="2"/>
        </w:rPr>
        <w:t xml:space="preserve">) and </w:t>
      </w:r>
      <w:r w:rsidRPr="006C7A10">
        <w:rPr>
          <w:rFonts w:asciiTheme="minorHAnsi" w:eastAsiaTheme="minorEastAsia" w:hAnsiTheme="minorHAnsi" w:cstheme="minorHAnsi"/>
          <w:kern w:val="2"/>
        </w:rPr>
        <w:fldChar w:fldCharType="begin"/>
      </w:r>
      <w:r w:rsidRPr="006C7A10">
        <w:rPr>
          <w:rFonts w:asciiTheme="minorHAnsi" w:eastAsiaTheme="minorEastAsia" w:hAnsiTheme="minorHAnsi" w:cstheme="minorHAnsi"/>
          <w:kern w:val="2"/>
        </w:rPr>
        <w:instrText xml:space="preserve"> ADDIN ZOTERO_ITEM CSL_CITATION {"citationID":"0m2MaMpQ","properties":{"formattedCitation":"(Varghese, 2023)","plainCitation":"(Varghese, 2023)","dontUpdate":true,"noteIndex":0},"citationItems":[{"id":8942,"uris":["http://zotero.org/users/7267932/items/Z5R6RRVW"],"itemData":{"id":8942,"type":"webpage","abstract":"We explore the early warning properties of a composite indicator which summarizes signals from a range of asset price growth and asset price volatility indicators to capture mispricing of risk in asset markets. Using a quarterly panel of 108 advanced and emerging economies over 1995-2017, we show that the combination of rapid asset price growth and low asset price volatility is a good predictor of future financial crises. Elevated levels of our indicator significantly increase the probability of entering a crisis within the next three years relative to normal times when the indicator is not elevated. The indicator outperforms credit-based early warning metrics, a result robust to prediction horizons, methodological choices, and income groups. Our results are consistent with the idea that measures based on asset prices can offer critical information about systemic risk levels to policymakers.","container-title":"IMF","language":"ENG","title":"Predicting Financial Crises: The Role of Asset Prices","title-short":"Predicting Financial Crises","URL":"https://www.imf.org/en/Publications/WP/Issues/2023/08/03/Predicting-Financial-Crises-The-Role-of-Asset-Prices-536491","author":[{"family":"Varghese","given":"Tristan Hennig","suffix":"Plamen K. Iossifov,Richard"}],"accessed":{"date-parts":[["2024",3,28]]},"issued":{"date-parts":[["2023"]]}}}],"schema":"https://github.com/citation-style-language/schema/raw/master/csl-citation.json"} </w:instrText>
      </w:r>
      <w:r w:rsidRPr="006C7A10">
        <w:rPr>
          <w:rFonts w:asciiTheme="minorHAnsi" w:eastAsiaTheme="minorEastAsia" w:hAnsiTheme="minorHAnsi" w:cstheme="minorHAnsi"/>
          <w:kern w:val="2"/>
        </w:rPr>
        <w:fldChar w:fldCharType="separate"/>
      </w:r>
      <w:r w:rsidRPr="006C7A10">
        <w:rPr>
          <w:rFonts w:asciiTheme="minorHAnsi" w:eastAsiaTheme="minorEastAsia" w:hAnsiTheme="minorHAnsi" w:cstheme="minorHAnsi"/>
          <w:kern w:val="2"/>
        </w:rPr>
        <w:t>Varghese (2023)</w:t>
      </w:r>
      <w:r w:rsidRPr="006C7A10">
        <w:rPr>
          <w:rFonts w:asciiTheme="minorHAnsi" w:eastAsiaTheme="minorEastAsia" w:hAnsiTheme="minorHAnsi" w:cstheme="minorHAnsi"/>
          <w:kern w:val="2"/>
        </w:rPr>
        <w:fldChar w:fldCharType="end"/>
      </w:r>
      <w:r w:rsidRPr="006C7A10">
        <w:rPr>
          <w:rFonts w:asciiTheme="minorHAnsi" w:eastAsiaTheme="minorEastAsia" w:hAnsiTheme="minorHAnsi" w:cstheme="minorHAnsi"/>
          <w:kern w:val="2"/>
        </w:rPr>
        <w:t xml:space="preserve">. As in </w:t>
      </w:r>
      <w:r w:rsidRPr="006C7A10">
        <w:rPr>
          <w:rFonts w:asciiTheme="minorHAnsi" w:eastAsiaTheme="minorEastAsia" w:hAnsiTheme="minorHAnsi" w:cstheme="minorHAnsi"/>
          <w:kern w:val="2"/>
        </w:rPr>
        <w:fldChar w:fldCharType="begin"/>
      </w:r>
      <w:r w:rsidRPr="006C7A10">
        <w:rPr>
          <w:rFonts w:asciiTheme="minorHAnsi" w:eastAsiaTheme="minorEastAsia" w:hAnsiTheme="minorHAnsi" w:cstheme="minorHAnsi"/>
          <w:kern w:val="2"/>
        </w:rPr>
        <w:instrText xml:space="preserve"> ADDIN ZOTERO_ITEM CSL_CITATION {"citationID":"SRVkUbX8","properties":{"formattedCitation":"(Tamba et al., 2021)","plainCitation":"(Tamba et al., 2021)","dontUpdate":true,"noteIndex":0},"citationItems":[{"id":684,"uris":["http://zotero.org/users/7267932/items/BZR76LV4"],"itemData":{"id":684,"type":"article-journal","abstract":"Forest and Landscape Restoration (FLR) is carried out with the objective of regaining ecological functions and enhancing human well-being through intervention in degrading ecosystems. However, uncertainties and risks related to FLR make it difficult to predict long-term outcomes and inform investment plans. We applied a Stochastic Impact Evaluation framework (SIE) to simulate returns on investment in the case of FLR interventions in a degraded dry Afromontane forest while accounting for uncertainties. We ran 10,000 iterations of a Monte Carlo simulation that projected FLR outcomes over a period of 25 years. Our simulations show that investments in assisted natural regeneration, enrichment planting, exclosure establishment and soil-water conservation structures all have a greater than 77% chance of positive returns. Sensitivity analysis of these outcomes indicated that the greatest threat to positive cashflows is the time required to achieve the targeted ecological outcomes. Value of Information (VOI) analysis indicated that the biggest priority for further measurement in this case is the maturity age of exclosures at which maximum biomass accumulation is achieved. The SIE framework was effective in providing forecasts of the distribution of outcomes and highlighting critical uncertainties where further measurements can help support decision-making. This approach can be useful for informing the management and planning of similar FLR interventions.","container-title":"Forest Policy and Economics","DOI":"10.1016/j.forpol.2021.102403","ISSN":"1389-9341","journalAbbreviation":"Forest Policy and Economics","language":"en","page":"102403","source":"ScienceDirect","title":"Stochastic simulation of restoration outcomes for a dry afromontane forest landscape in northern Ethiopia","volume":"125","author":[{"family":"Tamba","given":"Yvonne"},{"family":"Wafula","given":"Joshua"},{"family":"Whitney","given":"Cory"},{"family":"Luedeling","given":"Eike"},{"family":"Yigzaw","given":"Negusse"},{"family":"Negussie","given":"Aklilu"},{"family":"Muchiri","given":"Caroline"},{"family":"Gebru","given":"Yemane"},{"family":"Shepherd","given":"Keith"},{"family":"Aynekulu","given":"Ermias"}],"issued":{"date-parts":[["2021",4,1]]}}}],"schema":"https://github.com/citation-style-language/schema/raw/master/csl-citation.json"} </w:instrText>
      </w:r>
      <w:r w:rsidRPr="006C7A10">
        <w:rPr>
          <w:rFonts w:asciiTheme="minorHAnsi" w:eastAsiaTheme="minorEastAsia" w:hAnsiTheme="minorHAnsi" w:cstheme="minorHAnsi"/>
          <w:kern w:val="2"/>
        </w:rPr>
        <w:fldChar w:fldCharType="separate"/>
      </w:r>
      <w:r w:rsidRPr="006C7A10">
        <w:rPr>
          <w:rFonts w:asciiTheme="minorHAnsi" w:eastAsiaTheme="minorEastAsia" w:hAnsiTheme="minorHAnsi" w:cstheme="minorHAnsi"/>
          <w:kern w:val="2"/>
        </w:rPr>
        <w:t>Tamba et al. (2021)</w:t>
      </w:r>
      <w:r w:rsidRPr="006C7A10">
        <w:rPr>
          <w:rFonts w:asciiTheme="minorHAnsi" w:eastAsiaTheme="minorEastAsia" w:hAnsiTheme="minorHAnsi" w:cstheme="minorHAnsi"/>
          <w:kern w:val="2"/>
        </w:rPr>
        <w:fldChar w:fldCharType="end"/>
      </w:r>
      <w:r w:rsidRPr="006C7A10">
        <w:rPr>
          <w:rFonts w:asciiTheme="minorHAnsi" w:eastAsiaTheme="minorEastAsia" w:hAnsiTheme="minorHAnsi" w:cstheme="minorHAnsi"/>
          <w:kern w:val="2"/>
        </w:rPr>
        <w:t>, we estimated the risk scaler (</w:t>
      </w:r>
      <m:oMath>
        <m:sSub>
          <m:sSubPr>
            <m:ctrlPr>
              <w:rPr>
                <w:rFonts w:ascii="Cambria Math" w:eastAsiaTheme="minorEastAsia" w:hAnsi="Cambria Math" w:cstheme="minorHAnsi"/>
                <w:kern w:val="2"/>
              </w:rPr>
            </m:ctrlPr>
          </m:sSubPr>
          <m:e>
            <m:r>
              <w:rPr>
                <w:rFonts w:ascii="Cambria Math" w:eastAsiaTheme="minorEastAsia" w:hAnsi="Cambria Math" w:cstheme="minorHAnsi"/>
                <w:kern w:val="2"/>
              </w:rPr>
              <m:t>Risk</m:t>
            </m:r>
          </m:e>
          <m:sub>
            <m:r>
              <w:rPr>
                <w:rFonts w:ascii="Cambria Math" w:eastAsiaTheme="minorEastAsia" w:hAnsi="Cambria Math" w:cstheme="minorHAnsi"/>
                <w:kern w:val="2"/>
              </w:rPr>
              <m:t>scaler</m:t>
            </m:r>
          </m:sub>
        </m:sSub>
      </m:oMath>
      <w:r w:rsidRPr="006C7A10">
        <w:rPr>
          <w:rFonts w:asciiTheme="minorHAnsi" w:eastAsiaTheme="minorEastAsia" w:hAnsiTheme="minorHAnsi" w:cstheme="minorHAnsi"/>
          <w:kern w:val="2"/>
        </w:rPr>
        <w:t xml:space="preserve">) as a product of the probability of a risk to occur </w:t>
      </w:r>
      <m:oMath>
        <m:r>
          <m:rPr>
            <m:sty m:val="p"/>
          </m:rPr>
          <w:rPr>
            <w:rFonts w:ascii="Cambria Math" w:eastAsiaTheme="minorEastAsia" w:hAnsi="Cambria Math" w:cstheme="minorHAnsi"/>
            <w:kern w:val="2"/>
          </w:rPr>
          <m:t>(</m:t>
        </m:r>
        <m:sSub>
          <m:sSubPr>
            <m:ctrlPr>
              <w:rPr>
                <w:rFonts w:ascii="Cambria Math" w:eastAsiaTheme="minorEastAsia" w:hAnsi="Cambria Math" w:cstheme="minorHAnsi"/>
                <w:kern w:val="2"/>
              </w:rPr>
            </m:ctrlPr>
          </m:sSubPr>
          <m:e>
            <m:r>
              <w:rPr>
                <w:rFonts w:ascii="Cambria Math" w:eastAsiaTheme="minorEastAsia" w:hAnsi="Cambria Math" w:cstheme="minorHAnsi"/>
                <w:kern w:val="2"/>
              </w:rPr>
              <m:t>Probability</m:t>
            </m:r>
          </m:e>
          <m:sub>
            <m:r>
              <w:rPr>
                <w:rFonts w:ascii="Cambria Math" w:eastAsiaTheme="minorEastAsia" w:hAnsi="Cambria Math" w:cstheme="minorHAnsi"/>
                <w:kern w:val="2"/>
              </w:rPr>
              <m:t>risk</m:t>
            </m:r>
            <m:r>
              <m:rPr>
                <m:sty m:val="p"/>
              </m:rPr>
              <w:rPr>
                <w:rFonts w:ascii="Cambria Math" w:eastAsiaTheme="minorEastAsia" w:hAnsi="Cambria Math" w:cstheme="minorHAnsi"/>
                <w:kern w:val="2"/>
              </w:rPr>
              <m:t>_</m:t>
            </m:r>
            <m:r>
              <w:rPr>
                <w:rFonts w:ascii="Cambria Math" w:eastAsiaTheme="minorEastAsia" w:hAnsi="Cambria Math" w:cstheme="minorHAnsi"/>
                <w:kern w:val="2"/>
              </w:rPr>
              <m:t>occur</m:t>
            </m:r>
          </m:sub>
        </m:sSub>
        <m:r>
          <m:rPr>
            <m:sty m:val="p"/>
          </m:rPr>
          <w:rPr>
            <w:rFonts w:ascii="Cambria Math" w:eastAsiaTheme="minorEastAsia" w:hAnsi="Cambria Math" w:cstheme="minorHAnsi"/>
            <w:kern w:val="2"/>
          </w:rPr>
          <m:t xml:space="preserve">) </m:t>
        </m:r>
      </m:oMath>
      <w:r w:rsidRPr="006C7A10">
        <w:rPr>
          <w:rFonts w:asciiTheme="minorHAnsi" w:eastAsiaTheme="minorEastAsia" w:hAnsiTheme="minorHAnsi" w:cstheme="minorHAnsi"/>
          <w:kern w:val="2"/>
        </w:rPr>
        <w:t>and the loss related to the respective risk (</w:t>
      </w:r>
      <m:oMath>
        <m:sSub>
          <m:sSubPr>
            <m:ctrlPr>
              <w:rPr>
                <w:rFonts w:ascii="Cambria Math" w:eastAsiaTheme="minorEastAsia" w:hAnsi="Cambria Math" w:cstheme="minorHAnsi"/>
                <w:kern w:val="2"/>
              </w:rPr>
            </m:ctrlPr>
          </m:sSubPr>
          <m:e>
            <m:r>
              <w:rPr>
                <w:rFonts w:ascii="Cambria Math" w:eastAsiaTheme="minorEastAsia" w:hAnsi="Cambria Math" w:cstheme="minorHAnsi"/>
                <w:kern w:val="2"/>
              </w:rPr>
              <m:t>Impact</m:t>
            </m:r>
          </m:e>
          <m:sub>
            <m:r>
              <w:rPr>
                <w:rFonts w:ascii="Cambria Math" w:eastAsiaTheme="minorEastAsia" w:hAnsi="Cambria Math" w:cstheme="minorHAnsi"/>
                <w:kern w:val="2"/>
              </w:rPr>
              <m:t>risk</m:t>
            </m:r>
          </m:sub>
        </m:sSub>
      </m:oMath>
      <w:r w:rsidRPr="006C7A10">
        <w:rPr>
          <w:rFonts w:asciiTheme="minorHAnsi" w:eastAsiaTheme="minorEastAsia" w:hAnsiTheme="minorHAnsi" w:cstheme="minorHAnsi"/>
          <w:kern w:val="2"/>
        </w:rPr>
        <w:t xml:space="preserve">) using equation </w:t>
      </w:r>
      <w:r w:rsidR="00C441AE" w:rsidRPr="006C7A10">
        <w:rPr>
          <w:rFonts w:asciiTheme="minorHAnsi" w:eastAsiaTheme="minorEastAsia" w:hAnsiTheme="minorHAnsi" w:cstheme="minorHAnsi"/>
          <w:kern w:val="2"/>
        </w:rPr>
        <w:t>A.</w:t>
      </w:r>
      <w:r w:rsidRPr="006C7A10">
        <w:rPr>
          <w:rFonts w:asciiTheme="minorHAnsi" w:eastAsiaTheme="minorEastAsia" w:hAnsiTheme="minorHAnsi" w:cstheme="minorHAnsi"/>
          <w:kern w:val="2"/>
        </w:rPr>
        <w:t>1</w:t>
      </w:r>
      <w:r w:rsidRPr="006C7A10">
        <w:rPr>
          <w:rFonts w:asciiTheme="minorHAnsi" w:eastAsiaTheme="minorHAnsi" w:hAnsiTheme="minorHAnsi" w:cstheme="minorHAnsi"/>
          <w:kern w:val="2"/>
        </w:rPr>
        <w:t>.</w:t>
      </w:r>
    </w:p>
    <w:p w:rsidR="00B522E0" w:rsidRPr="006C7A10" w:rsidRDefault="00361811" w:rsidP="00B522E0">
      <w:pPr>
        <w:pStyle w:val="Textbody"/>
        <w:spacing w:line="360" w:lineRule="auto"/>
        <w:jc w:val="center"/>
        <w:rPr>
          <w:rFonts w:asciiTheme="minorHAnsi" w:hAnsiTheme="minorHAnsi" w:cstheme="minorHAnsi"/>
          <w:lang w:val="en-US"/>
        </w:rPr>
      </w:pPr>
      <m:oMath>
        <m:sSub>
          <m:sSubPr>
            <m:ctrlPr>
              <w:rPr>
                <w:rFonts w:ascii="Cambria Math" w:hAnsi="Cambria Math" w:cstheme="minorHAnsi"/>
                <w:i/>
                <w:lang w:val="en-US"/>
              </w:rPr>
            </m:ctrlPr>
          </m:sSubPr>
          <m:e>
            <m:r>
              <w:rPr>
                <w:rFonts w:ascii="Cambria Math" w:hAnsi="Cambria Math" w:cstheme="minorHAnsi"/>
                <w:lang w:val="en-US"/>
              </w:rPr>
              <m:t>Risk</m:t>
            </m:r>
          </m:e>
          <m:sub>
            <m:r>
              <w:rPr>
                <w:rFonts w:ascii="Cambria Math" w:hAnsi="Cambria Math" w:cstheme="minorHAnsi"/>
                <w:lang w:val="en-US"/>
              </w:rPr>
              <m:t>scaler</m:t>
            </m:r>
          </m:sub>
        </m:sSub>
      </m:oMath>
      <w:r w:rsidR="00B522E0" w:rsidRPr="006C7A10">
        <w:rPr>
          <w:rFonts w:asciiTheme="minorHAnsi" w:hAnsiTheme="minorHAnsi" w:cstheme="minorHAnsi"/>
          <w:lang w:val="en-US"/>
        </w:rPr>
        <w:t xml:space="preserve"> = </w:t>
      </w:r>
      <m:oMath>
        <m:sSub>
          <m:sSubPr>
            <m:ctrlPr>
              <w:rPr>
                <w:rFonts w:ascii="Cambria Math" w:eastAsiaTheme="minorEastAsia" w:hAnsi="Cambria Math" w:cstheme="minorHAnsi"/>
                <w:i/>
                <w:kern w:val="2"/>
                <w:lang w:val="en-US" w:eastAsia="en-US" w:bidi="ar-SA"/>
              </w:rPr>
            </m:ctrlPr>
          </m:sSubPr>
          <m:e>
            <m:r>
              <w:rPr>
                <w:rFonts w:ascii="Cambria Math" w:eastAsiaTheme="minorEastAsia" w:hAnsi="Cambria Math" w:cstheme="minorHAnsi"/>
                <w:kern w:val="2"/>
                <w:lang w:val="en-US" w:eastAsia="en-US" w:bidi="ar-SA"/>
              </w:rPr>
              <m:t>Probability</m:t>
            </m:r>
          </m:e>
          <m:sub>
            <m:r>
              <w:rPr>
                <w:rFonts w:ascii="Cambria Math" w:eastAsiaTheme="minorEastAsia" w:hAnsi="Cambria Math" w:cstheme="minorHAnsi"/>
                <w:kern w:val="2"/>
                <w:lang w:val="en-US" w:eastAsia="en-US" w:bidi="ar-SA"/>
              </w:rPr>
              <m:t>risk_occur</m:t>
            </m:r>
          </m:sub>
        </m:sSub>
      </m:oMath>
      <w:r w:rsidR="00B522E0" w:rsidRPr="006C7A10">
        <w:rPr>
          <w:rFonts w:asciiTheme="minorHAnsi" w:eastAsiaTheme="minorEastAsia" w:hAnsiTheme="minorHAnsi" w:cstheme="minorHAnsi"/>
          <w:i/>
          <w:kern w:val="2"/>
          <w:lang w:val="en-US" w:eastAsia="en-US" w:bidi="ar-SA"/>
        </w:rPr>
        <w:t xml:space="preserve"> </w:t>
      </w:r>
      <w:r w:rsidR="00B522E0" w:rsidRPr="006C7A10">
        <w:rPr>
          <w:rFonts w:asciiTheme="minorHAnsi" w:eastAsiaTheme="minorEastAsia" w:hAnsiTheme="minorHAnsi" w:cstheme="minorHAnsi"/>
          <w:kern w:val="2"/>
          <w:lang w:val="en-US" w:eastAsia="en-US" w:bidi="ar-SA"/>
        </w:rPr>
        <w:t xml:space="preserve">x  </w:t>
      </w:r>
      <m:oMath>
        <m:sSub>
          <m:sSubPr>
            <m:ctrlPr>
              <w:rPr>
                <w:rFonts w:ascii="Cambria Math" w:eastAsiaTheme="minorHAnsi" w:hAnsi="Cambria Math" w:cstheme="minorHAnsi"/>
                <w:i/>
                <w:kern w:val="2"/>
                <w:lang w:val="en-US" w:eastAsia="en-US" w:bidi="ar-SA"/>
              </w:rPr>
            </m:ctrlPr>
          </m:sSubPr>
          <m:e>
            <m:r>
              <w:rPr>
                <w:rFonts w:ascii="Cambria Math" w:eastAsiaTheme="minorHAnsi" w:hAnsi="Cambria Math" w:cstheme="minorHAnsi"/>
                <w:kern w:val="2"/>
                <w:lang w:val="en-US" w:eastAsia="en-US" w:bidi="ar-SA"/>
              </w:rPr>
              <m:t>Impact</m:t>
            </m:r>
          </m:e>
          <m:sub>
            <m:r>
              <w:rPr>
                <w:rFonts w:ascii="Cambria Math" w:eastAsiaTheme="minorHAnsi" w:hAnsi="Cambria Math" w:cstheme="minorHAnsi"/>
                <w:kern w:val="2"/>
                <w:lang w:val="en-US" w:eastAsia="en-US" w:bidi="ar-SA"/>
              </w:rPr>
              <m:t>risk</m:t>
            </m:r>
          </m:sub>
        </m:sSub>
        <m:r>
          <w:rPr>
            <w:rFonts w:ascii="Cambria Math" w:eastAsiaTheme="minorHAnsi" w:hAnsi="Cambria Math" w:cstheme="minorHAnsi"/>
            <w:kern w:val="2"/>
            <w:lang w:val="en-US" w:eastAsia="en-US" w:bidi="ar-SA"/>
          </w:rPr>
          <m:t xml:space="preserve"> </m:t>
        </m:r>
      </m:oMath>
      <w:r w:rsidR="00B522E0" w:rsidRPr="006C7A10">
        <w:rPr>
          <w:rFonts w:asciiTheme="minorHAnsi" w:eastAsiaTheme="minorEastAsia" w:hAnsiTheme="minorHAnsi" w:cstheme="minorHAnsi"/>
          <w:kern w:val="2"/>
          <w:lang w:val="en-US" w:eastAsia="en-US" w:bidi="ar-SA"/>
        </w:rPr>
        <w:t xml:space="preserve">                                                                    (</w:t>
      </w:r>
      <w:r w:rsidR="00C441AE" w:rsidRPr="006C7A10">
        <w:rPr>
          <w:rFonts w:asciiTheme="minorHAnsi" w:eastAsiaTheme="minorEastAsia" w:hAnsiTheme="minorHAnsi" w:cstheme="minorHAnsi"/>
          <w:kern w:val="2"/>
          <w:lang w:val="en-US" w:eastAsia="en-US" w:bidi="ar-SA"/>
        </w:rPr>
        <w:t>A.</w:t>
      </w:r>
      <w:r w:rsidR="00B522E0" w:rsidRPr="006C7A10">
        <w:rPr>
          <w:rFonts w:asciiTheme="minorHAnsi" w:hAnsiTheme="minorHAnsi" w:cstheme="minorHAnsi"/>
          <w:lang w:val="en-US"/>
        </w:rPr>
        <w:t>1)</w:t>
      </w:r>
    </w:p>
    <w:p w:rsidR="00B522E0" w:rsidRPr="006C7A10" w:rsidRDefault="00B522E0" w:rsidP="00B522E0">
      <w:pPr>
        <w:ind w:firstLine="0"/>
        <w:jc w:val="both"/>
        <w:rPr>
          <w:rFonts w:asciiTheme="minorHAnsi" w:hAnsiTheme="minorHAnsi" w:cstheme="minorHAnsi"/>
          <w:b/>
          <w:bCs/>
          <w:i/>
          <w:iCs/>
        </w:rPr>
      </w:pPr>
      <w:r w:rsidRPr="006C7A10">
        <w:rPr>
          <w:rFonts w:asciiTheme="minorHAnsi" w:hAnsiTheme="minorHAnsi" w:cstheme="minorHAnsi"/>
          <w:b/>
          <w:bCs/>
          <w:i/>
          <w:iCs/>
        </w:rPr>
        <w:t xml:space="preserve">Costs </w:t>
      </w:r>
    </w:p>
    <w:p w:rsidR="00B522E0" w:rsidRPr="006C7A10" w:rsidRDefault="00B522E0" w:rsidP="00B522E0">
      <w:pPr>
        <w:pStyle w:val="Textbody"/>
        <w:spacing w:before="240" w:line="360" w:lineRule="auto"/>
        <w:jc w:val="both"/>
        <w:rPr>
          <w:rFonts w:asciiTheme="minorHAnsi" w:eastAsiaTheme="minorEastAsia" w:hAnsiTheme="minorHAnsi" w:cstheme="minorHAnsi"/>
          <w:kern w:val="2"/>
          <w:lang w:val="en-US" w:bidi="ar-SA"/>
        </w:rPr>
      </w:pPr>
      <w:r w:rsidRPr="006C7A10">
        <w:rPr>
          <w:rFonts w:asciiTheme="minorHAnsi" w:eastAsiaTheme="minorEastAsia" w:hAnsiTheme="minorHAnsi" w:cstheme="minorHAnsi"/>
          <w:kern w:val="2"/>
          <w:lang w:val="en-US" w:bidi="ar-SA"/>
        </w:rPr>
        <w:t xml:space="preserve">We quantified costs to farmers and the government using all available information from literature, government documents and published statistics. In cases where data was not available, we used expert knowledge to describe uncertainty distributions about the possible values. </w:t>
      </w:r>
    </w:p>
    <w:p w:rsidR="00B522E0" w:rsidRPr="006C7A10" w:rsidRDefault="00B522E0" w:rsidP="00B522E0">
      <w:pPr>
        <w:pStyle w:val="Textbody"/>
        <w:spacing w:before="240" w:line="360" w:lineRule="auto"/>
        <w:jc w:val="both"/>
        <w:rPr>
          <w:rFonts w:asciiTheme="minorHAnsi" w:eastAsiaTheme="minorEastAsia" w:hAnsiTheme="minorHAnsi" w:cstheme="minorHAnsi"/>
          <w:kern w:val="2"/>
          <w:lang w:val="en-US" w:bidi="ar-SA"/>
        </w:rPr>
      </w:pPr>
      <w:r w:rsidRPr="006C7A10">
        <w:rPr>
          <w:rFonts w:asciiTheme="minorHAnsi" w:eastAsiaTheme="minorEastAsia" w:hAnsiTheme="minorHAnsi" w:cstheme="minorHAnsi"/>
          <w:kern w:val="2"/>
          <w:lang w:val="en-US" w:bidi="ar-SA"/>
        </w:rPr>
        <w:t>Farmers’ costs include conservation costs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Cons</m:t>
            </m:r>
          </m:e>
          <m:sub>
            <m:r>
              <w:rPr>
                <w:rFonts w:ascii="Cambria Math" w:eastAsiaTheme="minorEastAsia" w:hAnsi="Cambria Math" w:cstheme="minorHAnsi"/>
                <w:kern w:val="2"/>
                <w:lang w:val="en-US" w:bidi="ar-SA"/>
              </w:rPr>
              <m:t>costs</m:t>
            </m:r>
            <m:r>
              <m:rPr>
                <m:sty m:val="p"/>
              </m:rPr>
              <w:rPr>
                <w:rFonts w:ascii="Cambria Math" w:eastAsiaTheme="minorEastAsia" w:hAnsi="Cambria Math" w:cstheme="minorHAnsi"/>
                <w:kern w:val="2"/>
                <w:lang w:val="en-US" w:bidi="ar-SA"/>
              </w:rPr>
              <m:t xml:space="preserve"> </m:t>
            </m:r>
          </m:sub>
        </m:sSub>
        <m:r>
          <m:rPr>
            <m:sty m:val="p"/>
          </m:rPr>
          <w:rPr>
            <w:rFonts w:ascii="Cambria Math" w:eastAsiaTheme="minorEastAsia" w:hAnsi="Cambria Math" w:cstheme="minorHAnsi"/>
            <w:kern w:val="2"/>
            <w:lang w:val="en-US" w:bidi="ar-SA"/>
          </w:rPr>
          <m:t>)</m:t>
        </m:r>
      </m:oMath>
      <w:r w:rsidRPr="006C7A10">
        <w:rPr>
          <w:rFonts w:asciiTheme="minorHAnsi" w:eastAsiaTheme="minorEastAsia" w:hAnsiTheme="minorHAnsi" w:cstheme="minorHAnsi"/>
          <w:kern w:val="2"/>
          <w:lang w:val="en-US" w:bidi="ar-SA"/>
        </w:rPr>
        <w:t xml:space="preserve">, which include crop loss from wildlife raiding, wildlife-induced livestock loss, human injuries, and property damages. These costs were estimated from relevant literature </w:t>
      </w:r>
      <w:r w:rsidRPr="006C7A10">
        <w:rPr>
          <w:rFonts w:asciiTheme="minorHAnsi" w:hAnsiTheme="minorHAnsi" w:cstheme="minorHAnsi"/>
          <w:lang w:val="en-US"/>
        </w:rPr>
        <w:fldChar w:fldCharType="begin"/>
      </w:r>
      <w:r w:rsidRPr="006C7A10">
        <w:rPr>
          <w:rFonts w:asciiTheme="minorHAnsi" w:hAnsiTheme="minorHAnsi" w:cstheme="minorHAnsi"/>
          <w:lang w:val="en-US"/>
        </w:rPr>
        <w:instrText xml:space="preserve"> ADDIN ZOTERO_ITEM CSL_CITATION {"citationID":"e1ixTvSQ","properties":{"formattedCitation":"(Kegamba et al., 2024)","plainCitation":"(Kegamba et al., 2024)","dontUpdate":true,"noteIndex":0},"citationItems":[{"id":9420,"uris":["http://zotero.org/users/7267932/items/55M9C2RB"],"itemData":{"id":9420,"type":"article-journal","abstract":"Protected areas have long been recognized globally as an important strategy for conserving biodiversity. However, the establishment of protected areas has often adversely impacted local livelihoods, particularly where people and their livelihoods are exposed to wildlife threats. Understanding the magnitude and the types of human and livelihood losses to wildlife can help to reduce the losses in the future. Here we collected and analysed a large and comprehensive historical data sets on crop damage, livestock depredation, and human attacks over eight years from January 2015 to October 2022 from Serengeti District and Ngorongoro Conservation Area to understand human and livelihood losses to wildlife in the Greater Serengeti Ecosystem (GSE). The data were government records of loss and compensation. Additionally, we performed individual interviews on what communities lose to wildlife in the area. We found that wildlife causes serious annual losses of crops (value estimated at USD 489,000) and livestock (USD 17,600). On average 22 people from villages beside or within the protected areas were injured each year and eight people were killed, usually by elephants. Compensation paid by the government to local communities only covered &lt;20% of their total financial losses, and was also very little for the injury or loss of human life. Given our estimates are only for two administrative areas i.e. Serengeti District and Ngorongoro Conservation Area, the figure will be much higher if we include all districts around the GSE. These findings contribute to the broader conservation science field and the global discourse on human-wildlife conflict and coexistence. Protected area authorities should: a. take greater responsibility for protecting local communities and their assets from wildlife attacks, and b. assist the local communities with implementing deterrence and in establishing problematic animal prevention units in hotspot areas. In particular, we recommend that the Tanzanian Government should review the current compensation regulations to reflect the actual loss.","container-title":"Global Ecology and Conservation","DOI":"10.1016/j.gecco.2024.e02974","ISSN":"2351-9894","journalAbbreviation":"Global Ecology and Conservation","page":"e02974","source":"ScienceDirect","title":"The human and financial costs of conservation for local communities living around the Greater Serengeti Ecosystem, Tanzania","volume":"52","author":[{"family":"Kegamba","given":"Juma J."},{"family":"Sangha","given":"Kamaljit K."},{"family":"Wurm","given":"Penelope A. S."},{"family":"Meitamei","given":"John L."},{"family":"Tiotem","given":"Linus G."},{"family":"Garnett","given":"Stephen T."}],"issued":{"date-parts":[["2024",8,1]]}}}],"schema":"https://github.com/citation-style-language/schema/raw/master/csl-citation.json"} </w:instrText>
      </w:r>
      <w:r w:rsidRPr="006C7A10">
        <w:rPr>
          <w:rFonts w:asciiTheme="minorHAnsi" w:hAnsiTheme="minorHAnsi" w:cstheme="minorHAnsi"/>
          <w:lang w:val="en-US"/>
        </w:rPr>
        <w:fldChar w:fldCharType="separate"/>
      </w:r>
      <w:r w:rsidRPr="006C7A10">
        <w:rPr>
          <w:rFonts w:asciiTheme="minorHAnsi" w:hAnsiTheme="minorHAnsi" w:cstheme="minorHAnsi"/>
          <w:lang w:val="en-US"/>
        </w:rPr>
        <w:t xml:space="preserve">(see </w:t>
      </w:r>
      <w:r w:rsidRPr="006C7A10">
        <w:rPr>
          <w:rFonts w:asciiTheme="minorHAnsi" w:hAnsiTheme="minorHAnsi" w:cstheme="minorHAnsi"/>
          <w:lang w:val="en-US"/>
        </w:rPr>
        <w:fldChar w:fldCharType="end"/>
      </w:r>
      <w:r w:rsidRPr="006C7A10">
        <w:rPr>
          <w:rFonts w:asciiTheme="minorHAnsi" w:hAnsiTheme="minorHAnsi" w:cstheme="minorHAnsi"/>
          <w:lang w:val="en-US"/>
        </w:rPr>
        <w:fldChar w:fldCharType="begin"/>
      </w:r>
      <w:r w:rsidRPr="006C7A10">
        <w:rPr>
          <w:rFonts w:asciiTheme="minorHAnsi" w:hAnsiTheme="minorHAnsi" w:cstheme="minorHAnsi"/>
          <w:lang w:val="en-US"/>
        </w:rPr>
        <w:instrText xml:space="preserve"> ADDIN ZOTERO_ITEM CSL_CITATION {"citationID":"CogfERzU","properties":{"formattedCitation":"(Woodroffe et al., 2005)","plainCitation":"(Woodroffe et al., 2005)","dontUpdate":true,"noteIndex":0},"citationItems":[{"id":9449,"uris":["http://zotero.org/users/7267932/items/KQ26287N"],"itemData":{"id":9449,"type":"book","abstract":"Human-wildlife conflict is a major issue in conservation. As people encroach into natural habitats, and as conservation efforts restore wildlife to areas where they may have been absent for generations, contact between people and wild animals is growing. Some species, even the beautiful and endangered, can have serious impacts on human lives and livelihoods. Tigers kill people, elephants destroy crops and African wild dogs devastate sheep herds left unattended. Historically, people have responded to these threats by killing wildlife wherever possible, and this has led to the endangerment of many species that are difficult neighbours. The urgent need to conserve such species, however, demands coexistence of people and endangered wildlife. This book presents a variety of solutions to human-wildlife conflicts, including novel and traditional farming practices, offsetting the costs of wildlife damage through hunting and tourism, and the development of local and national policies.","ISBN":"978-1-139-44562-7","language":"en","note":"Google-Books-ID: HXMl0C3cHJwC","number-of-pages":"528","publisher":"Cambridge University Press","source":"Google Books","title":"People and Wildlife, Conflict or Co-existence?","author":[{"family":"Woodroffe","given":"Rosie"},{"family":"Thirgood","given":"Simon"},{"family":"Rabinowitz","given":"Alan"}],"issued":{"date-parts":[["2005",8,25]]}}}],"schema":"https://github.com/citation-style-language/schema/raw/master/csl-citation.json"} </w:instrText>
      </w:r>
      <w:r w:rsidRPr="006C7A10">
        <w:rPr>
          <w:rFonts w:asciiTheme="minorHAnsi" w:hAnsiTheme="minorHAnsi" w:cstheme="minorHAnsi"/>
          <w:lang w:val="en-US"/>
        </w:rPr>
        <w:fldChar w:fldCharType="separate"/>
      </w:r>
      <w:r w:rsidRPr="006C7A10">
        <w:rPr>
          <w:rFonts w:asciiTheme="minorHAnsi" w:hAnsiTheme="minorHAnsi" w:cstheme="minorHAnsi"/>
          <w:lang w:val="en-US"/>
        </w:rPr>
        <w:t>Woodroffe et al., 2005</w:t>
      </w:r>
      <w:r w:rsidRPr="006C7A10">
        <w:rPr>
          <w:rFonts w:asciiTheme="minorHAnsi" w:hAnsiTheme="minorHAnsi" w:cstheme="minorHAnsi"/>
          <w:lang w:val="en-US"/>
        </w:rPr>
        <w:fldChar w:fldCharType="end"/>
      </w:r>
      <w:r w:rsidRPr="006C7A10">
        <w:rPr>
          <w:rFonts w:asciiTheme="minorHAnsi" w:hAnsiTheme="minorHAnsi" w:cstheme="minorHAnsi"/>
          <w:lang w:val="en-US"/>
        </w:rPr>
        <w:t xml:space="preserve">; </w:t>
      </w:r>
      <w:r w:rsidRPr="006C7A10">
        <w:rPr>
          <w:rFonts w:asciiTheme="minorHAnsi" w:hAnsiTheme="minorHAnsi" w:cstheme="minorHAnsi"/>
          <w:lang w:val="en-US"/>
        </w:rPr>
        <w:fldChar w:fldCharType="begin"/>
      </w:r>
      <w:r w:rsidRPr="006C7A10">
        <w:rPr>
          <w:rFonts w:asciiTheme="minorHAnsi" w:hAnsiTheme="minorHAnsi" w:cstheme="minorHAnsi"/>
          <w:lang w:val="en-US"/>
        </w:rPr>
        <w:instrText xml:space="preserve"> ADDIN ZOTERO_ITEM CSL_CITATION {"citationID":"f7Pn7hXS","properties":{"formattedCitation":"(Kideghesho, 2008)","plainCitation":"(Kideghesho, 2008)","dontUpdate":true,"noteIndex":0},"citationItems":[{"id":9452,"uris":["http://zotero.org/users/7267932/items/QTG8ETGF"],"itemData":{"id":9452,"type":"article-journal","abstract":"The question on ‘who pays for wildlife conservation and who benefits’ is insufficiently addressed. The contribution of the people sharing the land with wildlife is often overlooked. The opportunity costs they bear for the sake of conservation and the economic losses they incur as a result of property damage are barely regarded as contribution to conservation. In this paper I argue that, local people pay for wildlife conservation through the wildlifeinduced costs. Yet the benefits they receive are very minimal as they barely offset the direct wildlife-induced costs or compete with returns from alternative land uses which are ecologically destructive. The huge benefits of conservation are realised by other stakeholders who do not necessarily bear the costs. This paper commences by giving a brief historical review of wildlife conservation in the country before showing how local people are involuntarily forced to pay for the resource. Further to this, the categories of stakeholders in the sector who reap the benefits from the resource are identified. The paper also analyses the current efforts by wildlife agencies to reduce the costs of living with wildlife. Flaws encountered in these efforts are presented. In conclusion, development of appropriate mechanisms is recommended in order to balance the benefits and costs with a view of justifying the existence of the resource and hence ensuring its sustainability.","container-title":"12th Biennal Conference of the International Association of the Study of the Commons (2008)","language":"en","source":"Zotero","title":"Who Pays for Wildlife Conservation in Tanzania and Who Benefits?","author":[{"family":"Kideghesho","given":"J R"}],"issued":{"date-parts":[["2008"]]}}}],"schema":"https://github.com/citation-style-language/schema/raw/master/csl-citation.json"} </w:instrText>
      </w:r>
      <w:r w:rsidRPr="006C7A10">
        <w:rPr>
          <w:rFonts w:asciiTheme="minorHAnsi" w:hAnsiTheme="minorHAnsi" w:cstheme="minorHAnsi"/>
          <w:lang w:val="en-US"/>
        </w:rPr>
        <w:fldChar w:fldCharType="separate"/>
      </w:r>
      <w:r w:rsidRPr="006C7A10">
        <w:rPr>
          <w:rFonts w:asciiTheme="minorHAnsi" w:hAnsiTheme="minorHAnsi" w:cstheme="minorHAnsi"/>
          <w:lang w:val="en-US"/>
        </w:rPr>
        <w:t xml:space="preserve">Kideghesho, 2008; Mashalla &amp; Ringo, 2015; </w:t>
      </w:r>
      <w:r w:rsidRPr="006C7A10">
        <w:rPr>
          <w:rFonts w:asciiTheme="minorHAnsi" w:hAnsiTheme="minorHAnsi" w:cstheme="minorHAnsi"/>
          <w:lang w:val="en-US"/>
        </w:rPr>
        <w:fldChar w:fldCharType="begin"/>
      </w:r>
      <w:r w:rsidRPr="006C7A10">
        <w:rPr>
          <w:rFonts w:asciiTheme="minorHAnsi" w:hAnsiTheme="minorHAnsi" w:cstheme="minorHAnsi"/>
          <w:lang w:val="en-US"/>
        </w:rPr>
        <w:instrText xml:space="preserve"> ADDIN ZOTERO_ITEM CSL_CITATION {"citationID":"1gd9ui4f","properties":{"formattedCitation":"(Green et al., 2018)","plainCitation":"(Green et al., 2018)","dontUpdate":true,"noteIndex":0},"citationItems":[{"id":9446,"uris":["http://zotero.org/users/7267932/items/L3IYTM49"],"itemData":{"id":9446,"type":"article-journal","abstract":"Cost data are crucial in conservation planning to identify more efficient and equitable land use options. However, many studies focus on just one cost type and neglect others, particularly those borne locally. We develop, for a high priority conservation area, spatial models of two local costs that arise from protected areas: foregone agricultural opportunities and increased wildlife damage. We then map these across the study area and compare them to the direct costs of reserve management, finding that local costs exceed management costs. Whilst benefits of conservation accrue to the global community, significant costs are borne by those living closest. Where livelihoods depend upon opportunities forgone or diminished by conservation intervention, outcomes are limited. Activities can be displaced (leakage); rules can be broken (intervention does not work); or the intervention forces a shift in livelihood profiles (potentially to the detriment of local peoples’ welfare). These raise concerns for both conservation and development outcomes and timely consideration of local costs is vital in conservation planning tools and processes.","container-title":"Global Ecology and Conservation","DOI":"10.1016/j.gecco.2018.e00385","ISSN":"2351-9894","journalAbbreviation":"Global Ecology and Conservation","page":"e00385","source":"ScienceDirect","title":"Local costs of conservation exceed those borne by the global majority","volume":"14","author":[{"family":"Green","given":"Jonathan M. H."},{"family":"Fisher","given":"Brendan"},{"family":"Green","given":"Rhys E."},{"family":"Makero","given":"Joseph"},{"family":"Platts","given":"Philip J."},{"family":"Robert","given":"Neema"},{"family":"Schaafsma","given":"Marije"},{"family":"Turner","given":"R. Kerry"},{"family":"Balmford","given":"Andrew"}],"issued":{"date-parts":[["2018",4,1]]}}},{"id":9422,"uris":["http://zotero.org/users/7267932/items/WKW2Q5IB"],"itemData":{"id":9422,"type":"article-journal","abstract":"Human-wildlife conflict is a major issue for conservationists due to crop-damage and livestock depredation by wild animals, causing local farmer’s economic loss resulting into deepening of poverty. This study assesses wildlife induced damage. A total of 250 households were randomly interviewed by the use of questionnaires in three villages (Kakoye, Minjingu and Olasiti) in the Kwakuchinja wildlife corridor, northern Tanzania. Annually loss of 383 kg of crops per household was reported in the study area, or US $ 154 per household annually. Most destruction was done by elephants. Depredations of livestock were estimated to on average 2.2 (US $ 106) livestock annually. This loss affects farmers economically as well as that they are spending time in guarding livestock from predators. Cattle were mostly attacked by lions and spotted hyenas while goats and sheep were attacked by spotted hyenas and leopards. These losses lead to retaliatory killing of carnivores. Wildlife induced damage to crops and livestock were worsened by people encroaching into the borders of protected areas and destroying wildlife habitats. Households close to the boundary of the Tarangire and Lake Manyara National Park incurred greater losses from crop and livestock depredation. There should be provision of conservation educations to communities bordering protected areas to practice sustainable agriculture and income generating projects that are conservation friendly.","container-title":"Environment and Natural Resources Research","DOI":"10.5539/enrr.v5n3p72","ISSN":"1927-0488","issue":"3","language":"en","license":"Copyright (c) 2015 Kwaslema Hariohay,Eivin Røskaft","note":"number: 3","page":"p72","source":"ccsenet.org","title":"Wildlife Induced Damage to Crops and Livestock Loss and how they Affect Human Attitudes in the Kwakuchinja Wildlife Corridor in Northern Tanzania","volume":"5","author":[{"family":"Hariohay","given":"Kwaslema"},{"family":"Røskaft","given":"Eivin"}],"issued":{"date-parts":[["2015",8,22]]}}}],"schema":"https://github.com/citation-style-language/schema/raw/master/csl-citation.json"} </w:instrText>
      </w:r>
      <w:r w:rsidRPr="006C7A10">
        <w:rPr>
          <w:rFonts w:asciiTheme="minorHAnsi" w:hAnsiTheme="minorHAnsi" w:cstheme="minorHAnsi"/>
          <w:lang w:val="en-US"/>
        </w:rPr>
        <w:fldChar w:fldCharType="separate"/>
      </w:r>
      <w:r w:rsidRPr="006C7A10">
        <w:rPr>
          <w:rFonts w:asciiTheme="minorHAnsi" w:hAnsiTheme="minorHAnsi" w:cstheme="minorHAnsi"/>
          <w:lang w:val="en-US"/>
        </w:rPr>
        <w:t>Green et al., 2018</w:t>
      </w:r>
      <w:r w:rsidRPr="006C7A10">
        <w:rPr>
          <w:rFonts w:asciiTheme="minorHAnsi" w:hAnsiTheme="minorHAnsi" w:cstheme="minorHAnsi"/>
          <w:lang w:val="en-US"/>
        </w:rPr>
        <w:fldChar w:fldCharType="end"/>
      </w:r>
      <w:r w:rsidRPr="006C7A10">
        <w:rPr>
          <w:rFonts w:asciiTheme="minorHAnsi" w:hAnsiTheme="minorHAnsi" w:cstheme="minorHAnsi"/>
          <w:lang w:val="en-US"/>
        </w:rPr>
        <w:t>;</w:t>
      </w:r>
      <w:r w:rsidRPr="006C7A10">
        <w:rPr>
          <w:rFonts w:asciiTheme="minorHAnsi" w:eastAsia="Times New Roman" w:hAnsiTheme="minorHAnsi" w:cstheme="minorHAnsi"/>
          <w:kern w:val="0"/>
          <w:lang w:val="en-US" w:eastAsia="en-US" w:bidi="ar-SA"/>
          <w14:ligatures w14:val="none"/>
        </w:rPr>
        <w:t xml:space="preserve"> </w:t>
      </w:r>
      <w:r w:rsidRPr="006C7A10">
        <w:rPr>
          <w:rFonts w:asciiTheme="minorHAnsi" w:hAnsiTheme="minorHAnsi" w:cstheme="minorHAnsi"/>
          <w:lang w:val="en-US"/>
        </w:rPr>
        <w:t>Kegamba et al., 2024)</w:t>
      </w:r>
      <w:r w:rsidRPr="006C7A10">
        <w:rPr>
          <w:rFonts w:asciiTheme="minorHAnsi" w:hAnsiTheme="minorHAnsi" w:cstheme="minorHAnsi"/>
          <w:lang w:val="en-US"/>
        </w:rPr>
        <w:fldChar w:fldCharType="end"/>
      </w:r>
      <w:r w:rsidRPr="006C7A10">
        <w:rPr>
          <w:rFonts w:asciiTheme="minorHAnsi" w:hAnsiTheme="minorHAnsi" w:cstheme="minorHAnsi"/>
          <w:lang w:val="en-US"/>
        </w:rPr>
        <w:t xml:space="preserve"> and </w:t>
      </w:r>
      <w:r w:rsidRPr="006C7A10">
        <w:rPr>
          <w:rFonts w:asciiTheme="minorHAnsi" w:eastAsiaTheme="minorEastAsia" w:hAnsiTheme="minorHAnsi" w:cstheme="minorHAnsi"/>
          <w:kern w:val="2"/>
          <w:lang w:val="en-US" w:bidi="ar-SA"/>
        </w:rPr>
        <w:t>complemented by experts</w:t>
      </w:r>
      <w:r w:rsidRPr="006C7A10">
        <w:rPr>
          <w:rFonts w:asciiTheme="minorHAnsi" w:hAnsiTheme="minorHAnsi" w:cstheme="minorHAnsi"/>
          <w:lang w:val="en-US"/>
        </w:rPr>
        <w:t>.</w:t>
      </w:r>
      <w:r w:rsidRPr="006C7A10">
        <w:rPr>
          <w:rFonts w:asciiTheme="minorHAnsi" w:eastAsiaTheme="minorEastAsia" w:hAnsiTheme="minorHAnsi" w:cstheme="minorHAnsi"/>
          <w:kern w:val="2"/>
          <w:lang w:val="en-US" w:bidi="ar-SA"/>
        </w:rPr>
        <w:t xml:space="preserve"> We included opportunity costs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Oppt</m:t>
            </m:r>
          </m:e>
          <m:sub>
            <m:r>
              <w:rPr>
                <w:rFonts w:ascii="Cambria Math" w:eastAsiaTheme="minorEastAsia" w:hAnsi="Cambria Math" w:cstheme="minorHAnsi"/>
                <w:kern w:val="2"/>
                <w:lang w:val="en-US" w:bidi="ar-SA"/>
              </w:rPr>
              <m:t>costs</m:t>
            </m:r>
          </m:sub>
        </m:sSub>
        <m:r>
          <m:rPr>
            <m:sty m:val="p"/>
          </m:rPr>
          <w:rPr>
            <w:rFonts w:ascii="Cambria Math" w:eastAsiaTheme="minorEastAsia" w:hAnsi="Cambria Math" w:cstheme="minorHAnsi"/>
            <w:kern w:val="2"/>
            <w:lang w:val="en-US" w:bidi="ar-SA"/>
          </w:rPr>
          <m:t>)</m:t>
        </m:r>
      </m:oMath>
      <w:r w:rsidRPr="006C7A10">
        <w:rPr>
          <w:rFonts w:asciiTheme="minorHAnsi" w:eastAsiaTheme="minorEastAsia" w:hAnsiTheme="minorHAnsi" w:cstheme="minorHAnsi"/>
          <w:kern w:val="2"/>
          <w:lang w:val="en-US" w:bidi="ar-SA"/>
        </w:rPr>
        <w:t xml:space="preserve"> accounting for time spent guarding farms </w:t>
      </w:r>
      <w:r w:rsidRPr="006C7A10">
        <w:rPr>
          <w:rFonts w:asciiTheme="minorHAnsi" w:eastAsiaTheme="minorEastAsia" w:hAnsiTheme="minorHAnsi" w:cstheme="minorHAnsi"/>
          <w:kern w:val="2"/>
          <w:lang w:val="en-US" w:bidi="ar-SA"/>
        </w:rPr>
        <w:lastRenderedPageBreak/>
        <w:t xml:space="preserve">against animal crop raiding from </w:t>
      </w:r>
      <w:r w:rsidRPr="006C7A10">
        <w:rPr>
          <w:rFonts w:asciiTheme="minorHAnsi" w:hAnsiTheme="minorHAnsi" w:cstheme="minorHAnsi"/>
          <w:lang w:val="en-US"/>
        </w:rPr>
        <w:fldChar w:fldCharType="begin"/>
      </w:r>
      <w:r w:rsidRPr="006C7A10">
        <w:rPr>
          <w:rFonts w:asciiTheme="minorHAnsi" w:hAnsiTheme="minorHAnsi" w:cstheme="minorHAnsi"/>
          <w:lang w:val="en-US"/>
        </w:rPr>
        <w:instrText xml:space="preserve"> ADDIN ZOTERO_ITEM CSL_CITATION {"citationID":"JLINp3td","properties":{"formattedCitation":"(Manoa et al., 2021)","plainCitation":"(Manoa et al., 2021)","dontUpdate":true,"noteIndex":0},"citationItems":[{"id":9413,"uris":["http://zotero.org/users/7267932/items/Q2PT3CC4"],"itemData":{"id":9413,"type":"article-journal","abstract":"Traditionally, the cost of Human-wildlife conflict (HWC) has largely focused on visible costs, ignoring the hidden costs (HC). The HC of HWC are losses that are uncompensated, temporarily delayed, or psychosocial in nature. HC, such as opportunity costs (OC) are scantly documented to inform policy changes for addressing HWC. This study demonstrates the importance of considering HC using Amboseli Ecosystem (AE) and Mt. Kenya Ecosystem (MKE) in Kenya. The objectives of this study were to: a). quantify the economic magnitude of the OC of HWC and its impacts on human wellbeing; b) compare the time and monetary OC; c) make recommendations for HWC related policy reform. Data was collected from 408 households using a multi-stage sampling technique. Op­ portunity costs were conceptualised as the mean time and money lost due to wildlife presence and attacks. Analysis indicates that the hours spent guarding livestock (t = 3.820, d.f = 110, p = 0.000) and crops (t = 3.571, d.f = 130, p = 0.00) in AE and MKE at night were significantly different. Conversely, daytime hours spent guarding livestock and crops in AE and MKE were similar (P &gt; 0.05). On average, AE households spent KES 208, 540 (US$ 1913) compared to MKE who incurred KES 131,309.75 (US$1205) guarding livestock and crops. School children in AE lost more time in the morning (1.28 ± 0.053 h; n = 98) and in the evening (1.22 ± 0.044 h; n = 93) than in MKE. Overall, OC were more in AE than MKE, suggesting that HC varies with ecosystems. A review of the wildlife compensation policy and law to include HC can help deter resentments resulting from uncompensated HWC costs.","container-title":"Current Research in Environmental Sustainability","DOI":"10.1016/j.crsust.2021.100103","ISSN":"26660490","journalAbbreviation":"Current Research in Environmental Sustainability","language":"en","page":"100103","source":"DOI.org (Crossref)","title":"Comparative analysis of time and monetary opportunity costs of human-wildlife conflict in Amboseli and Mt. Kenya Ecosystems, Kenya","volume":"3","author":[{"family":"Manoa","given":"D.O."},{"family":"Mwaura","given":"F."},{"family":"Thenya","given":"T."},{"family":"Mukhovi","given":"S."}],"issued":{"date-parts":[["2021"]]}}}],"schema":"https://github.com/citation-style-language/schema/raw/master/csl-citation.json"} </w:instrText>
      </w:r>
      <w:r w:rsidRPr="006C7A10">
        <w:rPr>
          <w:rFonts w:asciiTheme="minorHAnsi" w:hAnsiTheme="minorHAnsi" w:cstheme="minorHAnsi"/>
          <w:lang w:val="en-US"/>
        </w:rPr>
        <w:fldChar w:fldCharType="separate"/>
      </w:r>
      <w:r w:rsidRPr="006C7A10">
        <w:rPr>
          <w:rFonts w:asciiTheme="minorHAnsi" w:hAnsiTheme="minorHAnsi" w:cstheme="minorHAnsi"/>
          <w:lang w:val="en-US"/>
        </w:rPr>
        <w:t>Manoa et al. (2021)</w:t>
      </w:r>
      <w:r w:rsidRPr="006C7A10">
        <w:rPr>
          <w:rFonts w:asciiTheme="minorHAnsi" w:hAnsiTheme="minorHAnsi" w:cstheme="minorHAnsi"/>
          <w:lang w:val="en-US"/>
        </w:rPr>
        <w:fldChar w:fldCharType="end"/>
      </w:r>
      <w:r w:rsidRPr="006C7A10">
        <w:rPr>
          <w:rFonts w:asciiTheme="minorHAnsi" w:hAnsiTheme="minorHAnsi" w:cstheme="minorHAnsi"/>
          <w:lang w:val="en-US"/>
        </w:rPr>
        <w:t xml:space="preserve"> </w:t>
      </w:r>
      <w:r w:rsidRPr="006C7A10">
        <w:rPr>
          <w:rFonts w:asciiTheme="minorHAnsi" w:eastAsiaTheme="minorEastAsia" w:hAnsiTheme="minorHAnsi" w:cstheme="minorHAnsi"/>
          <w:kern w:val="2"/>
          <w:lang w:val="en-US" w:bidi="ar-SA"/>
        </w:rPr>
        <w:t>and foregone crop farm rent based on expert knowledge and from</w:t>
      </w:r>
      <w:r w:rsidRPr="006C7A10">
        <w:rPr>
          <w:rFonts w:asciiTheme="minorHAnsi" w:eastAsiaTheme="minorEastAsia" w:hAnsiTheme="minorHAnsi" w:cstheme="minorHAnsi"/>
          <w:kern w:val="2"/>
          <w:lang w:val="en-US" w:bidi="ar-SA"/>
        </w:rPr>
        <w:fldChar w:fldCharType="begin"/>
      </w:r>
      <w:r w:rsidRPr="006C7A10">
        <w:rPr>
          <w:rFonts w:asciiTheme="minorHAnsi" w:eastAsiaTheme="minorEastAsia" w:hAnsiTheme="minorHAnsi" w:cstheme="minorHAnsi"/>
          <w:kern w:val="2"/>
          <w:lang w:val="en-US" w:bidi="ar-SA"/>
        </w:rPr>
        <w:instrText xml:space="preserve"> ADDIN ZOTERO_ITEM CSL_CITATION {"citationID":"a2334oa8v7","properties":{"formattedCitation":"\\uldash{(Nuru et al., 2014)}","plainCitation":"(Nuru et al., 2014)","dontUpdate":true,"noteIndex":0},"citationItems":[{"id":9486,"uris":["http://zotero.org/users/7267932/items/MTGS52TI"],"itemData":{"id":9486,"type":"article-journal","abstract":"The study was done to assess the opportunity costs of REDD+ to the communities of Mufindi District which is located in the Southern Highlands of Tanzania. The specific objectives were, to identify and assess the economic value of alternative land uses, the aboveground carbon stock of Idewa Forest Reserve (IFR), and the profitability of each land use as compared to REDD+ incentives. Data were collected using questionnaire survey, key informant interview, and forest inventory and data were analyzed using the Excel programme. Results showed that the main land uses were agriculture and tree planting with economic values of \\2958.52 and \\3272.94 per ha per year, respectively. The total aboveground carbon was 39.23 t/ha (143.97/ha). The opportunity costs of REDD+ was varying depending on the price per ton of carbon. The opportunity costs of REDD+ will be profitable if the price per tCO2e will be at least $23. It can therefore be concluded that there is no general unit price per ton of carbon dioxide equivalent (tCO2e), as it depends on REDD+ opportunity cost when compared with alternative land uses within a particular place. Therefore we recommend opportunity costs of REDD+ to communities be used to guide decision making on unit prices of carbon.","container-title":"International Journal of Forestry Research","DOI":"10.1155/2014/697464","ISSN":"1687-9376","issue":"1","language":"en","license":"Copyright © 2014 Faraji Nuru et al.","note":"_eprint: https://onlinelibrary.wiley.com/doi/pdf/10.1155/2014/697464","page":"697464","source":"Wiley Online Library","title":"Opportunity Costs of REDD+ to the Communities of Mufindi District, Iringa, Tanzania","volume":"2014","author":[{"family":"Nuru","given":"Faraji"},{"family":"Abdallah","given":"Jumanne Moshi"},{"family":"Ngaga","given":"Yonika Mathew"}],"issued":{"date-parts":[["2014"]]}}}],"schema":"https://github.com/citation-style-language/schema/raw/master/csl-citation.json"} </w:instrText>
      </w:r>
      <w:r w:rsidRPr="006C7A10">
        <w:rPr>
          <w:rFonts w:asciiTheme="minorHAnsi" w:eastAsiaTheme="minorEastAsia" w:hAnsiTheme="minorHAnsi" w:cstheme="minorHAnsi"/>
          <w:kern w:val="2"/>
          <w:lang w:val="en-US" w:bidi="ar-SA"/>
        </w:rPr>
        <w:fldChar w:fldCharType="separate"/>
      </w:r>
      <w:r w:rsidRPr="006C7A10">
        <w:rPr>
          <w:rFonts w:asciiTheme="minorHAnsi" w:hAnsiTheme="minorHAnsi" w:cstheme="minorHAnsi"/>
          <w:kern w:val="0"/>
          <w:lang w:val="en-US"/>
        </w:rPr>
        <w:t xml:space="preserve"> Nuru et al. (2014)</w:t>
      </w:r>
      <w:r w:rsidRPr="006C7A10">
        <w:rPr>
          <w:rFonts w:asciiTheme="minorHAnsi" w:eastAsiaTheme="minorEastAsia" w:hAnsiTheme="minorHAnsi" w:cstheme="minorHAnsi"/>
          <w:kern w:val="2"/>
          <w:lang w:val="en-US" w:bidi="ar-SA"/>
        </w:rPr>
        <w:fldChar w:fldCharType="end"/>
      </w:r>
      <w:r w:rsidRPr="006C7A10">
        <w:rPr>
          <w:rFonts w:asciiTheme="minorHAnsi" w:eastAsiaTheme="minorEastAsia" w:hAnsiTheme="minorHAnsi" w:cstheme="minorHAnsi"/>
          <w:kern w:val="2"/>
          <w:lang w:val="en-US" w:bidi="ar-SA"/>
        </w:rPr>
        <w:t xml:space="preserve">. These costs can be described as environmental shocks, which may induce the migration of rural farmers </w:t>
      </w:r>
      <w:r w:rsidRPr="006C7A10">
        <w:rPr>
          <w:rFonts w:asciiTheme="minorHAnsi" w:eastAsiaTheme="minorEastAsia" w:hAnsiTheme="minorHAnsi" w:cstheme="minorHAnsi"/>
          <w:kern w:val="2"/>
          <w:lang w:val="en-US" w:bidi="ar-SA"/>
        </w:rPr>
        <w:fldChar w:fldCharType="begin"/>
      </w:r>
      <w:r w:rsidRPr="006C7A10">
        <w:rPr>
          <w:rFonts w:asciiTheme="minorHAnsi" w:eastAsiaTheme="minorEastAsia" w:hAnsiTheme="minorHAnsi" w:cstheme="minorHAnsi"/>
          <w:kern w:val="2"/>
          <w:lang w:val="en-US" w:bidi="ar-SA"/>
        </w:rPr>
        <w:instrText xml:space="preserve"> ADDIN ZOTERO_ITEM CSL_CITATION {"citationID":"a1aoqf87csb","properties":{"formattedCitation":"(Salerno et al., 2024)","plainCitation":"(Salerno et al., 2024)","noteIndex":0},"citationItems":[{"id":9457,"uris":["http://zotero.org/users/7267932/items/VFSBYB8D"],"itemData":{"id":9457,"type":"article-journal","abstract":"Human migration is both a consequence and a cause of environmental change. Related scientific and policy discourse focuses largely on international and urban migration, while rural migration receives far less attention. This is despite rural mobility being a key adaptive strategy for smallholders globally in the face of climate, environmental and social change. The integration of migration studies and land system science may serve to advance understanding of rural migration processes, and in turn advance the science of the fields themselves. Such efforts are relevant in an increasingly mobile world where new models and theory will be needed to meaningfully understand migration dynamics within sustainable socio-environmental systems.","container-title":"Nature Sustainability","DOI":"10.1038/s41893-024-01396-6","ISSN":"2398-9629","journalAbbreviation":"Nat Sustain","language":"en","license":"2024 Springer Nature Limited","note":"publisher: Nature Publishing Group","page":"1-10","source":"www.nature.com","title":"Rural migration under climate and land systems change","author":[{"family":"Salerno","given":"Jonathan"},{"family":"Gaughan","given":"Andrea E."},{"family":"Warrier","given":"Rekha"},{"family":"Boone","given":"Randall"},{"family":"Stevens","given":"Forrest R."},{"family":"Keys","given":"Patrick W."},{"family":"Mangewa","given":"Lazaro Johana"},{"family":"Mombo","given":"Felister Michael"},{"family":"Sherbinin","given":"Alex","non-dropping-particle":"de"},{"family":"Hartter","given":"Joel"},{"family":"Hunter","given":"Lori"}],"issued":{"date-parts":[["2024",8,16]]}}}],"schema":"https://github.com/citation-style-language/schema/raw/master/csl-citation.json"} </w:instrText>
      </w:r>
      <w:r w:rsidRPr="006C7A10">
        <w:rPr>
          <w:rFonts w:asciiTheme="minorHAnsi" w:eastAsiaTheme="minorEastAsia" w:hAnsiTheme="minorHAnsi" w:cstheme="minorHAnsi"/>
          <w:kern w:val="2"/>
          <w:lang w:val="en-US" w:bidi="ar-SA"/>
        </w:rPr>
        <w:fldChar w:fldCharType="separate"/>
      </w:r>
      <w:r w:rsidRPr="006C7A10">
        <w:rPr>
          <w:rFonts w:ascii="Calibri" w:hAnsi="Calibri" w:cs="Calibri"/>
          <w:kern w:val="0"/>
          <w:lang w:val="en-US"/>
        </w:rPr>
        <w:t>(Salerno et al., 2024)</w:t>
      </w:r>
      <w:r w:rsidRPr="006C7A10">
        <w:rPr>
          <w:rFonts w:asciiTheme="minorHAnsi" w:eastAsiaTheme="minorEastAsia" w:hAnsiTheme="minorHAnsi" w:cstheme="minorHAnsi"/>
          <w:kern w:val="2"/>
          <w:lang w:val="en-US" w:bidi="ar-SA"/>
        </w:rPr>
        <w:fldChar w:fldCharType="end"/>
      </w:r>
      <w:r w:rsidRPr="006C7A10">
        <w:rPr>
          <w:rFonts w:asciiTheme="minorHAnsi" w:eastAsiaTheme="minorEastAsia" w:hAnsiTheme="minorHAnsi" w:cstheme="minorHAnsi"/>
          <w:kern w:val="2"/>
          <w:lang w:val="en-US" w:bidi="ar-SA"/>
        </w:rPr>
        <w:t>. We therefore included the likelihood of a farmer migrating due to such shocks and possible migration costs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Migr</m:t>
            </m:r>
          </m:e>
          <m:sub>
            <m:r>
              <w:rPr>
                <w:rFonts w:ascii="Cambria Math" w:eastAsiaTheme="minorEastAsia" w:hAnsi="Cambria Math" w:cstheme="minorHAnsi"/>
                <w:kern w:val="2"/>
                <w:lang w:val="en-US" w:bidi="ar-SA"/>
              </w:rPr>
              <m:t>cost</m:t>
            </m:r>
          </m:sub>
        </m:sSub>
      </m:oMath>
      <w:r w:rsidRPr="006C7A10">
        <w:rPr>
          <w:rFonts w:asciiTheme="minorHAnsi" w:eastAsiaTheme="minorEastAsia" w:hAnsiTheme="minorHAnsi" w:cstheme="minorHAnsi"/>
          <w:kern w:val="2"/>
          <w:lang w:val="en-US" w:bidi="ar-SA"/>
        </w:rPr>
        <w:t>), from experts’ estimates. We also included the transaction costs of coordination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Trans</m:t>
            </m:r>
          </m:e>
          <m:sub>
            <m:r>
              <w:rPr>
                <w:rFonts w:ascii="Cambria Math" w:eastAsiaTheme="minorEastAsia" w:hAnsi="Cambria Math" w:cstheme="minorHAnsi"/>
                <w:kern w:val="2"/>
                <w:lang w:val="en-US" w:bidi="ar-SA"/>
              </w:rPr>
              <m:t>costs</m:t>
            </m:r>
            <m:r>
              <m:rPr>
                <m:sty m:val="p"/>
              </m:rPr>
              <w:rPr>
                <w:rFonts w:ascii="Cambria Math" w:eastAsiaTheme="minorEastAsia" w:hAnsi="Cambria Math" w:cstheme="minorHAnsi"/>
                <w:kern w:val="2"/>
                <w:lang w:val="en-US" w:bidi="ar-SA"/>
              </w:rPr>
              <m:t xml:space="preserve"> _coord</m:t>
            </m:r>
          </m:sub>
        </m:sSub>
        <m:r>
          <m:rPr>
            <m:sty m:val="p"/>
          </m:rPr>
          <w:rPr>
            <w:rFonts w:ascii="Cambria Math" w:eastAsiaTheme="minorEastAsia" w:hAnsi="Cambria Math" w:cstheme="minorHAnsi"/>
            <w:kern w:val="2"/>
            <w:lang w:val="en-US" w:bidi="ar-SA"/>
          </w:rPr>
          <m:t>)</m:t>
        </m:r>
      </m:oMath>
      <w:r w:rsidRPr="006C7A10">
        <w:rPr>
          <w:rFonts w:asciiTheme="minorHAnsi" w:eastAsiaTheme="minorEastAsia" w:hAnsiTheme="minorHAnsi" w:cstheme="minorHAnsi"/>
          <w:kern w:val="2"/>
          <w:lang w:val="en-US" w:bidi="ar-SA"/>
        </w:rPr>
        <w:t>. This involves expe</w:t>
      </w:r>
      <w:proofErr w:type="spellStart"/>
      <w:r w:rsidRPr="006C7A10">
        <w:rPr>
          <w:rFonts w:asciiTheme="minorHAnsi" w:eastAsiaTheme="minorEastAsia" w:hAnsiTheme="minorHAnsi" w:cstheme="minorHAnsi"/>
          <w:kern w:val="2"/>
          <w:lang w:val="en-US" w:bidi="ar-SA"/>
        </w:rPr>
        <w:t>nses</w:t>
      </w:r>
      <w:proofErr w:type="spellEnd"/>
      <w:r w:rsidRPr="006C7A10">
        <w:rPr>
          <w:rFonts w:asciiTheme="minorHAnsi" w:eastAsiaTheme="minorEastAsia" w:hAnsiTheme="minorHAnsi" w:cstheme="minorHAnsi"/>
          <w:kern w:val="2"/>
          <w:lang w:val="en-US" w:bidi="ar-SA"/>
        </w:rPr>
        <w:t xml:space="preserve"> a farmer may incur for bargaining, consultation, and communications in coordination of collective conservation decisions—estimated by experts and complemented by </w:t>
      </w:r>
      <w:r w:rsidRPr="006C7A10">
        <w:rPr>
          <w:rFonts w:asciiTheme="minorHAnsi" w:eastAsiaTheme="minorEastAsia" w:hAnsiTheme="minorHAnsi" w:cstheme="minorHAnsi"/>
          <w:kern w:val="2"/>
          <w:lang w:val="en-US" w:bidi="ar-SA"/>
        </w:rPr>
        <w:fldChar w:fldCharType="begin"/>
      </w:r>
      <w:r w:rsidRPr="006C7A10">
        <w:rPr>
          <w:rFonts w:asciiTheme="minorHAnsi" w:eastAsiaTheme="minorEastAsia" w:hAnsiTheme="minorHAnsi" w:cstheme="minorHAnsi"/>
          <w:kern w:val="2"/>
          <w:lang w:val="en-US" w:bidi="ar-SA"/>
        </w:rPr>
        <w:instrText xml:space="preserve"> ADDIN ZOTERO_ITEM CSL_CITATION {"citationID":"a2mjaniukes","properties":{"formattedCitation":"\\uldash{(Banerjee et al., 2017)}","plainCitation":"(Banerjee et al., 2017)","dontUpdate":true,"noteIndex":0},"citationItems":[{"id":6925,"uris":["http://zotero.org/users/7267932/items/4XLX9MWI"],"itemData":{"id":6925,"type":"article-journal","container-title":"Journal of Environmental Economics and Management","DOI":"10.1016/j.jeem.2016.12.005","ISSN":"00950696","journalAbbreviation":"Journal of Environmental Economics and Management","language":"en","page":"68-89","source":"DOI.org (Crossref)","title":"Transaction costs, communication and spatial coordination in Payment for Ecosystem Services Schemes","volume":"83","author":[{"family":"Banerjee","given":"Simanti"},{"family":"Cason","given":"Timothy N."},{"family":"Vries","given":"Frans P.","non-dropping-particle":"de"},{"family":"Hanley","given":"Nick"}],"issued":{"date-parts":[["2017",5]]}}}],"schema":"https://github.com/citation-style-language/schema/raw/master/csl-citation.json"} </w:instrText>
      </w:r>
      <w:r w:rsidRPr="006C7A10">
        <w:rPr>
          <w:rFonts w:asciiTheme="minorHAnsi" w:eastAsiaTheme="minorEastAsia" w:hAnsiTheme="minorHAnsi" w:cstheme="minorHAnsi"/>
          <w:kern w:val="2"/>
          <w:lang w:val="en-US" w:bidi="ar-SA"/>
        </w:rPr>
        <w:fldChar w:fldCharType="separate"/>
      </w:r>
      <w:r w:rsidRPr="006C7A10">
        <w:rPr>
          <w:rFonts w:asciiTheme="minorHAnsi" w:hAnsiTheme="minorHAnsi" w:cstheme="minorHAnsi"/>
          <w:kern w:val="0"/>
          <w:lang w:val="en-US"/>
        </w:rPr>
        <w:t>Banerjee et al. (2017)</w:t>
      </w:r>
      <w:r w:rsidRPr="006C7A10">
        <w:rPr>
          <w:rFonts w:asciiTheme="minorHAnsi" w:eastAsiaTheme="minorEastAsia" w:hAnsiTheme="minorHAnsi" w:cstheme="minorHAnsi"/>
          <w:kern w:val="2"/>
          <w:lang w:val="en-US" w:bidi="ar-SA"/>
        </w:rPr>
        <w:fldChar w:fldCharType="end"/>
      </w:r>
      <w:r w:rsidRPr="006C7A10">
        <w:rPr>
          <w:rFonts w:asciiTheme="minorHAnsi" w:eastAsiaTheme="minorEastAsia" w:hAnsiTheme="minorHAnsi" w:cstheme="minorHAnsi"/>
          <w:kern w:val="2"/>
          <w:lang w:val="en-US" w:bidi="ar-SA"/>
        </w:rPr>
        <w:t xml:space="preserve">.   </w:t>
      </w:r>
    </w:p>
    <w:p w:rsidR="00B522E0" w:rsidRPr="006C7A10" w:rsidRDefault="00B522E0" w:rsidP="00B522E0">
      <w:pPr>
        <w:pStyle w:val="Textbody"/>
        <w:spacing w:before="240" w:line="360" w:lineRule="auto"/>
        <w:jc w:val="both"/>
        <w:rPr>
          <w:rFonts w:asciiTheme="minorHAnsi" w:eastAsiaTheme="minorEastAsia" w:hAnsiTheme="minorHAnsi" w:cstheme="minorHAnsi"/>
          <w:kern w:val="2"/>
          <w:lang w:val="en-US" w:bidi="ar-SA"/>
        </w:rPr>
      </w:pPr>
      <w:r w:rsidRPr="006C7A10">
        <w:rPr>
          <w:rFonts w:asciiTheme="minorHAnsi" w:eastAsiaTheme="minorEastAsia" w:hAnsiTheme="minorHAnsi" w:cstheme="minorHAnsi"/>
          <w:kern w:val="2"/>
          <w:lang w:val="en-US" w:bidi="ar-SA"/>
        </w:rPr>
        <w:t>Government costs included the potential government revenue loss from taxes that could have been collected through the trade of agricultural products if crop farming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Tax</m:t>
            </m:r>
            <m:r>
              <m:rPr>
                <m:sty m:val="p"/>
              </m:rPr>
              <w:rPr>
                <w:rFonts w:ascii="Cambria Math" w:eastAsiaTheme="minorEastAsia" w:hAnsi="Cambria Math" w:cstheme="minorHAnsi"/>
                <w:kern w:val="2"/>
                <w:lang w:val="en-US" w:bidi="ar-SA"/>
              </w:rPr>
              <m:t>_</m:t>
            </m:r>
            <m:r>
              <w:rPr>
                <w:rFonts w:ascii="Cambria Math" w:eastAsiaTheme="minorEastAsia" w:hAnsi="Cambria Math" w:cstheme="minorHAnsi"/>
                <w:kern w:val="2"/>
                <w:lang w:val="en-US" w:bidi="ar-SA"/>
              </w:rPr>
              <m:t>crop</m:t>
            </m:r>
            <m:r>
              <m:rPr>
                <m:sty m:val="p"/>
              </m:rPr>
              <w:rPr>
                <w:rFonts w:ascii="Cambria Math" w:eastAsiaTheme="minorEastAsia" w:hAnsi="Cambria Math" w:cstheme="minorHAnsi"/>
                <w:kern w:val="2"/>
                <w:lang w:val="en-US" w:bidi="ar-SA"/>
              </w:rPr>
              <m:t>_</m:t>
            </m:r>
            <m:r>
              <w:rPr>
                <w:rFonts w:ascii="Cambria Math" w:eastAsiaTheme="minorEastAsia" w:hAnsi="Cambria Math" w:cstheme="minorHAnsi"/>
                <w:kern w:val="2"/>
                <w:lang w:val="en-US" w:bidi="ar-SA"/>
              </w:rPr>
              <m:t>trade</m:t>
            </m:r>
          </m:e>
          <m:sub>
            <m:r>
              <w:rPr>
                <w:rFonts w:ascii="Cambria Math" w:eastAsiaTheme="minorEastAsia" w:hAnsi="Cambria Math" w:cstheme="minorHAnsi"/>
                <w:kern w:val="2"/>
                <w:lang w:val="en-US" w:bidi="ar-SA"/>
              </w:rPr>
              <m:t>lost</m:t>
            </m:r>
            <m:r>
              <m:rPr>
                <m:sty m:val="p"/>
              </m:rPr>
              <w:rPr>
                <w:rFonts w:ascii="Cambria Math" w:eastAsiaTheme="minorEastAsia" w:hAnsi="Cambria Math" w:cstheme="minorHAnsi"/>
                <w:kern w:val="2"/>
                <w:lang w:val="en-US" w:bidi="ar-SA"/>
              </w:rPr>
              <m:t xml:space="preserve"> </m:t>
            </m:r>
          </m:sub>
        </m:sSub>
        <m:r>
          <m:rPr>
            <m:sty m:val="p"/>
          </m:rPr>
          <w:rPr>
            <w:rFonts w:ascii="Cambria Math" w:eastAsiaTheme="minorEastAsia" w:hAnsi="Cambria Math" w:cstheme="minorHAnsi"/>
            <w:kern w:val="2"/>
            <w:lang w:val="en-US" w:bidi="ar-SA"/>
          </w:rPr>
          <m:t xml:space="preserve">) </m:t>
        </m:r>
      </m:oMath>
      <w:r w:rsidRPr="006C7A10">
        <w:rPr>
          <w:rFonts w:asciiTheme="minorHAnsi" w:eastAsiaTheme="minorEastAsia" w:hAnsiTheme="minorHAnsi" w:cstheme="minorHAnsi"/>
          <w:kern w:val="2"/>
          <w:lang w:val="en-US" w:bidi="ar-SA"/>
        </w:rPr>
        <w:t xml:space="preserve">and livestock keeping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(Tax</m:t>
            </m:r>
            <m:r>
              <m:rPr>
                <m:sty m:val="p"/>
              </m:rPr>
              <w:rPr>
                <w:rFonts w:ascii="Cambria Math" w:eastAsiaTheme="minorEastAsia" w:hAnsi="Cambria Math" w:cstheme="minorHAnsi"/>
                <w:kern w:val="2"/>
                <w:lang w:val="en-US" w:bidi="ar-SA"/>
              </w:rPr>
              <m:t>_</m:t>
            </m:r>
            <m:r>
              <w:rPr>
                <w:rFonts w:ascii="Cambria Math" w:eastAsiaTheme="minorEastAsia" w:hAnsi="Cambria Math" w:cstheme="minorHAnsi"/>
                <w:kern w:val="2"/>
                <w:lang w:val="en-US" w:bidi="ar-SA"/>
              </w:rPr>
              <m:t>lvsk</m:t>
            </m:r>
            <m:r>
              <m:rPr>
                <m:sty m:val="p"/>
              </m:rPr>
              <w:rPr>
                <w:rFonts w:ascii="Cambria Math" w:eastAsiaTheme="minorEastAsia" w:hAnsi="Cambria Math" w:cstheme="minorHAnsi"/>
                <w:kern w:val="2"/>
                <w:lang w:val="en-US" w:bidi="ar-SA"/>
              </w:rPr>
              <m:t>_</m:t>
            </m:r>
            <m:r>
              <w:rPr>
                <w:rFonts w:ascii="Cambria Math" w:eastAsiaTheme="minorEastAsia" w:hAnsi="Cambria Math" w:cstheme="minorHAnsi"/>
                <w:kern w:val="2"/>
                <w:lang w:val="en-US" w:bidi="ar-SA"/>
              </w:rPr>
              <m:t>trade</m:t>
            </m:r>
          </m:e>
          <m:sub>
            <m:r>
              <w:rPr>
                <w:rFonts w:ascii="Cambria Math" w:eastAsiaTheme="minorEastAsia" w:hAnsi="Cambria Math" w:cstheme="minorHAnsi"/>
                <w:kern w:val="2"/>
                <w:lang w:val="en-US" w:bidi="ar-SA"/>
              </w:rPr>
              <m:t>lost</m:t>
            </m:r>
            <m:r>
              <m:rPr>
                <m:sty m:val="p"/>
              </m:rPr>
              <w:rPr>
                <w:rFonts w:ascii="Cambria Math" w:eastAsiaTheme="minorEastAsia" w:hAnsi="Cambria Math" w:cstheme="minorHAnsi"/>
                <w:kern w:val="2"/>
                <w:lang w:val="en-US" w:bidi="ar-SA"/>
              </w:rPr>
              <m:t xml:space="preserve"> </m:t>
            </m:r>
          </m:sub>
        </m:sSub>
        <m:r>
          <m:rPr>
            <m:sty m:val="p"/>
          </m:rPr>
          <w:rPr>
            <w:rFonts w:ascii="Cambria Math" w:eastAsiaTheme="minorEastAsia" w:hAnsi="Cambria Math" w:cstheme="minorHAnsi"/>
            <w:kern w:val="2"/>
            <w:lang w:val="en-US" w:bidi="ar-SA"/>
          </w:rPr>
          <m:t xml:space="preserve">) </m:t>
        </m:r>
      </m:oMath>
      <w:r w:rsidRPr="006C7A10">
        <w:rPr>
          <w:rFonts w:asciiTheme="minorHAnsi" w:eastAsiaTheme="minorEastAsia" w:hAnsiTheme="minorHAnsi" w:cstheme="minorHAnsi"/>
          <w:kern w:val="2"/>
          <w:lang w:val="en-US" w:bidi="ar-SA"/>
        </w:rPr>
        <w:t>persisted. We included the avera</w:t>
      </w:r>
      <w:proofErr w:type="spellStart"/>
      <w:r w:rsidRPr="006C7A10">
        <w:rPr>
          <w:rFonts w:asciiTheme="minorHAnsi" w:eastAsiaTheme="minorEastAsia" w:hAnsiTheme="minorHAnsi" w:cstheme="minorHAnsi"/>
          <w:kern w:val="2"/>
          <w:lang w:val="en-US" w:bidi="ar-SA"/>
        </w:rPr>
        <w:t>ge</w:t>
      </w:r>
      <w:proofErr w:type="spellEnd"/>
      <w:r w:rsidRPr="006C7A10">
        <w:rPr>
          <w:rFonts w:asciiTheme="minorHAnsi" w:eastAsiaTheme="minorEastAsia" w:hAnsiTheme="minorHAnsi" w:cstheme="minorHAnsi"/>
          <w:kern w:val="2"/>
          <w:lang w:val="en-US" w:bidi="ar-SA"/>
        </w:rPr>
        <w:t xml:space="preserve"> trophy value lost from </w:t>
      </w:r>
      <w:r w:rsidRPr="006C7A10">
        <w:rPr>
          <w:rFonts w:asciiTheme="minorHAnsi" w:hAnsiTheme="minorHAnsi" w:cstheme="minorHAnsi"/>
          <w:lang w:val="en-US"/>
        </w:rPr>
        <w:t>URT, (2012)</w:t>
      </w:r>
      <w:r w:rsidRPr="006C7A10">
        <w:rPr>
          <w:rFonts w:asciiTheme="minorHAnsi" w:eastAsiaTheme="minorEastAsia" w:hAnsiTheme="minorHAnsi" w:cstheme="minorHAnsi"/>
          <w:kern w:val="2"/>
          <w:lang w:val="en-US" w:bidi="ar-SA"/>
        </w:rPr>
        <w:t xml:space="preserve"> as costs of poaching —for the number of animals poached per year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Anim</m:t>
            </m:r>
            <m:r>
              <m:rPr>
                <m:sty m:val="p"/>
              </m:rPr>
              <w:rPr>
                <w:rFonts w:ascii="Cambria Math" w:eastAsiaTheme="minorEastAsia" w:hAnsi="Cambria Math" w:cstheme="minorHAnsi"/>
                <w:kern w:val="2"/>
                <w:lang w:val="en-US" w:bidi="ar-SA"/>
              </w:rPr>
              <m:t>_</m:t>
            </m:r>
            <m:r>
              <w:rPr>
                <w:rFonts w:ascii="Cambria Math" w:eastAsiaTheme="minorEastAsia" w:hAnsi="Cambria Math" w:cstheme="minorHAnsi"/>
                <w:kern w:val="2"/>
                <w:lang w:val="en-US" w:bidi="ar-SA"/>
              </w:rPr>
              <m:t>lost</m:t>
            </m:r>
          </m:e>
          <m:sub>
            <m:r>
              <w:rPr>
                <w:rFonts w:ascii="Cambria Math" w:eastAsiaTheme="minorEastAsia" w:hAnsi="Cambria Math" w:cstheme="minorHAnsi"/>
                <w:kern w:val="2"/>
                <w:lang w:val="en-US" w:bidi="ar-SA"/>
              </w:rPr>
              <m:t>poach</m:t>
            </m:r>
          </m:sub>
        </m:sSub>
        <m:r>
          <m:rPr>
            <m:sty m:val="p"/>
          </m:rPr>
          <w:rPr>
            <w:rFonts w:ascii="Cambria Math" w:eastAsiaTheme="minorEastAsia" w:hAnsi="Cambria Math" w:cstheme="minorHAnsi"/>
            <w:kern w:val="2"/>
            <w:lang w:val="en-US" w:bidi="ar-SA"/>
          </w:rPr>
          <m:t>)</m:t>
        </m:r>
      </m:oMath>
      <w:r w:rsidRPr="006C7A10">
        <w:rPr>
          <w:rFonts w:asciiTheme="minorHAnsi" w:eastAsiaTheme="minorEastAsia" w:hAnsiTheme="minorHAnsi" w:cstheme="minorHAnsi"/>
          <w:kern w:val="2"/>
          <w:lang w:val="en-US" w:bidi="ar-SA"/>
        </w:rPr>
        <w:t>. Governmental costs to console farmers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Consol</m:t>
            </m:r>
          </m:e>
          <m:sub>
            <m:r>
              <w:rPr>
                <w:rFonts w:ascii="Cambria Math" w:eastAsiaTheme="minorEastAsia" w:hAnsi="Cambria Math" w:cstheme="minorHAnsi"/>
                <w:kern w:val="2"/>
                <w:lang w:val="en-US" w:bidi="ar-SA"/>
              </w:rPr>
              <m:t>cost</m:t>
            </m:r>
          </m:sub>
        </m:sSub>
      </m:oMath>
      <w:r w:rsidRPr="006C7A10">
        <w:rPr>
          <w:rFonts w:asciiTheme="minorHAnsi" w:eastAsiaTheme="minorEastAsia" w:hAnsiTheme="minorHAnsi" w:cstheme="minorHAnsi"/>
          <w:kern w:val="2"/>
          <w:lang w:val="en-US" w:bidi="ar-SA"/>
        </w:rPr>
        <w:t>) affected by wild animals (e.g., through crop-raiding) were est</w:t>
      </w:r>
      <w:proofErr w:type="spellStart"/>
      <w:r w:rsidRPr="006C7A10">
        <w:rPr>
          <w:rFonts w:asciiTheme="minorHAnsi" w:eastAsiaTheme="minorEastAsia" w:hAnsiTheme="minorHAnsi" w:cstheme="minorHAnsi"/>
          <w:kern w:val="2"/>
          <w:lang w:val="en-US" w:bidi="ar-SA"/>
        </w:rPr>
        <w:t>imated</w:t>
      </w:r>
      <w:proofErr w:type="spellEnd"/>
      <w:r w:rsidRPr="006C7A10">
        <w:rPr>
          <w:rFonts w:asciiTheme="minorHAnsi" w:eastAsiaTheme="minorEastAsia" w:hAnsiTheme="minorHAnsi" w:cstheme="minorHAnsi"/>
          <w:kern w:val="2"/>
          <w:lang w:val="en-US" w:bidi="ar-SA"/>
        </w:rPr>
        <w:t xml:space="preserve"> by experts and supplemented by </w:t>
      </w:r>
      <w:r w:rsidRPr="006C7A10">
        <w:rPr>
          <w:rFonts w:asciiTheme="minorHAnsi" w:eastAsiaTheme="minorEastAsia" w:hAnsiTheme="minorHAnsi" w:cstheme="minorHAnsi"/>
          <w:kern w:val="2"/>
          <w:lang w:val="en-US" w:bidi="ar-SA"/>
        </w:rPr>
        <w:fldChar w:fldCharType="begin"/>
      </w:r>
      <w:r w:rsidRPr="006C7A10">
        <w:rPr>
          <w:rFonts w:asciiTheme="minorHAnsi" w:eastAsiaTheme="minorEastAsia" w:hAnsiTheme="minorHAnsi" w:cstheme="minorHAnsi"/>
          <w:kern w:val="2"/>
          <w:lang w:val="en-US" w:bidi="ar-SA"/>
        </w:rPr>
        <w:instrText xml:space="preserve"> ADDIN ZOTERO_ITEM CSL_CITATION {"citationID":"a2bpufemp89","properties":{"formattedCitation":"\\uldash{(Runyoro et al., 2019)}","plainCitation":"(Runyoro et al., 2019)","dontUpdate":true,"noteIndex":0},"citationItems":[{"id":9489,"uris":["http://zotero.org/users/7267932/items/XN687URY"],"itemData":{"id":9489,"type":"article-journal","container-title":"Archives of Zoological Studies","DOI":"10.24966/AZS-7779/100007","ISSN":"26407779","issue":"1","journalAbbreviation":"AZS","page":"1-9","source":"DOI.org (Crossref)","title":"Human Wildlife Conflict In Tanzania With A Focus On Elephant And Lion","volume":"2","author":[{"family":"Runyoro","given":"Victor A"},{"family":"Maurus","given":"Msuha"},{"family":"Simon","given":"Mduma"}],"issued":{"date-parts":[["2019",12,31]]}}}],"schema":"https://github.com/citation-style-language/schema/raw/master/csl-citation.json"} </w:instrText>
      </w:r>
      <w:r w:rsidRPr="006C7A10">
        <w:rPr>
          <w:rFonts w:asciiTheme="minorHAnsi" w:eastAsiaTheme="minorEastAsia" w:hAnsiTheme="minorHAnsi" w:cstheme="minorHAnsi"/>
          <w:kern w:val="2"/>
          <w:lang w:val="en-US" w:bidi="ar-SA"/>
        </w:rPr>
        <w:fldChar w:fldCharType="separate"/>
      </w:r>
      <w:r w:rsidRPr="006C7A10">
        <w:rPr>
          <w:rFonts w:asciiTheme="minorHAnsi" w:hAnsiTheme="minorHAnsi" w:cstheme="minorHAnsi"/>
          <w:kern w:val="0"/>
          <w:lang w:val="en-US"/>
        </w:rPr>
        <w:t>Runyoro et al. (2019)</w:t>
      </w:r>
      <w:r w:rsidRPr="006C7A10">
        <w:rPr>
          <w:rFonts w:asciiTheme="minorHAnsi" w:eastAsiaTheme="minorEastAsia" w:hAnsiTheme="minorHAnsi" w:cstheme="minorHAnsi"/>
          <w:kern w:val="2"/>
          <w:lang w:val="en-US" w:bidi="ar-SA"/>
        </w:rPr>
        <w:fldChar w:fldCharType="end"/>
      </w:r>
      <w:r w:rsidRPr="006C7A10">
        <w:rPr>
          <w:rFonts w:asciiTheme="minorHAnsi" w:eastAsiaTheme="minorEastAsia" w:hAnsiTheme="minorHAnsi" w:cstheme="minorHAnsi"/>
          <w:kern w:val="2"/>
          <w:lang w:val="en-US" w:bidi="ar-SA"/>
        </w:rPr>
        <w:t>. Finally, the management costs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Mngnt</m:t>
            </m:r>
          </m:e>
          <m:sub>
            <m:r>
              <w:rPr>
                <w:rFonts w:ascii="Cambria Math" w:eastAsiaTheme="minorEastAsia" w:hAnsi="Cambria Math" w:cstheme="minorHAnsi"/>
                <w:kern w:val="2"/>
                <w:lang w:val="en-US" w:bidi="ar-SA"/>
              </w:rPr>
              <m:t>cost</m:t>
            </m:r>
          </m:sub>
        </m:sSub>
      </m:oMath>
      <w:r w:rsidRPr="006C7A10">
        <w:rPr>
          <w:rFonts w:asciiTheme="minorHAnsi" w:eastAsiaTheme="minorEastAsia" w:hAnsiTheme="minorHAnsi" w:cstheme="minorHAnsi"/>
          <w:kern w:val="2"/>
          <w:lang w:val="en-US" w:bidi="ar-SA"/>
        </w:rPr>
        <w:t>) of the corridor, which entails enforce</w:t>
      </w:r>
      <w:proofErr w:type="spellStart"/>
      <w:r w:rsidRPr="006C7A10">
        <w:rPr>
          <w:rFonts w:asciiTheme="minorHAnsi" w:eastAsiaTheme="minorEastAsia" w:hAnsiTheme="minorHAnsi" w:cstheme="minorHAnsi"/>
          <w:kern w:val="2"/>
          <w:lang w:val="en-US" w:bidi="ar-SA"/>
        </w:rPr>
        <w:t>ment</w:t>
      </w:r>
      <w:proofErr w:type="spellEnd"/>
      <w:r w:rsidRPr="006C7A10">
        <w:rPr>
          <w:rFonts w:asciiTheme="minorHAnsi" w:eastAsiaTheme="minorEastAsia" w:hAnsiTheme="minorHAnsi" w:cstheme="minorHAnsi"/>
          <w:kern w:val="2"/>
          <w:lang w:val="en-US" w:bidi="ar-SA"/>
        </w:rPr>
        <w:t xml:space="preserve"> (e.g., patrolling), administration (stationaries, office space, and meetings for mobilization of farmers), and monitoring expenses (outlays for field trips by evaluation experts) were a</w:t>
      </w:r>
      <w:r w:rsidR="007A2831" w:rsidRPr="006C7A10">
        <w:rPr>
          <w:rFonts w:asciiTheme="minorHAnsi" w:eastAsiaTheme="minorEastAsia" w:hAnsiTheme="minorHAnsi" w:cstheme="minorHAnsi"/>
          <w:kern w:val="2"/>
          <w:lang w:val="en-US" w:bidi="ar-SA"/>
        </w:rPr>
        <w:t xml:space="preserve">dded using estimates from </w:t>
      </w:r>
      <w:r w:rsidRPr="006C7A10">
        <w:rPr>
          <w:rFonts w:asciiTheme="minorHAnsi" w:eastAsiaTheme="minorEastAsia" w:hAnsiTheme="minorHAnsi" w:cstheme="minorHAnsi"/>
          <w:kern w:val="2"/>
          <w:lang w:val="en-US" w:bidi="ar-SA"/>
        </w:rPr>
        <w:t>studies</w:t>
      </w:r>
      <w:r w:rsidR="007A2831" w:rsidRPr="006C7A10">
        <w:rPr>
          <w:rFonts w:asciiTheme="minorHAnsi" w:eastAsiaTheme="minorEastAsia" w:hAnsiTheme="minorHAnsi" w:cstheme="minorHAnsi"/>
          <w:kern w:val="2"/>
          <w:lang w:val="en-US" w:bidi="ar-SA"/>
        </w:rPr>
        <w:t xml:space="preserve"> related to conservation</w:t>
      </w:r>
      <w:r w:rsidR="000F0F9E" w:rsidRPr="006C7A10">
        <w:rPr>
          <w:rFonts w:asciiTheme="minorHAnsi" w:eastAsiaTheme="minorEastAsia" w:hAnsiTheme="minorHAnsi" w:cstheme="minorHAnsi"/>
          <w:kern w:val="2"/>
          <w:lang w:val="en-US" w:bidi="ar-SA"/>
        </w:rPr>
        <w:t xml:space="preserve"> of different </w:t>
      </w:r>
      <w:r w:rsidR="00F54A36" w:rsidRPr="006C7A10">
        <w:rPr>
          <w:rFonts w:asciiTheme="minorHAnsi" w:eastAsiaTheme="minorEastAsia" w:hAnsiTheme="minorHAnsi" w:cstheme="minorHAnsi"/>
          <w:kern w:val="2"/>
          <w:lang w:val="en-US" w:bidi="ar-SA"/>
        </w:rPr>
        <w:t xml:space="preserve">types of </w:t>
      </w:r>
      <w:r w:rsidR="000F0F9E" w:rsidRPr="006C7A10">
        <w:rPr>
          <w:rFonts w:asciiTheme="minorHAnsi" w:eastAsiaTheme="minorEastAsia" w:hAnsiTheme="minorHAnsi" w:cstheme="minorHAnsi"/>
          <w:kern w:val="2"/>
          <w:lang w:val="en-US" w:bidi="ar-SA"/>
        </w:rPr>
        <w:t>protected areas</w:t>
      </w:r>
      <w:r w:rsidRPr="006C7A10">
        <w:rPr>
          <w:rFonts w:asciiTheme="minorHAnsi" w:eastAsiaTheme="minorEastAsia" w:hAnsiTheme="minorHAnsi" w:cstheme="minorHAnsi"/>
          <w:kern w:val="2"/>
          <w:lang w:val="en-US" w:bidi="ar-SA"/>
        </w:rPr>
        <w:t xml:space="preserve"> in the region (see</w:t>
      </w:r>
      <w:r w:rsidRPr="006C7A10">
        <w:rPr>
          <w:rFonts w:asciiTheme="minorHAnsi" w:hAnsiTheme="minorHAnsi" w:cstheme="minorHAnsi"/>
          <w:lang w:val="en-US"/>
        </w:rPr>
        <w:fldChar w:fldCharType="begin"/>
      </w:r>
      <w:r w:rsidRPr="006C7A10">
        <w:rPr>
          <w:rFonts w:asciiTheme="minorHAnsi" w:hAnsiTheme="minorHAnsi" w:cstheme="minorHAnsi"/>
          <w:lang w:val="en-US"/>
        </w:rPr>
        <w:instrText xml:space="preserve"> ADDIN ZOTERO_ITEM CSL_CITATION {"citationID":"S0uEufwf","properties":{"formattedCitation":"(Nyanghura &amp; Abdallah, 2023)","plainCitation":"(Nyanghura &amp; Abdallah, 2023)","dontUpdate":true,"noteIndex":0},"citationItems":[{"id":9373,"uris":["http://zotero.org/users/7267932/items/WDZAZKKH"],"itemData":{"id":9373,"type":"article-journal","container-title":"Journal of Environmental Protection","DOI":"10.4236/jep.2023.147032","ISSN":"2152-2197, 2152-2219","issue":"07","journalAbbreviation":"JEP","language":"en","page":"538-560","source":"DOI.org (Crossref)","title":"Analysis of Economic Efficiency of Wildlife Law Enforcement in Serengeti Ecosystem Tanzania","volume":"14","author":[{"family":"Nyanghura","given":"Qambemeda M."},{"family":"Abdallah","given":"Jumanne M."}],"issued":{"date-parts":[["2023"]]}}}],"schema":"https://github.com/citation-style-language/schema/raw/master/csl-citation.json"} </w:instrText>
      </w:r>
      <w:r w:rsidRPr="006C7A10">
        <w:rPr>
          <w:rFonts w:asciiTheme="minorHAnsi" w:hAnsiTheme="minorHAnsi" w:cstheme="minorHAnsi"/>
          <w:lang w:val="en-US"/>
        </w:rPr>
        <w:fldChar w:fldCharType="separate"/>
      </w:r>
      <w:r w:rsidRPr="006C7A10">
        <w:rPr>
          <w:rFonts w:asciiTheme="minorHAnsi" w:hAnsiTheme="minorHAnsi" w:cstheme="minorHAnsi"/>
          <w:lang w:val="en-US"/>
        </w:rPr>
        <w:t>, Nyamoga, 2016</w:t>
      </w:r>
      <w:r w:rsidRPr="006C7A10">
        <w:rPr>
          <w:rFonts w:asciiTheme="minorHAnsi" w:hAnsiTheme="minorHAnsi" w:cstheme="minorHAnsi"/>
          <w:lang w:val="en-US"/>
        </w:rPr>
        <w:fldChar w:fldCharType="end"/>
      </w:r>
      <w:r w:rsidRPr="006C7A10">
        <w:rPr>
          <w:rFonts w:asciiTheme="minorHAnsi" w:hAnsiTheme="minorHAnsi" w:cstheme="minorHAnsi"/>
          <w:lang w:val="en-US"/>
        </w:rPr>
        <w:t xml:space="preserve"> and</w:t>
      </w:r>
      <w:r w:rsidRPr="006C7A10">
        <w:rPr>
          <w:rFonts w:asciiTheme="minorHAnsi" w:hAnsiTheme="minorHAnsi" w:cstheme="minorHAnsi"/>
          <w:lang w:val="en-US"/>
        </w:rPr>
        <w:fldChar w:fldCharType="begin"/>
      </w:r>
      <w:r w:rsidRPr="006C7A10">
        <w:rPr>
          <w:rFonts w:asciiTheme="minorHAnsi" w:hAnsiTheme="minorHAnsi" w:cstheme="minorHAnsi"/>
          <w:lang w:val="en-US"/>
        </w:rPr>
        <w:instrText xml:space="preserve"> ADDIN ZOTERO_ITEM CSL_CITATION {"citationID":"a27ta26bpku","properties":{"formattedCitation":"\\uldash{(Wenborn et al., 2022)}","plainCitation":"(Wenborn et al., 2022)","dontUpdate":true,"noteIndex":0},"citationItems":[{"id":9501,"uris":["http://zotero.org/users/7267932/items/7R7Z3H9M"],"itemData":{"id":9501,"type":"article-journal","abstract":"The growing human population in Africa is putting increasing pressure on habitats and wildlife outside of protected areas. The wildlife conservancy model in Namibia empowers rural communities to decide on the use of wildlife. Namibia started to implement the conservancy model in the 1990s and provides relevant experience from which other countries can learn. We reviewed the conservancy model in northwest Namibia to identify lessons for other countries. Our core work included case studies on six conservancies. We confirmed success factors for conservancies include: investment and revenues, strong governance and support from NGOs, as has been identified in previous studies. We conclude that a comprehensive wildlife monitoring programme is also a critical success factor. The wildlife monitoring method in conservancies in Namibia has been consistent since 2001, and the results show that populations have recovered and stabilised, although there are ongoing risks to wildlife and habitats in this fragile landscape.","container-title":"The Journal of Environment &amp; Development","DOI":"10.1177/10704965221121026","ISSN":"1070-4965","issue":"4","language":"en","note":"publisher: SAGE Publications Inc","page":"375-394","source":"SAGE Journals","title":"Lessons on the Community Conservancy Model for Wildlife Protection in Namibia","volume":"31","author":[{"family":"Wenborn","given":"Michael"},{"family":"Svensson","given":"Magdalena S."},{"family":"Katupa","given":"Stein"},{"family":"Collinson","given":"Roger"},{"family":"Nijman","given":"Vincent"}],"issued":{"date-parts":[["2022",12,1]]}}},{"id":9485,"uris":["http://zotero.org/users/7267932/items/JTGJZJMQ"],"itemData":{"id":9485,"type":"article-journal","abstract":"Preventing deforestation—a key goal of international climate policy—can incur an opportunity cost for local communities who depend on forest resources for their livelihoods. A study compares the cost of carbon conservation through forest protection with that of a scheme that directly alleviates the demand for forest conversion.","container-title":"Nature Climate Change","DOI":"10.1038/nclimate1119","ISSN":"1758-6798","issue":"3","journalAbbreviation":"Nature Clim Change","language":"en","license":"2011 Springer Nature Limited","note":"publisher: Nature Publishing Group","page":"161-164","source":"www.nature.com","title":"Implementation and opportunity costs of reducing deforestation and forest degradation in Tanzania","volume":"1","author":[{"family":"Fisher","given":"Brendan"},{"family":"Lewis","given":"Simon L."},{"family":"Burgess","given":"Neil D."},{"family":"Malimbwi","given":"Rogers E."},{"family":"Munishi","given":"Panteleo K."},{"family":"Swetnam","given":"Ruth D."},{"family":"Kerry Turner","given":"R."},{"family":"Willcock","given":"Simon"},{"family":"Balmford","given":"Andrew"}],"issued":{"date-parts":[["2011",6]]}}}],"schema":"https://github.com/citation-style-language/schema/raw/master/csl-citation.json"} </w:instrText>
      </w:r>
      <w:r w:rsidRPr="006C7A10">
        <w:rPr>
          <w:rFonts w:asciiTheme="minorHAnsi" w:hAnsiTheme="minorHAnsi" w:cstheme="minorHAnsi"/>
          <w:lang w:val="en-US"/>
        </w:rPr>
        <w:fldChar w:fldCharType="separate"/>
      </w:r>
      <w:r w:rsidRPr="006C7A10">
        <w:rPr>
          <w:rFonts w:asciiTheme="minorHAnsi" w:hAnsiTheme="minorHAnsi" w:cstheme="minorHAnsi"/>
          <w:kern w:val="0"/>
          <w:lang w:val="en-US"/>
        </w:rPr>
        <w:t>; Wenborn et al., 2022;</w:t>
      </w:r>
      <w:r w:rsidRPr="006C7A10">
        <w:rPr>
          <w:rFonts w:asciiTheme="minorHAnsi" w:hAnsiTheme="minorHAnsi" w:cstheme="minorHAnsi"/>
          <w:lang w:val="en-US"/>
        </w:rPr>
        <w:t xml:space="preserve"> Nyanghura &amp; Abdallah, 2023</w:t>
      </w:r>
      <w:r w:rsidRPr="006C7A10">
        <w:rPr>
          <w:rFonts w:asciiTheme="minorHAnsi" w:hAnsiTheme="minorHAnsi" w:cstheme="minorHAnsi"/>
          <w:kern w:val="0"/>
          <w:lang w:val="en-US"/>
        </w:rPr>
        <w:t>)</w:t>
      </w:r>
      <w:r w:rsidRPr="006C7A10">
        <w:rPr>
          <w:rFonts w:asciiTheme="minorHAnsi" w:hAnsiTheme="minorHAnsi" w:cstheme="minorHAnsi"/>
          <w:lang w:val="en-US"/>
        </w:rPr>
        <w:fldChar w:fldCharType="end"/>
      </w:r>
      <w:r w:rsidRPr="006C7A10">
        <w:rPr>
          <w:rFonts w:asciiTheme="minorHAnsi" w:hAnsiTheme="minorHAnsi" w:cstheme="minorHAnsi"/>
          <w:lang w:val="en-US"/>
        </w:rPr>
        <w:t xml:space="preserve">. Thus, </w:t>
      </w:r>
      <w:r w:rsidRPr="006C7A10">
        <w:rPr>
          <w:rFonts w:asciiTheme="minorHAnsi" w:eastAsiaTheme="minorEastAsia" w:hAnsiTheme="minorHAnsi" w:cstheme="minorHAnsi"/>
          <w:kern w:val="2"/>
          <w:lang w:val="en-US" w:bidi="ar-SA"/>
        </w:rPr>
        <w:t xml:space="preserve">the total costs for households and the government were estimated according to equations </w:t>
      </w:r>
      <w:r w:rsidR="00C441AE" w:rsidRPr="006C7A10">
        <w:rPr>
          <w:rFonts w:asciiTheme="minorHAnsi" w:eastAsiaTheme="minorEastAsia" w:hAnsiTheme="minorHAnsi" w:cstheme="minorHAnsi"/>
          <w:kern w:val="2"/>
          <w:lang w:val="en-US" w:bidi="ar-SA"/>
        </w:rPr>
        <w:t>A.</w:t>
      </w:r>
      <w:r w:rsidRPr="006C7A10">
        <w:rPr>
          <w:rFonts w:asciiTheme="minorHAnsi" w:eastAsiaTheme="minorEastAsia" w:hAnsiTheme="minorHAnsi" w:cstheme="minorHAnsi"/>
          <w:kern w:val="2"/>
          <w:lang w:val="en-US" w:bidi="ar-SA"/>
        </w:rPr>
        <w:t xml:space="preserve">2 and </w:t>
      </w:r>
      <w:r w:rsidR="00C441AE" w:rsidRPr="006C7A10">
        <w:rPr>
          <w:rFonts w:asciiTheme="minorHAnsi" w:eastAsiaTheme="minorEastAsia" w:hAnsiTheme="minorHAnsi" w:cstheme="minorHAnsi"/>
          <w:kern w:val="2"/>
          <w:lang w:val="en-US" w:bidi="ar-SA"/>
        </w:rPr>
        <w:t>A.</w:t>
      </w:r>
      <w:r w:rsidRPr="006C7A10">
        <w:rPr>
          <w:rFonts w:asciiTheme="minorHAnsi" w:eastAsiaTheme="minorEastAsia" w:hAnsiTheme="minorHAnsi" w:cstheme="minorHAnsi"/>
          <w:kern w:val="2"/>
          <w:lang w:val="en-US" w:bidi="ar-SA"/>
        </w:rPr>
        <w:t xml:space="preserve">3 respectively. </w:t>
      </w:r>
    </w:p>
    <w:p w:rsidR="00B522E0" w:rsidRPr="006C7A10" w:rsidRDefault="00361811" w:rsidP="00B522E0">
      <w:pPr>
        <w:pStyle w:val="Textbody"/>
        <w:spacing w:before="240" w:line="360" w:lineRule="auto"/>
        <w:jc w:val="center"/>
        <w:rPr>
          <w:rFonts w:asciiTheme="minorHAnsi" w:eastAsiaTheme="minorEastAsia" w:hAnsiTheme="minorHAnsi" w:cstheme="minorHAnsi"/>
          <w:kern w:val="2"/>
          <w:lang w:val="en-US" w:bidi="ar-SA"/>
        </w:rPr>
      </w:pP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TC</m:t>
            </m:r>
          </m:e>
          <m:sub>
            <m:r>
              <w:rPr>
                <w:rFonts w:ascii="Cambria Math" w:eastAsiaTheme="minorEastAsia" w:hAnsi="Cambria Math" w:cstheme="minorHAnsi"/>
                <w:kern w:val="2"/>
                <w:lang w:val="en-US" w:bidi="ar-SA"/>
              </w:rPr>
              <m:t>hh</m:t>
            </m:r>
          </m:sub>
        </m:sSub>
      </m:oMath>
      <w:r w:rsidR="00B522E0" w:rsidRPr="006C7A10">
        <w:rPr>
          <w:rFonts w:asciiTheme="minorHAnsi" w:eastAsiaTheme="minorEastAsia" w:hAnsiTheme="minorHAnsi" w:cstheme="minorHAnsi"/>
          <w:kern w:val="2"/>
          <w:lang w:val="en-US" w:bidi="ar-SA"/>
        </w:rPr>
        <w:t xml:space="preserve"> =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Cons</m:t>
            </m:r>
          </m:e>
          <m:sub>
            <m:r>
              <w:rPr>
                <w:rFonts w:ascii="Cambria Math" w:eastAsiaTheme="minorEastAsia" w:hAnsi="Cambria Math" w:cstheme="minorHAnsi"/>
                <w:kern w:val="2"/>
                <w:lang w:val="en-US" w:bidi="ar-SA"/>
              </w:rPr>
              <m:t>costs</m:t>
            </m:r>
            <m:r>
              <m:rPr>
                <m:sty m:val="p"/>
              </m:rPr>
              <w:rPr>
                <w:rFonts w:ascii="Cambria Math" w:eastAsiaTheme="minorEastAsia" w:hAnsi="Cambria Math" w:cstheme="minorHAnsi"/>
                <w:kern w:val="2"/>
                <w:lang w:val="en-US" w:bidi="ar-SA"/>
              </w:rPr>
              <m:t xml:space="preserve"> </m:t>
            </m:r>
          </m:sub>
        </m:sSub>
      </m:oMath>
      <w:r w:rsidR="00B522E0" w:rsidRPr="006C7A10">
        <w:rPr>
          <w:rFonts w:asciiTheme="minorHAnsi" w:eastAsiaTheme="minorEastAsia" w:hAnsiTheme="minorHAnsi" w:cstheme="minorHAnsi"/>
          <w:kern w:val="2"/>
          <w:lang w:val="en-US" w:bidi="ar-SA"/>
        </w:rPr>
        <w:t xml:space="preserve">  +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Oppt</m:t>
            </m:r>
          </m:e>
          <m:sub>
            <m:r>
              <w:rPr>
                <w:rFonts w:ascii="Cambria Math" w:eastAsiaTheme="minorEastAsia" w:hAnsi="Cambria Math" w:cstheme="minorHAnsi"/>
                <w:kern w:val="2"/>
                <w:lang w:val="en-US" w:bidi="ar-SA"/>
              </w:rPr>
              <m:t>costs</m:t>
            </m:r>
          </m:sub>
        </m:sSub>
      </m:oMath>
      <w:r w:rsidR="00B522E0" w:rsidRPr="006C7A10">
        <w:rPr>
          <w:rFonts w:asciiTheme="minorHAnsi" w:eastAsiaTheme="minorEastAsia" w:hAnsiTheme="minorHAnsi" w:cstheme="minorHAnsi"/>
          <w:kern w:val="2"/>
          <w:lang w:val="en-US" w:bidi="ar-SA"/>
        </w:rPr>
        <w:t xml:space="preserve"> +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Migr</m:t>
            </m:r>
          </m:e>
          <m:sub>
            <m:r>
              <w:rPr>
                <w:rFonts w:ascii="Cambria Math" w:eastAsiaTheme="minorEastAsia" w:hAnsi="Cambria Math" w:cstheme="minorHAnsi"/>
                <w:kern w:val="2"/>
                <w:lang w:val="en-US" w:bidi="ar-SA"/>
              </w:rPr>
              <m:t>cost</m:t>
            </m:r>
          </m:sub>
        </m:sSub>
      </m:oMath>
      <w:r w:rsidR="00B522E0" w:rsidRPr="006C7A10">
        <w:rPr>
          <w:rFonts w:asciiTheme="minorHAnsi" w:eastAsiaTheme="minorEastAsia" w:hAnsiTheme="minorHAnsi" w:cstheme="minorHAnsi"/>
          <w:kern w:val="2"/>
          <w:lang w:val="en-US" w:bidi="ar-SA"/>
        </w:rPr>
        <w:t xml:space="preserve"> +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Trans</m:t>
            </m:r>
          </m:e>
          <m:sub>
            <m:r>
              <w:rPr>
                <w:rFonts w:ascii="Cambria Math" w:eastAsiaTheme="minorEastAsia" w:hAnsi="Cambria Math" w:cstheme="minorHAnsi"/>
                <w:kern w:val="2"/>
                <w:lang w:val="en-US" w:bidi="ar-SA"/>
              </w:rPr>
              <m:t>costs</m:t>
            </m:r>
            <m:r>
              <m:rPr>
                <m:sty m:val="p"/>
              </m:rPr>
              <w:rPr>
                <w:rFonts w:ascii="Cambria Math" w:eastAsiaTheme="minorEastAsia" w:hAnsi="Cambria Math" w:cstheme="minorHAnsi"/>
                <w:kern w:val="2"/>
                <w:lang w:val="en-US" w:bidi="ar-SA"/>
              </w:rPr>
              <m:t xml:space="preserve"> _coord</m:t>
            </m:r>
          </m:sub>
        </m:sSub>
      </m:oMath>
      <w:r w:rsidR="00B522E0" w:rsidRPr="006C7A10">
        <w:rPr>
          <w:rFonts w:asciiTheme="minorHAnsi" w:eastAsiaTheme="minorEastAsia" w:hAnsiTheme="minorHAnsi" w:cstheme="minorHAnsi"/>
          <w:kern w:val="2"/>
          <w:lang w:val="en-US" w:bidi="ar-SA"/>
        </w:rPr>
        <w:t xml:space="preserve">                                                (</w:t>
      </w:r>
      <w:r w:rsidR="00C441AE" w:rsidRPr="006C7A10">
        <w:rPr>
          <w:rFonts w:asciiTheme="minorHAnsi" w:eastAsiaTheme="minorEastAsia" w:hAnsiTheme="minorHAnsi" w:cstheme="minorHAnsi"/>
          <w:kern w:val="2"/>
          <w:lang w:val="en-US" w:bidi="ar-SA"/>
        </w:rPr>
        <w:t>A.</w:t>
      </w:r>
      <w:r w:rsidR="00B522E0" w:rsidRPr="006C7A10">
        <w:rPr>
          <w:rFonts w:asciiTheme="minorHAnsi" w:eastAsiaTheme="minorEastAsia" w:hAnsiTheme="minorHAnsi" w:cstheme="minorHAnsi"/>
          <w:kern w:val="2"/>
          <w:lang w:val="en-US" w:bidi="ar-SA"/>
        </w:rPr>
        <w:t>2)</w:t>
      </w:r>
    </w:p>
    <w:p w:rsidR="00B522E0" w:rsidRPr="006C7A10" w:rsidRDefault="00B522E0" w:rsidP="00B522E0">
      <w:pPr>
        <w:pStyle w:val="Textbody"/>
        <w:spacing w:before="240" w:line="360" w:lineRule="auto"/>
        <w:jc w:val="both"/>
        <w:rPr>
          <w:rFonts w:asciiTheme="minorHAnsi" w:eastAsiaTheme="minorEastAsia" w:hAnsiTheme="minorHAnsi" w:cstheme="minorHAnsi"/>
          <w:kern w:val="2"/>
          <w:lang w:val="en-US" w:bidi="ar-SA"/>
        </w:rPr>
      </w:pPr>
      <w:r w:rsidRPr="006C7A10">
        <w:rPr>
          <w:rFonts w:asciiTheme="minorHAnsi" w:eastAsiaTheme="minorEastAsia" w:hAnsiTheme="minorHAnsi" w:cstheme="minorHAnsi"/>
          <w:kern w:val="2"/>
          <w:lang w:val="en-US" w:bidi="ar-SA"/>
        </w:rPr>
        <w:t xml:space="preserve">Where,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TC</m:t>
            </m:r>
          </m:e>
          <m:sub>
            <m:r>
              <w:rPr>
                <w:rFonts w:ascii="Cambria Math" w:eastAsiaTheme="minorEastAsia" w:hAnsi="Cambria Math" w:cstheme="minorHAnsi"/>
                <w:kern w:val="2"/>
                <w:lang w:val="en-US" w:bidi="ar-SA"/>
              </w:rPr>
              <m:t>hh</m:t>
            </m:r>
          </m:sub>
        </m:sSub>
      </m:oMath>
      <w:r w:rsidRPr="006C7A10">
        <w:rPr>
          <w:rFonts w:asciiTheme="minorHAnsi" w:eastAsiaTheme="minorEastAsia" w:hAnsiTheme="minorHAnsi" w:cstheme="minorHAnsi"/>
          <w:kern w:val="2"/>
          <w:lang w:val="en-US" w:bidi="ar-SA"/>
        </w:rPr>
        <w:t xml:space="preserve"> is the total costs of conservation per year (in USD) for the household. </w:t>
      </w:r>
    </w:p>
    <w:p w:rsidR="00B522E0" w:rsidRPr="006C7A10" w:rsidRDefault="00361811" w:rsidP="00B522E0">
      <w:pPr>
        <w:pStyle w:val="Textbody"/>
        <w:spacing w:after="0" w:line="360" w:lineRule="auto"/>
        <w:jc w:val="center"/>
        <w:rPr>
          <w:rFonts w:asciiTheme="minorHAnsi" w:eastAsiaTheme="minorEastAsia" w:hAnsiTheme="minorHAnsi" w:cstheme="minorHAnsi"/>
          <w:kern w:val="2"/>
          <w:lang w:val="en-US" w:bidi="ar-SA"/>
        </w:rPr>
      </w:pP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TC</m:t>
            </m:r>
          </m:e>
          <m:sub>
            <m:r>
              <w:rPr>
                <w:rFonts w:ascii="Cambria Math" w:eastAsiaTheme="minorEastAsia" w:hAnsi="Cambria Math" w:cstheme="minorHAnsi"/>
                <w:kern w:val="2"/>
                <w:lang w:val="en-US" w:bidi="ar-SA"/>
              </w:rPr>
              <m:t>gov</m:t>
            </m:r>
          </m:sub>
        </m:sSub>
      </m:oMath>
      <w:r w:rsidR="00B522E0" w:rsidRPr="006C7A10">
        <w:rPr>
          <w:rFonts w:asciiTheme="minorHAnsi" w:eastAsiaTheme="minorEastAsia" w:hAnsiTheme="minorHAnsi" w:cstheme="minorHAnsi"/>
          <w:kern w:val="2"/>
          <w:lang w:val="en-US" w:bidi="ar-SA"/>
        </w:rPr>
        <w:t xml:space="preserve"> =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Tax</m:t>
            </m:r>
            <m:r>
              <m:rPr>
                <m:sty m:val="p"/>
              </m:rPr>
              <w:rPr>
                <w:rFonts w:ascii="Cambria Math" w:eastAsiaTheme="minorEastAsia" w:hAnsi="Cambria Math" w:cstheme="minorHAnsi"/>
                <w:kern w:val="2"/>
                <w:lang w:val="en-US" w:bidi="ar-SA"/>
              </w:rPr>
              <m:t>_</m:t>
            </m:r>
            <m:r>
              <w:rPr>
                <w:rFonts w:ascii="Cambria Math" w:eastAsiaTheme="minorEastAsia" w:hAnsi="Cambria Math" w:cstheme="minorHAnsi"/>
                <w:kern w:val="2"/>
                <w:lang w:val="en-US" w:bidi="ar-SA"/>
              </w:rPr>
              <m:t>crop</m:t>
            </m:r>
            <m:r>
              <m:rPr>
                <m:sty m:val="p"/>
              </m:rPr>
              <w:rPr>
                <w:rFonts w:ascii="Cambria Math" w:eastAsiaTheme="minorEastAsia" w:hAnsi="Cambria Math" w:cstheme="minorHAnsi"/>
                <w:kern w:val="2"/>
                <w:lang w:val="en-US" w:bidi="ar-SA"/>
              </w:rPr>
              <m:t>_</m:t>
            </m:r>
            <m:r>
              <w:rPr>
                <w:rFonts w:ascii="Cambria Math" w:eastAsiaTheme="minorEastAsia" w:hAnsi="Cambria Math" w:cstheme="minorHAnsi"/>
                <w:kern w:val="2"/>
                <w:lang w:val="en-US" w:bidi="ar-SA"/>
              </w:rPr>
              <m:t>trade</m:t>
            </m:r>
          </m:e>
          <m:sub>
            <m:r>
              <w:rPr>
                <w:rFonts w:ascii="Cambria Math" w:eastAsiaTheme="minorEastAsia" w:hAnsi="Cambria Math" w:cstheme="minorHAnsi"/>
                <w:kern w:val="2"/>
                <w:lang w:val="en-US" w:bidi="ar-SA"/>
              </w:rPr>
              <m:t>lost</m:t>
            </m:r>
            <m:r>
              <m:rPr>
                <m:sty m:val="p"/>
              </m:rPr>
              <w:rPr>
                <w:rFonts w:ascii="Cambria Math" w:eastAsiaTheme="minorEastAsia" w:hAnsi="Cambria Math" w:cstheme="minorHAnsi"/>
                <w:kern w:val="2"/>
                <w:lang w:val="en-US" w:bidi="ar-SA"/>
              </w:rPr>
              <m:t xml:space="preserve"> </m:t>
            </m:r>
          </m:sub>
        </m:sSub>
      </m:oMath>
      <w:r w:rsidR="00B522E0" w:rsidRPr="006C7A10">
        <w:rPr>
          <w:rFonts w:asciiTheme="minorHAnsi" w:eastAsiaTheme="minorEastAsia" w:hAnsiTheme="minorHAnsi" w:cstheme="minorHAnsi"/>
          <w:kern w:val="2"/>
          <w:lang w:val="en-US" w:bidi="ar-SA"/>
        </w:rPr>
        <w:t xml:space="preserve"> +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Tax</m:t>
            </m:r>
            <m:r>
              <m:rPr>
                <m:sty m:val="p"/>
              </m:rPr>
              <w:rPr>
                <w:rFonts w:ascii="Cambria Math" w:eastAsiaTheme="minorEastAsia" w:hAnsi="Cambria Math" w:cstheme="minorHAnsi"/>
                <w:kern w:val="2"/>
                <w:lang w:val="en-US" w:bidi="ar-SA"/>
              </w:rPr>
              <m:t>_</m:t>
            </m:r>
            <m:r>
              <w:rPr>
                <w:rFonts w:ascii="Cambria Math" w:eastAsiaTheme="minorEastAsia" w:hAnsi="Cambria Math" w:cstheme="minorHAnsi"/>
                <w:kern w:val="2"/>
                <w:lang w:val="en-US" w:bidi="ar-SA"/>
              </w:rPr>
              <m:t>lvsk</m:t>
            </m:r>
            <m:r>
              <m:rPr>
                <m:sty m:val="p"/>
              </m:rPr>
              <w:rPr>
                <w:rFonts w:ascii="Cambria Math" w:eastAsiaTheme="minorEastAsia" w:hAnsi="Cambria Math" w:cstheme="minorHAnsi"/>
                <w:kern w:val="2"/>
                <w:lang w:val="en-US" w:bidi="ar-SA"/>
              </w:rPr>
              <m:t>_</m:t>
            </m:r>
            <m:r>
              <w:rPr>
                <w:rFonts w:ascii="Cambria Math" w:eastAsiaTheme="minorEastAsia" w:hAnsi="Cambria Math" w:cstheme="minorHAnsi"/>
                <w:kern w:val="2"/>
                <w:lang w:val="en-US" w:bidi="ar-SA"/>
              </w:rPr>
              <m:t>trade</m:t>
            </m:r>
          </m:e>
          <m:sub>
            <m:r>
              <w:rPr>
                <w:rFonts w:ascii="Cambria Math" w:eastAsiaTheme="minorEastAsia" w:hAnsi="Cambria Math" w:cstheme="minorHAnsi"/>
                <w:kern w:val="2"/>
                <w:lang w:val="en-US" w:bidi="ar-SA"/>
              </w:rPr>
              <m:t>lost</m:t>
            </m:r>
            <m:r>
              <m:rPr>
                <m:sty m:val="p"/>
              </m:rPr>
              <w:rPr>
                <w:rFonts w:ascii="Cambria Math" w:eastAsiaTheme="minorEastAsia" w:hAnsi="Cambria Math" w:cstheme="minorHAnsi"/>
                <w:kern w:val="2"/>
                <w:lang w:val="en-US" w:bidi="ar-SA"/>
              </w:rPr>
              <m:t xml:space="preserve"> </m:t>
            </m:r>
          </m:sub>
        </m:sSub>
      </m:oMath>
      <w:r w:rsidR="00B522E0" w:rsidRPr="006C7A10">
        <w:rPr>
          <w:rFonts w:asciiTheme="minorHAnsi" w:eastAsiaTheme="minorEastAsia" w:hAnsiTheme="minorHAnsi" w:cstheme="minorHAnsi"/>
          <w:kern w:val="2"/>
          <w:lang w:val="en-US" w:bidi="ar-SA"/>
        </w:rPr>
        <w:t xml:space="preserve">+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Anim</m:t>
            </m:r>
            <m:r>
              <m:rPr>
                <m:sty m:val="p"/>
              </m:rPr>
              <w:rPr>
                <w:rFonts w:ascii="Cambria Math" w:eastAsiaTheme="minorEastAsia" w:hAnsi="Cambria Math" w:cstheme="minorHAnsi"/>
                <w:kern w:val="2"/>
                <w:lang w:val="en-US" w:bidi="ar-SA"/>
              </w:rPr>
              <m:t>_</m:t>
            </m:r>
            <m:r>
              <w:rPr>
                <w:rFonts w:ascii="Cambria Math" w:eastAsiaTheme="minorEastAsia" w:hAnsi="Cambria Math" w:cstheme="minorHAnsi"/>
                <w:kern w:val="2"/>
                <w:lang w:val="en-US" w:bidi="ar-SA"/>
              </w:rPr>
              <m:t>lost</m:t>
            </m:r>
          </m:e>
          <m:sub>
            <m:r>
              <w:rPr>
                <w:rFonts w:ascii="Cambria Math" w:eastAsiaTheme="minorEastAsia" w:hAnsi="Cambria Math" w:cstheme="minorHAnsi"/>
                <w:kern w:val="2"/>
                <w:lang w:val="en-US" w:bidi="ar-SA"/>
              </w:rPr>
              <m:t>poach</m:t>
            </m:r>
          </m:sub>
        </m:sSub>
      </m:oMath>
    </w:p>
    <w:p w:rsidR="00B522E0" w:rsidRPr="006C7A10" w:rsidRDefault="00B522E0" w:rsidP="00B522E0">
      <w:pPr>
        <w:pStyle w:val="Textbody"/>
        <w:tabs>
          <w:tab w:val="left" w:pos="1985"/>
        </w:tabs>
        <w:spacing w:after="0" w:line="360" w:lineRule="auto"/>
        <w:jc w:val="both"/>
        <w:rPr>
          <w:rFonts w:asciiTheme="minorHAnsi" w:eastAsiaTheme="minorEastAsia" w:hAnsiTheme="minorHAnsi" w:cstheme="minorHAnsi"/>
          <w:kern w:val="2"/>
          <w:lang w:val="en-US" w:bidi="ar-SA"/>
        </w:rPr>
      </w:pPr>
      <w:r w:rsidRPr="006C7A10">
        <w:rPr>
          <w:rFonts w:asciiTheme="minorHAnsi" w:eastAsiaTheme="minorEastAsia" w:hAnsiTheme="minorHAnsi" w:cstheme="minorHAnsi"/>
          <w:kern w:val="2"/>
          <w:lang w:val="en-US" w:bidi="ar-SA"/>
        </w:rPr>
        <w:t xml:space="preserve">                                                    +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Consol</m:t>
            </m:r>
          </m:e>
          <m:sub>
            <m:r>
              <w:rPr>
                <w:rFonts w:ascii="Cambria Math" w:eastAsiaTheme="minorEastAsia" w:hAnsi="Cambria Math" w:cstheme="minorHAnsi"/>
                <w:kern w:val="2"/>
                <w:lang w:val="en-US" w:bidi="ar-SA"/>
              </w:rPr>
              <m:t>cost</m:t>
            </m:r>
          </m:sub>
        </m:sSub>
      </m:oMath>
      <w:r w:rsidRPr="006C7A10">
        <w:rPr>
          <w:rFonts w:asciiTheme="minorHAnsi" w:eastAsiaTheme="minorEastAsia" w:hAnsiTheme="minorHAnsi" w:cstheme="minorHAnsi"/>
          <w:kern w:val="2"/>
          <w:lang w:val="en-US" w:bidi="ar-SA"/>
        </w:rPr>
        <w:t xml:space="preserve">  +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Mngnt</m:t>
            </m:r>
          </m:e>
          <m:sub>
            <m:r>
              <w:rPr>
                <w:rFonts w:ascii="Cambria Math" w:eastAsiaTheme="minorEastAsia" w:hAnsi="Cambria Math" w:cstheme="minorHAnsi"/>
                <w:kern w:val="2"/>
                <w:lang w:val="en-US" w:bidi="ar-SA"/>
              </w:rPr>
              <m:t>cost</m:t>
            </m:r>
          </m:sub>
        </m:sSub>
      </m:oMath>
      <w:r w:rsidRPr="006C7A10">
        <w:rPr>
          <w:rFonts w:asciiTheme="minorHAnsi" w:eastAsiaTheme="minorEastAsia" w:hAnsiTheme="minorHAnsi" w:cstheme="minorHAnsi"/>
          <w:kern w:val="2"/>
          <w:lang w:val="en-US" w:bidi="ar-SA"/>
        </w:rPr>
        <w:t xml:space="preserve">                                                        (</w:t>
      </w:r>
      <w:r w:rsidR="00C441AE" w:rsidRPr="006C7A10">
        <w:rPr>
          <w:rFonts w:asciiTheme="minorHAnsi" w:eastAsiaTheme="minorEastAsia" w:hAnsiTheme="minorHAnsi" w:cstheme="minorHAnsi"/>
          <w:kern w:val="2"/>
          <w:lang w:val="en-US" w:bidi="ar-SA"/>
        </w:rPr>
        <w:t>A.</w:t>
      </w:r>
      <w:r w:rsidRPr="006C7A10">
        <w:rPr>
          <w:rFonts w:asciiTheme="minorHAnsi" w:eastAsiaTheme="minorEastAsia" w:hAnsiTheme="minorHAnsi" w:cstheme="minorHAnsi"/>
          <w:kern w:val="2"/>
          <w:lang w:val="en-US" w:bidi="ar-SA"/>
        </w:rPr>
        <w:t>3)</w:t>
      </w:r>
    </w:p>
    <w:p w:rsidR="00B522E0" w:rsidRPr="006C7A10" w:rsidRDefault="00B522E0" w:rsidP="00B522E0">
      <w:pPr>
        <w:pStyle w:val="Textbody"/>
        <w:spacing w:before="240" w:line="360" w:lineRule="auto"/>
        <w:jc w:val="both"/>
        <w:rPr>
          <w:rFonts w:asciiTheme="minorHAnsi" w:eastAsiaTheme="minorEastAsia" w:hAnsiTheme="minorHAnsi" w:cstheme="minorHAnsi"/>
          <w:kern w:val="2"/>
          <w:lang w:val="en-US" w:bidi="ar-SA"/>
        </w:rPr>
      </w:pPr>
      <w:r w:rsidRPr="006C7A10">
        <w:rPr>
          <w:rFonts w:asciiTheme="minorHAnsi" w:eastAsiaTheme="minorEastAsia" w:hAnsiTheme="minorHAnsi" w:cstheme="minorHAnsi"/>
          <w:kern w:val="2"/>
          <w:lang w:val="en-US" w:bidi="ar-SA"/>
        </w:rPr>
        <w:t xml:space="preserve">Where,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TC</m:t>
            </m:r>
          </m:e>
          <m:sub>
            <m:r>
              <w:rPr>
                <w:rFonts w:ascii="Cambria Math" w:eastAsiaTheme="minorEastAsia" w:hAnsi="Cambria Math" w:cstheme="minorHAnsi"/>
                <w:kern w:val="2"/>
                <w:lang w:val="en-US" w:bidi="ar-SA"/>
              </w:rPr>
              <m:t>gov</m:t>
            </m:r>
          </m:sub>
        </m:sSub>
      </m:oMath>
      <w:r w:rsidRPr="006C7A10">
        <w:rPr>
          <w:rFonts w:asciiTheme="minorHAnsi" w:eastAsiaTheme="minorEastAsia" w:hAnsiTheme="minorHAnsi" w:cstheme="minorHAnsi"/>
          <w:kern w:val="2"/>
          <w:lang w:val="en-US" w:bidi="ar-SA"/>
        </w:rPr>
        <w:t xml:space="preserve"> is the total costs of conservation per year (in USD) for the government. Other variables on the right side of the two equations are explained in the text above.</w:t>
      </w:r>
    </w:p>
    <w:p w:rsidR="00B522E0" w:rsidRPr="006C7A10" w:rsidRDefault="00B522E0" w:rsidP="00B522E0">
      <w:pPr>
        <w:pStyle w:val="Textbody"/>
        <w:spacing w:before="240" w:line="360" w:lineRule="auto"/>
        <w:jc w:val="both"/>
        <w:rPr>
          <w:rFonts w:asciiTheme="minorHAnsi" w:eastAsiaTheme="minorEastAsia" w:hAnsiTheme="minorHAnsi" w:cstheme="minorHAnsi"/>
          <w:kern w:val="2"/>
          <w:lang w:val="en-US" w:bidi="ar-SA"/>
        </w:rPr>
      </w:pPr>
    </w:p>
    <w:p w:rsidR="00B522E0" w:rsidRPr="006C7A10" w:rsidRDefault="00B522E0" w:rsidP="00B522E0">
      <w:pPr>
        <w:ind w:firstLine="0"/>
        <w:jc w:val="both"/>
        <w:rPr>
          <w:rFonts w:asciiTheme="minorHAnsi" w:hAnsiTheme="minorHAnsi" w:cstheme="minorHAnsi"/>
          <w:b/>
          <w:bCs/>
          <w:i/>
          <w:iCs/>
        </w:rPr>
      </w:pPr>
      <w:r w:rsidRPr="006C7A10">
        <w:rPr>
          <w:rFonts w:asciiTheme="minorHAnsi" w:hAnsiTheme="minorHAnsi" w:cstheme="minorHAnsi"/>
          <w:b/>
          <w:bCs/>
          <w:i/>
          <w:iCs/>
        </w:rPr>
        <w:lastRenderedPageBreak/>
        <w:t xml:space="preserve">Benefits   </w:t>
      </w:r>
    </w:p>
    <w:p w:rsidR="00B522E0" w:rsidRPr="006C7A10" w:rsidRDefault="00B522E0" w:rsidP="00B522E0">
      <w:pPr>
        <w:pStyle w:val="Textbody"/>
        <w:spacing w:before="240" w:line="360" w:lineRule="auto"/>
        <w:jc w:val="both"/>
        <w:rPr>
          <w:rFonts w:asciiTheme="minorHAnsi" w:eastAsiaTheme="minorEastAsia" w:hAnsiTheme="minorHAnsi" w:cstheme="minorHAnsi"/>
          <w:kern w:val="2"/>
          <w:lang w:val="en-US" w:bidi="ar-SA"/>
        </w:rPr>
      </w:pPr>
      <w:r w:rsidRPr="006C7A10">
        <w:rPr>
          <w:rFonts w:asciiTheme="minorHAnsi" w:eastAsiaTheme="minorEastAsia" w:hAnsiTheme="minorHAnsi" w:cstheme="minorHAnsi"/>
          <w:kern w:val="2"/>
          <w:lang w:val="en-US" w:bidi="ar-SA"/>
        </w:rPr>
        <w:t xml:space="preserve">To estimate environmental and socioeconomic benefits, we assumed that increased forest stock and wildlife populations are the primary biodiversity gains resulting from increasing landscape connectivity. We estimated the forest stock as forest basal area and wildlife with </w:t>
      </w:r>
      <w:r w:rsidR="00E52ACF" w:rsidRPr="006C7A10">
        <w:rPr>
          <w:rFonts w:asciiTheme="minorHAnsi" w:eastAsiaTheme="minorEastAsia" w:hAnsiTheme="minorHAnsi" w:cstheme="minorHAnsi"/>
          <w:kern w:val="2"/>
          <w:lang w:val="en-US" w:bidi="ar-SA"/>
        </w:rPr>
        <w:t>African savanna elephant</w:t>
      </w:r>
      <w:r w:rsidRPr="006C7A10">
        <w:rPr>
          <w:rFonts w:asciiTheme="minorHAnsi" w:eastAsiaTheme="minorEastAsia" w:hAnsiTheme="minorHAnsi" w:cstheme="minorHAnsi"/>
          <w:kern w:val="2"/>
          <w:lang w:val="en-US" w:bidi="ar-SA"/>
        </w:rPr>
        <w:t xml:space="preserve">s serving as the primary indicator of migratory species in IIWC. The basal area in the baseline year (i.e. year 1 of conservation) and the rate of change over time were obtained from literature that assessed the dynamics of natural forest regeneration in abandoned or fallow farmland. We relied on estimates from studies in </w:t>
      </w:r>
      <w:proofErr w:type="spellStart"/>
      <w:r w:rsidRPr="006C7A10">
        <w:rPr>
          <w:rFonts w:asciiTheme="minorHAnsi" w:eastAsiaTheme="minorEastAsia" w:hAnsiTheme="minorHAnsi" w:cstheme="minorHAnsi"/>
          <w:kern w:val="2"/>
          <w:lang w:val="en-US" w:bidi="ar-SA"/>
        </w:rPr>
        <w:t>Miombo</w:t>
      </w:r>
      <w:proofErr w:type="spellEnd"/>
      <w:r w:rsidRPr="006C7A10">
        <w:rPr>
          <w:rFonts w:asciiTheme="minorHAnsi" w:eastAsiaTheme="minorEastAsia" w:hAnsiTheme="minorHAnsi" w:cstheme="minorHAnsi"/>
          <w:kern w:val="2"/>
          <w:lang w:val="en-US" w:bidi="ar-SA"/>
        </w:rPr>
        <w:t xml:space="preserve"> woodlands of sub-Saharan Africa to represent IIWC (see </w:t>
      </w:r>
      <w:r w:rsidRPr="006C7A10">
        <w:rPr>
          <w:rFonts w:asciiTheme="minorHAnsi" w:eastAsiaTheme="minorEastAsia" w:hAnsiTheme="minorHAnsi" w:cstheme="minorHAnsi"/>
          <w:kern w:val="2"/>
          <w:lang w:val="en-US" w:bidi="ar-SA"/>
        </w:rPr>
        <w:fldChar w:fldCharType="begin"/>
      </w:r>
      <w:r w:rsidRPr="006C7A10">
        <w:rPr>
          <w:rFonts w:asciiTheme="minorHAnsi" w:eastAsiaTheme="minorEastAsia" w:hAnsiTheme="minorHAnsi" w:cstheme="minorHAnsi"/>
          <w:kern w:val="2"/>
          <w:lang w:val="en-US" w:bidi="ar-SA"/>
        </w:rPr>
        <w:instrText xml:space="preserve"> ADDIN ZOTERO_ITEM CSL_CITATION {"citationID":"6yV2rTu1","properties":{"formattedCitation":"(Kalaba, 2013)","plainCitation":"(Kalaba, 2013)","dontUpdate":true,"noteIndex":0},"citationItems":[{"id":9107,"uris":["http://zotero.org/users/7267932/items/XYQN9WKG"],"itemData":{"id":9107,"type":"article-journal","abstract":"Globally, there are increasing demands for land use changes aimed at restoring Carbon (C) and biodiversity in degraded forest ecosystems. This study provides an integrated understanding of aboveground (AG) C storage, structural and ﬂoristic composition in charcoal and agriculture fallows in Miombo woodland systems of Zambia. We present the ﬁndings of ecological surveys; measuring tree diameters and assessing species composition on twenty-four 0.25 ha plots in undisturbed woodlands, and 58 plots re-growing after agriculture (5–58 years) and charcoal production (5–44 years). Undisturbed Miombo stored 39.6 Mg C haÀ1 AG, while after clearance, C stocks accumulated at 0.98 and 1.42 Mg C haÀ1 yearÀ1 in agriculture and charcoal fallows respectively. There were no signiﬁcant differences in C stocks between woodlands and P20 year old fallows, implying that in terms of AG C storage, woodlands sufﬁciently recover after 20 years. Stem densities were signiﬁcantly higher in charcoal than agriculture fallows but the difference decreased with fallow age. Importance values (IVI) of tree species show low presence of less ﬁre resistant tree species such as Uapaca kirkiana in the initial regrowth of post-agriculture fallows. Shannon diversity indices showed high diversity in both woodlands and fallows though the Jaccard similarity coefﬁcient indicated low species similarities, suggesting that though Miombo systems recover relatively fast in terms of species diversity and C storage, species composition takes longer to recuperate. The ﬁndings show that agriculture and charcoal fallows hold enormous management potential for emerging C-based payments for ecosystem services such as through United Nations Reduction of Emissions from Deforestation and forest Degradation-plus (REDD+) programme and Voluntary Carbon Market projects. Forest management should consider managing fallows for C sequestration and biodiversity restoration through natural succession in Miombo systems. In view of the uncertainty of species recovery, mature Miombo woodlands should be conserved for continued ecosystem functioning and supply of ecosystem services.","container-title":"Forest Ecology and Management","language":"en","source":"Zotero","title":"Floristic composition, species diversity and carbon storage in charcoal and agriculture fallows and management implications in Miombo woodlands of Zambia","author":[{"family":"Kalaba","given":"Felix Kanungwe"}],"issued":{"date-parts":[["2013"]]}}},{"id":8830,"uris":["http://zotero.org/users/7267932/items/NJ5AYGHU","http://zotero.org/users/7267932/items/Q9KU6FL5"],"itemData":{"id":8830,"type":"article-journal","abstract":"Land management in tropical woodlands is being used to sequester carbon (C), alleviate poverty and protect biodiversity, among other benefits. Our objective was to determine how slash-and-burn agriculture affected vegetation and soil C stocks and biodiversity on an area of miombo woodland in Mozambique, and how C stocks and biodiversity responded once agriculture was abandoned. We sampled twenty-eight 0.125ha plots that had previously been cleared for subsistence agriculture and had been left to re-grow for 2 to </w:instrText>
      </w:r>
      <w:r w:rsidRPr="006C7A10">
        <w:rPr>
          <w:rFonts w:ascii="Cambria Math" w:eastAsiaTheme="minorEastAsia" w:hAnsi="Cambria Math" w:cs="Cambria Math"/>
          <w:kern w:val="2"/>
          <w:lang w:val="en-US" w:bidi="ar-SA"/>
        </w:rPr>
        <w:instrText>∼</w:instrText>
      </w:r>
      <w:r w:rsidRPr="006C7A10">
        <w:rPr>
          <w:rFonts w:asciiTheme="minorHAnsi" w:eastAsiaTheme="minorEastAsia" w:hAnsiTheme="minorHAnsi" w:cstheme="minorHAnsi"/>
          <w:kern w:val="2"/>
          <w:lang w:val="en-US" w:bidi="ar-SA"/>
        </w:rPr>
        <w:instrText xml:space="preserve">25 years, and fourteen 0.25ha plots of protected woodlands, recording stem diameter distributions and species, collecting wood for density determination, and soil from 0 to 0.3m for determination of %C and bulk density. Clearance for agriculture reduced stem wood C stocks by 19.0tCha−1. There were significant relationships between period of re-growth and basal area, stem numbers and stem biomass. During re-growth, wood C stocks accumulated at 0.7tCha−1year−1. There was no significant difference in stem C stocks on woodlands and on abandoned farmland 20–30 years old. Soil C stocks in the top 0.3 m on abandoned land had a narrower range (21–74tCha−1) than stocks in woodland soils (18–140tCha−1). There was no discernible increase in soil C stocks with period of re-growth, suggesting that the rate of accumulation of organic matter in these soils was very slow. The re-growing plots did not contain the defining miombo species, and total stem numbers were significantly greater than in woodland plots, but species richness and diversity were similar in older abandonments and miombo woodlands. Wood C stocks on abandoned farmland were capable of recovery within 2–3 decades, but soil C stocks did not change on this time-scale. Woodland soils were capable of storing &gt;100tCha−1, whereas no soil on a re-growing area exceeded 74tCha−1, so there is a potential for C sequestration in soils on abandoned farmland. Management should focus on identifying C-rich soils, conserving remaining woodlands to protect soil C and preserve defining miombo species, and on investigating whether fire control on recovering woodland can stimulate accumulation of soil C and greater tree biomass, and restore defining miombo species.","container-title":"Forest Ecology and Management","DOI":"10.1016/j.foreco.2007.07.033","ISSN":"0378-1127","issue":"2","journalAbbreviation":"Forest Ecology and Management","page":"145-155","source":"ScienceDirect","title":"Carbon sequestration and biodiversity of re-growing miombo woodlands in Mozambique","volume":"254","author":[{"family":"Williams","given":"M."},{"family":"Ryan","given":"C. M."},{"family":"Rees","given":"R. M."},{"family":"Sambane","given":"E."},{"family":"Fernando","given":"J."},{"family":"Grace","given":"J."}],"issued":{"date-parts":[["2008",1,25]]}}}],"schema":"https://github.com/citation-style-language/schema/raw/master/csl-citation.json"} </w:instrText>
      </w:r>
      <w:r w:rsidRPr="006C7A10">
        <w:rPr>
          <w:rFonts w:asciiTheme="minorHAnsi" w:eastAsiaTheme="minorEastAsia" w:hAnsiTheme="minorHAnsi" w:cstheme="minorHAnsi"/>
          <w:kern w:val="2"/>
          <w:lang w:val="en-US" w:bidi="ar-SA"/>
        </w:rPr>
        <w:fldChar w:fldCharType="separate"/>
      </w:r>
      <w:r w:rsidRPr="006C7A10">
        <w:rPr>
          <w:rFonts w:asciiTheme="minorHAnsi" w:eastAsiaTheme="minorEastAsia" w:hAnsiTheme="minorHAnsi" w:cstheme="minorHAnsi"/>
          <w:kern w:val="2"/>
          <w:lang w:val="en-US" w:bidi="ar-SA"/>
        </w:rPr>
        <w:t>Kalaba, 2013)</w:t>
      </w:r>
      <w:r w:rsidRPr="006C7A10">
        <w:rPr>
          <w:rFonts w:asciiTheme="minorHAnsi" w:eastAsiaTheme="minorEastAsia" w:hAnsiTheme="minorHAnsi" w:cstheme="minorHAnsi"/>
          <w:kern w:val="2"/>
          <w:lang w:val="en-US" w:bidi="ar-SA"/>
        </w:rPr>
        <w:fldChar w:fldCharType="end"/>
      </w:r>
      <w:r w:rsidRPr="006C7A10">
        <w:rPr>
          <w:rFonts w:asciiTheme="minorHAnsi" w:eastAsiaTheme="minorEastAsia" w:hAnsiTheme="minorHAnsi" w:cstheme="minorHAnsi"/>
          <w:kern w:val="2"/>
          <w:lang w:val="en-US" w:bidi="ar-SA"/>
        </w:rPr>
        <w:t xml:space="preserve">, and in Afromontane forest to represent BKG (see </w:t>
      </w:r>
      <w:r w:rsidRPr="006C7A10">
        <w:rPr>
          <w:rFonts w:asciiTheme="minorHAnsi" w:eastAsiaTheme="minorEastAsia" w:hAnsiTheme="minorHAnsi" w:cstheme="minorHAnsi"/>
          <w:kern w:val="2"/>
          <w:lang w:val="en-US" w:bidi="ar-SA"/>
        </w:rPr>
        <w:fldChar w:fldCharType="begin"/>
      </w:r>
      <w:r w:rsidRPr="006C7A10">
        <w:rPr>
          <w:rFonts w:asciiTheme="minorHAnsi" w:eastAsiaTheme="minorEastAsia" w:hAnsiTheme="minorHAnsi" w:cstheme="minorHAnsi"/>
          <w:kern w:val="2"/>
          <w:lang w:val="en-US" w:bidi="ar-SA"/>
        </w:rPr>
        <w:instrText xml:space="preserve"> ADDIN ZOTERO_ITEM CSL_CITATION {"citationID":"rs107tyK","properties":{"custom":"(Mathew et al., 2016; Mwampamba, 2009)","formattedCitation":"(Mathew et al., 2016; Mwampamba, 2009)","plainCitation":"(Mathew et al., 2016; Mwampamba, 2009)","dontUpdate":true,"noteIndex":0},"citationItems":[{"id":8961,"uris":["http://zotero.org/users/7267932/items/HKQQGG64"],"itemData":{"id":8961,"type":"article-journal","abstract":"Understanding above-ground tree biomass carbon (AGC) and relationships to soil organic carbon (SOC) stocks across a landscape provide opportunities for better management of the carbon pools. This study determined relationships between on-farm AGC and SOC stocks along an altitudinal gradient on the slopes of Mount Kilimanjaro. Fifty plots (100 × 100 m) were established, whereby all trees ≥5 cm dbh, were recorded. Soil samples from top (0–20 cm) and subsoils (21–50 cm) were collected at the centre of the plots using four subplots. Tree inventory and soil analyses were performed and statistical tests were conducted to understand relationships between AGC and SOC stocks. Results indicated that stem density increased with altitude, however the upland and the midland did not differ significantly while the lowland differs with both the midland and the upland. A similar pattern was observed for basal area and above-ground tree biomass (AGB), with no significant difference between the midland and upland whereas the lowland differed significantly from both the upland and the midland. SOC stocks varied significantly, being the largest in the upland, amounting to almost twice the size recorded in the midland or the lowland. SOC stocks indicated poor correlation (Pearson’s: r = 0.327, df = 47, p = 0.023) and poor interaction (Wald = 0.0008, df = 1, p = 0.977) with AGC. This study concludes that the relationship between AGC and SOC stocks was masked by other factors including soil types, precipitation and land management. The protocol used to test the relationships might also have contributed further to current observation. Overall, the lowland area, having low AGC and SOC stocks, requires management interventions aimed at increasing SOC stocks.","container-title":"Forests, Trees and Livelihoods","DOI":"10.1080/14728028.2016.1202790","ISSN":"1472-8028","issue":"4","note":"publisher: Taylor &amp; Francis\n_eprint: https://doi.org/10.1080/14728028.2016.1202790","page":"255-266","source":"Taylor and Francis+NEJM","title":"Relationships between on-farm tree stocks and soil organic carbon along an altitudinal gradient, Mount Kilimanjaro, Tanzania","volume":"25","author":[{"family":"Mathew","given":"Mathayo Mpanda"},{"family":"Majule","given":"Amos Enock"},{"family":"Sinclair","given":"Fergus"},{"family":"Marchant","given":"Rob"}],"issued":{"date-parts":[["2016",10,1]]}},"label":"page"},{"id":8967,"uris":["http://zotero.org/users/7267932/items/HE253297"],"itemData":{"id":8967,"type":"webpage","abstract":"Explore millions of resources from scholarly journals, books, newspapers, videos and more, on the ProQuest Platform.","language":"en","title":"Forest recovery and carbon sequestration under shifting cultivation in the Eastern Arc Mountains, Tanzania: Landscape and landuse effects - ProQuest","title-short":"Forest recovery and carbon sequestration under shifting cultivation in the Eastern Arc Mountains, Tanzania","URL":"https://www.proquest.com/openview/373466c4c2069edd017a5df0f4493428/1?pq-origsite=gscholar&amp;cbl=18750","author":[{"family":"Mwampamba","given":"Tuyeni"}],"accessed":{"date-parts":[["2024",4,1]]},"issued":{"date-parts":[["2009"]]}},"label":"page"}],"schema":"https://github.com/citation-style-language/schema/raw/master/csl-citation.json"} </w:instrText>
      </w:r>
      <w:r w:rsidRPr="006C7A10">
        <w:rPr>
          <w:rFonts w:asciiTheme="minorHAnsi" w:eastAsiaTheme="minorEastAsia" w:hAnsiTheme="minorHAnsi" w:cstheme="minorHAnsi"/>
          <w:kern w:val="2"/>
          <w:lang w:val="en-US" w:bidi="ar-SA"/>
        </w:rPr>
        <w:fldChar w:fldCharType="separate"/>
      </w:r>
      <w:r w:rsidRPr="006C7A10">
        <w:rPr>
          <w:rFonts w:asciiTheme="minorHAnsi" w:eastAsiaTheme="minorEastAsia" w:hAnsiTheme="minorHAnsi" w:cstheme="minorHAnsi"/>
          <w:kern w:val="2"/>
          <w:lang w:val="en-US" w:bidi="ar-SA"/>
        </w:rPr>
        <w:t>Mwampamba, 2009 and Mathew et al., 2016)</w:t>
      </w:r>
      <w:r w:rsidRPr="006C7A10">
        <w:rPr>
          <w:rFonts w:asciiTheme="minorHAnsi" w:eastAsiaTheme="minorEastAsia" w:hAnsiTheme="minorHAnsi" w:cstheme="minorHAnsi"/>
          <w:kern w:val="2"/>
          <w:lang w:val="en-US" w:bidi="ar-SA"/>
        </w:rPr>
        <w:fldChar w:fldCharType="end"/>
      </w:r>
      <w:r w:rsidRPr="006C7A10">
        <w:rPr>
          <w:rFonts w:asciiTheme="minorHAnsi" w:eastAsiaTheme="minorEastAsia" w:hAnsiTheme="minorHAnsi" w:cstheme="minorHAnsi"/>
          <w:kern w:val="2"/>
          <w:lang w:val="en-US" w:bidi="ar-SA"/>
        </w:rPr>
        <w:t xml:space="preserve">. The baseline population of </w:t>
      </w:r>
      <w:r w:rsidR="00E52ACF" w:rsidRPr="006C7A10">
        <w:rPr>
          <w:rFonts w:asciiTheme="minorHAnsi" w:eastAsiaTheme="minorEastAsia" w:hAnsiTheme="minorHAnsi" w:cstheme="minorHAnsi"/>
          <w:kern w:val="2"/>
          <w:lang w:val="en-US" w:bidi="ar-SA"/>
        </w:rPr>
        <w:t>African savanna elephant</w:t>
      </w:r>
      <w:r w:rsidRPr="006C7A10">
        <w:rPr>
          <w:rFonts w:asciiTheme="minorHAnsi" w:eastAsiaTheme="minorEastAsia" w:hAnsiTheme="minorHAnsi" w:cstheme="minorHAnsi"/>
          <w:kern w:val="2"/>
          <w:lang w:val="en-US" w:bidi="ar-SA"/>
        </w:rPr>
        <w:t>s and the rate of change over time were estimated by experts and complemented by fiel</w:t>
      </w:r>
      <w:r w:rsidRPr="006C7A10">
        <w:rPr>
          <w:rFonts w:asciiTheme="minorHAnsi" w:eastAsiaTheme="minorEastAsia" w:hAnsiTheme="minorHAnsi" w:cstheme="minorHAnsi"/>
          <w:kern w:val="2"/>
          <w:lang w:val="en-US" w:bidi="ar-SA"/>
        </w:rPr>
        <w:fldChar w:fldCharType="begin"/>
      </w:r>
      <w:r w:rsidRPr="006C7A10">
        <w:rPr>
          <w:rFonts w:asciiTheme="minorHAnsi" w:eastAsiaTheme="minorEastAsia" w:hAnsiTheme="minorHAnsi" w:cstheme="minorHAnsi"/>
          <w:kern w:val="2"/>
          <w:lang w:val="en-US" w:bidi="ar-SA"/>
        </w:rPr>
        <w:instrText xml:space="preserve"> ADDIN ZOTERO_ITEM CSL_CITATION {"citationID":"TQZTEiU0","properties":{"formattedCitation":"(Mduma et al., 2010)","plainCitation":"(Mduma et al., 2010)","dontUpdate":true,"noteIndex":0},"citationItems":[{"id":9109,"uris":["http://zotero.org/users/7267932/items/QGYNITA3"],"itemData":{"id":9109,"type":"report","event-place":"Tanzania","publisher":"Tanzania Wildlife Research Institute","publisher-place":"Tanzania","title":"Tanzania Elephant Management Plan: 2010-2015","author":[{"family":"Mduma","given":"Simon"},{"family":"Lobora","given":"Alexander"},{"family":"Foley","given":"Charles"},{"family":"Jones","given":"Trevos"}],"issued":{"date-parts":[["2010"]]}}}],"schema":"https://github.com/citation-style-language/schema/raw/master/csl-citation.json"} </w:instrText>
      </w:r>
      <w:r w:rsidRPr="006C7A10">
        <w:rPr>
          <w:rFonts w:asciiTheme="minorHAnsi" w:eastAsiaTheme="minorEastAsia" w:hAnsiTheme="minorHAnsi" w:cstheme="minorHAnsi"/>
          <w:kern w:val="2"/>
          <w:lang w:val="en-US" w:bidi="ar-SA"/>
        </w:rPr>
        <w:fldChar w:fldCharType="separate"/>
      </w:r>
      <w:r w:rsidRPr="006C7A10">
        <w:rPr>
          <w:rFonts w:asciiTheme="minorHAnsi" w:eastAsiaTheme="minorEastAsia" w:hAnsiTheme="minorHAnsi" w:cstheme="minorHAnsi"/>
          <w:kern w:val="2"/>
          <w:lang w:val="en-US" w:bidi="ar-SA"/>
        </w:rPr>
        <w:t>d evidence from Mduma et al. (2010)</w:t>
      </w:r>
      <w:r w:rsidRPr="006C7A10">
        <w:rPr>
          <w:rFonts w:asciiTheme="minorHAnsi" w:eastAsiaTheme="minorEastAsia" w:hAnsiTheme="minorHAnsi" w:cstheme="minorHAnsi"/>
          <w:kern w:val="2"/>
          <w:lang w:val="en-US" w:bidi="ar-SA"/>
        </w:rPr>
        <w:fldChar w:fldCharType="end"/>
      </w:r>
      <w:r w:rsidRPr="006C7A10">
        <w:rPr>
          <w:rFonts w:asciiTheme="minorHAnsi" w:eastAsiaTheme="minorEastAsia" w:hAnsiTheme="minorHAnsi" w:cstheme="minorHAnsi"/>
          <w:kern w:val="2"/>
          <w:lang w:val="en-US" w:bidi="ar-SA"/>
        </w:rPr>
        <w:t xml:space="preserve"> and report from the </w:t>
      </w:r>
      <w:r w:rsidRPr="006C7A10">
        <w:rPr>
          <w:rFonts w:asciiTheme="minorHAnsi" w:eastAsiaTheme="minorEastAsia" w:hAnsiTheme="minorHAnsi" w:cstheme="minorHAnsi"/>
          <w:kern w:val="2"/>
          <w:lang w:val="en-US" w:bidi="ar-SA"/>
        </w:rPr>
        <w:fldChar w:fldCharType="begin"/>
      </w:r>
      <w:r w:rsidRPr="006C7A10">
        <w:rPr>
          <w:rFonts w:asciiTheme="minorHAnsi" w:eastAsiaTheme="minorEastAsia" w:hAnsiTheme="minorHAnsi" w:cstheme="minorHAnsi"/>
          <w:kern w:val="2"/>
          <w:lang w:val="en-US" w:bidi="ar-SA"/>
        </w:rPr>
        <w:instrText xml:space="preserve"> ADDIN ZOTERO_ITEM CSL_CITATION {"citationID":"OoJEtJpL","properties":{"formattedCitation":"(Southern Tanzania Elephant Program and Wildlife Connection, 2016)","plainCitation":"(Southern Tanzania Elephant Program and Wildlife Connection, 2016)","dontUpdate":true,"noteIndex":0},"citationItems":[{"id":8924,"uris":["http://zotero.org/users/7267932/items/LYKKACLD"],"itemData":{"id":8924,"type":"report","genre":"Unpublished technical report","title":"Towards Human-Elephant Coexistence in the Ruaha Ecosystem: An assessment of human-elephant interactions, elephant corridors, and community attitudes around Ruaha National Park, Tanzania.","author":[{"family":"Southern Tanzania Elephant Program and Wildlife Connection","given":""}],"issued":{"date-parts":[["2016"]]}}}],"schema":"https://github.com/citation-style-language/schema/raw/master/csl-citation.json"} </w:instrText>
      </w:r>
      <w:r w:rsidRPr="006C7A10">
        <w:rPr>
          <w:rFonts w:asciiTheme="minorHAnsi" w:eastAsiaTheme="minorEastAsia" w:hAnsiTheme="minorHAnsi" w:cstheme="minorHAnsi"/>
          <w:kern w:val="2"/>
          <w:lang w:val="en-US" w:bidi="ar-SA"/>
        </w:rPr>
        <w:fldChar w:fldCharType="separate"/>
      </w:r>
      <w:r w:rsidRPr="006C7A10">
        <w:rPr>
          <w:rFonts w:asciiTheme="minorHAnsi" w:eastAsiaTheme="minorEastAsia" w:hAnsiTheme="minorHAnsi" w:cstheme="minorHAnsi"/>
          <w:kern w:val="2"/>
          <w:lang w:val="en-US" w:bidi="ar-SA"/>
        </w:rPr>
        <w:t>Southern Tanzania Elephant Program and Wildlife Connection, (2016)</w:t>
      </w:r>
      <w:r w:rsidRPr="006C7A10">
        <w:rPr>
          <w:rFonts w:asciiTheme="minorHAnsi" w:eastAsiaTheme="minorEastAsia" w:hAnsiTheme="minorHAnsi" w:cstheme="minorHAnsi"/>
          <w:kern w:val="2"/>
          <w:lang w:val="en-US" w:bidi="ar-SA"/>
        </w:rPr>
        <w:fldChar w:fldCharType="end"/>
      </w:r>
      <w:r w:rsidRPr="006C7A10">
        <w:rPr>
          <w:rFonts w:asciiTheme="minorHAnsi" w:eastAsiaTheme="minorEastAsia" w:hAnsiTheme="minorHAnsi" w:cstheme="minorHAnsi"/>
          <w:kern w:val="2"/>
          <w:lang w:val="en-US" w:bidi="ar-SA"/>
        </w:rPr>
        <w:t>. Both basal area (</w:t>
      </w:r>
      <w:proofErr w:type="spellStart"/>
      <w:r w:rsidRPr="006C7A10">
        <w:rPr>
          <w:rFonts w:asciiTheme="minorHAnsi" w:eastAsiaTheme="minorEastAsia" w:hAnsiTheme="minorHAnsi" w:cstheme="minorHAnsi"/>
          <w:i/>
          <w:iCs/>
          <w:kern w:val="2"/>
          <w:lang w:val="en-US" w:bidi="ar-SA"/>
        </w:rPr>
        <w:t>Basal_area</w:t>
      </w:r>
      <w:proofErr w:type="spellEnd"/>
      <w:r w:rsidRPr="006C7A10">
        <w:rPr>
          <w:rFonts w:asciiTheme="minorHAnsi" w:eastAsiaTheme="minorEastAsia" w:hAnsiTheme="minorHAnsi" w:cstheme="minorHAnsi"/>
          <w:kern w:val="2"/>
          <w:lang w:val="en-US" w:bidi="ar-SA"/>
        </w:rPr>
        <w:t xml:space="preserve">) and </w:t>
      </w:r>
      <w:r w:rsidR="00E52ACF" w:rsidRPr="006C7A10">
        <w:rPr>
          <w:rFonts w:asciiTheme="minorHAnsi" w:eastAsiaTheme="minorEastAsia" w:hAnsiTheme="minorHAnsi" w:cstheme="minorHAnsi"/>
          <w:kern w:val="2"/>
          <w:lang w:val="en-US" w:bidi="ar-SA"/>
        </w:rPr>
        <w:t>African savanna elephants</w:t>
      </w:r>
      <w:r w:rsidRPr="006C7A10">
        <w:rPr>
          <w:rFonts w:asciiTheme="minorHAnsi" w:eastAsiaTheme="minorEastAsia" w:hAnsiTheme="minorHAnsi" w:cstheme="minorHAnsi"/>
          <w:kern w:val="2"/>
          <w:lang w:val="en-US" w:bidi="ar-SA"/>
        </w:rPr>
        <w:t xml:space="preserve"> population (</w:t>
      </w:r>
      <m:oMath>
        <m:r>
          <w:rPr>
            <w:rFonts w:ascii="Cambria Math" w:eastAsiaTheme="minorEastAsia" w:hAnsi="Cambria Math" w:cstheme="minorHAnsi"/>
            <w:kern w:val="2"/>
            <w:lang w:val="en-US" w:bidi="ar-SA"/>
          </w:rPr>
          <m:t>Elephant</m:t>
        </m:r>
        <m:r>
          <m:rPr>
            <m:sty m:val="p"/>
          </m:rPr>
          <w:rPr>
            <w:rFonts w:ascii="Cambria Math" w:eastAsiaTheme="minorEastAsia" w:hAnsi="Cambria Math" w:cstheme="minorHAnsi"/>
            <w:kern w:val="2"/>
            <w:lang w:val="en-US" w:bidi="ar-SA"/>
          </w:rPr>
          <m:t>_</m:t>
        </m:r>
        <m:r>
          <w:rPr>
            <w:rFonts w:ascii="Cambria Math" w:eastAsiaTheme="minorEastAsia" w:hAnsi="Cambria Math" w:cstheme="minorHAnsi"/>
            <w:kern w:val="2"/>
            <w:lang w:val="en-US" w:bidi="ar-SA"/>
          </w:rPr>
          <m:t>popl)</m:t>
        </m:r>
      </m:oMath>
      <w:r w:rsidRPr="006C7A10">
        <w:rPr>
          <w:rFonts w:asciiTheme="minorHAnsi" w:eastAsiaTheme="minorEastAsia" w:hAnsiTheme="minorHAnsi" w:cstheme="minorHAnsi"/>
          <w:kern w:val="2"/>
          <w:lang w:val="en-US" w:bidi="ar-SA"/>
        </w:rPr>
        <w:t xml:space="preserve"> estimates were adjusted to account for the potential loss due to the occurrence of droughts as an important risk (see equations </w:t>
      </w:r>
      <w:r w:rsidR="00C441AE" w:rsidRPr="006C7A10">
        <w:rPr>
          <w:rFonts w:asciiTheme="minorHAnsi" w:eastAsiaTheme="minorEastAsia" w:hAnsiTheme="minorHAnsi" w:cstheme="minorHAnsi"/>
          <w:kern w:val="2"/>
          <w:lang w:val="en-US" w:bidi="ar-SA"/>
        </w:rPr>
        <w:t>A.</w:t>
      </w:r>
      <w:r w:rsidRPr="006C7A10">
        <w:rPr>
          <w:rFonts w:asciiTheme="minorHAnsi" w:eastAsiaTheme="minorEastAsia" w:hAnsiTheme="minorHAnsi" w:cstheme="minorHAnsi"/>
          <w:kern w:val="2"/>
          <w:lang w:val="en-US" w:bidi="ar-SA"/>
        </w:rPr>
        <w:t xml:space="preserve">4 and </w:t>
      </w:r>
      <w:r w:rsidR="00C441AE" w:rsidRPr="006C7A10">
        <w:rPr>
          <w:rFonts w:asciiTheme="minorHAnsi" w:eastAsiaTheme="minorEastAsia" w:hAnsiTheme="minorHAnsi" w:cstheme="minorHAnsi"/>
          <w:kern w:val="2"/>
          <w:lang w:val="en-US" w:bidi="ar-SA"/>
        </w:rPr>
        <w:t>A.</w:t>
      </w:r>
      <w:r w:rsidRPr="006C7A10">
        <w:rPr>
          <w:rFonts w:asciiTheme="minorHAnsi" w:eastAsiaTheme="minorEastAsia" w:hAnsiTheme="minorHAnsi" w:cstheme="minorHAnsi"/>
          <w:kern w:val="2"/>
          <w:lang w:val="en-US" w:bidi="ar-SA"/>
        </w:rPr>
        <w:t xml:space="preserve">5).  </w:t>
      </w:r>
    </w:p>
    <w:p w:rsidR="00B522E0" w:rsidRPr="006C7A10" w:rsidRDefault="00361811" w:rsidP="00B522E0">
      <w:pPr>
        <w:pStyle w:val="Textbody"/>
        <w:spacing w:before="240" w:line="360" w:lineRule="auto"/>
        <w:jc w:val="center"/>
        <w:rPr>
          <w:rFonts w:asciiTheme="minorHAnsi" w:eastAsiaTheme="minorEastAsia" w:hAnsiTheme="minorHAnsi" w:cstheme="minorHAnsi"/>
          <w:kern w:val="2"/>
          <w:lang w:val="en-US" w:bidi="ar-SA"/>
        </w:rPr>
      </w:pP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Basal</m:t>
            </m:r>
            <m:r>
              <m:rPr>
                <m:sty m:val="p"/>
              </m:rPr>
              <w:rPr>
                <w:rFonts w:ascii="Cambria Math" w:eastAsiaTheme="minorEastAsia" w:hAnsi="Cambria Math" w:cstheme="minorHAnsi"/>
                <w:kern w:val="2"/>
                <w:lang w:val="en-US" w:bidi="ar-SA"/>
              </w:rPr>
              <m:t>_</m:t>
            </m:r>
            <m:r>
              <w:rPr>
                <w:rFonts w:ascii="Cambria Math" w:eastAsiaTheme="minorEastAsia" w:hAnsi="Cambria Math" w:cstheme="minorHAnsi"/>
                <w:kern w:val="2"/>
                <w:lang w:val="en-US" w:bidi="ar-SA"/>
              </w:rPr>
              <m:t>area</m:t>
            </m:r>
          </m:e>
          <m:sub>
            <m:r>
              <w:rPr>
                <w:rFonts w:ascii="Cambria Math" w:eastAsiaTheme="minorEastAsia" w:hAnsi="Cambria Math" w:cstheme="minorHAnsi"/>
                <w:kern w:val="2"/>
                <w:lang w:val="en-US" w:bidi="ar-SA"/>
              </w:rPr>
              <m:t>risk</m:t>
            </m:r>
            <m:r>
              <m:rPr>
                <m:sty m:val="p"/>
              </m:rPr>
              <w:rPr>
                <w:rFonts w:ascii="Cambria Math" w:eastAsiaTheme="minorEastAsia" w:hAnsi="Cambria Math" w:cstheme="minorHAnsi"/>
                <w:kern w:val="2"/>
                <w:lang w:val="en-US" w:bidi="ar-SA"/>
              </w:rPr>
              <m:t>_</m:t>
            </m:r>
            <m:r>
              <w:rPr>
                <w:rFonts w:ascii="Cambria Math" w:eastAsiaTheme="minorEastAsia" w:hAnsi="Cambria Math" w:cstheme="minorHAnsi"/>
                <w:kern w:val="2"/>
                <w:lang w:val="en-US" w:bidi="ar-SA"/>
              </w:rPr>
              <m:t>adjusted</m:t>
            </m:r>
          </m:sub>
        </m:sSub>
      </m:oMath>
      <w:r w:rsidR="00B522E0" w:rsidRPr="006C7A10">
        <w:rPr>
          <w:rFonts w:asciiTheme="minorHAnsi" w:eastAsiaTheme="minorEastAsia" w:hAnsiTheme="minorHAnsi" w:cstheme="minorHAnsi"/>
          <w:kern w:val="2"/>
          <w:lang w:val="en-US" w:bidi="ar-SA"/>
        </w:rPr>
        <w:t xml:space="preserve"> =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Basal</m:t>
            </m:r>
            <m:r>
              <m:rPr>
                <m:sty m:val="p"/>
              </m:rPr>
              <w:rPr>
                <w:rFonts w:ascii="Cambria Math" w:eastAsiaTheme="minorEastAsia" w:hAnsi="Cambria Math" w:cstheme="minorHAnsi"/>
                <w:kern w:val="2"/>
                <w:lang w:val="en-US" w:bidi="ar-SA"/>
              </w:rPr>
              <m:t>_</m:t>
            </m:r>
            <m:r>
              <w:rPr>
                <w:rFonts w:ascii="Cambria Math" w:eastAsiaTheme="minorEastAsia" w:hAnsi="Cambria Math" w:cstheme="minorHAnsi"/>
                <w:kern w:val="2"/>
                <w:lang w:val="en-US" w:bidi="ar-SA"/>
              </w:rPr>
              <m:t>area</m:t>
            </m:r>
          </m:e>
          <m:sub>
            <m:r>
              <w:rPr>
                <w:rFonts w:ascii="Cambria Math" w:eastAsiaTheme="minorEastAsia" w:hAnsi="Cambria Math" w:cstheme="minorHAnsi"/>
                <w:kern w:val="2"/>
                <w:lang w:val="en-US" w:bidi="ar-SA"/>
              </w:rPr>
              <m:t>non</m:t>
            </m:r>
            <m:r>
              <m:rPr>
                <m:sty m:val="p"/>
              </m:rPr>
              <w:rPr>
                <w:rFonts w:ascii="Cambria Math" w:eastAsiaTheme="minorEastAsia" w:hAnsi="Cambria Math" w:cstheme="minorHAnsi"/>
                <w:kern w:val="2"/>
                <w:lang w:val="en-US" w:bidi="ar-SA"/>
              </w:rPr>
              <m:t>-</m:t>
            </m:r>
            <m:r>
              <w:rPr>
                <w:rFonts w:ascii="Cambria Math" w:eastAsiaTheme="minorEastAsia" w:hAnsi="Cambria Math" w:cstheme="minorHAnsi"/>
                <w:kern w:val="2"/>
                <w:lang w:val="en-US" w:bidi="ar-SA"/>
              </w:rPr>
              <m:t>adjusted</m:t>
            </m:r>
          </m:sub>
        </m:sSub>
      </m:oMath>
      <w:r w:rsidR="00B522E0" w:rsidRPr="006C7A10">
        <w:rPr>
          <w:rFonts w:asciiTheme="minorHAnsi" w:eastAsiaTheme="minorEastAsia" w:hAnsiTheme="minorHAnsi" w:cstheme="minorHAnsi"/>
          <w:kern w:val="2"/>
          <w:lang w:val="en-US" w:bidi="ar-SA"/>
        </w:rPr>
        <w:t xml:space="preserve"> x (1 -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Risk</m:t>
            </m:r>
          </m:e>
          <m:sub>
            <m:r>
              <w:rPr>
                <w:rFonts w:ascii="Cambria Math" w:eastAsiaTheme="minorEastAsia" w:hAnsi="Cambria Math" w:cstheme="minorHAnsi"/>
                <w:kern w:val="2"/>
                <w:lang w:val="en-US" w:bidi="ar-SA"/>
              </w:rPr>
              <m:t>scaler</m:t>
            </m:r>
          </m:sub>
        </m:sSub>
      </m:oMath>
      <w:r w:rsidR="00B522E0" w:rsidRPr="006C7A10">
        <w:rPr>
          <w:rFonts w:asciiTheme="minorHAnsi" w:eastAsiaTheme="minorEastAsia" w:hAnsiTheme="minorHAnsi" w:cstheme="minorHAnsi"/>
          <w:kern w:val="2"/>
          <w:lang w:val="en-US" w:bidi="ar-SA"/>
        </w:rPr>
        <w:t>)                                 (</w:t>
      </w:r>
      <w:r w:rsidR="00C441AE" w:rsidRPr="006C7A10">
        <w:rPr>
          <w:rFonts w:asciiTheme="minorHAnsi" w:eastAsiaTheme="minorEastAsia" w:hAnsiTheme="minorHAnsi" w:cstheme="minorHAnsi"/>
          <w:kern w:val="2"/>
          <w:lang w:val="en-US" w:bidi="ar-SA"/>
        </w:rPr>
        <w:t>A.</w:t>
      </w:r>
      <w:r w:rsidR="00B522E0" w:rsidRPr="006C7A10">
        <w:rPr>
          <w:rFonts w:asciiTheme="minorHAnsi" w:eastAsiaTheme="minorEastAsia" w:hAnsiTheme="minorHAnsi" w:cstheme="minorHAnsi"/>
          <w:kern w:val="2"/>
          <w:lang w:val="en-US" w:bidi="ar-SA"/>
        </w:rPr>
        <w:t>4)</w:t>
      </w:r>
    </w:p>
    <w:p w:rsidR="00B522E0" w:rsidRPr="006C7A10" w:rsidRDefault="00361811" w:rsidP="00B522E0">
      <w:pPr>
        <w:pStyle w:val="Textbody"/>
        <w:spacing w:before="240" w:line="360" w:lineRule="auto"/>
        <w:jc w:val="center"/>
        <w:rPr>
          <w:rFonts w:asciiTheme="minorHAnsi" w:eastAsiaTheme="minorEastAsia" w:hAnsiTheme="minorHAnsi" w:cstheme="minorHAnsi"/>
          <w:kern w:val="2"/>
          <w:lang w:val="en-US" w:bidi="ar-SA"/>
        </w:rPr>
      </w:pP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Elephant</m:t>
            </m:r>
            <m:r>
              <m:rPr>
                <m:sty m:val="p"/>
              </m:rPr>
              <w:rPr>
                <w:rFonts w:ascii="Cambria Math" w:eastAsiaTheme="minorEastAsia" w:hAnsi="Cambria Math" w:cstheme="minorHAnsi"/>
                <w:kern w:val="2"/>
                <w:lang w:val="en-US" w:bidi="ar-SA"/>
              </w:rPr>
              <m:t>_</m:t>
            </m:r>
            <m:r>
              <w:rPr>
                <w:rFonts w:ascii="Cambria Math" w:eastAsiaTheme="minorEastAsia" w:hAnsi="Cambria Math" w:cstheme="minorHAnsi"/>
                <w:kern w:val="2"/>
                <w:lang w:val="en-US" w:bidi="ar-SA"/>
              </w:rPr>
              <m:t>popl</m:t>
            </m:r>
          </m:e>
          <m:sub>
            <m:r>
              <w:rPr>
                <w:rFonts w:ascii="Cambria Math" w:eastAsiaTheme="minorEastAsia" w:hAnsi="Cambria Math" w:cstheme="minorHAnsi"/>
                <w:kern w:val="2"/>
                <w:lang w:val="en-US" w:bidi="ar-SA"/>
              </w:rPr>
              <m:t>risk</m:t>
            </m:r>
            <m:r>
              <m:rPr>
                <m:sty m:val="p"/>
              </m:rPr>
              <w:rPr>
                <w:rFonts w:ascii="Cambria Math" w:eastAsiaTheme="minorEastAsia" w:hAnsi="Cambria Math" w:cstheme="minorHAnsi"/>
                <w:kern w:val="2"/>
                <w:lang w:val="en-US" w:bidi="ar-SA"/>
              </w:rPr>
              <m:t>_</m:t>
            </m:r>
            <m:r>
              <w:rPr>
                <w:rFonts w:ascii="Cambria Math" w:eastAsiaTheme="minorEastAsia" w:hAnsi="Cambria Math" w:cstheme="minorHAnsi"/>
                <w:kern w:val="2"/>
                <w:lang w:val="en-US" w:bidi="ar-SA"/>
              </w:rPr>
              <m:t>adjusted</m:t>
            </m:r>
          </m:sub>
        </m:sSub>
      </m:oMath>
      <w:r w:rsidR="00B522E0" w:rsidRPr="006C7A10">
        <w:rPr>
          <w:rFonts w:asciiTheme="minorHAnsi" w:eastAsiaTheme="minorEastAsia" w:hAnsiTheme="minorHAnsi" w:cstheme="minorHAnsi"/>
          <w:kern w:val="2"/>
          <w:lang w:val="en-US" w:bidi="ar-SA"/>
        </w:rPr>
        <w:t xml:space="preserve"> =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Elephant</m:t>
            </m:r>
            <m:r>
              <m:rPr>
                <m:sty m:val="p"/>
              </m:rPr>
              <w:rPr>
                <w:rFonts w:ascii="Cambria Math" w:eastAsiaTheme="minorEastAsia" w:hAnsi="Cambria Math" w:cstheme="minorHAnsi"/>
                <w:kern w:val="2"/>
                <w:lang w:val="en-US" w:bidi="ar-SA"/>
              </w:rPr>
              <m:t>_</m:t>
            </m:r>
            <m:r>
              <w:rPr>
                <w:rFonts w:ascii="Cambria Math" w:eastAsiaTheme="minorEastAsia" w:hAnsi="Cambria Math" w:cstheme="minorHAnsi"/>
                <w:kern w:val="2"/>
                <w:lang w:val="en-US" w:bidi="ar-SA"/>
              </w:rPr>
              <m:t>popl</m:t>
            </m:r>
          </m:e>
          <m:sub>
            <m:r>
              <w:rPr>
                <w:rFonts w:ascii="Cambria Math" w:eastAsiaTheme="minorEastAsia" w:hAnsi="Cambria Math" w:cstheme="minorHAnsi"/>
                <w:kern w:val="2"/>
                <w:lang w:val="en-US" w:bidi="ar-SA"/>
              </w:rPr>
              <m:t>non</m:t>
            </m:r>
            <m:r>
              <m:rPr>
                <m:sty m:val="p"/>
              </m:rPr>
              <w:rPr>
                <w:rFonts w:ascii="Cambria Math" w:eastAsiaTheme="minorEastAsia" w:hAnsi="Cambria Math" w:cstheme="minorHAnsi"/>
                <w:kern w:val="2"/>
                <w:lang w:val="en-US" w:bidi="ar-SA"/>
              </w:rPr>
              <m:t>-</m:t>
            </m:r>
            <m:r>
              <w:rPr>
                <w:rFonts w:ascii="Cambria Math" w:eastAsiaTheme="minorEastAsia" w:hAnsi="Cambria Math" w:cstheme="minorHAnsi"/>
                <w:kern w:val="2"/>
                <w:lang w:val="en-US" w:bidi="ar-SA"/>
              </w:rPr>
              <m:t>adjusted</m:t>
            </m:r>
          </m:sub>
        </m:sSub>
      </m:oMath>
      <w:r w:rsidR="00B522E0" w:rsidRPr="006C7A10">
        <w:rPr>
          <w:rFonts w:asciiTheme="minorHAnsi" w:eastAsiaTheme="minorEastAsia" w:hAnsiTheme="minorHAnsi" w:cstheme="minorHAnsi"/>
          <w:kern w:val="2"/>
          <w:lang w:val="en-US" w:bidi="ar-SA"/>
        </w:rPr>
        <w:t xml:space="preserve"> x (1 -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Risk</m:t>
            </m:r>
          </m:e>
          <m:sub>
            <m:r>
              <w:rPr>
                <w:rFonts w:ascii="Cambria Math" w:eastAsiaTheme="minorEastAsia" w:hAnsi="Cambria Math" w:cstheme="minorHAnsi"/>
                <w:kern w:val="2"/>
                <w:lang w:val="en-US" w:bidi="ar-SA"/>
              </w:rPr>
              <m:t>scaler</m:t>
            </m:r>
          </m:sub>
        </m:sSub>
      </m:oMath>
      <w:r w:rsidR="00B522E0" w:rsidRPr="006C7A10">
        <w:rPr>
          <w:rFonts w:asciiTheme="minorHAnsi" w:eastAsiaTheme="minorEastAsia" w:hAnsiTheme="minorHAnsi" w:cstheme="minorHAnsi"/>
          <w:kern w:val="2"/>
          <w:lang w:val="en-US" w:bidi="ar-SA"/>
        </w:rPr>
        <w:t>)                     (</w:t>
      </w:r>
      <w:r w:rsidR="00C441AE" w:rsidRPr="006C7A10">
        <w:rPr>
          <w:rFonts w:asciiTheme="minorHAnsi" w:eastAsiaTheme="minorEastAsia" w:hAnsiTheme="minorHAnsi" w:cstheme="minorHAnsi"/>
          <w:kern w:val="2"/>
          <w:lang w:val="en-US" w:bidi="ar-SA"/>
        </w:rPr>
        <w:t>A.</w:t>
      </w:r>
      <w:r w:rsidR="00B522E0" w:rsidRPr="006C7A10">
        <w:rPr>
          <w:rFonts w:asciiTheme="minorHAnsi" w:eastAsiaTheme="minorEastAsia" w:hAnsiTheme="minorHAnsi" w:cstheme="minorHAnsi"/>
          <w:kern w:val="2"/>
          <w:lang w:val="en-US" w:bidi="ar-SA"/>
        </w:rPr>
        <w:t>5)</w:t>
      </w:r>
    </w:p>
    <w:p w:rsidR="00B522E0" w:rsidRPr="006C7A10" w:rsidRDefault="00B522E0" w:rsidP="00B522E0">
      <w:pPr>
        <w:pStyle w:val="Textbody"/>
        <w:spacing w:before="240" w:line="360" w:lineRule="auto"/>
        <w:jc w:val="both"/>
        <w:rPr>
          <w:rFonts w:asciiTheme="minorHAnsi" w:eastAsiaTheme="minorEastAsia" w:hAnsiTheme="minorHAnsi" w:cstheme="minorHAnsi"/>
          <w:kern w:val="2"/>
          <w:lang w:val="en-US" w:bidi="ar-SA"/>
        </w:rPr>
      </w:pPr>
      <w:r w:rsidRPr="006C7A10">
        <w:rPr>
          <w:rFonts w:asciiTheme="minorHAnsi" w:eastAsiaTheme="minorEastAsia" w:hAnsiTheme="minorHAnsi" w:cstheme="minorHAnsi"/>
          <w:kern w:val="2"/>
          <w:lang w:val="en-US" w:bidi="ar-SA"/>
        </w:rPr>
        <w:t xml:space="preserve">We proceeded by quantifying the monetary values for the possible benefits of forest stock and </w:t>
      </w:r>
      <w:r w:rsidR="00E52ACF" w:rsidRPr="006C7A10">
        <w:rPr>
          <w:rFonts w:asciiTheme="minorHAnsi" w:eastAsiaTheme="minorEastAsia" w:hAnsiTheme="minorHAnsi" w:cstheme="minorHAnsi"/>
          <w:kern w:val="2"/>
          <w:lang w:val="en-US" w:bidi="ar-SA"/>
        </w:rPr>
        <w:t>African savanna elephant</w:t>
      </w:r>
      <w:r w:rsidRPr="006C7A10">
        <w:rPr>
          <w:rFonts w:asciiTheme="minorHAnsi" w:eastAsiaTheme="minorEastAsia" w:hAnsiTheme="minorHAnsi" w:cstheme="minorHAnsi"/>
          <w:kern w:val="2"/>
          <w:lang w:val="en-US" w:bidi="ar-SA"/>
        </w:rPr>
        <w:t xml:space="preserve"> population in the two corridors distinguishing between benefits for households and the government. Farmers can benefit from conservation through an increasing availability of ecosystem services supporting livelihood activities. For example, cage-based butterfly farming—a lucrative business in the Eastern Arc Mountain of Tanzania depends on landscape connectivity as a sustainable source of butterfly breeding (Morgan-Brown et al., 2010). Net benefits from potential alternative livelihood activities </w:t>
      </w:r>
      <m:oMath>
        <m:d>
          <m:dPr>
            <m:ctrlPr>
              <w:rPr>
                <w:rFonts w:ascii="Cambria Math" w:eastAsiaTheme="minorEastAsia" w:hAnsi="Cambria Math" w:cstheme="minorHAnsi"/>
                <w:kern w:val="2"/>
                <w:lang w:val="en-US" w:bidi="ar-SA"/>
              </w:rPr>
            </m:ctrlPr>
          </m:dPr>
          <m:e>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Benefit</m:t>
                </m:r>
              </m:e>
              <m:sub>
                <m:r>
                  <w:rPr>
                    <w:rFonts w:ascii="Cambria Math" w:eastAsiaTheme="minorEastAsia" w:hAnsi="Cambria Math" w:cstheme="minorHAnsi"/>
                    <w:kern w:val="2"/>
                    <w:lang w:val="en-US" w:bidi="ar-SA"/>
                  </w:rPr>
                  <m:t>livhd</m:t>
                </m:r>
              </m:sub>
            </m:sSub>
          </m:e>
        </m:d>
      </m:oMath>
      <w:r w:rsidRPr="006C7A10">
        <w:rPr>
          <w:rFonts w:asciiTheme="minorHAnsi" w:eastAsiaTheme="minorEastAsia" w:hAnsiTheme="minorHAnsi" w:cstheme="minorHAnsi"/>
          <w:kern w:val="2"/>
          <w:lang w:val="en-US" w:bidi="ar-SA"/>
        </w:rPr>
        <w:t xml:space="preserve"> were estimated as household benefits associated with landscape connectivity. Household income from tourism </w:t>
      </w:r>
      <m:oMath>
        <m:d>
          <m:dPr>
            <m:ctrlPr>
              <w:rPr>
                <w:rFonts w:ascii="Cambria Math" w:eastAsiaTheme="minorEastAsia" w:hAnsi="Cambria Math" w:cstheme="minorHAnsi"/>
                <w:kern w:val="2"/>
                <w:lang w:val="en-US" w:bidi="ar-SA"/>
              </w:rPr>
            </m:ctrlPr>
          </m:dPr>
          <m:e>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Benefit</m:t>
                </m:r>
              </m:e>
              <m:sub>
                <m:r>
                  <w:rPr>
                    <w:rFonts w:ascii="Cambria Math" w:eastAsiaTheme="minorEastAsia" w:hAnsi="Cambria Math" w:cstheme="minorHAnsi"/>
                    <w:kern w:val="2"/>
                    <w:lang w:val="en-US" w:bidi="ar-SA"/>
                  </w:rPr>
                  <m:t>trsm</m:t>
                </m:r>
                <m:r>
                  <m:rPr>
                    <m:sty m:val="p"/>
                  </m:rPr>
                  <w:rPr>
                    <w:rFonts w:ascii="Cambria Math" w:eastAsiaTheme="minorEastAsia" w:hAnsi="Cambria Math" w:cstheme="minorHAnsi"/>
                    <w:kern w:val="2"/>
                    <w:lang w:val="en-US" w:bidi="ar-SA"/>
                  </w:rPr>
                  <m:t>_</m:t>
                </m:r>
                <m:r>
                  <w:rPr>
                    <w:rFonts w:ascii="Cambria Math" w:eastAsiaTheme="minorEastAsia" w:hAnsi="Cambria Math" w:cstheme="minorHAnsi"/>
                    <w:kern w:val="2"/>
                    <w:lang w:val="en-US" w:bidi="ar-SA"/>
                  </w:rPr>
                  <m:t>hh</m:t>
                </m:r>
              </m:sub>
            </m:sSub>
          </m:e>
        </m:d>
      </m:oMath>
      <w:r w:rsidRPr="006C7A10">
        <w:rPr>
          <w:rFonts w:asciiTheme="minorHAnsi" w:eastAsiaTheme="minorEastAsia" w:hAnsiTheme="minorHAnsi" w:cstheme="minorHAnsi"/>
          <w:kern w:val="2"/>
          <w:lang w:val="en-US" w:bidi="ar-SA"/>
        </w:rPr>
        <w:t xml:space="preserve"> such as employment opportunities was estimated separately from other livelihood activities. We also include the net benefits of crop farming </w:t>
      </w:r>
      <m:oMath>
        <m:d>
          <m:dPr>
            <m:ctrlPr>
              <w:rPr>
                <w:rFonts w:ascii="Cambria Math" w:eastAsiaTheme="minorEastAsia" w:hAnsi="Cambria Math" w:cstheme="minorHAnsi"/>
                <w:kern w:val="2"/>
                <w:lang w:val="en-US" w:bidi="ar-SA"/>
              </w:rPr>
            </m:ctrlPr>
          </m:dPr>
          <m:e>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Benefit</m:t>
                </m:r>
              </m:e>
              <m:sub>
                <m:r>
                  <w:rPr>
                    <w:rFonts w:ascii="Cambria Math" w:eastAsiaTheme="minorEastAsia" w:hAnsi="Cambria Math" w:cstheme="minorHAnsi"/>
                    <w:kern w:val="2"/>
                    <w:lang w:val="en-US" w:bidi="ar-SA"/>
                  </w:rPr>
                  <m:t>crop</m:t>
                </m:r>
              </m:sub>
            </m:sSub>
          </m:e>
        </m:d>
      </m:oMath>
      <w:r w:rsidRPr="006C7A10">
        <w:rPr>
          <w:rFonts w:asciiTheme="minorHAnsi" w:eastAsiaTheme="minorEastAsia" w:hAnsiTheme="minorHAnsi" w:cstheme="minorHAnsi"/>
          <w:kern w:val="2"/>
          <w:lang w:val="en-US" w:bidi="ar-SA"/>
        </w:rPr>
        <w:t xml:space="preserve"> per hectare and net income from livestock keeping </w:t>
      </w:r>
      <m:oMath>
        <m:d>
          <m:dPr>
            <m:ctrlPr>
              <w:rPr>
                <w:rFonts w:ascii="Cambria Math" w:eastAsiaTheme="minorEastAsia" w:hAnsi="Cambria Math" w:cstheme="minorHAnsi"/>
                <w:kern w:val="2"/>
                <w:lang w:val="en-US" w:bidi="ar-SA"/>
              </w:rPr>
            </m:ctrlPr>
          </m:dPr>
          <m:e>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Benefit</m:t>
                </m:r>
              </m:e>
              <m:sub>
                <m:r>
                  <w:rPr>
                    <w:rFonts w:ascii="Cambria Math" w:eastAsiaTheme="minorEastAsia" w:hAnsi="Cambria Math" w:cstheme="minorHAnsi"/>
                    <w:kern w:val="2"/>
                    <w:lang w:val="en-US" w:bidi="ar-SA"/>
                  </w:rPr>
                  <m:t>lvsk</m:t>
                </m:r>
              </m:sub>
            </m:sSub>
          </m:e>
        </m:d>
      </m:oMath>
      <w:r w:rsidRPr="006C7A10">
        <w:rPr>
          <w:rFonts w:asciiTheme="minorHAnsi" w:eastAsiaTheme="minorEastAsia" w:hAnsiTheme="minorHAnsi" w:cstheme="minorHAnsi"/>
          <w:kern w:val="2"/>
          <w:lang w:val="en-US" w:bidi="ar-SA"/>
        </w:rPr>
        <w:t xml:space="preserve"> for </w:t>
      </w:r>
      <w:r w:rsidRPr="006C7A10">
        <w:rPr>
          <w:rFonts w:asciiTheme="minorHAnsi" w:eastAsiaTheme="minorEastAsia" w:hAnsiTheme="minorHAnsi" w:cstheme="minorHAnsi"/>
          <w:kern w:val="2"/>
          <w:lang w:val="en-US" w:bidi="ar-SA"/>
        </w:rPr>
        <w:lastRenderedPageBreak/>
        <w:t xml:space="preserve">farmers who decided not to conserve. Lastly, we included the existence or bequest value of </w:t>
      </w:r>
      <w:r w:rsidR="00E52ACF" w:rsidRPr="006C7A10">
        <w:rPr>
          <w:rFonts w:asciiTheme="minorHAnsi" w:eastAsiaTheme="minorEastAsia" w:hAnsiTheme="minorHAnsi" w:cstheme="minorHAnsi"/>
          <w:kern w:val="2"/>
          <w:lang w:val="en-US" w:bidi="ar-SA"/>
        </w:rPr>
        <w:t>African savanna elephant</w:t>
      </w:r>
      <w:r w:rsidRPr="006C7A10">
        <w:rPr>
          <w:rFonts w:asciiTheme="minorHAnsi" w:eastAsiaTheme="minorEastAsia" w:hAnsiTheme="minorHAnsi" w:cstheme="minorHAnsi"/>
          <w:kern w:val="2"/>
          <w:lang w:val="en-US" w:bidi="ar-SA"/>
        </w:rPr>
        <w:t xml:space="preserve">s </w:t>
      </w:r>
      <m:oMath>
        <m:d>
          <m:dPr>
            <m:ctrlPr>
              <w:rPr>
                <w:rFonts w:ascii="Cambria Math" w:eastAsiaTheme="minorEastAsia" w:hAnsi="Cambria Math" w:cstheme="minorHAnsi"/>
                <w:kern w:val="2"/>
                <w:lang w:val="en-US" w:bidi="ar-SA"/>
              </w:rPr>
            </m:ctrlPr>
          </m:dPr>
          <m:e>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Benefit</m:t>
                </m:r>
              </m:e>
              <m:sub>
                <m:r>
                  <w:rPr>
                    <w:rFonts w:ascii="Cambria Math" w:eastAsiaTheme="minorEastAsia" w:hAnsi="Cambria Math" w:cstheme="minorHAnsi"/>
                    <w:kern w:val="2"/>
                    <w:lang w:val="en-US" w:bidi="ar-SA"/>
                  </w:rPr>
                  <m:t>elpnt_hh</m:t>
                </m:r>
              </m:sub>
            </m:sSub>
          </m:e>
        </m:d>
      </m:oMath>
      <w:r w:rsidRPr="006C7A10">
        <w:rPr>
          <w:rFonts w:asciiTheme="minorHAnsi" w:eastAsiaTheme="minorEastAsia" w:hAnsiTheme="minorHAnsi" w:cstheme="minorHAnsi"/>
          <w:kern w:val="2"/>
          <w:lang w:val="en-US" w:bidi="ar-SA"/>
        </w:rPr>
        <w:t xml:space="preserve"> from farmers’ perspectives. Here, our estimate was based on contingent valuation literature of African </w:t>
      </w:r>
      <w:r w:rsidR="00E52ACF" w:rsidRPr="006C7A10">
        <w:rPr>
          <w:rFonts w:asciiTheme="minorHAnsi" w:eastAsiaTheme="minorEastAsia" w:hAnsiTheme="minorHAnsi" w:cstheme="minorHAnsi"/>
          <w:kern w:val="2"/>
          <w:lang w:val="en-US" w:bidi="ar-SA"/>
        </w:rPr>
        <w:t>savanna elephant</w:t>
      </w:r>
      <w:r w:rsidRPr="006C7A10">
        <w:rPr>
          <w:rFonts w:asciiTheme="minorHAnsi" w:eastAsiaTheme="minorEastAsia" w:hAnsiTheme="minorHAnsi" w:cstheme="minorHAnsi"/>
          <w:kern w:val="2"/>
          <w:lang w:val="en-US" w:bidi="ar-SA"/>
        </w:rPr>
        <w:t xml:space="preserve">s from SSA </w:t>
      </w:r>
      <w:r w:rsidRPr="006C7A10">
        <w:rPr>
          <w:rFonts w:asciiTheme="minorHAnsi" w:eastAsiaTheme="minorEastAsia" w:hAnsiTheme="minorHAnsi" w:cstheme="minorHAnsi"/>
          <w:kern w:val="2"/>
          <w:lang w:val="en-US" w:bidi="ar-SA"/>
        </w:rPr>
        <w:fldChar w:fldCharType="begin"/>
      </w:r>
      <w:r w:rsidRPr="006C7A10">
        <w:rPr>
          <w:rFonts w:asciiTheme="minorHAnsi" w:eastAsiaTheme="minorEastAsia" w:hAnsiTheme="minorHAnsi" w:cstheme="minorHAnsi"/>
          <w:kern w:val="2"/>
          <w:lang w:val="en-US" w:bidi="ar-SA"/>
        </w:rPr>
        <w:instrText xml:space="preserve"> ADDIN ZOTERO_ITEM CSL_CITATION {"citationID":"ew8hhql7","properties":{"formattedCitation":"(Laws et al., 2020; Muchapondwa et al., 2008; Newton et al., 2012; Ngouhouo Poufoun et al., 2016)","plainCitation":"(Laws et al., 2020; Muchapondwa et al., 2008; Newton et al., 2012; Ngouhouo Poufoun et al., 2016)","dontUpdate":true,"noteIndex":0},"citationItems":[{"id":8931,"uris":["http://zotero.org/users/7267932/items/79DKKA4X"],"itemData":{"id":8931,"type":"book","abstract":"Elephant tourism is a growing activity in many countries across Asia and Africa and is popular with tourists from all parts of the world. Elephant tourism has grown rapidly, providing the only viable way for elephants and their owners to survive since the banning of logging. Old logging camps have been developed into sanctuaries for some elephants, but many other camps were established as entertainment centres, resulting in serious welfare issues for the elephants and their mahouts. The profits from elephant tourism in Asia have encouraged African operators to follow a similar business model. This book draws attention to the need for a comprehensive and rigorous focus on local solutions to improve the welfare of captive elephants, their mahouts and local residents, and to enhance tourists&amp;#39; experiences of elephant tourism.","ISBN":"978-1-78924-586-8","language":"en","note":"Google-Books-ID: XTELEAAAQBAJ","number-of-pages":"336","publisher":"CABI","source":"Google Books","title":"The Elephant Tourism Business","author":[{"family":"Laws","given":"Eric"},{"family":"Scott","given":"Noel"},{"family":"Font","given":"Xavier"},{"family":"Koldowski","given":"John"}],"issued":{"date-parts":[["2020",11,23]]}},"label":"page"},{"id":8935,"uris":["http://zotero.org/users/7267932/items/39CMDDHP"],"itemData":{"id":8935,"type":"article-journal","abstract":"If communities living adjacent to the elephant see it as a burden, then they cannot be its stewards. To assess their valuation of it, a contingent valuation method study was conducted for one CAMPFIRE district in Zimbabwe. Respondents were classified according to their preferences over the elephant. The median willingness to pay for the preservation of 200 elephants is ZW\\260 (US\\4.73) for respondents who considered the elephant a public good and ZW\\137 (US\\2.49) for those favouring its translocation. The preservation of 200 elephants yields an annual net worth of ZW\\10,828 (US\\196) to CAMPFIRE households. However, the majority of households (62%) do not support elephant preservation. This is one argument against devolution of elephant conservation. External transfers constitute one way of providing additional economic incentives to local communities.","container-title":"South African Journal of Economics","DOI":"10.1111/j.1813-6982.2008.00182.x","ISSN":"1813-6982","issue":"4","language":"en","license":"© 2008 The Author. Journal compilation © 2008 Economic Society of South Africa","note":"_eprint: https://onlinelibrary.wiley.com/doi/pdf/10.1111/j.1813-6982.2008.00182.x","page":"685-704","source":"Wiley Online Library","title":"Wildlife Management in Zimbabwe: Evidence from a Contingent Valuation Study","title-short":"Wildlife Management in Zimbabwe","volume":"76","author":[{"family":"Muchapondwa","given":"Edwin"},{"family":"Carlsson","given":"Fredrik"},{"family":"Köhlin","given":"Gunnar"}],"issued":{"date-parts":[["2008"]]}},"label":"page"},{"id":6744,"uris":["http://zotero.org/users/7267932/items/BKTS69X4"],"itemData":{"id":6744,"type":"article-journal","abstract":"1. The development of ecological networks could enhance the ability of species to disperse across fragmented landscapes and could mitigate against the negative impacts of climate change. The development of such networks will require widespread ecological restoration at the landscape scale, which is likely to be costly. However, little information is available regarding the cost-effectiveness of restoration approaches. 2. We address this knowledge gap by examining the potential impact of landscape-scale habitat restoration on the value of multiple ecosystem services across the catchment of the River Frome in Dorset, England. This was achieved by mapping the market value of four ecosystem services (carbon storage, crops, livestock and timber) under three different restoration scenarios, estimating restoration costs, and calculating net benefits. 3. The non-market value of additional services (cultural, aesthetic and recreational value) was elicited from local stakeholders using an online survey tool. Flood risk was assessed using a scoring approach. Spatial Multi-Criteria Analysis (MCA) was conducted, incorporating both market and non-market values, to evaluate the relative benefits of restoration scenarios. These were compared with impacts of restoration on biodiversity value. 4. Multi-Criteria Analysis results consistently ranked restoration scenarios above a non-restoration comparator, reflecting the increased provision of multiple ecosystem services. Restoration scenarios also provided benefits to biodiversity, in terms of increased species richness and habitat connectivity. However, restoration costs consistently exceeded the market value of ecosystem services. 5. Synthesis and applications. Establishment of ecological networks through ecological restoration is unlikely to deliver net economic benefits in landscapes dominated by agricultural land use. This reflects the high costs of ecological restoration in such landscapes. The cost-effectiveness of ecological networks will depend on how the benefits provided to people are valued, and on how the value of non-market benefits are weighted against the costs of reduced agricultural and timber production. Future plans for ecological restoration should incorporate local stakeholder values, to ensure that benefits to people are maximised.","container-title":"Journal of Applied Ecology","DOI":"https://doi.org/10.1111/j.1365-2664.2012.02140.x","ISSN":"1365-2664","issue":"3","language":"en","license":"© 2012 The Authors. Journal of Applied Ecology © 2012 British Ecological Society","note":"_eprint: https://besjournals.onlinelibrary.wiley.com/doi/pdf/10.1111/j.1365-2664.2012.02140.x","page":"571-580","source":"Wiley Online Library","title":"Cost–benefit analysis of ecological networks assessed through spatial analysis of ecosystem services","volume":"49","author":[{"family":"Newton","given":"Adrian C."},{"family":"Hodder","given":"Kathy"},{"family":"Cantarello","given":"Elena"},{"family":"Perrella","given":"Lorretta"},{"family":"Birch","given":"Jennifer C."},{"family":"Robins","given":"James"},{"family":"Douglas","given":"Sarah"},{"family":"Moody","given":"Christopher"},{"family":"Cordingley","given":"Justine"}],"issued":{"date-parts":[["2012"]]}},"label":"page"},{"id":8929,"uris":["http://zotero.org/users/7267932/items/GB5YY4XW"],"itemData":{"id":8929,"type":"article-journal","abstract":"This paper seeks to determine and characterize social and cultural preferences for the conservation of endangered forest elephants (EFEs) in the Congo Basins Tridom Landscape. Using unique data from a stratified, random, face-to-face survey with 1,035 households in 108 villages in 2014, we combine double-bounded dichotomous choice with open-ended elicitation formats to assess the willingness-to-pay (WTP) for EFE conservation. We find that local households are willing to pay CFA 1,139.4 (€1.74) per month to prevent EFE extinction. This totals CFA 753.9 million (€1.15 million) per year for all inhabitants. Indigenousness positively influences the WTP for EFE conservation. Spatial data suggest that local communities prefer that elephants remain far from their crops. The existence of human-elephant conflicts has a neutral effect on preferences for EFE conservation. Therefore, our study suggests that local communities would engage in biodiversity preservation when the public benefits of conservation are accompanied by private benefits, such as human-elephant conflict avoidance.","container-title":"Ecological Economics","DOI":"10.1016/j.ecolecon.2016.04.004","ISSN":"0921-8009","journalAbbreviation":"Ecological Economics","page":"70-86","source":"ScienceDirect","title":"The value of endangered forest elephants to local communities in a transboundary conservation landscape","volume":"126","author":[{"family":"Ngouhouo Poufoun","given":"Jonas"},{"family":"Abildtrup","given":"Jens"},{"family":"Sonwa","given":"Dénis Jean"},{"family":"Delacote","given":"Philippe"}],"issued":{"date-parts":[["2016",6,1]]}},"label":"page"}],"schema":"https://github.com/citation-style-language/schema/raw/master/csl-citation.json"} </w:instrText>
      </w:r>
      <w:r w:rsidRPr="006C7A10">
        <w:rPr>
          <w:rFonts w:asciiTheme="minorHAnsi" w:eastAsiaTheme="minorEastAsia" w:hAnsiTheme="minorHAnsi" w:cstheme="minorHAnsi"/>
          <w:kern w:val="2"/>
          <w:lang w:val="en-US" w:bidi="ar-SA"/>
        </w:rPr>
        <w:fldChar w:fldCharType="separate"/>
      </w:r>
      <w:r w:rsidRPr="006C7A10">
        <w:rPr>
          <w:rFonts w:asciiTheme="minorHAnsi" w:eastAsiaTheme="minorEastAsia" w:hAnsiTheme="minorHAnsi" w:cstheme="minorHAnsi"/>
          <w:kern w:val="2"/>
          <w:lang w:val="en-US" w:bidi="ar-SA"/>
        </w:rPr>
        <w:t>(see Laws et al., 2020; Muchapondwa et al., 2008; Newton et al., 2012; Ngouhouo Poufoun et al., 2016)</w:t>
      </w:r>
      <w:r w:rsidRPr="006C7A10">
        <w:rPr>
          <w:rFonts w:asciiTheme="minorHAnsi" w:eastAsiaTheme="minorEastAsia" w:hAnsiTheme="minorHAnsi" w:cstheme="minorHAnsi"/>
          <w:kern w:val="2"/>
          <w:lang w:val="en-US" w:bidi="ar-SA"/>
        </w:rPr>
        <w:fldChar w:fldCharType="end"/>
      </w:r>
      <w:r w:rsidRPr="006C7A10">
        <w:rPr>
          <w:rFonts w:asciiTheme="minorHAnsi" w:eastAsiaTheme="minorEastAsia" w:hAnsiTheme="minorHAnsi" w:cstheme="minorHAnsi"/>
          <w:kern w:val="2"/>
          <w:lang w:val="en-US" w:bidi="ar-SA"/>
        </w:rPr>
        <w:t xml:space="preserve">. The total benefit per year for the households was then modeled as follows:           </w:t>
      </w:r>
    </w:p>
    <w:p w:rsidR="00B522E0" w:rsidRPr="006C7A10" w:rsidRDefault="00361811" w:rsidP="00B522E0">
      <w:pPr>
        <w:pStyle w:val="Textbody"/>
        <w:spacing w:after="0" w:line="360" w:lineRule="auto"/>
        <w:jc w:val="both"/>
        <w:rPr>
          <w:rFonts w:asciiTheme="minorHAnsi" w:eastAsiaTheme="minorEastAsia" w:hAnsiTheme="minorHAnsi" w:cstheme="minorHAnsi"/>
          <w:kern w:val="2"/>
          <w:lang w:val="en-US" w:bidi="ar-SA"/>
        </w:rPr>
      </w:pP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TB</m:t>
            </m:r>
          </m:e>
          <m:sub>
            <m:r>
              <w:rPr>
                <w:rFonts w:ascii="Cambria Math" w:eastAsiaTheme="minorEastAsia" w:hAnsi="Cambria Math" w:cstheme="minorHAnsi"/>
                <w:kern w:val="2"/>
                <w:lang w:val="en-US" w:bidi="ar-SA"/>
              </w:rPr>
              <m:t>hh</m:t>
            </m:r>
          </m:sub>
        </m:sSub>
      </m:oMath>
      <w:r w:rsidR="00B522E0" w:rsidRPr="006C7A10">
        <w:rPr>
          <w:rFonts w:asciiTheme="minorHAnsi" w:eastAsiaTheme="minorEastAsia" w:hAnsiTheme="minorHAnsi" w:cstheme="minorHAnsi"/>
          <w:kern w:val="2"/>
          <w:lang w:val="en-US" w:bidi="ar-SA"/>
        </w:rPr>
        <w:t xml:space="preserve"> =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Benefit</m:t>
            </m:r>
          </m:e>
          <m:sub>
            <m:r>
              <w:rPr>
                <w:rFonts w:ascii="Cambria Math" w:eastAsiaTheme="minorEastAsia" w:hAnsi="Cambria Math" w:cstheme="minorHAnsi"/>
                <w:kern w:val="2"/>
                <w:lang w:val="en-US" w:bidi="ar-SA"/>
              </w:rPr>
              <m:t>livhd</m:t>
            </m:r>
          </m:sub>
        </m:sSub>
      </m:oMath>
      <w:r w:rsidR="00B522E0" w:rsidRPr="006C7A10">
        <w:rPr>
          <w:rFonts w:asciiTheme="minorHAnsi" w:eastAsiaTheme="minorEastAsia" w:hAnsiTheme="minorHAnsi" w:cstheme="minorHAnsi"/>
          <w:kern w:val="2"/>
          <w:lang w:val="en-US" w:bidi="ar-SA"/>
        </w:rPr>
        <w:t xml:space="preserve">  +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Benefit</m:t>
            </m:r>
          </m:e>
          <m:sub>
            <m:r>
              <w:rPr>
                <w:rFonts w:ascii="Cambria Math" w:eastAsiaTheme="minorEastAsia" w:hAnsi="Cambria Math" w:cstheme="minorHAnsi"/>
                <w:kern w:val="2"/>
                <w:lang w:val="en-US" w:bidi="ar-SA"/>
              </w:rPr>
              <m:t>trsm</m:t>
            </m:r>
            <m:r>
              <m:rPr>
                <m:sty m:val="p"/>
              </m:rPr>
              <w:rPr>
                <w:rFonts w:ascii="Cambria Math" w:eastAsiaTheme="minorEastAsia" w:hAnsi="Cambria Math" w:cstheme="minorHAnsi"/>
                <w:kern w:val="2"/>
                <w:lang w:val="en-US" w:bidi="ar-SA"/>
              </w:rPr>
              <m:t>_</m:t>
            </m:r>
            <m:r>
              <w:rPr>
                <w:rFonts w:ascii="Cambria Math" w:eastAsiaTheme="minorEastAsia" w:hAnsi="Cambria Math" w:cstheme="minorHAnsi"/>
                <w:kern w:val="2"/>
                <w:lang w:val="en-US" w:bidi="ar-SA"/>
              </w:rPr>
              <m:t>hh</m:t>
            </m:r>
          </m:sub>
        </m:sSub>
      </m:oMath>
      <w:r w:rsidR="00B522E0" w:rsidRPr="006C7A10">
        <w:rPr>
          <w:rFonts w:asciiTheme="minorHAnsi" w:eastAsiaTheme="minorEastAsia" w:hAnsiTheme="minorHAnsi" w:cstheme="minorHAnsi"/>
          <w:kern w:val="2"/>
          <w:lang w:val="en-US" w:bidi="ar-SA"/>
        </w:rPr>
        <w:t xml:space="preserve">  +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Benefit</m:t>
            </m:r>
          </m:e>
          <m:sub>
            <m:r>
              <w:rPr>
                <w:rFonts w:ascii="Cambria Math" w:eastAsiaTheme="minorEastAsia" w:hAnsi="Cambria Math" w:cstheme="minorHAnsi"/>
                <w:kern w:val="2"/>
                <w:lang w:val="en-US" w:bidi="ar-SA"/>
              </w:rPr>
              <m:t>crop</m:t>
            </m:r>
          </m:sub>
        </m:sSub>
      </m:oMath>
      <w:r w:rsidR="00B522E0" w:rsidRPr="006C7A10">
        <w:rPr>
          <w:rFonts w:asciiTheme="minorHAnsi" w:eastAsiaTheme="minorEastAsia" w:hAnsiTheme="minorHAnsi" w:cstheme="minorHAnsi"/>
          <w:kern w:val="2"/>
          <w:lang w:val="en-US" w:bidi="ar-SA"/>
        </w:rPr>
        <w:t xml:space="preserve"> +</w:t>
      </w:r>
    </w:p>
    <w:p w:rsidR="00B522E0" w:rsidRPr="006C7A10" w:rsidRDefault="00B522E0" w:rsidP="00B522E0">
      <w:pPr>
        <w:pStyle w:val="Textbody"/>
        <w:spacing w:after="0" w:line="360" w:lineRule="auto"/>
        <w:jc w:val="both"/>
        <w:rPr>
          <w:rFonts w:asciiTheme="minorHAnsi" w:eastAsiaTheme="minorEastAsia" w:hAnsiTheme="minorHAnsi" w:cstheme="minorHAnsi"/>
          <w:kern w:val="2"/>
          <w:lang w:val="en-US" w:bidi="ar-SA"/>
        </w:rPr>
      </w:pPr>
      <w:r w:rsidRPr="006C7A10">
        <w:rPr>
          <w:rFonts w:asciiTheme="minorHAnsi" w:eastAsiaTheme="minorEastAsia" w:hAnsiTheme="minorHAnsi" w:cstheme="minorHAnsi"/>
          <w:kern w:val="2"/>
          <w:lang w:val="en-US" w:bidi="ar-SA"/>
        </w:rPr>
        <w:t xml:space="preserve">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 xml:space="preserve">               Benefit</m:t>
            </m:r>
          </m:e>
          <m:sub>
            <m:r>
              <w:rPr>
                <w:rFonts w:ascii="Cambria Math" w:eastAsiaTheme="minorEastAsia" w:hAnsi="Cambria Math" w:cstheme="minorHAnsi"/>
                <w:kern w:val="2"/>
                <w:lang w:val="en-US" w:bidi="ar-SA"/>
              </w:rPr>
              <m:t>lvsk</m:t>
            </m:r>
          </m:sub>
        </m:sSub>
      </m:oMath>
      <w:r w:rsidRPr="006C7A10">
        <w:rPr>
          <w:rFonts w:asciiTheme="minorHAnsi" w:eastAsiaTheme="minorEastAsia" w:hAnsiTheme="minorHAnsi" w:cstheme="minorHAnsi"/>
          <w:kern w:val="2"/>
          <w:lang w:val="en-US" w:bidi="ar-SA"/>
        </w:rPr>
        <w:t xml:space="preserve">+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Benefit</m:t>
            </m:r>
          </m:e>
          <m:sub>
            <m:r>
              <w:rPr>
                <w:rFonts w:ascii="Cambria Math" w:eastAsiaTheme="minorEastAsia" w:hAnsi="Cambria Math" w:cstheme="minorHAnsi"/>
                <w:kern w:val="2"/>
                <w:lang w:val="en-US" w:bidi="ar-SA"/>
              </w:rPr>
              <m:t>elpnt</m:t>
            </m:r>
            <m:r>
              <m:rPr>
                <m:sty m:val="p"/>
              </m:rPr>
              <w:rPr>
                <w:rFonts w:ascii="Cambria Math" w:eastAsiaTheme="minorEastAsia" w:hAnsi="Cambria Math" w:cstheme="minorHAnsi"/>
                <w:kern w:val="2"/>
                <w:lang w:val="en-US" w:bidi="ar-SA"/>
              </w:rPr>
              <m:t>_</m:t>
            </m:r>
            <m:r>
              <w:rPr>
                <w:rFonts w:ascii="Cambria Math" w:eastAsiaTheme="minorEastAsia" w:hAnsi="Cambria Math" w:cstheme="minorHAnsi"/>
                <w:kern w:val="2"/>
                <w:lang w:val="en-US" w:bidi="ar-SA"/>
              </w:rPr>
              <m:t>hh</m:t>
            </m:r>
          </m:sub>
        </m:sSub>
      </m:oMath>
      <w:r w:rsidRPr="006C7A10">
        <w:rPr>
          <w:rFonts w:asciiTheme="minorHAnsi" w:eastAsiaTheme="minorEastAsia" w:hAnsiTheme="minorHAnsi" w:cstheme="minorHAnsi"/>
          <w:kern w:val="2"/>
          <w:lang w:val="en-US" w:bidi="ar-SA"/>
        </w:rPr>
        <w:t xml:space="preserve">                                                               (</w:t>
      </w:r>
      <w:r w:rsidR="00C441AE" w:rsidRPr="006C7A10">
        <w:rPr>
          <w:rFonts w:asciiTheme="minorHAnsi" w:eastAsiaTheme="minorEastAsia" w:hAnsiTheme="minorHAnsi" w:cstheme="minorHAnsi"/>
          <w:kern w:val="2"/>
          <w:lang w:val="en-US" w:bidi="ar-SA"/>
        </w:rPr>
        <w:t>A.</w:t>
      </w:r>
      <w:r w:rsidRPr="006C7A10">
        <w:rPr>
          <w:rFonts w:asciiTheme="minorHAnsi" w:eastAsiaTheme="minorEastAsia" w:hAnsiTheme="minorHAnsi" w:cstheme="minorHAnsi"/>
          <w:kern w:val="2"/>
          <w:lang w:val="en-US" w:bidi="ar-SA"/>
        </w:rPr>
        <w:t>6)</w:t>
      </w:r>
    </w:p>
    <w:p w:rsidR="00B522E0" w:rsidRPr="006C7A10" w:rsidRDefault="00B522E0" w:rsidP="00B522E0">
      <w:pPr>
        <w:pStyle w:val="Textbody"/>
        <w:spacing w:before="240" w:line="360" w:lineRule="auto"/>
        <w:jc w:val="both"/>
        <w:rPr>
          <w:rFonts w:asciiTheme="minorHAnsi" w:eastAsiaTheme="minorEastAsia" w:hAnsiTheme="minorHAnsi" w:cstheme="minorHAnsi"/>
          <w:kern w:val="2"/>
          <w:lang w:val="en-US" w:bidi="ar-SA"/>
        </w:rPr>
      </w:pPr>
      <w:r w:rsidRPr="006C7A10">
        <w:rPr>
          <w:rFonts w:asciiTheme="minorHAnsi" w:eastAsiaTheme="minorEastAsia" w:hAnsiTheme="minorHAnsi" w:cstheme="minorHAnsi"/>
          <w:kern w:val="2"/>
          <w:lang w:val="en-US" w:bidi="ar-SA"/>
        </w:rPr>
        <w:t xml:space="preserve">Where,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TB</m:t>
            </m:r>
          </m:e>
          <m:sub>
            <m:r>
              <w:rPr>
                <w:rFonts w:ascii="Cambria Math" w:eastAsiaTheme="minorEastAsia" w:hAnsi="Cambria Math" w:cstheme="minorHAnsi"/>
                <w:kern w:val="2"/>
                <w:lang w:val="en-US" w:bidi="ar-SA"/>
              </w:rPr>
              <m:t>hh</m:t>
            </m:r>
          </m:sub>
        </m:sSub>
      </m:oMath>
      <w:r w:rsidRPr="006C7A10">
        <w:rPr>
          <w:rFonts w:asciiTheme="minorHAnsi" w:eastAsiaTheme="minorEastAsia" w:hAnsiTheme="minorHAnsi" w:cstheme="minorHAnsi"/>
          <w:kern w:val="2"/>
          <w:lang w:val="en-US" w:bidi="ar-SA"/>
        </w:rPr>
        <w:t xml:space="preserve"> is the total benefits for the household per year (in USD). Other variables on the right side of the equation </w:t>
      </w:r>
      <w:r w:rsidR="00C441AE" w:rsidRPr="006C7A10">
        <w:rPr>
          <w:rFonts w:asciiTheme="minorHAnsi" w:eastAsiaTheme="minorEastAsia" w:hAnsiTheme="minorHAnsi" w:cstheme="minorHAnsi"/>
          <w:kern w:val="2"/>
          <w:lang w:val="en-US" w:bidi="ar-SA"/>
        </w:rPr>
        <w:t>A.</w:t>
      </w:r>
      <w:r w:rsidRPr="006C7A10">
        <w:rPr>
          <w:rFonts w:asciiTheme="minorHAnsi" w:eastAsiaTheme="minorEastAsia" w:hAnsiTheme="minorHAnsi" w:cstheme="minorHAnsi"/>
          <w:kern w:val="2"/>
          <w:lang w:val="en-US" w:bidi="ar-SA"/>
        </w:rPr>
        <w:t xml:space="preserve">6 are explained in the text.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Benefit</m:t>
            </m:r>
          </m:e>
          <m:sub>
            <m:r>
              <w:rPr>
                <w:rFonts w:ascii="Cambria Math" w:eastAsiaTheme="minorEastAsia" w:hAnsi="Cambria Math" w:cstheme="minorHAnsi"/>
                <w:kern w:val="2"/>
                <w:lang w:val="en-US" w:bidi="ar-SA"/>
              </w:rPr>
              <m:t>livhd</m:t>
            </m:r>
          </m:sub>
        </m:sSub>
      </m:oMath>
      <w:r w:rsidRPr="006C7A10">
        <w:rPr>
          <w:rFonts w:asciiTheme="minorHAnsi" w:eastAsiaTheme="minorEastAsia" w:hAnsiTheme="minorHAnsi" w:cstheme="minorHAnsi"/>
          <w:kern w:val="2"/>
          <w:lang w:val="en-US" w:bidi="ar-SA"/>
        </w:rPr>
        <w:t xml:space="preserve"> includes net benefits of two livelihood activities: beekeeping, which was common in the two study areas, and butterfly farming</w:t>
      </w:r>
      <w:r w:rsidRPr="006C7A10">
        <w:rPr>
          <w:rFonts w:asciiTheme="minorHAnsi" w:eastAsiaTheme="minorEastAsia" w:hAnsiTheme="minorHAnsi" w:cstheme="minorHAnsi"/>
          <w:kern w:val="2"/>
          <w:vertAlign w:val="superscript"/>
          <w:lang w:val="en-US" w:bidi="ar-SA"/>
        </w:rPr>
        <w:t xml:space="preserve"> </w:t>
      </w:r>
      <w:r w:rsidRPr="006C7A10">
        <w:rPr>
          <w:rFonts w:asciiTheme="minorHAnsi" w:eastAsiaTheme="minorEastAsia" w:hAnsiTheme="minorHAnsi" w:cstheme="minorHAnsi"/>
          <w:kern w:val="2"/>
          <w:lang w:val="en-US" w:bidi="ar-SA"/>
        </w:rPr>
        <w:t>which was reported in BKG (</w:t>
      </w:r>
      <w:proofErr w:type="spellStart"/>
      <w:r w:rsidRPr="006C7A10">
        <w:rPr>
          <w:rFonts w:asciiTheme="minorHAnsi" w:eastAsiaTheme="minorEastAsia" w:hAnsiTheme="minorHAnsi" w:cstheme="minorHAnsi"/>
          <w:kern w:val="2"/>
          <w:lang w:val="en-US" w:bidi="ar-SA"/>
        </w:rPr>
        <w:t>Mkonda</w:t>
      </w:r>
      <w:proofErr w:type="spellEnd"/>
      <w:r w:rsidRPr="006C7A10">
        <w:rPr>
          <w:rFonts w:asciiTheme="minorHAnsi" w:eastAsiaTheme="minorEastAsia" w:hAnsiTheme="minorHAnsi" w:cstheme="minorHAnsi"/>
          <w:kern w:val="2"/>
          <w:lang w:val="en-US" w:bidi="ar-SA"/>
        </w:rPr>
        <w:t xml:space="preserve"> &amp; He, 2017; </w:t>
      </w:r>
      <w:proofErr w:type="spellStart"/>
      <w:r w:rsidRPr="006C7A10">
        <w:rPr>
          <w:rFonts w:asciiTheme="minorHAnsi" w:eastAsiaTheme="minorEastAsia" w:hAnsiTheme="minorHAnsi" w:cstheme="minorHAnsi"/>
          <w:kern w:val="2"/>
          <w:lang w:val="en-US" w:bidi="ar-SA"/>
        </w:rPr>
        <w:t>Mansourian</w:t>
      </w:r>
      <w:proofErr w:type="spellEnd"/>
      <w:r w:rsidRPr="006C7A10">
        <w:rPr>
          <w:rFonts w:asciiTheme="minorHAnsi" w:eastAsiaTheme="minorEastAsia" w:hAnsiTheme="minorHAnsi" w:cstheme="minorHAnsi"/>
          <w:kern w:val="2"/>
          <w:lang w:val="en-US" w:bidi="ar-SA"/>
        </w:rPr>
        <w:t xml:space="preserve"> et al., 2019). Though butterfly farming was banned in Tanzania since 2016, experts are optimistic that it will be reopened in the near future. Therefore, experts used previous experience to estimate the net benefits at the household level. Specific risks accounted for each benefit in parentheses are as follows: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Benefit</m:t>
            </m:r>
          </m:e>
          <m:sub>
            <m:r>
              <w:rPr>
                <w:rFonts w:ascii="Cambria Math" w:eastAsiaTheme="minorEastAsia" w:hAnsi="Cambria Math" w:cstheme="minorHAnsi"/>
                <w:kern w:val="2"/>
                <w:lang w:val="en-US" w:bidi="ar-SA"/>
              </w:rPr>
              <m:t>livhd</m:t>
            </m:r>
          </m:sub>
        </m:sSub>
      </m:oMath>
      <w:r w:rsidRPr="006C7A10">
        <w:rPr>
          <w:rFonts w:asciiTheme="minorHAnsi" w:eastAsiaTheme="minorEastAsia" w:hAnsiTheme="minorHAnsi" w:cstheme="minorHAnsi"/>
          <w:kern w:val="2"/>
          <w:lang w:val="en-US" w:bidi="ar-SA"/>
        </w:rPr>
        <w:t xml:space="preserve"> (drought and global market crisis),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Benefit</m:t>
            </m:r>
          </m:e>
          <m:sub>
            <m:r>
              <w:rPr>
                <w:rFonts w:ascii="Cambria Math" w:eastAsiaTheme="minorEastAsia" w:hAnsi="Cambria Math" w:cstheme="minorHAnsi"/>
                <w:kern w:val="2"/>
                <w:lang w:val="en-US" w:bidi="ar-SA"/>
              </w:rPr>
              <m:t>trsm</m:t>
            </m:r>
            <m:r>
              <m:rPr>
                <m:sty m:val="p"/>
              </m:rPr>
              <w:rPr>
                <w:rFonts w:ascii="Cambria Math" w:eastAsiaTheme="minorEastAsia" w:hAnsi="Cambria Math" w:cstheme="minorHAnsi"/>
                <w:kern w:val="2"/>
                <w:lang w:val="en-US" w:bidi="ar-SA"/>
              </w:rPr>
              <m:t>_</m:t>
            </m:r>
            <m:r>
              <w:rPr>
                <w:rFonts w:ascii="Cambria Math" w:eastAsiaTheme="minorEastAsia" w:hAnsi="Cambria Math" w:cstheme="minorHAnsi"/>
                <w:kern w:val="2"/>
                <w:lang w:val="en-US" w:bidi="ar-SA"/>
              </w:rPr>
              <m:t>hh</m:t>
            </m:r>
          </m:sub>
        </m:sSub>
      </m:oMath>
      <w:r w:rsidRPr="006C7A10">
        <w:rPr>
          <w:rFonts w:asciiTheme="minorHAnsi" w:eastAsiaTheme="minorEastAsia" w:hAnsiTheme="minorHAnsi" w:cstheme="minorHAnsi"/>
          <w:kern w:val="2"/>
          <w:lang w:val="en-US" w:bidi="ar-SA"/>
        </w:rPr>
        <w:t xml:space="preserve"> (global market crisis) and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Benefit</m:t>
            </m:r>
          </m:e>
          <m:sub>
            <m:r>
              <w:rPr>
                <w:rFonts w:ascii="Cambria Math" w:eastAsiaTheme="minorEastAsia" w:hAnsi="Cambria Math" w:cstheme="minorHAnsi"/>
                <w:kern w:val="2"/>
                <w:lang w:val="en-US" w:bidi="ar-SA"/>
              </w:rPr>
              <m:t>crop</m:t>
            </m:r>
          </m:sub>
        </m:sSub>
      </m:oMath>
      <w:r w:rsidRPr="006C7A10">
        <w:rPr>
          <w:rFonts w:asciiTheme="minorHAnsi" w:eastAsiaTheme="minorEastAsia" w:hAnsiTheme="minorHAnsi" w:cstheme="minorHAnsi"/>
          <w:kern w:val="2"/>
          <w:lang w:val="en-US" w:bidi="ar-SA"/>
        </w:rPr>
        <w:t xml:space="preserve"> (drought). These benefits were risk-adjusted using equation </w:t>
      </w:r>
      <w:r w:rsidR="00C441AE" w:rsidRPr="006C7A10">
        <w:rPr>
          <w:rFonts w:asciiTheme="minorHAnsi" w:eastAsiaTheme="minorEastAsia" w:hAnsiTheme="minorHAnsi" w:cstheme="minorHAnsi"/>
          <w:kern w:val="2"/>
          <w:lang w:val="en-US" w:bidi="ar-SA"/>
        </w:rPr>
        <w:t>A.</w:t>
      </w:r>
      <w:r w:rsidRPr="006C7A10">
        <w:rPr>
          <w:rFonts w:asciiTheme="minorHAnsi" w:eastAsiaTheme="minorEastAsia" w:hAnsiTheme="minorHAnsi" w:cstheme="minorHAnsi"/>
          <w:kern w:val="2"/>
          <w:lang w:val="en-US" w:bidi="ar-SA"/>
        </w:rPr>
        <w:t xml:space="preserve">7.  </w:t>
      </w:r>
    </w:p>
    <w:p w:rsidR="00B522E0" w:rsidRPr="006C7A10" w:rsidRDefault="00361811" w:rsidP="00B522E0">
      <w:pPr>
        <w:pStyle w:val="Textbody"/>
        <w:spacing w:before="240" w:line="360" w:lineRule="auto"/>
        <w:jc w:val="center"/>
        <w:rPr>
          <w:rFonts w:asciiTheme="minorHAnsi" w:eastAsiaTheme="minorEastAsia" w:hAnsiTheme="minorHAnsi" w:cstheme="minorHAnsi"/>
          <w:kern w:val="2"/>
          <w:lang w:val="en-US" w:bidi="ar-SA"/>
        </w:rPr>
      </w:pP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Benefit</m:t>
            </m:r>
          </m:e>
          <m:sub>
            <m:r>
              <w:rPr>
                <w:rFonts w:ascii="Cambria Math" w:eastAsiaTheme="minorEastAsia" w:hAnsi="Cambria Math" w:cstheme="minorHAnsi"/>
                <w:kern w:val="2"/>
                <w:lang w:val="en-US" w:bidi="ar-SA"/>
              </w:rPr>
              <m:t>risk</m:t>
            </m:r>
            <m:r>
              <m:rPr>
                <m:sty m:val="p"/>
              </m:rPr>
              <w:rPr>
                <w:rFonts w:ascii="Cambria Math" w:eastAsiaTheme="minorEastAsia" w:hAnsi="Cambria Math" w:cstheme="minorHAnsi"/>
                <w:kern w:val="2"/>
                <w:lang w:val="en-US" w:bidi="ar-SA"/>
              </w:rPr>
              <m:t>_</m:t>
            </m:r>
            <m:r>
              <w:rPr>
                <w:rFonts w:ascii="Cambria Math" w:eastAsiaTheme="minorEastAsia" w:hAnsi="Cambria Math" w:cstheme="minorHAnsi"/>
                <w:kern w:val="2"/>
                <w:lang w:val="en-US" w:bidi="ar-SA"/>
              </w:rPr>
              <m:t>adjusted</m:t>
            </m:r>
          </m:sub>
        </m:sSub>
      </m:oMath>
      <w:r w:rsidR="00B522E0" w:rsidRPr="006C7A10">
        <w:rPr>
          <w:rFonts w:asciiTheme="minorHAnsi" w:eastAsiaTheme="minorEastAsia" w:hAnsiTheme="minorHAnsi" w:cstheme="minorHAnsi"/>
          <w:kern w:val="2"/>
          <w:lang w:val="en-US" w:bidi="ar-SA"/>
        </w:rPr>
        <w:t xml:space="preserve"> =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Benefit</m:t>
            </m:r>
          </m:e>
          <m:sub>
            <m:r>
              <w:rPr>
                <w:rFonts w:ascii="Cambria Math" w:eastAsiaTheme="minorEastAsia" w:hAnsi="Cambria Math" w:cstheme="minorHAnsi"/>
                <w:kern w:val="2"/>
                <w:lang w:val="en-US" w:bidi="ar-SA"/>
              </w:rPr>
              <m:t>non</m:t>
            </m:r>
            <m:r>
              <m:rPr>
                <m:sty m:val="p"/>
              </m:rPr>
              <w:rPr>
                <w:rFonts w:ascii="Cambria Math" w:eastAsiaTheme="minorEastAsia" w:hAnsi="Cambria Math" w:cstheme="minorHAnsi"/>
                <w:kern w:val="2"/>
                <w:lang w:val="en-US" w:bidi="ar-SA"/>
              </w:rPr>
              <m:t>_</m:t>
            </m:r>
            <m:r>
              <w:rPr>
                <w:rFonts w:ascii="Cambria Math" w:eastAsiaTheme="minorEastAsia" w:hAnsi="Cambria Math" w:cstheme="minorHAnsi"/>
                <w:kern w:val="2"/>
                <w:lang w:val="en-US" w:bidi="ar-SA"/>
              </w:rPr>
              <m:t>adjusted</m:t>
            </m:r>
          </m:sub>
        </m:sSub>
      </m:oMath>
      <w:r w:rsidR="00B522E0" w:rsidRPr="006C7A10">
        <w:rPr>
          <w:rFonts w:asciiTheme="minorHAnsi" w:eastAsiaTheme="minorEastAsia" w:hAnsiTheme="minorHAnsi" w:cstheme="minorHAnsi"/>
          <w:kern w:val="2"/>
          <w:lang w:val="en-US" w:bidi="ar-SA"/>
        </w:rPr>
        <w:t xml:space="preserve"> x (1 -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Risk</m:t>
            </m:r>
          </m:e>
          <m:sub>
            <m:r>
              <w:rPr>
                <w:rFonts w:ascii="Cambria Math" w:eastAsiaTheme="minorEastAsia" w:hAnsi="Cambria Math" w:cstheme="minorHAnsi"/>
                <w:kern w:val="2"/>
                <w:lang w:val="en-US" w:bidi="ar-SA"/>
              </w:rPr>
              <m:t>scaler</m:t>
            </m:r>
          </m:sub>
        </m:sSub>
      </m:oMath>
      <w:r w:rsidR="00B522E0" w:rsidRPr="006C7A10">
        <w:rPr>
          <w:rFonts w:asciiTheme="minorHAnsi" w:eastAsiaTheme="minorEastAsia" w:hAnsiTheme="minorHAnsi" w:cstheme="minorHAnsi"/>
          <w:kern w:val="2"/>
          <w:lang w:val="en-US" w:bidi="ar-SA"/>
        </w:rPr>
        <w:t>)                                                (</w:t>
      </w:r>
      <w:r w:rsidR="00C441AE" w:rsidRPr="006C7A10">
        <w:rPr>
          <w:rFonts w:asciiTheme="minorHAnsi" w:eastAsiaTheme="minorEastAsia" w:hAnsiTheme="minorHAnsi" w:cstheme="minorHAnsi"/>
          <w:kern w:val="2"/>
          <w:lang w:val="en-US" w:bidi="ar-SA"/>
        </w:rPr>
        <w:t>A.</w:t>
      </w:r>
      <w:r w:rsidR="00B522E0" w:rsidRPr="006C7A10">
        <w:rPr>
          <w:rFonts w:asciiTheme="minorHAnsi" w:eastAsiaTheme="minorEastAsia" w:hAnsiTheme="minorHAnsi" w:cstheme="minorHAnsi"/>
          <w:kern w:val="2"/>
          <w:lang w:val="en-US" w:bidi="ar-SA"/>
        </w:rPr>
        <w:t>7)</w:t>
      </w:r>
    </w:p>
    <w:p w:rsidR="00B522E0" w:rsidRPr="006C7A10" w:rsidRDefault="00B522E0" w:rsidP="00B522E0">
      <w:pPr>
        <w:pStyle w:val="Textbody"/>
        <w:spacing w:before="240" w:line="360" w:lineRule="auto"/>
        <w:jc w:val="both"/>
        <w:rPr>
          <w:rFonts w:asciiTheme="minorHAnsi" w:eastAsiaTheme="minorEastAsia" w:hAnsiTheme="minorHAnsi" w:cstheme="minorHAnsi"/>
          <w:kern w:val="2"/>
          <w:lang w:val="en-US" w:bidi="ar-SA"/>
        </w:rPr>
      </w:pPr>
      <w:r w:rsidRPr="006C7A10">
        <w:rPr>
          <w:rFonts w:asciiTheme="minorHAnsi" w:eastAsiaTheme="minorEastAsia" w:hAnsiTheme="minorHAnsi" w:cstheme="minorHAnsi"/>
          <w:kern w:val="2"/>
          <w:lang w:val="en-US" w:bidi="ar-SA"/>
        </w:rPr>
        <w:t xml:space="preserve">We modeled the government benefits from four categories: ecotourism, carbon markets, taxes collected from trading crops and livestock, and the trophy value of </w:t>
      </w:r>
      <w:r w:rsidR="00E52ACF" w:rsidRPr="006C7A10">
        <w:rPr>
          <w:rFonts w:asciiTheme="minorHAnsi" w:eastAsiaTheme="minorEastAsia" w:hAnsiTheme="minorHAnsi" w:cstheme="minorHAnsi"/>
          <w:kern w:val="2"/>
          <w:lang w:val="en-US" w:bidi="ar-SA"/>
        </w:rPr>
        <w:t>African savanna elephant</w:t>
      </w:r>
      <w:r w:rsidRPr="006C7A10">
        <w:rPr>
          <w:rFonts w:asciiTheme="minorHAnsi" w:eastAsiaTheme="minorEastAsia" w:hAnsiTheme="minorHAnsi" w:cstheme="minorHAnsi"/>
          <w:kern w:val="2"/>
          <w:lang w:val="en-US" w:bidi="ar-SA"/>
        </w:rPr>
        <w:t xml:space="preserve">s. For tourism </w:t>
      </w:r>
      <m:oMath>
        <m:d>
          <m:dPr>
            <m:ctrlPr>
              <w:rPr>
                <w:rFonts w:ascii="Cambria Math" w:eastAsiaTheme="minorEastAsia" w:hAnsi="Cambria Math" w:cstheme="minorHAnsi"/>
                <w:kern w:val="2"/>
                <w:lang w:val="en-US" w:bidi="ar-SA"/>
              </w:rPr>
            </m:ctrlPr>
          </m:dPr>
          <m:e>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Benefit</m:t>
                </m:r>
              </m:e>
              <m:sub>
                <m:r>
                  <w:rPr>
                    <w:rFonts w:ascii="Cambria Math" w:eastAsiaTheme="minorEastAsia" w:hAnsi="Cambria Math" w:cstheme="minorHAnsi"/>
                    <w:kern w:val="2"/>
                    <w:lang w:val="en-US" w:bidi="ar-SA"/>
                  </w:rPr>
                  <m:t>trsm</m:t>
                </m:r>
                <m:r>
                  <m:rPr>
                    <m:sty m:val="p"/>
                  </m:rPr>
                  <w:rPr>
                    <w:rFonts w:ascii="Cambria Math" w:eastAsiaTheme="minorEastAsia" w:hAnsi="Cambria Math" w:cstheme="minorHAnsi"/>
                    <w:kern w:val="2"/>
                    <w:lang w:val="en-US" w:bidi="ar-SA"/>
                  </w:rPr>
                  <m:t>_</m:t>
                </m:r>
                <m:r>
                  <w:rPr>
                    <w:rFonts w:ascii="Cambria Math" w:eastAsiaTheme="minorEastAsia" w:hAnsi="Cambria Math" w:cstheme="minorHAnsi"/>
                    <w:kern w:val="2"/>
                    <w:lang w:val="en-US" w:bidi="ar-SA"/>
                  </w:rPr>
                  <m:t>gov</m:t>
                </m:r>
              </m:sub>
            </m:sSub>
          </m:e>
        </m:d>
      </m:oMath>
      <w:r w:rsidRPr="006C7A10">
        <w:rPr>
          <w:rFonts w:asciiTheme="minorHAnsi" w:eastAsiaTheme="minorEastAsia" w:hAnsiTheme="minorHAnsi" w:cstheme="minorHAnsi"/>
          <w:kern w:val="2"/>
          <w:lang w:val="en-US" w:bidi="ar-SA"/>
        </w:rPr>
        <w:t xml:space="preserve"> we relied on reports from the nearby community-based conservancy, such as Idodi-Pawaga, Mbarang’andu, and Kisangule (see </w:t>
      </w:r>
      <w:r w:rsidRPr="006C7A10">
        <w:rPr>
          <w:rFonts w:asciiTheme="minorHAnsi" w:eastAsiaTheme="minorEastAsia" w:hAnsiTheme="minorHAnsi" w:cstheme="minorHAnsi"/>
          <w:kern w:val="2"/>
          <w:lang w:val="en-US" w:bidi="ar-SA"/>
        </w:rPr>
        <w:fldChar w:fldCharType="begin"/>
      </w:r>
      <w:r w:rsidRPr="006C7A10">
        <w:rPr>
          <w:rFonts w:asciiTheme="minorHAnsi" w:eastAsiaTheme="minorEastAsia" w:hAnsiTheme="minorHAnsi" w:cstheme="minorHAnsi"/>
          <w:kern w:val="2"/>
          <w:lang w:val="en-US" w:bidi="ar-SA"/>
        </w:rPr>
        <w:instrText xml:space="preserve"> ADDIN ZOTERO_ITEM CSL_CITATION {"citationID":"c0eKJW10","properties":{"formattedCitation":"(Community Wildlife Management Areas Consortium (CWMAC), 2019)","plainCitation":"(Community Wildlife Management Areas Consortium (CWMAC), 2019)","dontUpdate":true,"noteIndex":0},"citationItems":[{"id":8928,"uris":["http://zotero.org/users/7267932/items/NY56C3IQ"],"itemData":{"id":8928,"type":"report","title":"WILDLIFE MANAGEMENT AREA (WMA) PERFORMANCE ASSESSMENT  REPORT","author":[{"family":"Community Wildlife Management Areas Consortium (CWMAC)","given":""}],"issued":{"date-parts":[["2019"]]}}}],"schema":"https://github.com/citation-style-language/schema/raw/master/csl-citation.json"} </w:instrText>
      </w:r>
      <w:r w:rsidRPr="006C7A10">
        <w:rPr>
          <w:rFonts w:asciiTheme="minorHAnsi" w:eastAsiaTheme="minorEastAsia" w:hAnsiTheme="minorHAnsi" w:cstheme="minorHAnsi"/>
          <w:kern w:val="2"/>
          <w:lang w:val="en-US" w:bidi="ar-SA"/>
        </w:rPr>
        <w:fldChar w:fldCharType="separate"/>
      </w:r>
      <w:r w:rsidRPr="006C7A10">
        <w:rPr>
          <w:rFonts w:asciiTheme="minorHAnsi" w:eastAsiaTheme="minorEastAsia" w:hAnsiTheme="minorHAnsi" w:cstheme="minorHAnsi"/>
          <w:kern w:val="2"/>
          <w:lang w:val="en-US" w:bidi="ar-SA"/>
        </w:rPr>
        <w:t>Community Wildlife Management Areas Consortium, 2019)</w:t>
      </w:r>
      <w:r w:rsidRPr="006C7A10">
        <w:rPr>
          <w:rFonts w:asciiTheme="minorHAnsi" w:eastAsiaTheme="minorEastAsia" w:hAnsiTheme="minorHAnsi" w:cstheme="minorHAnsi"/>
          <w:kern w:val="2"/>
          <w:lang w:val="en-US" w:bidi="ar-SA"/>
        </w:rPr>
        <w:fldChar w:fldCharType="end"/>
      </w:r>
      <w:r w:rsidRPr="006C7A10">
        <w:rPr>
          <w:rFonts w:asciiTheme="minorHAnsi" w:eastAsiaTheme="minorEastAsia" w:hAnsiTheme="minorHAnsi" w:cstheme="minorHAnsi"/>
          <w:kern w:val="2"/>
          <w:lang w:val="en-US" w:bidi="ar-SA"/>
        </w:rPr>
        <w:t xml:space="preserve"> to estimate potential tourism revenue for the baseline assumptions and projections of future trends in IIWC. The same approach was used in BKG by using eco-tourism benefits from the </w:t>
      </w:r>
      <w:proofErr w:type="spellStart"/>
      <w:r w:rsidRPr="006C7A10">
        <w:rPr>
          <w:rFonts w:asciiTheme="minorHAnsi" w:eastAsiaTheme="minorEastAsia" w:hAnsiTheme="minorHAnsi" w:cstheme="minorHAnsi"/>
          <w:kern w:val="2"/>
          <w:lang w:val="en-US" w:bidi="ar-SA"/>
        </w:rPr>
        <w:t>Mazumbai</w:t>
      </w:r>
      <w:proofErr w:type="spellEnd"/>
      <w:r w:rsidRPr="006C7A10">
        <w:rPr>
          <w:rFonts w:asciiTheme="minorHAnsi" w:eastAsiaTheme="minorEastAsia" w:hAnsiTheme="minorHAnsi" w:cstheme="minorHAnsi"/>
          <w:kern w:val="2"/>
          <w:lang w:val="en-US" w:bidi="ar-SA"/>
        </w:rPr>
        <w:t xml:space="preserve"> government forest reserve. In both corridors, we accounted for earnings from trophy hunting, photographic tourism, and revenues from tourism-funded community projects (e.g., building of dispensaries, schools, etc.). </w:t>
      </w:r>
    </w:p>
    <w:p w:rsidR="00B522E0" w:rsidRPr="006C7A10" w:rsidRDefault="00B522E0" w:rsidP="00B522E0">
      <w:pPr>
        <w:pStyle w:val="Textbody"/>
        <w:spacing w:before="240" w:line="360" w:lineRule="auto"/>
        <w:jc w:val="both"/>
        <w:rPr>
          <w:rFonts w:asciiTheme="minorHAnsi" w:eastAsiaTheme="minorEastAsia" w:hAnsiTheme="minorHAnsi" w:cstheme="minorHAnsi"/>
          <w:kern w:val="2"/>
          <w:lang w:val="en-US" w:bidi="ar-SA"/>
        </w:rPr>
      </w:pPr>
      <w:r w:rsidRPr="006C7A10">
        <w:rPr>
          <w:rFonts w:asciiTheme="minorHAnsi" w:eastAsiaTheme="minorEastAsia" w:hAnsiTheme="minorHAnsi" w:cstheme="minorHAnsi"/>
          <w:kern w:val="2"/>
          <w:lang w:val="en-US" w:bidi="ar-SA"/>
        </w:rPr>
        <w:t xml:space="preserve">Carbon value </w:t>
      </w:r>
      <m:oMath>
        <m:d>
          <m:dPr>
            <m:ctrlPr>
              <w:rPr>
                <w:rFonts w:ascii="Cambria Math" w:eastAsiaTheme="minorEastAsia" w:hAnsi="Cambria Math" w:cstheme="minorHAnsi"/>
                <w:kern w:val="2"/>
                <w:lang w:val="en-US" w:bidi="ar-SA"/>
              </w:rPr>
            </m:ctrlPr>
          </m:dPr>
          <m:e>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Benefit</m:t>
                </m:r>
              </m:e>
              <m:sub>
                <m:r>
                  <w:rPr>
                    <w:rFonts w:ascii="Cambria Math" w:eastAsiaTheme="minorEastAsia" w:hAnsi="Cambria Math" w:cstheme="minorHAnsi"/>
                    <w:kern w:val="2"/>
                    <w:lang w:val="en-US" w:bidi="ar-SA"/>
                  </w:rPr>
                  <m:t>crbn</m:t>
                </m:r>
              </m:sub>
            </m:sSub>
          </m:e>
        </m:d>
      </m:oMath>
      <w:r w:rsidRPr="006C7A10">
        <w:rPr>
          <w:rFonts w:asciiTheme="minorHAnsi" w:eastAsiaTheme="minorEastAsia" w:hAnsiTheme="minorHAnsi" w:cstheme="minorHAnsi"/>
          <w:kern w:val="2"/>
          <w:lang w:val="en-US" w:bidi="ar-SA"/>
        </w:rPr>
        <w:t xml:space="preserve"> was estimated as the product of carbon stock per year and carbon prices adopted for the Reducing Emissions from Deforestation and Forest Degradation </w:t>
      </w:r>
      <w:r w:rsidRPr="006C7A10">
        <w:rPr>
          <w:rFonts w:asciiTheme="minorHAnsi" w:eastAsiaTheme="minorEastAsia" w:hAnsiTheme="minorHAnsi" w:cstheme="minorHAnsi"/>
          <w:kern w:val="2"/>
          <w:lang w:val="en-US" w:bidi="ar-SA"/>
        </w:rPr>
        <w:lastRenderedPageBreak/>
        <w:t>(REDD+) m</w:t>
      </w:r>
      <w:proofErr w:type="spellStart"/>
      <w:r w:rsidRPr="006C7A10">
        <w:rPr>
          <w:rFonts w:asciiTheme="minorHAnsi" w:eastAsiaTheme="minorEastAsia" w:hAnsiTheme="minorHAnsi" w:cstheme="minorHAnsi"/>
          <w:kern w:val="2"/>
          <w:lang w:val="en-US" w:bidi="ar-SA"/>
        </w:rPr>
        <w:t>arket</w:t>
      </w:r>
      <w:proofErr w:type="spellEnd"/>
      <w:r w:rsidRPr="006C7A10">
        <w:rPr>
          <w:rFonts w:asciiTheme="minorHAnsi" w:eastAsiaTheme="minorEastAsia" w:hAnsiTheme="minorHAnsi" w:cstheme="minorHAnsi"/>
          <w:kern w:val="2"/>
          <w:lang w:val="en-US" w:bidi="ar-SA"/>
        </w:rPr>
        <w:t xml:space="preserve"> </w:t>
      </w:r>
      <w:r w:rsidRPr="006C7A10">
        <w:rPr>
          <w:rFonts w:asciiTheme="minorHAnsi" w:eastAsiaTheme="minorEastAsia" w:hAnsiTheme="minorHAnsi" w:cstheme="minorHAnsi"/>
          <w:kern w:val="2"/>
          <w:lang w:val="en-US" w:bidi="ar-SA"/>
        </w:rPr>
        <w:fldChar w:fldCharType="begin"/>
      </w:r>
      <w:r w:rsidRPr="006C7A10">
        <w:rPr>
          <w:rFonts w:asciiTheme="minorHAnsi" w:eastAsiaTheme="minorEastAsia" w:hAnsiTheme="minorHAnsi" w:cstheme="minorHAnsi"/>
          <w:kern w:val="2"/>
          <w:lang w:val="en-US" w:bidi="ar-SA"/>
        </w:rPr>
        <w:instrText xml:space="preserve"> ADDIN ZOTERO_ITEM CSL_CITATION {"citationID":"adunPbC8","properties":{"formattedCitation":"(Abatable, 2022)","plainCitation":"(Abatable, 2022)","noteIndex":0},"citationItems":[{"id":9115,"uris":["http://zotero.org/users/7267932/items/3K5I6UHA"],"itemData":{"id":9115,"type":"post-weblog","title":"Carbon credits prices in the voluntary carbon market","URL":"https://abatable.com/blog/carbon-credits-pricing/","author":[{"family":"Abatable","given":""}],"issued":{"date-parts":[["2022"]]}}}],"schema":"https://github.com/citation-style-language/schema/raw/master/csl-citation.json"} </w:instrText>
      </w:r>
      <w:r w:rsidRPr="006C7A10">
        <w:rPr>
          <w:rFonts w:asciiTheme="minorHAnsi" w:eastAsiaTheme="minorEastAsia" w:hAnsiTheme="minorHAnsi" w:cstheme="minorHAnsi"/>
          <w:kern w:val="2"/>
          <w:lang w:val="en-US" w:bidi="ar-SA"/>
        </w:rPr>
        <w:fldChar w:fldCharType="separate"/>
      </w:r>
      <w:r w:rsidRPr="006C7A10">
        <w:rPr>
          <w:rFonts w:asciiTheme="minorHAnsi" w:eastAsiaTheme="minorEastAsia" w:hAnsiTheme="minorHAnsi" w:cstheme="minorHAnsi"/>
          <w:kern w:val="2"/>
          <w:lang w:val="en-US" w:bidi="ar-SA"/>
        </w:rPr>
        <w:t>(Abatable, 2022)</w:t>
      </w:r>
      <w:r w:rsidRPr="006C7A10">
        <w:rPr>
          <w:rFonts w:asciiTheme="minorHAnsi" w:eastAsiaTheme="minorEastAsia" w:hAnsiTheme="minorHAnsi" w:cstheme="minorHAnsi"/>
          <w:kern w:val="2"/>
          <w:lang w:val="en-US" w:bidi="ar-SA"/>
        </w:rPr>
        <w:fldChar w:fldCharType="end"/>
      </w:r>
      <w:r w:rsidRPr="006C7A10">
        <w:rPr>
          <w:rFonts w:asciiTheme="minorHAnsi" w:eastAsiaTheme="minorEastAsia" w:hAnsiTheme="minorHAnsi" w:cstheme="minorHAnsi"/>
          <w:kern w:val="2"/>
          <w:lang w:val="en-US" w:bidi="ar-SA"/>
        </w:rPr>
        <w:t xml:space="preserve">. The above ground carbon stock dynamics were estimated using expert knowledge and studies that assess carbon sequestration over time in abandoned or fallow farmland in </w:t>
      </w:r>
      <w:proofErr w:type="spellStart"/>
      <w:r w:rsidRPr="006C7A10">
        <w:rPr>
          <w:rFonts w:asciiTheme="minorHAnsi" w:eastAsiaTheme="minorEastAsia" w:hAnsiTheme="minorHAnsi" w:cstheme="minorHAnsi"/>
          <w:kern w:val="2"/>
          <w:lang w:val="en-US" w:bidi="ar-SA"/>
        </w:rPr>
        <w:t>Miombo</w:t>
      </w:r>
      <w:proofErr w:type="spellEnd"/>
      <w:r w:rsidRPr="006C7A10">
        <w:rPr>
          <w:rFonts w:asciiTheme="minorHAnsi" w:eastAsiaTheme="minorEastAsia" w:hAnsiTheme="minorHAnsi" w:cstheme="minorHAnsi"/>
          <w:kern w:val="2"/>
          <w:lang w:val="en-US" w:bidi="ar-SA"/>
        </w:rPr>
        <w:t xml:space="preserve"> woodland comparable to the conditions in IIWC (see </w:t>
      </w:r>
      <w:r w:rsidRPr="006C7A10">
        <w:rPr>
          <w:rFonts w:asciiTheme="minorHAnsi" w:eastAsiaTheme="minorEastAsia" w:hAnsiTheme="minorHAnsi" w:cstheme="minorHAnsi"/>
          <w:kern w:val="2"/>
          <w:lang w:val="en-US" w:bidi="ar-SA"/>
        </w:rPr>
        <w:fldChar w:fldCharType="begin"/>
      </w:r>
      <w:r w:rsidRPr="006C7A10">
        <w:rPr>
          <w:rFonts w:asciiTheme="minorHAnsi" w:eastAsiaTheme="minorEastAsia" w:hAnsiTheme="minorHAnsi" w:cstheme="minorHAnsi"/>
          <w:kern w:val="2"/>
          <w:lang w:val="en-US" w:bidi="ar-SA"/>
        </w:rPr>
        <w:instrText xml:space="preserve"> ADDIN ZOTERO_ITEM CSL_CITATION {"citationID":"ylkPaJhh","properties":{"formattedCitation":"(Williams et al., 2008)","plainCitation":"(Williams et al., 2008)","dontUpdate":true,"noteIndex":0},"citationItems":[{"id":8830,"uris":["http://zotero.org/users/7267932/items/NJ5AYGHU","http://zotero.org/users/7267932/items/Q9KU6FL5"],"itemData":{"id":8830,"type":"article-journal","abstract":"Land management in tropical woodlands is being used to sequester carbon (C), alleviate poverty and protect biodiversity, among other benefits. Our objective was to determine how slash-and-burn agriculture affected vegetation and soil C stocks and biodiversity on an area of miombo woodland in Mozambique, and how C stocks and biodiversity responded once agriculture was abandoned. We sampled twenty-eight 0.125ha plots that had previously been cleared for subsistence agriculture and had been left to re-grow for 2 to </w:instrText>
      </w:r>
      <w:r w:rsidRPr="006C7A10">
        <w:rPr>
          <w:rFonts w:ascii="Cambria Math" w:eastAsiaTheme="minorEastAsia" w:hAnsi="Cambria Math" w:cs="Cambria Math"/>
          <w:kern w:val="2"/>
          <w:lang w:val="en-US" w:bidi="ar-SA"/>
        </w:rPr>
        <w:instrText>∼</w:instrText>
      </w:r>
      <w:r w:rsidRPr="006C7A10">
        <w:rPr>
          <w:rFonts w:asciiTheme="minorHAnsi" w:eastAsiaTheme="minorEastAsia" w:hAnsiTheme="minorHAnsi" w:cstheme="minorHAnsi"/>
          <w:kern w:val="2"/>
          <w:lang w:val="en-US" w:bidi="ar-SA"/>
        </w:rPr>
        <w:instrText xml:space="preserve">25 years, and fourteen 0.25ha plots of protected woodlands, recording stem diameter distributions and species, collecting wood for density determination, and soil from 0 to 0.3m for determination of %C and bulk density. Clearance for agriculture reduced stem wood C stocks by 19.0tCha−1. There were significant relationships between period of re-growth and basal area, stem numbers and stem biomass. During re-growth, wood C stocks accumulated at 0.7tCha−1year−1. There was no significant difference in stem C stocks on woodlands and on abandoned farmland 20–30 years old. Soil C stocks in the top 0.3 m on abandoned land had a narrower range (21–74tCha−1) than stocks in woodland soils (18–140tCha−1). There was no discernible increase in soil C stocks with period of re-growth, suggesting that the rate of accumulation of organic matter in these soils was very slow. The re-growing plots did not contain the defining miombo species, and total stem numbers were significantly greater than in woodland plots, but species richness and diversity were similar in older abandonments and miombo woodlands. Wood C stocks on abandoned farmland were capable of recovery within 2–3 decades, but soil C stocks did not change on this time-scale. Woodland soils were capable of storing &gt;100tCha−1, whereas no soil on a re-growing area exceeded 74tCha−1, so there is a potential for C sequestration in soils on abandoned farmland. Management should focus on identifying C-rich soils, conserving remaining woodlands to protect soil C and preserve defining miombo species, and on investigating whether fire control on recovering woodland can stimulate accumulation of soil C and greater tree biomass, and restore defining miombo species.","container-title":"Forest Ecology and Management","DOI":"10.1016/j.foreco.2007.07.033","ISSN":"0378-1127","issue":"2","journalAbbreviation":"Forest Ecology and Management","page":"145-155","source":"ScienceDirect","title":"Carbon sequestration and biodiversity of re-growing miombo woodlands in Mozambique","volume":"254","author":[{"family":"Williams","given":"M."},{"family":"Ryan","given":"C. M."},{"family":"Rees","given":"R. M."},{"family":"Sambane","given":"E."},{"family":"Fernando","given":"J."},{"family":"Grace","given":"J."}],"issued":{"date-parts":[["2008",1,25]]}}}],"schema":"https://github.com/citation-style-language/schema/raw/master/csl-citation.json"} </w:instrText>
      </w:r>
      <w:r w:rsidRPr="006C7A10">
        <w:rPr>
          <w:rFonts w:asciiTheme="minorHAnsi" w:eastAsiaTheme="minorEastAsia" w:hAnsiTheme="minorHAnsi" w:cstheme="minorHAnsi"/>
          <w:kern w:val="2"/>
          <w:lang w:val="en-US" w:bidi="ar-SA"/>
        </w:rPr>
        <w:fldChar w:fldCharType="separate"/>
      </w:r>
      <w:r w:rsidRPr="006C7A10">
        <w:rPr>
          <w:rFonts w:asciiTheme="minorHAnsi" w:eastAsiaTheme="minorEastAsia" w:hAnsiTheme="minorHAnsi" w:cstheme="minorHAnsi"/>
          <w:kern w:val="2"/>
          <w:lang w:val="en-US" w:bidi="ar-SA"/>
        </w:rPr>
        <w:t>Williams et al., 2008)</w:t>
      </w:r>
      <w:r w:rsidRPr="006C7A10">
        <w:rPr>
          <w:rFonts w:asciiTheme="minorHAnsi" w:eastAsiaTheme="minorEastAsia" w:hAnsiTheme="minorHAnsi" w:cstheme="minorHAnsi"/>
          <w:kern w:val="2"/>
          <w:lang w:val="en-US" w:bidi="ar-SA"/>
        </w:rPr>
        <w:fldChar w:fldCharType="end"/>
      </w:r>
      <w:r w:rsidRPr="006C7A10">
        <w:rPr>
          <w:rFonts w:asciiTheme="minorHAnsi" w:eastAsiaTheme="minorEastAsia" w:hAnsiTheme="minorHAnsi" w:cstheme="minorHAnsi"/>
          <w:kern w:val="2"/>
          <w:lang w:val="en-US" w:bidi="ar-SA"/>
        </w:rPr>
        <w:t xml:space="preserve"> and in the Afromontane forest to represent conditions in BKG (see </w:t>
      </w:r>
      <w:r w:rsidRPr="006C7A10">
        <w:rPr>
          <w:rFonts w:asciiTheme="minorHAnsi" w:eastAsiaTheme="minorEastAsia" w:hAnsiTheme="minorHAnsi" w:cstheme="minorHAnsi"/>
          <w:kern w:val="2"/>
          <w:lang w:val="en-US" w:bidi="ar-SA"/>
        </w:rPr>
        <w:fldChar w:fldCharType="begin"/>
      </w:r>
      <w:r w:rsidRPr="006C7A10">
        <w:rPr>
          <w:rFonts w:asciiTheme="minorHAnsi" w:eastAsiaTheme="minorEastAsia" w:hAnsiTheme="minorHAnsi" w:cstheme="minorHAnsi"/>
          <w:kern w:val="2"/>
          <w:lang w:val="en-US" w:bidi="ar-SA"/>
        </w:rPr>
        <w:instrText xml:space="preserve"> ADDIN ZOTERO_ITEM CSL_CITATION {"citationID":"2C5mtuDa","properties":{"custom":"(Mathew et al., 2016; Mwampamba, 2009)","formattedCitation":"(Mathew et al., 2016; Mwampamba, 2009)","plainCitation":"(Mathew et al., 2016; Mwampamba, 2009)","dontUpdate":true,"noteIndex":0},"citationItems":[{"id":8961,"uris":["http://zotero.org/users/7267932/items/HKQQGG64"],"itemData":{"id":8961,"type":"article-journal","abstract":"Understanding above-ground tree biomass carbon (AGC) and relationships to soil organic carbon (SOC) stocks across a landscape provide opportunities for better management of the carbon pools. This study determined relationships between on-farm AGC and SOC stocks along an altitudinal gradient on the slopes of Mount Kilimanjaro. Fifty plots (100 × 100 m) were established, whereby all trees ≥5 cm dbh, were recorded. Soil samples from top (0–20 cm) and subsoils (21–50 cm) were collected at the centre of the plots using four subplots. Tree inventory and soil analyses were performed and statistical tests were conducted to understand relationships between AGC and SOC stocks. Results indicated that stem density increased with altitude, however the upland and the midland did not differ significantly while the lowland differs with both the midland and the upland. A similar pattern was observed for basal area and above-ground tree biomass (AGB), with no significant difference between the midland and upland whereas the lowland differed significantly from both the upland and the midland. SOC stocks varied significantly, being the largest in the upland, amounting to almost twice the size recorded in the midland or the lowland. SOC stocks indicated poor correlation (Pearson’s: r = 0.327, df = 47, p = 0.023) and poor interaction (Wald = 0.0008, df = 1, p = 0.977) with AGC. This study concludes that the relationship between AGC and SOC stocks was masked by other factors including soil types, precipitation and land management. The protocol used to test the relationships might also have contributed further to current observation. Overall, the lowland area, having low AGC and SOC stocks, requires management interventions aimed at increasing SOC stocks.","container-title":"Forests, Trees and Livelihoods","DOI":"10.1080/14728028.2016.1202790","ISSN":"1472-8028","issue":"4","note":"publisher: Taylor &amp; Francis\n_eprint: https://doi.org/10.1080/14728028.2016.1202790","page":"255-266","source":"Taylor and Francis+NEJM","title":"Relationships between on-farm tree stocks and soil organic carbon along an altitudinal gradient, Mount Kilimanjaro, Tanzania","volume":"25","author":[{"family":"Mathew","given":"Mathayo Mpanda"},{"family":"Majule","given":"Amos Enock"},{"family":"Sinclair","given":"Fergus"},{"family":"Marchant","given":"Rob"}],"issued":{"date-parts":[["2016",10,1]]}},"label":"page"},{"id":8967,"uris":["http://zotero.org/users/7267932/items/HE253297"],"itemData":{"id":8967,"type":"webpage","abstract":"Explore millions of resources from scholarly journals, books, newspapers, videos and more, on the ProQuest Platform.","language":"en","title":"Forest recovery and carbon sequestration under shifting cultivation in the Eastern Arc Mountains, Tanzania: Landscape and landuse effects - ProQuest","title-short":"Forest recovery and carbon sequestration under shifting cultivation in the Eastern Arc Mountains, Tanzania","URL":"https://www.proquest.com/openview/373466c4c2069edd017a5df0f4493428/1?pq-origsite=gscholar&amp;cbl=18750","author":[{"family":"Mwampamba","given":"Tuyeni"}],"accessed":{"date-parts":[["2024",4,1]]},"issued":{"date-parts":[["2009"]]}},"label":"page"}],"schema":"https://github.com/citation-style-language/schema/raw/master/csl-citation.json"} </w:instrText>
      </w:r>
      <w:r w:rsidRPr="006C7A10">
        <w:rPr>
          <w:rFonts w:asciiTheme="minorHAnsi" w:eastAsiaTheme="minorEastAsia" w:hAnsiTheme="minorHAnsi" w:cstheme="minorHAnsi"/>
          <w:kern w:val="2"/>
          <w:lang w:val="en-US" w:bidi="ar-SA"/>
        </w:rPr>
        <w:fldChar w:fldCharType="separate"/>
      </w:r>
      <w:r w:rsidRPr="006C7A10">
        <w:rPr>
          <w:rFonts w:asciiTheme="minorHAnsi" w:eastAsiaTheme="minorEastAsia" w:hAnsiTheme="minorHAnsi" w:cstheme="minorHAnsi"/>
          <w:kern w:val="2"/>
          <w:lang w:val="en-US" w:bidi="ar-SA"/>
        </w:rPr>
        <w:t>Mathew et al., 2016 and Mwampamba, 2009)</w:t>
      </w:r>
      <w:r w:rsidRPr="006C7A10">
        <w:rPr>
          <w:rFonts w:asciiTheme="minorHAnsi" w:eastAsiaTheme="minorEastAsia" w:hAnsiTheme="minorHAnsi" w:cstheme="minorHAnsi"/>
          <w:kern w:val="2"/>
          <w:lang w:val="en-US" w:bidi="ar-SA"/>
        </w:rPr>
        <w:fldChar w:fldCharType="end"/>
      </w:r>
      <w:r w:rsidRPr="006C7A10">
        <w:rPr>
          <w:rFonts w:asciiTheme="minorHAnsi" w:eastAsiaTheme="minorEastAsia" w:hAnsiTheme="minorHAnsi" w:cstheme="minorHAnsi"/>
          <w:kern w:val="2"/>
          <w:lang w:val="en-US" w:bidi="ar-SA"/>
        </w:rPr>
        <w:t>. We also consider potential government revenues, particularly taxes collected through the trade of crop yields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Benefit</m:t>
            </m:r>
          </m:e>
          <m:sub>
            <m:r>
              <w:rPr>
                <w:rFonts w:ascii="Cambria Math" w:eastAsiaTheme="minorEastAsia" w:hAnsi="Cambria Math" w:cstheme="minorHAnsi"/>
                <w:kern w:val="2"/>
                <w:lang w:val="en-US" w:bidi="ar-SA"/>
              </w:rPr>
              <m:t>tax</m:t>
            </m:r>
            <m:r>
              <m:rPr>
                <m:sty m:val="p"/>
              </m:rPr>
              <w:rPr>
                <w:rFonts w:ascii="Cambria Math" w:eastAsiaTheme="minorEastAsia" w:hAnsi="Cambria Math" w:cstheme="minorHAnsi"/>
                <w:kern w:val="2"/>
                <w:lang w:val="en-US" w:bidi="ar-SA"/>
              </w:rPr>
              <m:t>-</m:t>
            </m:r>
            <m:r>
              <w:rPr>
                <w:rFonts w:ascii="Cambria Math" w:eastAsiaTheme="minorEastAsia" w:hAnsi="Cambria Math" w:cstheme="minorHAnsi"/>
                <w:kern w:val="2"/>
                <w:lang w:val="en-US" w:bidi="ar-SA"/>
              </w:rPr>
              <m:t>crop</m:t>
            </m:r>
          </m:sub>
        </m:sSub>
        <m:r>
          <m:rPr>
            <m:sty m:val="p"/>
          </m:rPr>
          <w:rPr>
            <w:rFonts w:ascii="Cambria Math" w:eastAsiaTheme="minorEastAsia" w:hAnsi="Cambria Math" w:cstheme="minorHAnsi"/>
            <w:kern w:val="2"/>
            <w:lang w:val="en-US" w:bidi="ar-SA"/>
          </w:rPr>
          <m:t>)</m:t>
        </m:r>
      </m:oMath>
      <w:r w:rsidRPr="006C7A10">
        <w:rPr>
          <w:rFonts w:asciiTheme="minorHAnsi" w:eastAsiaTheme="minorEastAsia" w:hAnsiTheme="minorHAnsi" w:cstheme="minorHAnsi"/>
          <w:kern w:val="2"/>
          <w:lang w:val="en-US" w:bidi="ar-SA"/>
        </w:rPr>
        <w:t xml:space="preserve"> and livestock </w:t>
      </w:r>
      <m:oMath>
        <m:r>
          <w:rPr>
            <w:rFonts w:ascii="Cambria Math" w:eastAsiaTheme="minorEastAsia" w:hAnsi="Cambria Math" w:cstheme="minorHAnsi"/>
            <w:kern w:val="2"/>
            <w:lang w:val="en-US" w:bidi="ar-SA"/>
          </w:rPr>
          <m:t>(</m:t>
        </m:r>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Benefit</m:t>
            </m:r>
          </m:e>
          <m:sub>
            <m:r>
              <w:rPr>
                <w:rFonts w:ascii="Cambria Math" w:eastAsiaTheme="minorEastAsia" w:hAnsi="Cambria Math" w:cstheme="minorHAnsi"/>
                <w:kern w:val="2"/>
                <w:lang w:val="en-US" w:bidi="ar-SA"/>
              </w:rPr>
              <m:t>tax</m:t>
            </m:r>
            <m:r>
              <m:rPr>
                <m:sty m:val="p"/>
              </m:rPr>
              <w:rPr>
                <w:rFonts w:ascii="Cambria Math" w:eastAsiaTheme="minorEastAsia" w:hAnsi="Cambria Math" w:cstheme="minorHAnsi"/>
                <w:kern w:val="2"/>
                <w:lang w:val="en-US" w:bidi="ar-SA"/>
              </w:rPr>
              <m:t>-</m:t>
            </m:r>
            <m:r>
              <w:rPr>
                <w:rFonts w:ascii="Cambria Math" w:eastAsiaTheme="minorEastAsia" w:hAnsi="Cambria Math" w:cstheme="minorHAnsi"/>
                <w:kern w:val="2"/>
                <w:lang w:val="en-US" w:bidi="ar-SA"/>
              </w:rPr>
              <m:t>lvsk</m:t>
            </m:r>
          </m:sub>
        </m:sSub>
        <m:r>
          <w:rPr>
            <w:rFonts w:ascii="Cambria Math" w:eastAsiaTheme="minorEastAsia" w:hAnsi="Cambria Math" w:cstheme="minorHAnsi"/>
            <w:kern w:val="2"/>
            <w:lang w:val="en-US" w:bidi="ar-SA"/>
          </w:rPr>
          <m:t>)</m:t>
        </m:r>
      </m:oMath>
      <w:r w:rsidRPr="006C7A10">
        <w:rPr>
          <w:rFonts w:asciiTheme="minorHAnsi" w:eastAsiaTheme="minorEastAsia" w:hAnsiTheme="minorHAnsi" w:cstheme="minorHAnsi"/>
          <w:kern w:val="2"/>
          <w:lang w:val="en-US" w:bidi="ar-SA"/>
        </w:rPr>
        <w:t xml:space="preserve"> from non-conserved farms. Finally, we used the trophy hunting value of </w:t>
      </w:r>
      <w:r w:rsidR="00E52ACF" w:rsidRPr="006C7A10">
        <w:rPr>
          <w:rFonts w:asciiTheme="minorHAnsi" w:eastAsiaTheme="minorEastAsia" w:hAnsiTheme="minorHAnsi" w:cstheme="minorHAnsi"/>
          <w:kern w:val="2"/>
          <w:lang w:val="en-US" w:bidi="ar-SA"/>
        </w:rPr>
        <w:t>African savanna elephant</w:t>
      </w:r>
      <w:r w:rsidRPr="006C7A10">
        <w:rPr>
          <w:rFonts w:asciiTheme="minorHAnsi" w:eastAsiaTheme="minorEastAsia" w:hAnsiTheme="minorHAnsi" w:cstheme="minorHAnsi"/>
          <w:kern w:val="2"/>
          <w:lang w:val="en-US" w:bidi="ar-SA"/>
        </w:rPr>
        <w:t xml:space="preserve">s </w:t>
      </w:r>
      <m:oMath>
        <m:d>
          <m:dPr>
            <m:ctrlPr>
              <w:rPr>
                <w:rFonts w:ascii="Cambria Math" w:eastAsiaTheme="minorEastAsia" w:hAnsi="Cambria Math" w:cstheme="minorHAnsi"/>
                <w:kern w:val="2"/>
                <w:lang w:val="en-US" w:bidi="ar-SA"/>
              </w:rPr>
            </m:ctrlPr>
          </m:dPr>
          <m:e>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Benefit</m:t>
                </m:r>
              </m:e>
              <m:sub>
                <m:r>
                  <w:rPr>
                    <w:rFonts w:ascii="Cambria Math" w:eastAsiaTheme="minorEastAsia" w:hAnsi="Cambria Math" w:cstheme="minorHAnsi"/>
                    <w:kern w:val="2"/>
                    <w:lang w:val="en-US" w:bidi="ar-SA"/>
                  </w:rPr>
                  <m:t>elpnt</m:t>
                </m:r>
                <m:r>
                  <m:rPr>
                    <m:sty m:val="p"/>
                  </m:rPr>
                  <w:rPr>
                    <w:rFonts w:ascii="Cambria Math" w:eastAsiaTheme="minorEastAsia" w:hAnsi="Cambria Math" w:cstheme="minorHAnsi"/>
                    <w:kern w:val="2"/>
                    <w:lang w:val="en-US" w:bidi="ar-SA"/>
                  </w:rPr>
                  <m:t>_</m:t>
                </m:r>
                <m:r>
                  <w:rPr>
                    <w:rFonts w:ascii="Cambria Math" w:eastAsiaTheme="minorEastAsia" w:hAnsi="Cambria Math" w:cstheme="minorHAnsi"/>
                    <w:kern w:val="2"/>
                    <w:lang w:val="en-US" w:bidi="ar-SA"/>
                  </w:rPr>
                  <m:t>gov</m:t>
                </m:r>
              </m:sub>
            </m:sSub>
          </m:e>
        </m:d>
      </m:oMath>
      <w:r w:rsidRPr="006C7A10">
        <w:rPr>
          <w:rFonts w:asciiTheme="minorHAnsi" w:eastAsiaTheme="minorEastAsia" w:hAnsiTheme="minorHAnsi" w:cstheme="minorHAnsi"/>
          <w:kern w:val="2"/>
          <w:lang w:val="en-US" w:bidi="ar-SA"/>
        </w:rPr>
        <w:t xml:space="preserve"> as a proxy for the value of </w:t>
      </w:r>
      <w:r w:rsidR="00E52ACF" w:rsidRPr="006C7A10">
        <w:rPr>
          <w:rFonts w:asciiTheme="minorHAnsi" w:eastAsiaTheme="minorEastAsia" w:hAnsiTheme="minorHAnsi" w:cstheme="minorHAnsi"/>
          <w:kern w:val="2"/>
          <w:lang w:val="en-US" w:bidi="ar-SA"/>
        </w:rPr>
        <w:t>African savanna elephant</w:t>
      </w:r>
      <w:r w:rsidRPr="006C7A10">
        <w:rPr>
          <w:rFonts w:asciiTheme="minorHAnsi" w:eastAsiaTheme="minorEastAsia" w:hAnsiTheme="minorHAnsi" w:cstheme="minorHAnsi"/>
          <w:kern w:val="2"/>
          <w:lang w:val="en-US" w:bidi="ar-SA"/>
        </w:rPr>
        <w:t>s to the government (</w:t>
      </w:r>
      <w:r w:rsidRPr="006C7A10">
        <w:rPr>
          <w:rFonts w:asciiTheme="minorHAnsi" w:eastAsiaTheme="minorEastAsia" w:hAnsiTheme="minorHAnsi" w:cstheme="minorHAnsi"/>
          <w:kern w:val="2"/>
          <w:lang w:val="en-US" w:bidi="ar-SA"/>
        </w:rPr>
        <w:fldChar w:fldCharType="begin"/>
      </w:r>
      <w:r w:rsidRPr="006C7A10">
        <w:rPr>
          <w:rFonts w:asciiTheme="minorHAnsi" w:eastAsiaTheme="minorEastAsia" w:hAnsiTheme="minorHAnsi" w:cstheme="minorHAnsi"/>
          <w:kern w:val="2"/>
          <w:lang w:val="en-US" w:bidi="ar-SA"/>
        </w:rPr>
        <w:instrText xml:space="preserve"> ADDIN ZOTERO_ITEM CSL_CITATION {"citationID":"OsRmtB4c","properties":{"formattedCitation":"(URT, 2012)","plainCitation":"(URT, 2012)","dontUpdate":true,"noteIndex":0},"citationItems":[{"id":9067,"uris":["http://zotero.org/users/7267932/items/W44VY5MI"],"itemData":{"id":9067,"type":"report","title":"The Wildlife Conservation Act: The Wildlife Conservation (Valuation of Trophies) Regulations","author":[{"family":"URT","given":""}],"issued":{"date-parts":[["2012"]]}}}],"schema":"https://github.com/citation-style-language/schema/raw/master/csl-citation.json"} </w:instrText>
      </w:r>
      <w:r w:rsidRPr="006C7A10">
        <w:rPr>
          <w:rFonts w:asciiTheme="minorHAnsi" w:eastAsiaTheme="minorEastAsia" w:hAnsiTheme="minorHAnsi" w:cstheme="minorHAnsi"/>
          <w:kern w:val="2"/>
          <w:lang w:val="en-US" w:bidi="ar-SA"/>
        </w:rPr>
        <w:fldChar w:fldCharType="separate"/>
      </w:r>
      <w:r w:rsidRPr="006C7A10">
        <w:rPr>
          <w:rFonts w:asciiTheme="minorHAnsi" w:eastAsiaTheme="minorEastAsia" w:hAnsiTheme="minorHAnsi" w:cstheme="minorHAnsi"/>
          <w:kern w:val="2"/>
          <w:lang w:val="en-US" w:bidi="ar-SA"/>
        </w:rPr>
        <w:t>URT, 2012)</w:t>
      </w:r>
      <w:r w:rsidRPr="006C7A10">
        <w:rPr>
          <w:rFonts w:asciiTheme="minorHAnsi" w:eastAsiaTheme="minorEastAsia" w:hAnsiTheme="minorHAnsi" w:cstheme="minorHAnsi"/>
          <w:kern w:val="2"/>
          <w:lang w:val="en-US" w:bidi="ar-SA"/>
        </w:rPr>
        <w:fldChar w:fldCharType="end"/>
      </w:r>
      <w:r w:rsidRPr="006C7A10">
        <w:rPr>
          <w:rFonts w:asciiTheme="minorHAnsi" w:eastAsiaTheme="minorEastAsia" w:hAnsiTheme="minorHAnsi" w:cstheme="minorHAnsi"/>
          <w:kern w:val="2"/>
          <w:lang w:val="en-US" w:bidi="ar-SA"/>
        </w:rPr>
        <w:t xml:space="preserve">. The annual total benefit of conservation for the government is then given by equation </w:t>
      </w:r>
      <w:r w:rsidR="00C441AE" w:rsidRPr="006C7A10">
        <w:rPr>
          <w:rFonts w:asciiTheme="minorHAnsi" w:eastAsiaTheme="minorEastAsia" w:hAnsiTheme="minorHAnsi" w:cstheme="minorHAnsi"/>
          <w:kern w:val="2"/>
          <w:lang w:val="en-US" w:bidi="ar-SA"/>
        </w:rPr>
        <w:t>A.</w:t>
      </w:r>
      <w:r w:rsidRPr="006C7A10">
        <w:rPr>
          <w:rFonts w:asciiTheme="minorHAnsi" w:eastAsiaTheme="minorEastAsia" w:hAnsiTheme="minorHAnsi" w:cstheme="minorHAnsi"/>
          <w:kern w:val="2"/>
          <w:lang w:val="en-US" w:bidi="ar-SA"/>
        </w:rPr>
        <w:t>8.</w:t>
      </w:r>
    </w:p>
    <w:p w:rsidR="00B522E0" w:rsidRPr="006C7A10" w:rsidRDefault="00361811" w:rsidP="00B522E0">
      <w:pPr>
        <w:pStyle w:val="Textbody"/>
        <w:spacing w:line="360" w:lineRule="auto"/>
        <w:jc w:val="center"/>
        <w:rPr>
          <w:rFonts w:asciiTheme="minorHAnsi" w:eastAsiaTheme="minorEastAsia" w:hAnsiTheme="minorHAnsi" w:cstheme="minorHAnsi"/>
          <w:kern w:val="2"/>
          <w:sz w:val="28"/>
          <w:szCs w:val="28"/>
          <w:lang w:val="en-US" w:bidi="ar-SA"/>
        </w:rPr>
      </w:pP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TB</m:t>
            </m:r>
          </m:e>
          <m:sub>
            <m:r>
              <w:rPr>
                <w:rFonts w:ascii="Cambria Math" w:eastAsiaTheme="minorEastAsia" w:hAnsi="Cambria Math" w:cstheme="minorHAnsi"/>
                <w:kern w:val="2"/>
                <w:lang w:val="en-US" w:bidi="ar-SA"/>
              </w:rPr>
              <m:t>gov</m:t>
            </m:r>
          </m:sub>
        </m:sSub>
      </m:oMath>
      <w:r w:rsidR="00B522E0" w:rsidRPr="006C7A10">
        <w:rPr>
          <w:rFonts w:asciiTheme="minorHAnsi" w:eastAsiaTheme="minorEastAsia" w:hAnsiTheme="minorHAnsi" w:cstheme="minorHAnsi"/>
          <w:kern w:val="2"/>
          <w:lang w:val="en-US" w:bidi="ar-SA"/>
        </w:rPr>
        <w:t xml:space="preserve"> =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Benefit</m:t>
            </m:r>
          </m:e>
          <m:sub>
            <m:r>
              <w:rPr>
                <w:rFonts w:ascii="Cambria Math" w:eastAsiaTheme="minorEastAsia" w:hAnsi="Cambria Math" w:cstheme="minorHAnsi"/>
                <w:kern w:val="2"/>
                <w:lang w:val="en-US" w:bidi="ar-SA"/>
              </w:rPr>
              <m:t>trsm</m:t>
            </m:r>
            <m:r>
              <m:rPr>
                <m:sty m:val="p"/>
              </m:rPr>
              <w:rPr>
                <w:rFonts w:ascii="Cambria Math" w:eastAsiaTheme="minorEastAsia" w:hAnsi="Cambria Math" w:cstheme="minorHAnsi"/>
                <w:kern w:val="2"/>
                <w:lang w:val="en-US" w:bidi="ar-SA"/>
              </w:rPr>
              <m:t>_</m:t>
            </m:r>
            <m:r>
              <w:rPr>
                <w:rFonts w:ascii="Cambria Math" w:eastAsiaTheme="minorEastAsia" w:hAnsi="Cambria Math" w:cstheme="minorHAnsi"/>
                <w:kern w:val="2"/>
                <w:lang w:val="en-US" w:bidi="ar-SA"/>
              </w:rPr>
              <m:t>gov</m:t>
            </m:r>
          </m:sub>
        </m:sSub>
      </m:oMath>
      <w:r w:rsidR="00B522E0" w:rsidRPr="006C7A10">
        <w:rPr>
          <w:rFonts w:asciiTheme="minorHAnsi" w:eastAsiaTheme="minorEastAsia" w:hAnsiTheme="minorHAnsi" w:cstheme="minorHAnsi"/>
          <w:kern w:val="2"/>
          <w:lang w:val="en-US" w:bidi="ar-SA"/>
        </w:rPr>
        <w:t xml:space="preserve"> +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Benefit</m:t>
            </m:r>
          </m:e>
          <m:sub>
            <m:r>
              <w:rPr>
                <w:rFonts w:ascii="Cambria Math" w:eastAsiaTheme="minorEastAsia" w:hAnsi="Cambria Math" w:cstheme="minorHAnsi"/>
                <w:kern w:val="2"/>
                <w:lang w:val="en-US" w:bidi="ar-SA"/>
              </w:rPr>
              <m:t>crbn</m:t>
            </m:r>
          </m:sub>
        </m:sSub>
      </m:oMath>
      <w:r w:rsidR="00B522E0" w:rsidRPr="006C7A10">
        <w:rPr>
          <w:rFonts w:asciiTheme="minorHAnsi" w:eastAsiaTheme="minorEastAsia" w:hAnsiTheme="minorHAnsi" w:cstheme="minorHAnsi"/>
          <w:kern w:val="2"/>
          <w:lang w:val="en-US" w:bidi="ar-SA"/>
        </w:rPr>
        <w:t xml:space="preserve"> +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Benefit</m:t>
            </m:r>
          </m:e>
          <m:sub>
            <m:r>
              <w:rPr>
                <w:rFonts w:ascii="Cambria Math" w:eastAsiaTheme="minorEastAsia" w:hAnsi="Cambria Math" w:cstheme="minorHAnsi"/>
                <w:kern w:val="2"/>
                <w:lang w:val="en-US" w:bidi="ar-SA"/>
              </w:rPr>
              <m:t>tax</m:t>
            </m:r>
            <m:r>
              <m:rPr>
                <m:sty m:val="p"/>
              </m:rPr>
              <w:rPr>
                <w:rFonts w:ascii="Cambria Math" w:eastAsiaTheme="minorEastAsia" w:hAnsi="Cambria Math" w:cstheme="minorHAnsi"/>
                <w:kern w:val="2"/>
                <w:lang w:val="en-US" w:bidi="ar-SA"/>
              </w:rPr>
              <m:t>-</m:t>
            </m:r>
            <m:r>
              <w:rPr>
                <w:rFonts w:ascii="Cambria Math" w:eastAsiaTheme="minorEastAsia" w:hAnsi="Cambria Math" w:cstheme="minorHAnsi"/>
                <w:kern w:val="2"/>
                <w:lang w:val="en-US" w:bidi="ar-SA"/>
              </w:rPr>
              <m:t>crop</m:t>
            </m:r>
          </m:sub>
        </m:sSub>
        <m:r>
          <m:rPr>
            <m:sty m:val="p"/>
          </m:rPr>
          <w:rPr>
            <w:rFonts w:ascii="Cambria Math" w:eastAsiaTheme="minorEastAsia" w:hAnsi="Cambria Math" w:cstheme="minorHAnsi"/>
            <w:kern w:val="2"/>
            <w:lang w:val="en-US" w:bidi="ar-SA"/>
          </w:rPr>
          <m:t xml:space="preserve"> </m:t>
        </m:r>
      </m:oMath>
      <w:r w:rsidR="00B522E0" w:rsidRPr="006C7A10">
        <w:rPr>
          <w:rFonts w:asciiTheme="minorHAnsi" w:eastAsiaTheme="minorEastAsia" w:hAnsiTheme="minorHAnsi" w:cstheme="minorHAnsi"/>
          <w:kern w:val="2"/>
          <w:lang w:val="en-US" w:bidi="ar-SA"/>
        </w:rPr>
        <w:t xml:space="preserve">+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Benefit</m:t>
            </m:r>
          </m:e>
          <m:sub>
            <m:r>
              <w:rPr>
                <w:rFonts w:ascii="Cambria Math" w:eastAsiaTheme="minorEastAsia" w:hAnsi="Cambria Math" w:cstheme="minorHAnsi"/>
                <w:kern w:val="2"/>
                <w:lang w:val="en-US" w:bidi="ar-SA"/>
              </w:rPr>
              <m:t>tax</m:t>
            </m:r>
            <m:r>
              <m:rPr>
                <m:sty m:val="p"/>
              </m:rPr>
              <w:rPr>
                <w:rFonts w:ascii="Cambria Math" w:eastAsiaTheme="minorEastAsia" w:hAnsi="Cambria Math" w:cstheme="minorHAnsi"/>
                <w:kern w:val="2"/>
                <w:lang w:val="en-US" w:bidi="ar-SA"/>
              </w:rPr>
              <m:t>-</m:t>
            </m:r>
            <m:r>
              <w:rPr>
                <w:rFonts w:ascii="Cambria Math" w:eastAsiaTheme="minorEastAsia" w:hAnsi="Cambria Math" w:cstheme="minorHAnsi"/>
                <w:kern w:val="2"/>
                <w:lang w:val="en-US" w:bidi="ar-SA"/>
              </w:rPr>
              <m:t>lvstk</m:t>
            </m:r>
          </m:sub>
        </m:sSub>
        <m:r>
          <m:rPr>
            <m:sty m:val="p"/>
          </m:rPr>
          <w:rPr>
            <w:rFonts w:ascii="Cambria Math" w:eastAsiaTheme="minorEastAsia" w:hAnsi="Cambria Math" w:cstheme="minorHAnsi"/>
            <w:kern w:val="2"/>
            <w:lang w:val="en-US" w:bidi="ar-SA"/>
          </w:rPr>
          <m:t xml:space="preserve"> </m:t>
        </m:r>
      </m:oMath>
      <w:r w:rsidR="00B522E0" w:rsidRPr="006C7A10">
        <w:rPr>
          <w:rFonts w:asciiTheme="minorHAnsi" w:eastAsiaTheme="minorEastAsia" w:hAnsiTheme="minorHAnsi" w:cstheme="minorHAnsi"/>
          <w:kern w:val="2"/>
          <w:lang w:val="en-US" w:bidi="ar-SA"/>
        </w:rPr>
        <w:t xml:space="preserve"> +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Benefit</m:t>
            </m:r>
          </m:e>
          <m:sub>
            <m:r>
              <w:rPr>
                <w:rFonts w:ascii="Cambria Math" w:eastAsiaTheme="minorEastAsia" w:hAnsi="Cambria Math" w:cstheme="minorHAnsi"/>
                <w:kern w:val="2"/>
                <w:lang w:val="en-US" w:bidi="ar-SA"/>
              </w:rPr>
              <m:t>elpnt</m:t>
            </m:r>
            <m:r>
              <m:rPr>
                <m:sty m:val="p"/>
              </m:rPr>
              <w:rPr>
                <w:rFonts w:ascii="Cambria Math" w:eastAsiaTheme="minorEastAsia" w:hAnsi="Cambria Math" w:cstheme="minorHAnsi"/>
                <w:kern w:val="2"/>
                <w:lang w:val="en-US" w:bidi="ar-SA"/>
              </w:rPr>
              <m:t>_</m:t>
            </m:r>
            <m:r>
              <w:rPr>
                <w:rFonts w:ascii="Cambria Math" w:eastAsiaTheme="minorEastAsia" w:hAnsi="Cambria Math" w:cstheme="minorHAnsi"/>
                <w:kern w:val="2"/>
                <w:lang w:val="en-US" w:bidi="ar-SA"/>
              </w:rPr>
              <m:t>gov</m:t>
            </m:r>
          </m:sub>
        </m:sSub>
      </m:oMath>
      <w:r w:rsidR="00B522E0" w:rsidRPr="006C7A10">
        <w:rPr>
          <w:rFonts w:asciiTheme="minorHAnsi" w:eastAsiaTheme="minorEastAsia" w:hAnsiTheme="minorHAnsi" w:cstheme="minorHAnsi"/>
          <w:kern w:val="2"/>
          <w:lang w:val="en-US" w:bidi="ar-SA"/>
        </w:rPr>
        <w:t xml:space="preserve">                                                                                                                           (</w:t>
      </w:r>
      <w:r w:rsidR="00C441AE" w:rsidRPr="006C7A10">
        <w:rPr>
          <w:rFonts w:asciiTheme="minorHAnsi" w:eastAsiaTheme="minorEastAsia" w:hAnsiTheme="minorHAnsi" w:cstheme="minorHAnsi"/>
          <w:kern w:val="2"/>
          <w:lang w:val="en-US" w:bidi="ar-SA"/>
        </w:rPr>
        <w:t>A.</w:t>
      </w:r>
      <w:r w:rsidR="00B522E0" w:rsidRPr="006C7A10">
        <w:rPr>
          <w:rFonts w:asciiTheme="minorHAnsi" w:eastAsiaTheme="minorEastAsia" w:hAnsiTheme="minorHAnsi" w:cstheme="minorHAnsi"/>
          <w:kern w:val="2"/>
          <w:lang w:val="en-US" w:bidi="ar-SA"/>
        </w:rPr>
        <w:t>8)</w:t>
      </w:r>
    </w:p>
    <w:p w:rsidR="00B522E0" w:rsidRPr="006C7A10" w:rsidRDefault="00B522E0" w:rsidP="00B522E0">
      <w:pPr>
        <w:pStyle w:val="Textbody"/>
        <w:spacing w:before="240" w:line="360" w:lineRule="auto"/>
        <w:jc w:val="both"/>
        <w:rPr>
          <w:rFonts w:asciiTheme="minorHAnsi" w:eastAsiaTheme="minorEastAsia" w:hAnsiTheme="minorHAnsi" w:cstheme="minorHAnsi"/>
          <w:kern w:val="2"/>
          <w:lang w:val="en-US" w:bidi="ar-SA"/>
        </w:rPr>
      </w:pPr>
      <w:r w:rsidRPr="006C7A10">
        <w:rPr>
          <w:rFonts w:asciiTheme="minorHAnsi" w:eastAsiaTheme="minorEastAsia" w:hAnsiTheme="minorHAnsi" w:cstheme="minorHAnsi"/>
          <w:kern w:val="2"/>
          <w:lang w:val="en-US" w:bidi="ar-SA"/>
        </w:rPr>
        <w:t xml:space="preserve">Where,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TB</m:t>
            </m:r>
          </m:e>
          <m:sub>
            <m:r>
              <w:rPr>
                <w:rFonts w:ascii="Cambria Math" w:eastAsiaTheme="minorEastAsia" w:hAnsi="Cambria Math" w:cstheme="minorHAnsi"/>
                <w:kern w:val="2"/>
                <w:lang w:val="en-US" w:bidi="ar-SA"/>
              </w:rPr>
              <m:t>gov</m:t>
            </m:r>
          </m:sub>
        </m:sSub>
      </m:oMath>
      <w:r w:rsidRPr="006C7A10">
        <w:rPr>
          <w:rFonts w:asciiTheme="minorHAnsi" w:eastAsiaTheme="minorEastAsia" w:hAnsiTheme="minorHAnsi" w:cstheme="minorHAnsi"/>
          <w:kern w:val="2"/>
          <w:lang w:val="en-US" w:bidi="ar-SA"/>
        </w:rPr>
        <w:t xml:space="preserve"> is the annual total benefits for the government (in USD). Other variables on the right side of the equation are as explained before.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Benefit</m:t>
            </m:r>
          </m:e>
          <m:sub>
            <m:r>
              <w:rPr>
                <w:rFonts w:ascii="Cambria Math" w:eastAsiaTheme="minorEastAsia" w:hAnsi="Cambria Math" w:cstheme="minorHAnsi"/>
                <w:kern w:val="2"/>
                <w:lang w:val="en-US" w:bidi="ar-SA"/>
              </w:rPr>
              <m:t>trsm</m:t>
            </m:r>
            <m:r>
              <m:rPr>
                <m:sty m:val="p"/>
              </m:rPr>
              <w:rPr>
                <w:rFonts w:ascii="Cambria Math" w:eastAsiaTheme="minorEastAsia" w:hAnsi="Cambria Math" w:cstheme="minorHAnsi"/>
                <w:kern w:val="2"/>
                <w:lang w:val="en-US" w:bidi="ar-SA"/>
              </w:rPr>
              <m:t>_</m:t>
            </m:r>
            <m:r>
              <w:rPr>
                <w:rFonts w:ascii="Cambria Math" w:eastAsiaTheme="minorEastAsia" w:hAnsi="Cambria Math" w:cstheme="minorHAnsi"/>
                <w:kern w:val="2"/>
                <w:lang w:val="en-US" w:bidi="ar-SA"/>
              </w:rPr>
              <m:t>gov</m:t>
            </m:r>
          </m:sub>
        </m:sSub>
      </m:oMath>
      <w:r w:rsidRPr="006C7A10">
        <w:rPr>
          <w:rFonts w:asciiTheme="minorHAnsi" w:eastAsiaTheme="minorEastAsia" w:hAnsiTheme="minorHAnsi" w:cstheme="minorHAnsi"/>
          <w:kern w:val="2"/>
          <w:lang w:val="en-US" w:bidi="ar-SA"/>
        </w:rPr>
        <w:t xml:space="preserve">  was adjusted for possible losses from the global market crisis while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Benefit</m:t>
            </m:r>
          </m:e>
          <m:sub>
            <m:r>
              <w:rPr>
                <w:rFonts w:ascii="Cambria Math" w:eastAsiaTheme="minorEastAsia" w:hAnsi="Cambria Math" w:cstheme="minorHAnsi"/>
                <w:kern w:val="2"/>
                <w:lang w:val="en-US" w:bidi="ar-SA"/>
              </w:rPr>
              <m:t>crbn</m:t>
            </m:r>
          </m:sub>
        </m:sSub>
      </m:oMath>
      <w:r w:rsidRPr="006C7A10">
        <w:rPr>
          <w:rFonts w:asciiTheme="minorHAnsi" w:eastAsiaTheme="minorEastAsia" w:hAnsiTheme="minorHAnsi" w:cstheme="minorHAnsi"/>
          <w:kern w:val="2"/>
          <w:lang w:val="en-US" w:bidi="ar-SA"/>
        </w:rPr>
        <w:t xml:space="preserve"> was adjusted for both the global market crisis and drought risks using equation </w:t>
      </w:r>
      <w:r w:rsidR="00C441AE" w:rsidRPr="006C7A10">
        <w:rPr>
          <w:rFonts w:asciiTheme="minorHAnsi" w:eastAsiaTheme="minorEastAsia" w:hAnsiTheme="minorHAnsi" w:cstheme="minorHAnsi"/>
          <w:kern w:val="2"/>
          <w:lang w:val="en-US" w:bidi="ar-SA"/>
        </w:rPr>
        <w:t>A.</w:t>
      </w:r>
      <w:r w:rsidRPr="006C7A10">
        <w:rPr>
          <w:rFonts w:asciiTheme="minorHAnsi" w:eastAsiaTheme="minorEastAsia" w:hAnsiTheme="minorHAnsi" w:cstheme="minorHAnsi"/>
          <w:kern w:val="2"/>
          <w:lang w:val="en-US" w:bidi="ar-SA"/>
        </w:rPr>
        <w:t xml:space="preserve">7. </w:t>
      </w:r>
    </w:p>
    <w:p w:rsidR="00B522E0" w:rsidRPr="006C7A10" w:rsidRDefault="00B522E0" w:rsidP="00B522E0">
      <w:pPr>
        <w:pStyle w:val="Textbody"/>
        <w:spacing w:before="240" w:line="360" w:lineRule="auto"/>
        <w:jc w:val="both"/>
        <w:rPr>
          <w:rFonts w:asciiTheme="minorHAnsi" w:eastAsiaTheme="minorHAnsi" w:hAnsiTheme="minorHAnsi" w:cstheme="minorHAnsi"/>
          <w:kern w:val="2"/>
          <w:lang w:val="en-US" w:eastAsia="en-US" w:bidi="ar-SA"/>
        </w:rPr>
      </w:pPr>
      <w:r w:rsidRPr="006C7A10">
        <w:rPr>
          <w:rFonts w:asciiTheme="minorHAnsi" w:eastAsiaTheme="minorEastAsia" w:hAnsiTheme="minorHAnsi" w:cstheme="minorHAnsi"/>
          <w:kern w:val="2"/>
          <w:lang w:val="en-US" w:bidi="ar-SA"/>
        </w:rPr>
        <w:t xml:space="preserve">Both costs and benefits were estimated at baseline (i.e. at year one of conservation) and the rate of change over time was provided by experts for each scenario of landscape connectivity. The estimates were given at either the corridor, household, or farm level, depending on how well experts were able to estimate. In our analysis, however, the costs and benefits related to farmers were extrapolated per household and per year. Those related to the government were presented per hectare conserved per year and per landscape per year.  </w:t>
      </w:r>
    </w:p>
    <w:p w:rsidR="00B522E0" w:rsidRPr="006C7A10" w:rsidRDefault="00B522E0" w:rsidP="00B522E0">
      <w:pPr>
        <w:pStyle w:val="Textbody"/>
        <w:spacing w:before="240" w:line="360" w:lineRule="auto"/>
        <w:jc w:val="both"/>
        <w:rPr>
          <w:rFonts w:asciiTheme="minorHAnsi" w:eastAsiaTheme="minorEastAsia" w:hAnsiTheme="minorHAnsi" w:cstheme="minorHAnsi"/>
          <w:kern w:val="2"/>
          <w:lang w:val="en-US" w:bidi="ar-SA"/>
        </w:rPr>
      </w:pPr>
      <w:r w:rsidRPr="006C7A10">
        <w:rPr>
          <w:rFonts w:asciiTheme="minorHAnsi" w:eastAsiaTheme="minorEastAsia" w:hAnsiTheme="minorHAnsi" w:cstheme="minorHAnsi"/>
          <w:kern w:val="2"/>
          <w:lang w:val="en-US" w:bidi="ar-SA"/>
        </w:rPr>
        <w:t xml:space="preserve">We subtracted the estimates of forest basal area, </w:t>
      </w:r>
      <w:r w:rsidR="00E52ACF" w:rsidRPr="006C7A10">
        <w:rPr>
          <w:rFonts w:asciiTheme="minorHAnsi" w:eastAsiaTheme="minorEastAsia" w:hAnsiTheme="minorHAnsi" w:cstheme="minorHAnsi"/>
          <w:kern w:val="2"/>
          <w:lang w:val="en-US" w:bidi="ar-SA"/>
        </w:rPr>
        <w:t>African savanna elephant</w:t>
      </w:r>
      <w:r w:rsidRPr="006C7A10">
        <w:rPr>
          <w:rFonts w:asciiTheme="minorHAnsi" w:eastAsiaTheme="minorEastAsia" w:hAnsiTheme="minorHAnsi" w:cstheme="minorHAnsi"/>
          <w:kern w:val="2"/>
          <w:lang w:val="en-US" w:bidi="ar-SA"/>
        </w:rPr>
        <w:t xml:space="preserve"> population, aggregate conservation costs and benefits under LC from MC and HC using equation </w:t>
      </w:r>
      <w:r w:rsidR="00C441AE" w:rsidRPr="006C7A10">
        <w:rPr>
          <w:rFonts w:asciiTheme="minorHAnsi" w:eastAsiaTheme="minorEastAsia" w:hAnsiTheme="minorHAnsi" w:cstheme="minorHAnsi"/>
          <w:kern w:val="2"/>
          <w:lang w:val="en-US" w:bidi="ar-SA"/>
        </w:rPr>
        <w:t>A.</w:t>
      </w:r>
      <w:r w:rsidRPr="006C7A10">
        <w:rPr>
          <w:rFonts w:asciiTheme="minorHAnsi" w:eastAsiaTheme="minorEastAsia" w:hAnsiTheme="minorHAnsi" w:cstheme="minorHAnsi"/>
          <w:kern w:val="2"/>
          <w:lang w:val="en-US" w:bidi="ar-SA"/>
        </w:rPr>
        <w:t>9. Such difference constituted an impact measure of increasing landscape connectivity (</w:t>
      </w:r>
      <m:oMath>
        <m:sSubSup>
          <m:sSubSupPr>
            <m:ctrlPr>
              <w:rPr>
                <w:rFonts w:ascii="Cambria Math" w:eastAsiaTheme="minorEastAsia" w:hAnsi="Cambria Math" w:cstheme="minorHAnsi"/>
                <w:kern w:val="2"/>
                <w:lang w:val="en-US" w:bidi="ar-SA"/>
              </w:rPr>
            </m:ctrlPr>
          </m:sSubSupPr>
          <m:e>
            <m:r>
              <w:rPr>
                <w:rFonts w:ascii="Cambria Math" w:eastAsiaTheme="minorEastAsia" w:hAnsi="Cambria Math" w:cstheme="minorHAnsi"/>
                <w:kern w:val="2"/>
                <w:lang w:val="en-US" w:bidi="ar-SA"/>
              </w:rPr>
              <m:t>Change</m:t>
            </m:r>
          </m:e>
          <m:sub>
            <m:r>
              <w:rPr>
                <w:rFonts w:ascii="Cambria Math" w:eastAsiaTheme="minorEastAsia" w:hAnsi="Cambria Math" w:cstheme="minorHAnsi"/>
                <w:kern w:val="2"/>
                <w:lang w:val="en-US" w:bidi="ar-SA"/>
              </w:rPr>
              <m:t>s</m:t>
            </m:r>
            <m:r>
              <m:rPr>
                <m:sty m:val="p"/>
              </m:rPr>
              <w:rPr>
                <w:rFonts w:ascii="Cambria Math" w:eastAsiaTheme="minorEastAsia" w:hAnsi="Cambria Math" w:cstheme="minorHAnsi"/>
                <w:kern w:val="2"/>
                <w:lang w:val="en-US" w:bidi="ar-SA"/>
              </w:rPr>
              <m:t>',</m:t>
            </m:r>
            <m:r>
              <w:rPr>
                <w:rFonts w:ascii="Cambria Math" w:eastAsiaTheme="minorEastAsia" w:hAnsi="Cambria Math" w:cstheme="minorHAnsi"/>
                <w:kern w:val="2"/>
                <w:lang w:val="en-US" w:bidi="ar-SA"/>
              </w:rPr>
              <m:t>c</m:t>
            </m:r>
          </m:sub>
          <m:sup>
            <m:r>
              <w:rPr>
                <w:rFonts w:ascii="Cambria Math" w:eastAsiaTheme="minorEastAsia" w:hAnsi="Cambria Math" w:cstheme="minorHAnsi"/>
                <w:kern w:val="2"/>
                <w:lang w:val="en-US" w:bidi="ar-SA"/>
              </w:rPr>
              <m:t>Outcomes</m:t>
            </m:r>
          </m:sup>
        </m:sSubSup>
      </m:oMath>
      <w:r w:rsidRPr="006C7A10">
        <w:rPr>
          <w:rFonts w:asciiTheme="minorHAnsi" w:eastAsiaTheme="minorEastAsia" w:hAnsiTheme="minorHAnsi" w:cstheme="minorHAnsi"/>
          <w:kern w:val="2"/>
          <w:lang w:val="en-US" w:bidi="ar-SA"/>
        </w:rPr>
        <w:t xml:space="preserve">).  </w:t>
      </w:r>
    </w:p>
    <w:p w:rsidR="00B522E0" w:rsidRPr="006C7A10" w:rsidRDefault="00361811" w:rsidP="00B522E0">
      <w:pPr>
        <w:pStyle w:val="Textbody"/>
        <w:spacing w:before="240" w:line="360" w:lineRule="auto"/>
        <w:jc w:val="both"/>
        <w:rPr>
          <w:rFonts w:asciiTheme="minorHAnsi" w:eastAsiaTheme="minorEastAsia" w:hAnsiTheme="minorHAnsi" w:cstheme="minorHAnsi"/>
          <w:kern w:val="2"/>
          <w:lang w:val="en-US" w:bidi="ar-SA"/>
        </w:rPr>
      </w:pPr>
      <m:oMath>
        <m:sSubSup>
          <m:sSubSupPr>
            <m:ctrlPr>
              <w:rPr>
                <w:rFonts w:ascii="Cambria Math" w:eastAsiaTheme="minorEastAsia" w:hAnsi="Cambria Math" w:cstheme="minorHAnsi"/>
                <w:kern w:val="2"/>
                <w:lang w:val="en-US" w:bidi="ar-SA"/>
              </w:rPr>
            </m:ctrlPr>
          </m:sSubSupPr>
          <m:e>
            <m:r>
              <w:rPr>
                <w:rFonts w:ascii="Cambria Math" w:eastAsiaTheme="minorEastAsia" w:hAnsi="Cambria Math" w:cstheme="minorHAnsi"/>
                <w:kern w:val="2"/>
                <w:lang w:val="en-US" w:bidi="ar-SA"/>
              </w:rPr>
              <m:t>Change</m:t>
            </m:r>
          </m:e>
          <m:sub>
            <m:r>
              <w:rPr>
                <w:rFonts w:ascii="Cambria Math" w:eastAsiaTheme="minorEastAsia" w:hAnsi="Cambria Math" w:cstheme="minorHAnsi"/>
                <w:kern w:val="2"/>
                <w:lang w:val="en-US" w:bidi="ar-SA"/>
              </w:rPr>
              <m:t>s'</m:t>
            </m:r>
            <m:r>
              <m:rPr>
                <m:sty m:val="p"/>
              </m:rPr>
              <w:rPr>
                <w:rFonts w:ascii="Cambria Math" w:eastAsiaTheme="minorEastAsia" w:hAnsi="Cambria Math" w:cstheme="minorHAnsi"/>
                <w:kern w:val="2"/>
                <w:lang w:val="en-US" w:bidi="ar-SA"/>
              </w:rPr>
              <m:t>,</m:t>
            </m:r>
            <m:r>
              <w:rPr>
                <w:rFonts w:ascii="Cambria Math" w:eastAsiaTheme="minorEastAsia" w:hAnsi="Cambria Math" w:cstheme="minorHAnsi"/>
                <w:kern w:val="2"/>
                <w:lang w:val="en-US" w:bidi="ar-SA"/>
              </w:rPr>
              <m:t>c</m:t>
            </m:r>
          </m:sub>
          <m:sup>
            <m:r>
              <w:rPr>
                <w:rFonts w:ascii="Cambria Math" w:eastAsiaTheme="minorEastAsia" w:hAnsi="Cambria Math" w:cstheme="minorHAnsi"/>
                <w:kern w:val="2"/>
                <w:lang w:val="en-US" w:bidi="ar-SA"/>
              </w:rPr>
              <m:t>Outcomes</m:t>
            </m:r>
          </m:sup>
        </m:sSubSup>
      </m:oMath>
      <w:r w:rsidR="00B522E0" w:rsidRPr="006C7A10">
        <w:rPr>
          <w:rFonts w:asciiTheme="minorHAnsi" w:eastAsiaTheme="minorEastAsia" w:hAnsiTheme="minorHAnsi" w:cstheme="minorHAnsi"/>
          <w:kern w:val="2"/>
          <w:lang w:val="en-US" w:bidi="ar-SA"/>
        </w:rPr>
        <w:t>=</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Outcomes</m:t>
            </m:r>
          </m:e>
          <m:sub>
            <m:r>
              <w:rPr>
                <w:rFonts w:ascii="Cambria Math" w:eastAsiaTheme="minorEastAsia" w:hAnsi="Cambria Math" w:cstheme="minorHAnsi"/>
                <w:kern w:val="2"/>
                <w:lang w:val="en-US" w:bidi="ar-SA"/>
              </w:rPr>
              <m:t>s'</m:t>
            </m:r>
            <m:r>
              <m:rPr>
                <m:sty m:val="p"/>
              </m:rPr>
              <w:rPr>
                <w:rFonts w:ascii="Cambria Math" w:eastAsiaTheme="minorEastAsia" w:hAnsi="Cambria Math" w:cstheme="minorHAnsi"/>
                <w:kern w:val="2"/>
                <w:lang w:val="en-US" w:bidi="ar-SA"/>
              </w:rPr>
              <m:t>,</m:t>
            </m:r>
            <m:r>
              <w:rPr>
                <w:rFonts w:ascii="Cambria Math" w:eastAsiaTheme="minorEastAsia" w:hAnsi="Cambria Math" w:cstheme="minorHAnsi"/>
                <w:kern w:val="2"/>
                <w:lang w:val="en-US" w:bidi="ar-SA"/>
              </w:rPr>
              <m:t>c</m:t>
            </m:r>
          </m:sub>
        </m:sSub>
        <m:r>
          <m:rPr>
            <m:sty m:val="p"/>
          </m:rPr>
          <w:rPr>
            <w:rFonts w:ascii="Cambria Math" w:eastAsiaTheme="minorEastAsia" w:hAnsi="Cambria Math" w:cstheme="minorHAnsi"/>
            <w:kern w:val="2"/>
            <w:lang w:val="en-US" w:bidi="ar-SA"/>
          </w:rPr>
          <m:t>-</m:t>
        </m:r>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Outcomes</m:t>
            </m:r>
          </m:e>
          <m:sub>
            <m:r>
              <w:rPr>
                <w:rFonts w:ascii="Cambria Math" w:eastAsiaTheme="minorEastAsia" w:hAnsi="Cambria Math" w:cstheme="minorHAnsi"/>
                <w:kern w:val="2"/>
                <w:lang w:val="en-US" w:bidi="ar-SA"/>
              </w:rPr>
              <m:t>LC</m:t>
            </m:r>
            <m:r>
              <m:rPr>
                <m:sty m:val="p"/>
              </m:rPr>
              <w:rPr>
                <w:rFonts w:ascii="Cambria Math" w:eastAsiaTheme="minorEastAsia" w:hAnsi="Cambria Math" w:cstheme="minorHAnsi"/>
                <w:kern w:val="2"/>
                <w:lang w:val="en-US" w:bidi="ar-SA"/>
              </w:rPr>
              <m:t>,</m:t>
            </m:r>
            <m:r>
              <w:rPr>
                <w:rFonts w:ascii="Cambria Math" w:eastAsiaTheme="minorEastAsia" w:hAnsi="Cambria Math" w:cstheme="minorHAnsi"/>
                <w:kern w:val="2"/>
                <w:lang w:val="en-US" w:bidi="ar-SA"/>
              </w:rPr>
              <m:t>c</m:t>
            </m:r>
          </m:sub>
        </m:sSub>
      </m:oMath>
      <w:r w:rsidR="00B522E0" w:rsidRPr="006C7A10">
        <w:rPr>
          <w:rFonts w:asciiTheme="minorHAnsi" w:eastAsiaTheme="minorEastAsia" w:hAnsiTheme="minorHAnsi" w:cstheme="minorHAnsi"/>
          <w:kern w:val="2"/>
          <w:lang w:val="en-US" w:bidi="ar-SA"/>
        </w:rPr>
        <w:t xml:space="preserve">                                                                                   (</w:t>
      </w:r>
      <w:r w:rsidR="00C441AE" w:rsidRPr="006C7A10">
        <w:rPr>
          <w:rFonts w:asciiTheme="minorHAnsi" w:eastAsiaTheme="minorEastAsia" w:hAnsiTheme="minorHAnsi" w:cstheme="minorHAnsi"/>
          <w:kern w:val="2"/>
          <w:lang w:val="en-US" w:bidi="ar-SA"/>
        </w:rPr>
        <w:t>A.</w:t>
      </w:r>
      <w:r w:rsidR="00B522E0" w:rsidRPr="006C7A10">
        <w:rPr>
          <w:rFonts w:asciiTheme="minorHAnsi" w:eastAsiaTheme="minorEastAsia" w:hAnsiTheme="minorHAnsi" w:cstheme="minorHAnsi"/>
          <w:kern w:val="2"/>
          <w:lang w:val="en-US" w:bidi="ar-SA"/>
        </w:rPr>
        <w:t>9)</w:t>
      </w:r>
    </w:p>
    <w:p w:rsidR="00B522E0" w:rsidRPr="006C7A10" w:rsidRDefault="00B522E0" w:rsidP="00A26FD6">
      <w:pPr>
        <w:pStyle w:val="Textbody"/>
        <w:spacing w:before="240" w:line="360" w:lineRule="auto"/>
        <w:jc w:val="both"/>
        <w:rPr>
          <w:rFonts w:asciiTheme="minorHAnsi" w:eastAsiaTheme="minorEastAsia" w:hAnsiTheme="minorHAnsi" w:cstheme="minorHAnsi"/>
          <w:kern w:val="2"/>
          <w:lang w:val="en-US" w:bidi="ar-SA"/>
        </w:rPr>
      </w:pPr>
      <w:r w:rsidRPr="006C7A10">
        <w:rPr>
          <w:rFonts w:asciiTheme="minorHAnsi" w:eastAsiaTheme="minorEastAsia" w:hAnsiTheme="minorHAnsi" w:cstheme="minorHAnsi"/>
          <w:kern w:val="2"/>
          <w:lang w:val="en-US" w:bidi="ar-SA"/>
        </w:rPr>
        <w:lastRenderedPageBreak/>
        <w:t xml:space="preserve">Where, </w:t>
      </w:r>
      <m:oMath>
        <m:sSubSup>
          <m:sSubSupPr>
            <m:ctrlPr>
              <w:rPr>
                <w:rFonts w:ascii="Cambria Math" w:eastAsiaTheme="minorEastAsia" w:hAnsi="Cambria Math" w:cstheme="minorHAnsi"/>
                <w:kern w:val="2"/>
                <w:lang w:val="en-US" w:bidi="ar-SA"/>
              </w:rPr>
            </m:ctrlPr>
          </m:sSubSupPr>
          <m:e>
            <m:r>
              <w:rPr>
                <w:rFonts w:ascii="Cambria Math" w:eastAsiaTheme="minorEastAsia" w:hAnsi="Cambria Math" w:cstheme="minorHAnsi"/>
                <w:kern w:val="2"/>
                <w:lang w:val="en-US" w:bidi="ar-SA"/>
              </w:rPr>
              <m:t>Change</m:t>
            </m:r>
          </m:e>
          <m:sub>
            <m:r>
              <w:rPr>
                <w:rFonts w:ascii="Cambria Math" w:eastAsiaTheme="minorEastAsia" w:hAnsi="Cambria Math" w:cstheme="minorHAnsi"/>
                <w:kern w:val="2"/>
                <w:lang w:val="en-US" w:bidi="ar-SA"/>
              </w:rPr>
              <m:t>s'</m:t>
            </m:r>
            <m:r>
              <m:rPr>
                <m:sty m:val="p"/>
              </m:rPr>
              <w:rPr>
                <w:rFonts w:ascii="Cambria Math" w:eastAsiaTheme="minorEastAsia" w:hAnsi="Cambria Math" w:cstheme="minorHAnsi"/>
                <w:kern w:val="2"/>
                <w:lang w:val="en-US" w:bidi="ar-SA"/>
              </w:rPr>
              <m:t>,</m:t>
            </m:r>
            <m:r>
              <w:rPr>
                <w:rFonts w:ascii="Cambria Math" w:eastAsiaTheme="minorEastAsia" w:hAnsi="Cambria Math" w:cstheme="minorHAnsi"/>
                <w:kern w:val="2"/>
                <w:lang w:val="en-US" w:bidi="ar-SA"/>
              </w:rPr>
              <m:t>c</m:t>
            </m:r>
          </m:sub>
          <m:sup>
            <m:r>
              <w:rPr>
                <w:rFonts w:ascii="Cambria Math" w:eastAsiaTheme="minorEastAsia" w:hAnsi="Cambria Math" w:cstheme="minorHAnsi"/>
                <w:kern w:val="2"/>
                <w:lang w:val="en-US" w:bidi="ar-SA"/>
              </w:rPr>
              <m:t>Outcomes</m:t>
            </m:r>
          </m:sup>
        </m:sSubSup>
      </m:oMath>
      <w:r w:rsidRPr="006C7A10">
        <w:rPr>
          <w:rFonts w:asciiTheme="minorHAnsi" w:eastAsiaTheme="minorEastAsia" w:hAnsiTheme="minorHAnsi" w:cstheme="minorHAnsi"/>
          <w:kern w:val="2"/>
          <w:lang w:val="en-US" w:bidi="ar-SA"/>
        </w:rPr>
        <w:t xml:space="preserve"> represents the difference in outcomes between scenarios </w:t>
      </w:r>
      <m:oMath>
        <m:r>
          <w:rPr>
            <w:rFonts w:ascii="Cambria Math" w:eastAsiaTheme="minorEastAsia" w:hAnsi="Cambria Math" w:cstheme="minorHAnsi"/>
            <w:kern w:val="2"/>
            <w:lang w:val="en-US" w:bidi="ar-SA"/>
          </w:rPr>
          <m:t>s' (HC or MC)</m:t>
        </m:r>
        <m:r>
          <m:rPr>
            <m:sty m:val="p"/>
          </m:rPr>
          <w:rPr>
            <w:rFonts w:ascii="Cambria Math" w:eastAsiaTheme="minorEastAsia" w:hAnsi="Cambria Math" w:cstheme="minorHAnsi"/>
            <w:kern w:val="2"/>
            <w:lang w:val="en-US" w:bidi="ar-SA"/>
          </w:rPr>
          <m:t xml:space="preserve"> </m:t>
        </m:r>
      </m:oMath>
      <w:r w:rsidRPr="006C7A10">
        <w:rPr>
          <w:rFonts w:asciiTheme="minorHAnsi" w:eastAsiaTheme="minorEastAsia" w:hAnsiTheme="minorHAnsi" w:cstheme="minorHAnsi"/>
          <w:kern w:val="2"/>
          <w:lang w:val="en-US" w:bidi="ar-SA"/>
        </w:rPr>
        <w:t xml:space="preserve"> and </w:t>
      </w:r>
      <m:oMath>
        <m:r>
          <w:rPr>
            <w:rFonts w:ascii="Cambria Math" w:eastAsiaTheme="minorEastAsia" w:hAnsi="Cambria Math" w:cstheme="minorHAnsi"/>
            <w:kern w:val="2"/>
            <w:lang w:val="en-US" w:bidi="ar-SA"/>
          </w:rPr>
          <m:t>LC</m:t>
        </m:r>
      </m:oMath>
      <w:r w:rsidRPr="006C7A10">
        <w:rPr>
          <w:rFonts w:asciiTheme="minorHAnsi" w:eastAsiaTheme="minorEastAsia" w:hAnsiTheme="minorHAnsi" w:cstheme="minorHAnsi"/>
          <w:kern w:val="2"/>
          <w:lang w:val="en-US" w:bidi="ar-SA"/>
        </w:rPr>
        <w:t xml:space="preserve"> in the respective corridor </w:t>
      </w:r>
      <m:oMath>
        <m:r>
          <w:rPr>
            <w:rFonts w:ascii="Cambria Math" w:eastAsiaTheme="minorEastAsia" w:hAnsi="Cambria Math" w:cstheme="minorHAnsi"/>
            <w:kern w:val="2"/>
            <w:lang w:val="en-US" w:bidi="ar-SA"/>
          </w:rPr>
          <m:t xml:space="preserve">c </m:t>
        </m:r>
        <m:d>
          <m:dPr>
            <m:ctrlPr>
              <w:rPr>
                <w:rFonts w:ascii="Cambria Math" w:eastAsiaTheme="minorEastAsia" w:hAnsi="Cambria Math" w:cstheme="minorHAnsi"/>
                <w:i/>
                <w:kern w:val="2"/>
                <w:lang w:val="en-US" w:bidi="ar-SA"/>
              </w:rPr>
            </m:ctrlPr>
          </m:dPr>
          <m:e>
            <m:r>
              <w:rPr>
                <w:rFonts w:ascii="Cambria Math" w:eastAsiaTheme="minorEastAsia" w:hAnsi="Cambria Math" w:cstheme="minorHAnsi"/>
                <w:kern w:val="2"/>
                <w:lang w:val="en-US" w:bidi="ar-SA"/>
              </w:rPr>
              <m:t>IIWC or BKG</m:t>
            </m:r>
          </m:e>
        </m:d>
        <m:r>
          <w:rPr>
            <w:rFonts w:ascii="Cambria Math" w:eastAsiaTheme="minorEastAsia" w:hAnsi="Cambria Math" w:cstheme="minorHAnsi"/>
            <w:kern w:val="2"/>
            <w:lang w:val="en-US" w:bidi="ar-SA"/>
          </w:rPr>
          <m:t xml:space="preserve"> .</m:t>
        </m:r>
      </m:oMath>
      <w:r w:rsidRPr="006C7A10">
        <w:rPr>
          <w:rFonts w:asciiTheme="minorHAnsi" w:eastAsiaTheme="minorEastAsia" w:hAnsiTheme="minorHAnsi" w:cstheme="minorHAnsi"/>
          <w:kern w:val="2"/>
          <w:lang w:val="en-US" w:bidi="ar-SA"/>
        </w:rPr>
        <w:t xml:space="preserve">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Outcomes</m:t>
            </m:r>
          </m:e>
          <m:sub>
            <m:r>
              <w:rPr>
                <w:rFonts w:ascii="Cambria Math" w:eastAsiaTheme="minorEastAsia" w:hAnsi="Cambria Math" w:cstheme="minorHAnsi"/>
                <w:kern w:val="2"/>
                <w:lang w:val="en-US" w:bidi="ar-SA"/>
              </w:rPr>
              <m:t>s'</m:t>
            </m:r>
            <m:r>
              <m:rPr>
                <m:sty m:val="p"/>
              </m:rPr>
              <w:rPr>
                <w:rFonts w:ascii="Cambria Math" w:eastAsiaTheme="minorEastAsia" w:hAnsi="Cambria Math" w:cstheme="minorHAnsi"/>
                <w:kern w:val="2"/>
                <w:lang w:val="en-US" w:bidi="ar-SA"/>
              </w:rPr>
              <m:t>,</m:t>
            </m:r>
            <m:r>
              <w:rPr>
                <w:rFonts w:ascii="Cambria Math" w:eastAsiaTheme="minorEastAsia" w:hAnsi="Cambria Math" w:cstheme="minorHAnsi"/>
                <w:kern w:val="2"/>
                <w:lang w:val="en-US" w:bidi="ar-SA"/>
              </w:rPr>
              <m:t>c</m:t>
            </m:r>
          </m:sub>
        </m:sSub>
        <m:r>
          <m:rPr>
            <m:sty m:val="p"/>
          </m:rPr>
          <w:rPr>
            <w:rFonts w:ascii="Cambria Math" w:eastAsiaTheme="minorEastAsia" w:hAnsi="Cambria Math" w:cstheme="minorHAnsi"/>
            <w:kern w:val="2"/>
            <w:lang w:val="en-US" w:bidi="ar-SA"/>
          </w:rPr>
          <m:t xml:space="preserve"> </m:t>
        </m:r>
      </m:oMath>
      <w:r w:rsidRPr="006C7A10">
        <w:rPr>
          <w:rFonts w:asciiTheme="minorHAnsi" w:eastAsiaTheme="minorEastAsia" w:hAnsiTheme="minorHAnsi" w:cstheme="minorHAnsi"/>
          <w:kern w:val="2"/>
          <w:lang w:val="en-US" w:bidi="ar-SA"/>
        </w:rPr>
        <w:t xml:space="preserve">represents outcomes determined in equations </w:t>
      </w:r>
      <w:r w:rsidR="00C441AE" w:rsidRPr="006C7A10">
        <w:rPr>
          <w:rFonts w:asciiTheme="minorHAnsi" w:eastAsiaTheme="minorEastAsia" w:hAnsiTheme="minorHAnsi" w:cstheme="minorHAnsi"/>
          <w:kern w:val="2"/>
          <w:lang w:val="en-US" w:bidi="ar-SA"/>
        </w:rPr>
        <w:t>A.</w:t>
      </w:r>
      <w:r w:rsidRPr="006C7A10">
        <w:rPr>
          <w:rFonts w:asciiTheme="minorHAnsi" w:eastAsiaTheme="minorEastAsia" w:hAnsiTheme="minorHAnsi" w:cstheme="minorHAnsi"/>
          <w:kern w:val="2"/>
          <w:lang w:val="en-US" w:bidi="ar-SA"/>
        </w:rPr>
        <w:t xml:space="preserve">2 to </w:t>
      </w:r>
      <w:r w:rsidR="00C441AE" w:rsidRPr="006C7A10">
        <w:rPr>
          <w:rFonts w:asciiTheme="minorHAnsi" w:eastAsiaTheme="minorEastAsia" w:hAnsiTheme="minorHAnsi" w:cstheme="minorHAnsi"/>
          <w:kern w:val="2"/>
          <w:lang w:val="en-US" w:bidi="ar-SA"/>
        </w:rPr>
        <w:t>A.</w:t>
      </w:r>
      <w:r w:rsidRPr="006C7A10">
        <w:rPr>
          <w:rFonts w:asciiTheme="minorHAnsi" w:eastAsiaTheme="minorEastAsia" w:hAnsiTheme="minorHAnsi" w:cstheme="minorHAnsi"/>
          <w:kern w:val="2"/>
          <w:lang w:val="en-US" w:bidi="ar-SA"/>
        </w:rPr>
        <w:t xml:space="preserve">6, and </w:t>
      </w:r>
      <w:r w:rsidR="00C441AE" w:rsidRPr="006C7A10">
        <w:rPr>
          <w:rFonts w:asciiTheme="minorHAnsi" w:eastAsiaTheme="minorEastAsia" w:hAnsiTheme="minorHAnsi" w:cstheme="minorHAnsi"/>
          <w:kern w:val="2"/>
          <w:lang w:val="en-US" w:bidi="ar-SA"/>
        </w:rPr>
        <w:t>A.</w:t>
      </w:r>
      <w:r w:rsidRPr="006C7A10">
        <w:rPr>
          <w:rFonts w:asciiTheme="minorHAnsi" w:eastAsiaTheme="minorEastAsia" w:hAnsiTheme="minorHAnsi" w:cstheme="minorHAnsi"/>
          <w:kern w:val="2"/>
          <w:lang w:val="en-US" w:bidi="ar-SA"/>
        </w:rPr>
        <w:t xml:space="preserve">8 for HC and MC scenarios and </w:t>
      </w:r>
      <m:oMath>
        <m:sSub>
          <m:sSubPr>
            <m:ctrlPr>
              <w:rPr>
                <w:rFonts w:ascii="Cambria Math" w:eastAsiaTheme="minorEastAsia" w:hAnsi="Cambria Math" w:cstheme="minorHAnsi"/>
                <w:kern w:val="2"/>
                <w:lang w:val="en-US" w:bidi="ar-SA"/>
              </w:rPr>
            </m:ctrlPr>
          </m:sSubPr>
          <m:e>
            <m:r>
              <w:rPr>
                <w:rFonts w:ascii="Cambria Math" w:eastAsiaTheme="minorEastAsia" w:hAnsi="Cambria Math" w:cstheme="minorHAnsi"/>
                <w:kern w:val="2"/>
                <w:lang w:val="en-US" w:bidi="ar-SA"/>
              </w:rPr>
              <m:t>Outcomes</m:t>
            </m:r>
          </m:e>
          <m:sub>
            <m:r>
              <w:rPr>
                <w:rFonts w:ascii="Cambria Math" w:eastAsiaTheme="minorEastAsia" w:hAnsi="Cambria Math" w:cstheme="minorHAnsi"/>
                <w:kern w:val="2"/>
                <w:lang w:val="en-US" w:bidi="ar-SA"/>
              </w:rPr>
              <m:t>LC</m:t>
            </m:r>
            <m:r>
              <m:rPr>
                <m:sty m:val="p"/>
              </m:rPr>
              <w:rPr>
                <w:rFonts w:ascii="Cambria Math" w:eastAsiaTheme="minorEastAsia" w:hAnsi="Cambria Math" w:cstheme="minorHAnsi"/>
                <w:kern w:val="2"/>
                <w:lang w:val="en-US" w:bidi="ar-SA"/>
              </w:rPr>
              <m:t>,</m:t>
            </m:r>
            <m:r>
              <w:rPr>
                <w:rFonts w:ascii="Cambria Math" w:eastAsiaTheme="minorEastAsia" w:hAnsi="Cambria Math" w:cstheme="minorHAnsi"/>
                <w:kern w:val="2"/>
                <w:lang w:val="en-US" w:bidi="ar-SA"/>
              </w:rPr>
              <m:t>c</m:t>
            </m:r>
          </m:sub>
        </m:sSub>
      </m:oMath>
      <w:r w:rsidRPr="006C7A10">
        <w:rPr>
          <w:rFonts w:asciiTheme="minorHAnsi" w:eastAsiaTheme="minorEastAsia" w:hAnsiTheme="minorHAnsi" w:cstheme="minorHAnsi"/>
          <w:kern w:val="2"/>
          <w:lang w:val="en-US" w:bidi="ar-SA"/>
        </w:rPr>
        <w:t xml:space="preserve"> represents the outcomes from the same equations for LC scenario. </w:t>
      </w:r>
    </w:p>
    <w:p w:rsidR="00B522E0" w:rsidRPr="006C7A10" w:rsidRDefault="00B522E0" w:rsidP="00A26FD6">
      <w:pPr>
        <w:pStyle w:val="NormalWeb"/>
        <w:spacing w:after="240" w:line="360" w:lineRule="auto"/>
        <w:jc w:val="both"/>
        <w:rPr>
          <w:rFonts w:asciiTheme="minorHAnsi" w:eastAsiaTheme="minorEastAsia" w:hAnsiTheme="minorHAnsi" w:cstheme="minorHAnsi"/>
          <w:kern w:val="2"/>
          <w:lang w:val="en-US" w:eastAsia="zh-CN"/>
          <w14:ligatures w14:val="standardContextual"/>
        </w:rPr>
      </w:pPr>
      <w:r w:rsidRPr="006C7A10">
        <w:rPr>
          <w:rFonts w:asciiTheme="minorHAnsi" w:eastAsiaTheme="minorEastAsia" w:hAnsiTheme="minorHAnsi" w:cstheme="minorHAnsi"/>
          <w:kern w:val="2"/>
          <w:lang w:val="en-US" w:eastAsia="zh-CN"/>
          <w14:ligatures w14:val="standardContextual"/>
        </w:rPr>
        <w:t xml:space="preserve">To estimate the NPV, we quantified the expected net benefits by subtracting the aggregated costs from aggregated benefits for each scenario </w:t>
      </w:r>
      <m:oMath>
        <m:r>
          <w:rPr>
            <w:rFonts w:ascii="Cambria Math" w:eastAsiaTheme="minorEastAsia" w:hAnsi="Cambria Math" w:cstheme="minorHAnsi"/>
            <w:kern w:val="2"/>
            <w:lang w:val="en-US" w:eastAsia="zh-CN"/>
            <w14:ligatures w14:val="standardContextual"/>
          </w:rPr>
          <m:t>s (LC, MC or HC)</m:t>
        </m:r>
      </m:oMath>
      <w:r w:rsidRPr="006C7A10">
        <w:rPr>
          <w:rFonts w:asciiTheme="minorHAnsi" w:eastAsiaTheme="minorEastAsia" w:hAnsiTheme="minorHAnsi" w:cstheme="minorHAnsi"/>
          <w:kern w:val="2"/>
          <w:lang w:val="en-US" w:eastAsia="zh-CN"/>
          <w14:ligatures w14:val="standardContextual"/>
        </w:rPr>
        <w:t xml:space="preserve"> using equation </w:t>
      </w:r>
      <w:r w:rsidR="00A26FD6" w:rsidRPr="006C7A10">
        <w:rPr>
          <w:rFonts w:asciiTheme="minorHAnsi" w:eastAsiaTheme="minorEastAsia" w:hAnsiTheme="minorHAnsi" w:cstheme="minorHAnsi"/>
          <w:kern w:val="2"/>
          <w:lang w:val="en-US" w:eastAsia="zh-CN"/>
          <w14:ligatures w14:val="standardContextual"/>
        </w:rPr>
        <w:t>A.</w:t>
      </w:r>
      <w:r w:rsidRPr="006C7A10">
        <w:rPr>
          <w:rFonts w:asciiTheme="minorHAnsi" w:eastAsiaTheme="minorEastAsia" w:hAnsiTheme="minorHAnsi" w:cstheme="minorHAnsi"/>
          <w:kern w:val="2"/>
          <w:lang w:val="en-US" w:eastAsia="zh-CN"/>
          <w14:ligatures w14:val="standardContextual"/>
        </w:rPr>
        <w:t xml:space="preserve">10 and then discounted the net benefit (equation </w:t>
      </w:r>
      <w:r w:rsidR="00C441AE" w:rsidRPr="006C7A10">
        <w:rPr>
          <w:rFonts w:asciiTheme="minorHAnsi" w:eastAsiaTheme="minorEastAsia" w:hAnsiTheme="minorHAnsi" w:cstheme="minorHAnsi"/>
          <w:kern w:val="2"/>
          <w:lang w:val="en-US" w:eastAsia="zh-CN"/>
          <w14:ligatures w14:val="standardContextual"/>
        </w:rPr>
        <w:t>A.</w:t>
      </w:r>
      <w:r w:rsidRPr="006C7A10">
        <w:rPr>
          <w:rFonts w:asciiTheme="minorHAnsi" w:eastAsiaTheme="minorEastAsia" w:hAnsiTheme="minorHAnsi" w:cstheme="minorHAnsi"/>
          <w:kern w:val="2"/>
          <w:lang w:val="en-US" w:eastAsia="zh-CN"/>
          <w14:ligatures w14:val="standardContextual"/>
        </w:rPr>
        <w:t>11).</w:t>
      </w:r>
    </w:p>
    <w:p w:rsidR="00B522E0" w:rsidRPr="006C7A10" w:rsidRDefault="00361811" w:rsidP="00A26FD6">
      <w:pPr>
        <w:pStyle w:val="NormalWeb"/>
        <w:spacing w:after="240" w:line="360" w:lineRule="auto"/>
        <w:jc w:val="both"/>
        <w:rPr>
          <w:rFonts w:asciiTheme="minorHAnsi" w:eastAsiaTheme="minorEastAsia" w:hAnsiTheme="minorHAnsi" w:cstheme="minorHAnsi"/>
          <w:kern w:val="2"/>
          <w:lang w:val="en-US" w:eastAsia="zh-CN"/>
          <w14:ligatures w14:val="standardContextual"/>
        </w:rPr>
      </w:pPr>
      <m:oMath>
        <m:sSub>
          <m:sSubPr>
            <m:ctrlPr>
              <w:rPr>
                <w:rFonts w:ascii="Cambria Math" w:eastAsiaTheme="minorEastAsia" w:hAnsi="Cambria Math" w:cstheme="minorHAnsi"/>
                <w:kern w:val="2"/>
                <w:lang w:val="en-US" w:eastAsia="zh-CN"/>
                <w14:ligatures w14:val="standardContextual"/>
              </w:rPr>
            </m:ctrlPr>
          </m:sSubPr>
          <m:e>
            <m:r>
              <w:rPr>
                <w:rFonts w:ascii="Cambria Math" w:eastAsiaTheme="minorEastAsia" w:hAnsi="Cambria Math" w:cstheme="minorHAnsi"/>
                <w:kern w:val="2"/>
                <w:lang w:val="en-US" w:eastAsia="zh-CN"/>
                <w14:ligatures w14:val="standardContextual"/>
              </w:rPr>
              <m:t>Net</m:t>
            </m:r>
            <m:r>
              <m:rPr>
                <m:sty m:val="p"/>
              </m:rPr>
              <w:rPr>
                <w:rFonts w:ascii="Cambria Math" w:eastAsiaTheme="minorEastAsia" w:hAnsi="Cambria Math" w:cstheme="minorHAnsi"/>
                <w:kern w:val="2"/>
                <w:lang w:val="en-US" w:eastAsia="zh-CN"/>
                <w14:ligatures w14:val="standardContextual"/>
              </w:rPr>
              <m:t>_</m:t>
            </m:r>
            <m:r>
              <w:rPr>
                <w:rFonts w:ascii="Cambria Math" w:eastAsiaTheme="minorEastAsia" w:hAnsi="Cambria Math" w:cstheme="minorHAnsi"/>
                <w:kern w:val="2"/>
                <w:lang w:val="en-US" w:eastAsia="zh-CN"/>
                <w14:ligatures w14:val="standardContextual"/>
              </w:rPr>
              <m:t>benefit</m:t>
            </m:r>
          </m:e>
          <m:sub>
            <m:r>
              <w:rPr>
                <w:rFonts w:ascii="Cambria Math" w:eastAsiaTheme="minorEastAsia" w:hAnsi="Cambria Math" w:cstheme="minorHAnsi"/>
                <w:kern w:val="2"/>
                <w:lang w:val="en-US" w:eastAsia="zh-CN"/>
                <w14:ligatures w14:val="standardContextual"/>
              </w:rPr>
              <m:t>s</m:t>
            </m:r>
            <m:r>
              <m:rPr>
                <m:sty m:val="p"/>
              </m:rPr>
              <w:rPr>
                <w:rFonts w:ascii="Cambria Math" w:eastAsiaTheme="minorEastAsia" w:hAnsi="Cambria Math" w:cstheme="minorHAnsi"/>
                <w:kern w:val="2"/>
                <w:lang w:val="en-US" w:eastAsia="zh-CN"/>
                <w14:ligatures w14:val="standardContextual"/>
              </w:rPr>
              <m:t>,</m:t>
            </m:r>
            <m:r>
              <w:rPr>
                <w:rFonts w:ascii="Cambria Math" w:eastAsiaTheme="minorEastAsia" w:hAnsi="Cambria Math" w:cstheme="minorHAnsi"/>
                <w:kern w:val="2"/>
                <w:lang w:val="en-US" w:eastAsia="zh-CN"/>
                <w14:ligatures w14:val="standardContextual"/>
              </w:rPr>
              <m:t>c</m:t>
            </m:r>
          </m:sub>
        </m:sSub>
      </m:oMath>
      <w:r w:rsidR="00B522E0" w:rsidRPr="006C7A10">
        <w:rPr>
          <w:rFonts w:asciiTheme="minorHAnsi" w:eastAsiaTheme="minorEastAsia" w:hAnsiTheme="minorHAnsi" w:cstheme="minorHAnsi"/>
          <w:kern w:val="2"/>
          <w:lang w:val="en-US" w:eastAsia="zh-CN"/>
          <w14:ligatures w14:val="standardContextual"/>
        </w:rPr>
        <w:t xml:space="preserve"> = </w:t>
      </w:r>
      <m:oMath>
        <m:sSub>
          <m:sSubPr>
            <m:ctrlPr>
              <w:rPr>
                <w:rFonts w:ascii="Cambria Math" w:eastAsiaTheme="minorEastAsia" w:hAnsi="Cambria Math" w:cstheme="minorHAnsi"/>
                <w:kern w:val="2"/>
                <w:lang w:val="en-US" w:eastAsia="zh-CN"/>
                <w14:ligatures w14:val="standardContextual"/>
              </w:rPr>
            </m:ctrlPr>
          </m:sSubPr>
          <m:e>
            <m:r>
              <w:rPr>
                <w:rFonts w:ascii="Cambria Math" w:eastAsiaTheme="minorEastAsia" w:hAnsi="Cambria Math" w:cstheme="minorHAnsi"/>
                <w:kern w:val="2"/>
                <w:lang w:val="en-US" w:eastAsia="zh-CN"/>
                <w14:ligatures w14:val="standardContextual"/>
              </w:rPr>
              <m:t>TB</m:t>
            </m:r>
          </m:e>
          <m:sub>
            <m:r>
              <w:rPr>
                <w:rFonts w:ascii="Cambria Math" w:eastAsiaTheme="minorEastAsia" w:hAnsi="Cambria Math" w:cstheme="minorHAnsi"/>
                <w:kern w:val="2"/>
                <w:lang w:val="en-US" w:eastAsia="zh-CN"/>
                <w14:ligatures w14:val="standardContextual"/>
              </w:rPr>
              <m:t>s</m:t>
            </m:r>
            <m:r>
              <m:rPr>
                <m:sty m:val="p"/>
              </m:rPr>
              <w:rPr>
                <w:rFonts w:ascii="Cambria Math" w:eastAsiaTheme="minorEastAsia" w:hAnsi="Cambria Math" w:cstheme="minorHAnsi"/>
                <w:kern w:val="2"/>
                <w:lang w:val="en-US" w:eastAsia="zh-CN"/>
                <w14:ligatures w14:val="standardContextual"/>
              </w:rPr>
              <m:t>,</m:t>
            </m:r>
            <m:r>
              <w:rPr>
                <w:rFonts w:ascii="Cambria Math" w:eastAsiaTheme="minorEastAsia" w:hAnsi="Cambria Math" w:cstheme="minorHAnsi"/>
                <w:kern w:val="2"/>
                <w:lang w:val="en-US" w:eastAsia="zh-CN"/>
                <w14:ligatures w14:val="standardContextual"/>
              </w:rPr>
              <m:t>c</m:t>
            </m:r>
          </m:sub>
        </m:sSub>
      </m:oMath>
      <w:r w:rsidR="00B522E0" w:rsidRPr="006C7A10">
        <w:rPr>
          <w:rFonts w:asciiTheme="minorHAnsi" w:eastAsiaTheme="minorEastAsia" w:hAnsiTheme="minorHAnsi" w:cstheme="minorHAnsi"/>
          <w:kern w:val="2"/>
          <w:lang w:val="en-US" w:eastAsia="zh-CN"/>
          <w14:ligatures w14:val="standardContextual"/>
        </w:rPr>
        <w:t xml:space="preserve"> - </w:t>
      </w:r>
      <m:oMath>
        <m:sSub>
          <m:sSubPr>
            <m:ctrlPr>
              <w:rPr>
                <w:rFonts w:ascii="Cambria Math" w:eastAsiaTheme="minorEastAsia" w:hAnsi="Cambria Math" w:cstheme="minorHAnsi"/>
                <w:kern w:val="2"/>
                <w:lang w:val="en-US" w:eastAsia="zh-CN"/>
                <w14:ligatures w14:val="standardContextual"/>
              </w:rPr>
            </m:ctrlPr>
          </m:sSubPr>
          <m:e>
            <m:r>
              <w:rPr>
                <w:rFonts w:ascii="Cambria Math" w:eastAsiaTheme="minorEastAsia" w:hAnsi="Cambria Math" w:cstheme="minorHAnsi"/>
                <w:kern w:val="2"/>
                <w:lang w:val="en-US" w:eastAsia="zh-CN"/>
                <w14:ligatures w14:val="standardContextual"/>
              </w:rPr>
              <m:t>TC</m:t>
            </m:r>
          </m:e>
          <m:sub>
            <m:r>
              <w:rPr>
                <w:rFonts w:ascii="Cambria Math" w:eastAsiaTheme="minorEastAsia" w:hAnsi="Cambria Math" w:cstheme="minorHAnsi"/>
                <w:kern w:val="2"/>
                <w:lang w:val="en-US" w:eastAsia="zh-CN"/>
                <w14:ligatures w14:val="standardContextual"/>
              </w:rPr>
              <m:t>s</m:t>
            </m:r>
            <m:r>
              <m:rPr>
                <m:sty m:val="p"/>
              </m:rPr>
              <w:rPr>
                <w:rFonts w:ascii="Cambria Math" w:eastAsiaTheme="minorEastAsia" w:hAnsi="Cambria Math" w:cstheme="minorHAnsi"/>
                <w:kern w:val="2"/>
                <w:lang w:val="en-US" w:eastAsia="zh-CN"/>
                <w14:ligatures w14:val="standardContextual"/>
              </w:rPr>
              <m:t>,</m:t>
            </m:r>
            <m:r>
              <w:rPr>
                <w:rFonts w:ascii="Cambria Math" w:eastAsiaTheme="minorEastAsia" w:hAnsi="Cambria Math" w:cstheme="minorHAnsi"/>
                <w:kern w:val="2"/>
                <w:lang w:val="en-US" w:eastAsia="zh-CN"/>
                <w14:ligatures w14:val="standardContextual"/>
              </w:rPr>
              <m:t>c</m:t>
            </m:r>
          </m:sub>
        </m:sSub>
      </m:oMath>
      <w:r w:rsidR="00B522E0" w:rsidRPr="006C7A10">
        <w:rPr>
          <w:rFonts w:asciiTheme="minorHAnsi" w:eastAsiaTheme="minorEastAsia" w:hAnsiTheme="minorHAnsi" w:cstheme="minorHAnsi"/>
          <w:kern w:val="2"/>
          <w:lang w:val="en-US" w:eastAsia="zh-CN"/>
          <w14:ligatures w14:val="standardContextual"/>
        </w:rPr>
        <w:t xml:space="preserve">                                                                                                     (</w:t>
      </w:r>
      <w:r w:rsidR="00C441AE" w:rsidRPr="006C7A10">
        <w:rPr>
          <w:rFonts w:asciiTheme="minorHAnsi" w:eastAsiaTheme="minorEastAsia" w:hAnsiTheme="minorHAnsi" w:cstheme="minorHAnsi"/>
          <w:kern w:val="2"/>
          <w:lang w:val="en-US" w:eastAsia="zh-CN"/>
          <w14:ligatures w14:val="standardContextual"/>
        </w:rPr>
        <w:t>A.</w:t>
      </w:r>
      <w:r w:rsidR="00B522E0" w:rsidRPr="006C7A10">
        <w:rPr>
          <w:rFonts w:asciiTheme="minorHAnsi" w:eastAsiaTheme="minorEastAsia" w:hAnsiTheme="minorHAnsi" w:cstheme="minorHAnsi"/>
          <w:kern w:val="2"/>
          <w:lang w:val="en-US" w:eastAsia="zh-CN"/>
          <w14:ligatures w14:val="standardContextual"/>
        </w:rPr>
        <w:t>10)</w:t>
      </w:r>
    </w:p>
    <w:p w:rsidR="00B522E0" w:rsidRPr="006C7A10" w:rsidRDefault="00B522E0" w:rsidP="00A26FD6">
      <w:pPr>
        <w:pStyle w:val="NormalWeb"/>
        <w:spacing w:after="240" w:line="360" w:lineRule="auto"/>
        <w:jc w:val="both"/>
        <w:rPr>
          <w:rFonts w:asciiTheme="minorHAnsi" w:eastAsiaTheme="minorEastAsia" w:hAnsiTheme="minorHAnsi" w:cstheme="minorHAnsi"/>
          <w:kern w:val="2"/>
          <w:lang w:val="en-US" w:eastAsia="zh-CN"/>
          <w14:ligatures w14:val="standardContextual"/>
        </w:rPr>
      </w:pPr>
      <w:r w:rsidRPr="006C7A10">
        <w:rPr>
          <w:rFonts w:asciiTheme="minorHAnsi" w:eastAsiaTheme="minorEastAsia" w:hAnsiTheme="minorHAnsi" w:cstheme="minorHAnsi"/>
          <w:kern w:val="2"/>
          <w:lang w:val="en-US" w:eastAsia="zh-CN"/>
          <w14:ligatures w14:val="standardContextual"/>
        </w:rPr>
        <w:t xml:space="preserve">Where, </w:t>
      </w:r>
      <m:oMath>
        <m:r>
          <w:rPr>
            <w:rFonts w:ascii="Cambria Math" w:eastAsiaTheme="minorEastAsia" w:hAnsi="Cambria Math" w:cstheme="minorHAnsi"/>
            <w:kern w:val="2"/>
            <w:lang w:val="en-US" w:eastAsia="zh-CN"/>
            <w14:ligatures w14:val="standardContextual"/>
          </w:rPr>
          <m:t>s</m:t>
        </m:r>
      </m:oMath>
      <w:r w:rsidRPr="006C7A10">
        <w:rPr>
          <w:rFonts w:asciiTheme="minorHAnsi" w:eastAsiaTheme="minorEastAsia" w:hAnsiTheme="minorHAnsi" w:cstheme="minorHAnsi"/>
          <w:kern w:val="2"/>
          <w:lang w:val="en-US" w:eastAsia="zh-CN"/>
          <w14:ligatures w14:val="standardContextual"/>
        </w:rPr>
        <w:t xml:space="preserve"> represents all the scenarios (i.e. LC, MC or HC) and </w:t>
      </w:r>
      <m:oMath>
        <m:r>
          <w:rPr>
            <w:rFonts w:ascii="Cambria Math" w:eastAsiaTheme="minorEastAsia" w:hAnsi="Cambria Math" w:cstheme="minorHAnsi"/>
            <w:kern w:val="2"/>
            <w:lang w:val="en-US" w:eastAsia="zh-CN"/>
            <w14:ligatures w14:val="standardContextual"/>
          </w:rPr>
          <m:t>c</m:t>
        </m:r>
      </m:oMath>
      <w:r w:rsidRPr="006C7A10">
        <w:rPr>
          <w:rFonts w:asciiTheme="minorHAnsi" w:eastAsiaTheme="minorEastAsia" w:hAnsiTheme="minorHAnsi" w:cstheme="minorHAnsi"/>
          <w:kern w:val="2"/>
          <w:lang w:val="en-US" w:eastAsia="zh-CN"/>
          <w14:ligatures w14:val="standardContextual"/>
        </w:rPr>
        <w:t xml:space="preserve"> is as explained in equation</w:t>
      </w:r>
      <w:r w:rsidR="00A26FD6" w:rsidRPr="006C7A10">
        <w:rPr>
          <w:rFonts w:asciiTheme="minorHAnsi" w:eastAsiaTheme="minorEastAsia" w:hAnsiTheme="minorHAnsi" w:cstheme="minorHAnsi"/>
          <w:kern w:val="2"/>
          <w:lang w:val="en-US" w:eastAsia="zh-CN"/>
          <w14:ligatures w14:val="standardContextual"/>
        </w:rPr>
        <w:t xml:space="preserve"> A.</w:t>
      </w:r>
      <w:r w:rsidRPr="006C7A10">
        <w:rPr>
          <w:rFonts w:asciiTheme="minorHAnsi" w:eastAsiaTheme="minorEastAsia" w:hAnsiTheme="minorHAnsi" w:cstheme="minorHAnsi"/>
          <w:kern w:val="2"/>
          <w:lang w:val="en-US" w:eastAsia="zh-CN"/>
          <w14:ligatures w14:val="standardContextual"/>
        </w:rPr>
        <w:t xml:space="preserve">9.  </w:t>
      </w:r>
    </w:p>
    <w:p w:rsidR="00B522E0" w:rsidRPr="006C7A10" w:rsidRDefault="00361811" w:rsidP="00A26FD6">
      <w:pPr>
        <w:pStyle w:val="NormalWeb"/>
        <w:spacing w:after="240" w:line="360" w:lineRule="auto"/>
        <w:jc w:val="both"/>
        <w:rPr>
          <w:rFonts w:asciiTheme="minorHAnsi" w:eastAsiaTheme="minorEastAsia" w:hAnsiTheme="minorHAnsi" w:cstheme="minorHAnsi"/>
          <w:kern w:val="2"/>
          <w:lang w:val="en-US" w:eastAsia="zh-CN"/>
          <w14:ligatures w14:val="standardContextual"/>
        </w:rPr>
      </w:pPr>
      <m:oMath>
        <m:sSub>
          <m:sSubPr>
            <m:ctrlPr>
              <w:rPr>
                <w:rFonts w:ascii="Cambria Math" w:eastAsiaTheme="minorEastAsia" w:hAnsi="Cambria Math" w:cstheme="minorHAnsi"/>
                <w:kern w:val="2"/>
                <w:lang w:val="en-US" w:eastAsia="zh-CN"/>
                <w14:ligatures w14:val="standardContextual"/>
              </w:rPr>
            </m:ctrlPr>
          </m:sSubPr>
          <m:e>
            <m:r>
              <w:rPr>
                <w:rFonts w:ascii="Cambria Math" w:eastAsiaTheme="minorEastAsia" w:hAnsi="Cambria Math" w:cstheme="minorHAnsi"/>
                <w:kern w:val="2"/>
                <w:lang w:val="en-US" w:eastAsia="zh-CN"/>
                <w14:ligatures w14:val="standardContextual"/>
              </w:rPr>
              <m:t>NPV</m:t>
            </m:r>
          </m:e>
          <m:sub>
            <m:r>
              <w:rPr>
                <w:rFonts w:ascii="Cambria Math" w:eastAsiaTheme="minorEastAsia" w:hAnsi="Cambria Math" w:cstheme="minorHAnsi"/>
                <w:kern w:val="2"/>
                <w:lang w:val="en-US" w:eastAsia="zh-CN"/>
                <w14:ligatures w14:val="standardContextual"/>
              </w:rPr>
              <m:t>s</m:t>
            </m:r>
            <m:r>
              <m:rPr>
                <m:sty m:val="p"/>
              </m:rPr>
              <w:rPr>
                <w:rFonts w:ascii="Cambria Math" w:eastAsiaTheme="minorEastAsia" w:hAnsi="Cambria Math" w:cstheme="minorHAnsi"/>
                <w:kern w:val="2"/>
                <w:lang w:val="en-US" w:eastAsia="zh-CN"/>
                <w14:ligatures w14:val="standardContextual"/>
              </w:rPr>
              <m:t>,</m:t>
            </m:r>
            <m:r>
              <w:rPr>
                <w:rFonts w:ascii="Cambria Math" w:eastAsiaTheme="minorEastAsia" w:hAnsi="Cambria Math" w:cstheme="minorHAnsi"/>
                <w:kern w:val="2"/>
                <w:lang w:val="en-US" w:eastAsia="zh-CN"/>
                <w14:ligatures w14:val="standardContextual"/>
              </w:rPr>
              <m:t>c</m:t>
            </m:r>
          </m:sub>
        </m:sSub>
        <m:r>
          <m:rPr>
            <m:sty m:val="p"/>
          </m:rPr>
          <w:rPr>
            <w:rFonts w:ascii="Cambria Math" w:eastAsiaTheme="minorEastAsia" w:hAnsi="Cambria Math" w:cstheme="minorHAnsi"/>
            <w:kern w:val="2"/>
            <w:lang w:val="en-US" w:eastAsia="zh-CN"/>
            <w14:ligatures w14:val="standardContextual"/>
          </w:rPr>
          <m:t xml:space="preserve"> =</m:t>
        </m:r>
      </m:oMath>
      <w:r w:rsidR="00B522E0" w:rsidRPr="006C7A10">
        <w:rPr>
          <w:rFonts w:asciiTheme="minorHAnsi" w:eastAsiaTheme="minorEastAsia" w:hAnsiTheme="minorHAnsi" w:cstheme="minorHAnsi"/>
          <w:kern w:val="2"/>
          <w:lang w:val="en-US" w:eastAsia="zh-CN"/>
          <w14:ligatures w14:val="standardContextual"/>
        </w:rPr>
        <w:t xml:space="preserve"> </w:t>
      </w:r>
      <m:oMath>
        <m:f>
          <m:fPr>
            <m:ctrlPr>
              <w:rPr>
                <w:rFonts w:ascii="Cambria Math" w:eastAsiaTheme="minorEastAsia" w:hAnsi="Cambria Math" w:cstheme="minorHAnsi"/>
                <w:kern w:val="2"/>
                <w:lang w:val="en-US" w:eastAsia="zh-CN"/>
                <w14:ligatures w14:val="standardContextual"/>
              </w:rPr>
            </m:ctrlPr>
          </m:fPr>
          <m:num>
            <m:sSub>
              <m:sSubPr>
                <m:ctrlPr>
                  <w:rPr>
                    <w:rFonts w:ascii="Cambria Math" w:eastAsiaTheme="minorEastAsia" w:hAnsi="Cambria Math" w:cstheme="minorHAnsi"/>
                    <w:kern w:val="2"/>
                    <w:lang w:val="en-US" w:eastAsia="zh-CN"/>
                    <w14:ligatures w14:val="standardContextual"/>
                  </w:rPr>
                </m:ctrlPr>
              </m:sSubPr>
              <m:e>
                <m:r>
                  <w:rPr>
                    <w:rFonts w:ascii="Cambria Math" w:eastAsiaTheme="minorEastAsia" w:hAnsi="Cambria Math" w:cstheme="minorHAnsi"/>
                    <w:kern w:val="2"/>
                    <w:lang w:val="en-US" w:eastAsia="zh-CN"/>
                    <w14:ligatures w14:val="standardContextual"/>
                  </w:rPr>
                  <m:t>Net</m:t>
                </m:r>
                <m:r>
                  <m:rPr>
                    <m:sty m:val="p"/>
                  </m:rPr>
                  <w:rPr>
                    <w:rFonts w:ascii="Cambria Math" w:eastAsiaTheme="minorEastAsia" w:hAnsi="Cambria Math" w:cstheme="minorHAnsi"/>
                    <w:kern w:val="2"/>
                    <w:lang w:val="en-US" w:eastAsia="zh-CN"/>
                    <w14:ligatures w14:val="standardContextual"/>
                  </w:rPr>
                  <m:t>_</m:t>
                </m:r>
                <m:r>
                  <w:rPr>
                    <w:rFonts w:ascii="Cambria Math" w:eastAsiaTheme="minorEastAsia" w:hAnsi="Cambria Math" w:cstheme="minorHAnsi"/>
                    <w:kern w:val="2"/>
                    <w:lang w:val="en-US" w:eastAsia="zh-CN"/>
                    <w14:ligatures w14:val="standardContextual"/>
                  </w:rPr>
                  <m:t>benefit</m:t>
                </m:r>
              </m:e>
              <m:sub>
                <m:r>
                  <w:rPr>
                    <w:rFonts w:ascii="Cambria Math" w:eastAsiaTheme="minorEastAsia" w:hAnsi="Cambria Math" w:cstheme="minorHAnsi"/>
                    <w:kern w:val="2"/>
                    <w:lang w:val="en-US" w:eastAsia="zh-CN"/>
                    <w14:ligatures w14:val="standardContextual"/>
                  </w:rPr>
                  <m:t>s</m:t>
                </m:r>
                <m:r>
                  <m:rPr>
                    <m:sty m:val="p"/>
                  </m:rPr>
                  <w:rPr>
                    <w:rFonts w:ascii="Cambria Math" w:eastAsiaTheme="minorEastAsia" w:hAnsi="Cambria Math" w:cstheme="minorHAnsi"/>
                    <w:kern w:val="2"/>
                    <w:lang w:val="en-US" w:eastAsia="zh-CN"/>
                    <w14:ligatures w14:val="standardContextual"/>
                  </w:rPr>
                  <m:t>,</m:t>
                </m:r>
                <m:r>
                  <w:rPr>
                    <w:rFonts w:ascii="Cambria Math" w:eastAsiaTheme="minorEastAsia" w:hAnsi="Cambria Math" w:cstheme="minorHAnsi"/>
                    <w:kern w:val="2"/>
                    <w:lang w:val="en-US" w:eastAsia="zh-CN"/>
                    <w14:ligatures w14:val="standardContextual"/>
                  </w:rPr>
                  <m:t>c</m:t>
                </m:r>
              </m:sub>
            </m:sSub>
          </m:num>
          <m:den>
            <m:sSup>
              <m:sSupPr>
                <m:ctrlPr>
                  <w:rPr>
                    <w:rFonts w:ascii="Cambria Math" w:eastAsiaTheme="minorEastAsia" w:hAnsi="Cambria Math" w:cstheme="minorHAnsi"/>
                    <w:kern w:val="2"/>
                    <w:lang w:val="en-US" w:eastAsia="zh-CN"/>
                    <w14:ligatures w14:val="standardContextual"/>
                  </w:rPr>
                </m:ctrlPr>
              </m:sSupPr>
              <m:e>
                <m:r>
                  <m:rPr>
                    <m:sty m:val="p"/>
                  </m:rPr>
                  <w:rPr>
                    <w:rFonts w:ascii="Cambria Math" w:eastAsiaTheme="minorEastAsia" w:hAnsi="Cambria Math" w:cstheme="minorHAnsi"/>
                    <w:kern w:val="2"/>
                    <w:lang w:val="en-US" w:eastAsia="zh-CN"/>
                    <w14:ligatures w14:val="standardContextual"/>
                  </w:rPr>
                  <m:t>(1+</m:t>
                </m:r>
                <m:r>
                  <w:rPr>
                    <w:rFonts w:ascii="Cambria Math" w:eastAsiaTheme="minorEastAsia" w:hAnsi="Cambria Math" w:cstheme="minorHAnsi"/>
                    <w:kern w:val="2"/>
                    <w:lang w:val="en-US" w:eastAsia="zh-CN"/>
                    <w14:ligatures w14:val="standardContextual"/>
                  </w:rPr>
                  <m:t>r</m:t>
                </m:r>
                <m:r>
                  <m:rPr>
                    <m:sty m:val="p"/>
                  </m:rPr>
                  <w:rPr>
                    <w:rFonts w:ascii="Cambria Math" w:eastAsiaTheme="minorEastAsia" w:hAnsi="Cambria Math" w:cstheme="minorHAnsi"/>
                    <w:kern w:val="2"/>
                    <w:lang w:val="en-US" w:eastAsia="zh-CN"/>
                    <w14:ligatures w14:val="standardContextual"/>
                  </w:rPr>
                  <m:t>)</m:t>
                </m:r>
              </m:e>
              <m:sup>
                <m:r>
                  <w:rPr>
                    <w:rFonts w:ascii="Cambria Math" w:eastAsiaTheme="minorEastAsia" w:hAnsi="Cambria Math" w:cstheme="minorHAnsi"/>
                    <w:kern w:val="2"/>
                    <w:lang w:val="en-US" w:eastAsia="zh-CN"/>
                    <w14:ligatures w14:val="standardContextual"/>
                  </w:rPr>
                  <m:t>t</m:t>
                </m:r>
              </m:sup>
            </m:sSup>
          </m:den>
        </m:f>
      </m:oMath>
      <w:r w:rsidR="00B522E0" w:rsidRPr="006C7A10">
        <w:rPr>
          <w:rFonts w:asciiTheme="minorHAnsi" w:eastAsiaTheme="minorEastAsia" w:hAnsiTheme="minorHAnsi" w:cstheme="minorHAnsi"/>
          <w:kern w:val="2"/>
          <w:lang w:val="en-US" w:eastAsia="zh-CN"/>
          <w14:ligatures w14:val="standardContextual"/>
        </w:rPr>
        <w:t xml:space="preserve">                                                                                                                    (</w:t>
      </w:r>
      <w:r w:rsidR="00C441AE" w:rsidRPr="006C7A10">
        <w:rPr>
          <w:rFonts w:asciiTheme="minorHAnsi" w:eastAsiaTheme="minorEastAsia" w:hAnsiTheme="minorHAnsi" w:cstheme="minorHAnsi"/>
          <w:kern w:val="2"/>
          <w:lang w:val="en-US" w:eastAsia="zh-CN"/>
          <w14:ligatures w14:val="standardContextual"/>
        </w:rPr>
        <w:t>A.</w:t>
      </w:r>
      <w:r w:rsidR="00B522E0" w:rsidRPr="006C7A10">
        <w:rPr>
          <w:rFonts w:asciiTheme="minorHAnsi" w:eastAsiaTheme="minorEastAsia" w:hAnsiTheme="minorHAnsi" w:cstheme="minorHAnsi"/>
          <w:kern w:val="2"/>
          <w:lang w:val="en-US" w:eastAsia="zh-CN"/>
          <w14:ligatures w14:val="standardContextual"/>
        </w:rPr>
        <w:t>11)</w:t>
      </w:r>
    </w:p>
    <w:p w:rsidR="00B522E0" w:rsidRPr="006C7A10" w:rsidRDefault="00B522E0" w:rsidP="00A26FD6">
      <w:pPr>
        <w:pStyle w:val="NormalWeb"/>
        <w:spacing w:after="240" w:line="360" w:lineRule="auto"/>
        <w:jc w:val="both"/>
        <w:rPr>
          <w:rFonts w:asciiTheme="minorHAnsi" w:eastAsiaTheme="minorEastAsia" w:hAnsiTheme="minorHAnsi" w:cstheme="minorHAnsi"/>
          <w:kern w:val="2"/>
          <w:lang w:val="en-US" w:eastAsia="zh-CN"/>
          <w14:ligatures w14:val="standardContextual"/>
        </w:rPr>
      </w:pPr>
      <w:r w:rsidRPr="006C7A10">
        <w:rPr>
          <w:rFonts w:asciiTheme="minorHAnsi" w:eastAsiaTheme="minorEastAsia" w:hAnsiTheme="minorHAnsi" w:cstheme="minorHAnsi"/>
          <w:kern w:val="2"/>
          <w:lang w:val="en-US" w:eastAsia="zh-CN"/>
          <w14:ligatures w14:val="standardContextual"/>
        </w:rPr>
        <w:t xml:space="preserve">where </w:t>
      </w:r>
      <m:oMath>
        <m:r>
          <w:rPr>
            <w:rFonts w:ascii="Cambria Math" w:eastAsiaTheme="minorEastAsia" w:hAnsi="Cambria Math" w:cstheme="minorHAnsi"/>
            <w:kern w:val="2"/>
            <w:lang w:val="en-US" w:eastAsia="zh-CN"/>
            <w14:ligatures w14:val="standardContextual"/>
          </w:rPr>
          <m:t>NPV</m:t>
        </m:r>
      </m:oMath>
      <w:r w:rsidRPr="006C7A10">
        <w:rPr>
          <w:rFonts w:asciiTheme="minorHAnsi" w:eastAsiaTheme="minorEastAsia" w:hAnsiTheme="minorHAnsi" w:cstheme="minorHAnsi"/>
          <w:kern w:val="2"/>
          <w:lang w:val="en-US" w:eastAsia="zh-CN"/>
          <w14:ligatures w14:val="standardContextual"/>
        </w:rPr>
        <w:t xml:space="preserve"> = Net present value, </w:t>
      </w:r>
      <m:oMath>
        <m:r>
          <w:rPr>
            <w:rFonts w:ascii="Cambria Math" w:eastAsiaTheme="minorEastAsia" w:hAnsi="Cambria Math" w:cstheme="minorHAnsi"/>
            <w:kern w:val="2"/>
            <w:lang w:val="en-US" w:eastAsia="zh-CN"/>
            <w14:ligatures w14:val="standardContextual"/>
          </w:rPr>
          <m:t>r</m:t>
        </m:r>
      </m:oMath>
      <w:r w:rsidRPr="006C7A10">
        <w:rPr>
          <w:rFonts w:asciiTheme="minorHAnsi" w:eastAsiaTheme="minorEastAsia" w:hAnsiTheme="minorHAnsi" w:cstheme="minorHAnsi"/>
          <w:kern w:val="2"/>
          <w:lang w:val="en-US" w:eastAsia="zh-CN"/>
          <w14:ligatures w14:val="standardContextual"/>
        </w:rPr>
        <w:t xml:space="preserve"> = discount rate, and </w:t>
      </w:r>
      <m:oMath>
        <m:r>
          <w:rPr>
            <w:rFonts w:ascii="Cambria Math" w:eastAsiaTheme="minorEastAsia" w:hAnsi="Cambria Math" w:cstheme="minorHAnsi"/>
            <w:kern w:val="2"/>
            <w:lang w:val="en-US" w:eastAsia="zh-CN"/>
            <w14:ligatures w14:val="standardContextual"/>
          </w:rPr>
          <m:t>t</m:t>
        </m:r>
      </m:oMath>
      <w:r w:rsidRPr="006C7A10">
        <w:rPr>
          <w:rFonts w:asciiTheme="minorHAnsi" w:eastAsiaTheme="minorEastAsia" w:hAnsiTheme="minorHAnsi" w:cstheme="minorHAnsi"/>
          <w:kern w:val="2"/>
          <w:lang w:val="en-US" w:eastAsia="zh-CN"/>
          <w14:ligatures w14:val="standardContextual"/>
        </w:rPr>
        <w:t xml:space="preserve"> = year</w:t>
      </w:r>
    </w:p>
    <w:p w:rsidR="00B522E0" w:rsidRPr="006C7A10" w:rsidRDefault="00B522E0" w:rsidP="00A26FD6">
      <w:pPr>
        <w:pStyle w:val="NormalWeb"/>
        <w:spacing w:after="240" w:line="360" w:lineRule="auto"/>
        <w:jc w:val="both"/>
        <w:rPr>
          <w:rFonts w:asciiTheme="minorHAnsi" w:eastAsiaTheme="minorEastAsia" w:hAnsiTheme="minorHAnsi" w:cstheme="minorHAnsi"/>
          <w:kern w:val="2"/>
          <w:lang w:val="en-US" w:eastAsia="zh-CN"/>
          <w14:ligatures w14:val="standardContextual"/>
        </w:rPr>
      </w:pPr>
      <w:r w:rsidRPr="006C7A10">
        <w:rPr>
          <w:rFonts w:asciiTheme="minorHAnsi" w:eastAsiaTheme="minorEastAsia" w:hAnsiTheme="minorHAnsi" w:cstheme="minorHAnsi"/>
          <w:kern w:val="2"/>
          <w:lang w:val="en-US" w:eastAsia="zh-CN"/>
          <w14:ligatures w14:val="standardContextual"/>
        </w:rPr>
        <w:t xml:space="preserve">We calculated the NPV at status quo (i.e. under low connectivity— </w:t>
      </w:r>
      <m:oMath>
        <m:sSub>
          <m:sSubPr>
            <m:ctrlPr>
              <w:rPr>
                <w:rFonts w:ascii="Cambria Math" w:eastAsiaTheme="minorEastAsia" w:hAnsi="Cambria Math" w:cstheme="minorHAnsi"/>
                <w:kern w:val="2"/>
                <w:lang w:val="en-US" w:eastAsia="zh-CN"/>
                <w14:ligatures w14:val="standardContextual"/>
              </w:rPr>
            </m:ctrlPr>
          </m:sSubPr>
          <m:e>
            <m:r>
              <w:rPr>
                <w:rFonts w:ascii="Cambria Math" w:eastAsiaTheme="minorEastAsia" w:hAnsi="Cambria Math" w:cstheme="minorHAnsi"/>
                <w:kern w:val="2"/>
                <w:lang w:val="en-US" w:eastAsia="zh-CN"/>
                <w14:ligatures w14:val="standardContextual"/>
              </w:rPr>
              <m:t>NPV</m:t>
            </m:r>
          </m:e>
          <m:sub>
            <m:r>
              <w:rPr>
                <w:rFonts w:ascii="Cambria Math" w:eastAsiaTheme="minorEastAsia" w:hAnsi="Cambria Math" w:cstheme="minorHAnsi"/>
                <w:kern w:val="2"/>
                <w:lang w:val="en-US" w:eastAsia="zh-CN"/>
                <w14:ligatures w14:val="standardContextual"/>
              </w:rPr>
              <m:t>LC</m:t>
            </m:r>
            <m:r>
              <m:rPr>
                <m:sty m:val="p"/>
              </m:rPr>
              <w:rPr>
                <w:rFonts w:ascii="Cambria Math" w:eastAsiaTheme="minorEastAsia" w:hAnsi="Cambria Math" w:cstheme="minorHAnsi"/>
                <w:kern w:val="2"/>
                <w:lang w:val="en-US" w:eastAsia="zh-CN"/>
                <w14:ligatures w14:val="standardContextual"/>
              </w:rPr>
              <m:t>,</m:t>
            </m:r>
            <m:r>
              <w:rPr>
                <w:rFonts w:ascii="Cambria Math" w:eastAsiaTheme="minorEastAsia" w:hAnsi="Cambria Math" w:cstheme="minorHAnsi"/>
                <w:kern w:val="2"/>
                <w:lang w:val="en-US" w:eastAsia="zh-CN"/>
                <w14:ligatures w14:val="standardContextual"/>
              </w:rPr>
              <m:t>c</m:t>
            </m:r>
          </m:sub>
        </m:sSub>
      </m:oMath>
      <w:r w:rsidRPr="006C7A10">
        <w:rPr>
          <w:rFonts w:asciiTheme="minorHAnsi" w:eastAsiaTheme="minorEastAsia" w:hAnsiTheme="minorHAnsi" w:cstheme="minorHAnsi"/>
          <w:kern w:val="2"/>
          <w:lang w:val="en-US" w:eastAsia="zh-CN"/>
          <w14:ligatures w14:val="standardContextual"/>
        </w:rPr>
        <w:t>) and the change in NPV comparing high and low connectivity and medium and low connectivity as follows:</w:t>
      </w:r>
    </w:p>
    <w:p w:rsidR="00B522E0" w:rsidRPr="006C7A10" w:rsidRDefault="00361811" w:rsidP="00A26FD6">
      <w:pPr>
        <w:pStyle w:val="NormalWeb"/>
        <w:spacing w:after="240" w:line="360" w:lineRule="auto"/>
        <w:jc w:val="both"/>
        <w:rPr>
          <w:rFonts w:asciiTheme="minorHAnsi" w:eastAsiaTheme="minorEastAsia" w:hAnsiTheme="minorHAnsi" w:cstheme="minorHAnsi"/>
          <w:kern w:val="2"/>
          <w:lang w:val="en-US" w:eastAsia="zh-CN"/>
          <w14:ligatures w14:val="standardContextual"/>
        </w:rPr>
      </w:pPr>
      <m:oMath>
        <m:sSubSup>
          <m:sSubSupPr>
            <m:ctrlPr>
              <w:rPr>
                <w:rFonts w:ascii="Cambria Math" w:eastAsiaTheme="minorEastAsia" w:hAnsi="Cambria Math" w:cstheme="minorHAnsi"/>
                <w:kern w:val="2"/>
                <w:lang w:val="en-US" w:eastAsia="zh-CN"/>
                <w14:ligatures w14:val="standardContextual"/>
              </w:rPr>
            </m:ctrlPr>
          </m:sSubSupPr>
          <m:e>
            <m:r>
              <w:rPr>
                <w:rFonts w:ascii="Cambria Math" w:eastAsiaTheme="minorEastAsia" w:hAnsi="Cambria Math" w:cstheme="minorHAnsi"/>
                <w:kern w:val="2"/>
                <w:lang w:val="en-US" w:eastAsia="zh-CN"/>
                <w14:ligatures w14:val="standardContextual"/>
              </w:rPr>
              <m:t>Change</m:t>
            </m:r>
          </m:e>
          <m:sub>
            <m:r>
              <w:rPr>
                <w:rFonts w:ascii="Cambria Math" w:eastAsiaTheme="minorEastAsia" w:hAnsi="Cambria Math" w:cstheme="minorHAnsi"/>
                <w:kern w:val="2"/>
                <w:lang w:val="en-US" w:eastAsia="zh-CN"/>
                <w14:ligatures w14:val="standardContextual"/>
              </w:rPr>
              <m:t>s'</m:t>
            </m:r>
            <m:r>
              <m:rPr>
                <m:sty m:val="p"/>
              </m:rPr>
              <w:rPr>
                <w:rFonts w:ascii="Cambria Math" w:eastAsiaTheme="minorEastAsia" w:hAnsi="Cambria Math" w:cstheme="minorHAnsi"/>
                <w:kern w:val="2"/>
                <w:lang w:val="en-US" w:eastAsia="zh-CN"/>
                <w14:ligatures w14:val="standardContextual"/>
              </w:rPr>
              <m:t>,</m:t>
            </m:r>
            <m:r>
              <w:rPr>
                <w:rFonts w:ascii="Cambria Math" w:eastAsiaTheme="minorEastAsia" w:hAnsi="Cambria Math" w:cstheme="minorHAnsi"/>
                <w:kern w:val="2"/>
                <w:lang w:val="en-US" w:eastAsia="zh-CN"/>
                <w14:ligatures w14:val="standardContextual"/>
              </w:rPr>
              <m:t>c</m:t>
            </m:r>
          </m:sub>
          <m:sup>
            <m:r>
              <w:rPr>
                <w:rFonts w:ascii="Cambria Math" w:eastAsiaTheme="minorEastAsia" w:hAnsi="Cambria Math" w:cstheme="minorHAnsi"/>
                <w:kern w:val="2"/>
                <w:lang w:val="en-US" w:eastAsia="zh-CN"/>
                <w14:ligatures w14:val="standardContextual"/>
              </w:rPr>
              <m:t>NPV</m:t>
            </m:r>
          </m:sup>
        </m:sSubSup>
      </m:oMath>
      <w:r w:rsidR="00B522E0" w:rsidRPr="006C7A10">
        <w:rPr>
          <w:rFonts w:asciiTheme="minorHAnsi" w:eastAsiaTheme="minorEastAsia" w:hAnsiTheme="minorHAnsi" w:cstheme="minorHAnsi"/>
          <w:kern w:val="2"/>
          <w:lang w:val="en-US" w:eastAsia="zh-CN"/>
          <w14:ligatures w14:val="standardContextual"/>
        </w:rPr>
        <w:t xml:space="preserve">=     </w:t>
      </w:r>
      <m:oMath>
        <m:sSub>
          <m:sSubPr>
            <m:ctrlPr>
              <w:rPr>
                <w:rFonts w:ascii="Cambria Math" w:eastAsiaTheme="minorEastAsia" w:hAnsi="Cambria Math" w:cstheme="minorHAnsi"/>
                <w:kern w:val="2"/>
                <w:lang w:val="en-US" w:eastAsia="zh-CN"/>
                <w14:ligatures w14:val="standardContextual"/>
              </w:rPr>
            </m:ctrlPr>
          </m:sSubPr>
          <m:e>
            <m:r>
              <w:rPr>
                <w:rFonts w:ascii="Cambria Math" w:eastAsiaTheme="minorEastAsia" w:hAnsi="Cambria Math" w:cstheme="minorHAnsi"/>
                <w:kern w:val="2"/>
                <w:lang w:val="en-US" w:eastAsia="zh-CN"/>
                <w14:ligatures w14:val="standardContextual"/>
              </w:rPr>
              <m:t>NPV</m:t>
            </m:r>
          </m:e>
          <m:sub>
            <m:r>
              <w:rPr>
                <w:rFonts w:ascii="Cambria Math" w:eastAsiaTheme="minorEastAsia" w:hAnsi="Cambria Math" w:cstheme="minorHAnsi"/>
                <w:kern w:val="2"/>
                <w:lang w:val="en-US" w:eastAsia="zh-CN"/>
                <w14:ligatures w14:val="standardContextual"/>
              </w:rPr>
              <m:t>s'</m:t>
            </m:r>
            <m:r>
              <m:rPr>
                <m:sty m:val="p"/>
              </m:rPr>
              <w:rPr>
                <w:rFonts w:ascii="Cambria Math" w:eastAsiaTheme="minorEastAsia" w:hAnsi="Cambria Math" w:cstheme="minorHAnsi"/>
                <w:kern w:val="2"/>
                <w:lang w:val="en-US" w:eastAsia="zh-CN"/>
                <w14:ligatures w14:val="standardContextual"/>
              </w:rPr>
              <m:t>,</m:t>
            </m:r>
            <m:r>
              <w:rPr>
                <w:rFonts w:ascii="Cambria Math" w:eastAsiaTheme="minorEastAsia" w:hAnsi="Cambria Math" w:cstheme="minorHAnsi"/>
                <w:kern w:val="2"/>
                <w:lang w:val="en-US" w:eastAsia="zh-CN"/>
                <w14:ligatures w14:val="standardContextual"/>
              </w:rPr>
              <m:t>c</m:t>
            </m:r>
          </m:sub>
        </m:sSub>
      </m:oMath>
      <w:r w:rsidR="00B522E0" w:rsidRPr="006C7A10">
        <w:rPr>
          <w:rFonts w:asciiTheme="minorHAnsi" w:eastAsiaTheme="minorEastAsia" w:hAnsiTheme="minorHAnsi" w:cstheme="minorHAnsi"/>
          <w:kern w:val="2"/>
          <w:lang w:val="en-US" w:eastAsia="zh-CN"/>
          <w14:ligatures w14:val="standardContextual"/>
        </w:rPr>
        <w:t xml:space="preserve">  -   </w:t>
      </w:r>
      <m:oMath>
        <m:sSub>
          <m:sSubPr>
            <m:ctrlPr>
              <w:rPr>
                <w:rFonts w:ascii="Cambria Math" w:eastAsiaTheme="minorEastAsia" w:hAnsi="Cambria Math" w:cstheme="minorHAnsi"/>
                <w:kern w:val="2"/>
                <w:lang w:val="en-US" w:eastAsia="zh-CN"/>
                <w14:ligatures w14:val="standardContextual"/>
              </w:rPr>
            </m:ctrlPr>
          </m:sSubPr>
          <m:e>
            <m:r>
              <w:rPr>
                <w:rFonts w:ascii="Cambria Math" w:eastAsiaTheme="minorEastAsia" w:hAnsi="Cambria Math" w:cstheme="minorHAnsi"/>
                <w:kern w:val="2"/>
                <w:lang w:val="en-US" w:eastAsia="zh-CN"/>
                <w14:ligatures w14:val="standardContextual"/>
              </w:rPr>
              <m:t>NPV</m:t>
            </m:r>
          </m:e>
          <m:sub>
            <m:r>
              <w:rPr>
                <w:rFonts w:ascii="Cambria Math" w:eastAsiaTheme="minorEastAsia" w:hAnsi="Cambria Math" w:cstheme="minorHAnsi"/>
                <w:kern w:val="2"/>
                <w:lang w:val="en-US" w:eastAsia="zh-CN"/>
                <w14:ligatures w14:val="standardContextual"/>
              </w:rPr>
              <m:t>LC</m:t>
            </m:r>
            <m:r>
              <m:rPr>
                <m:sty m:val="p"/>
              </m:rPr>
              <w:rPr>
                <w:rFonts w:ascii="Cambria Math" w:eastAsiaTheme="minorEastAsia" w:hAnsi="Cambria Math" w:cstheme="minorHAnsi"/>
                <w:kern w:val="2"/>
                <w:lang w:val="en-US" w:eastAsia="zh-CN"/>
                <w14:ligatures w14:val="standardContextual"/>
              </w:rPr>
              <m:t>,</m:t>
            </m:r>
            <m:r>
              <w:rPr>
                <w:rFonts w:ascii="Cambria Math" w:eastAsiaTheme="minorEastAsia" w:hAnsi="Cambria Math" w:cstheme="minorHAnsi"/>
                <w:kern w:val="2"/>
                <w:lang w:val="en-US" w:eastAsia="zh-CN"/>
                <w14:ligatures w14:val="standardContextual"/>
              </w:rPr>
              <m:t>c</m:t>
            </m:r>
          </m:sub>
        </m:sSub>
      </m:oMath>
      <w:r w:rsidR="00B522E0" w:rsidRPr="006C7A10">
        <w:rPr>
          <w:rFonts w:asciiTheme="minorHAnsi" w:eastAsiaTheme="minorEastAsia" w:hAnsiTheme="minorHAnsi" w:cstheme="minorHAnsi"/>
          <w:kern w:val="2"/>
          <w:lang w:val="en-US" w:eastAsia="zh-CN"/>
          <w14:ligatures w14:val="standardContextual"/>
        </w:rPr>
        <w:t xml:space="preserve">                                                                                              (</w:t>
      </w:r>
      <w:r w:rsidR="00C441AE" w:rsidRPr="006C7A10">
        <w:rPr>
          <w:rFonts w:asciiTheme="minorHAnsi" w:eastAsiaTheme="minorEastAsia" w:hAnsiTheme="minorHAnsi" w:cstheme="minorHAnsi"/>
          <w:kern w:val="2"/>
          <w:lang w:val="en-US" w:eastAsia="zh-CN"/>
          <w14:ligatures w14:val="standardContextual"/>
        </w:rPr>
        <w:t>A.</w:t>
      </w:r>
      <w:r w:rsidR="00B522E0" w:rsidRPr="006C7A10">
        <w:rPr>
          <w:rFonts w:asciiTheme="minorHAnsi" w:eastAsiaTheme="minorEastAsia" w:hAnsiTheme="minorHAnsi" w:cstheme="minorHAnsi"/>
          <w:kern w:val="2"/>
          <w:lang w:val="en-US" w:eastAsia="zh-CN"/>
          <w14:ligatures w14:val="standardContextual"/>
        </w:rPr>
        <w:t>12)</w:t>
      </w:r>
    </w:p>
    <w:p w:rsidR="00B522E0" w:rsidRPr="006C7A10" w:rsidRDefault="00B522E0" w:rsidP="00A26FD6">
      <w:pPr>
        <w:pStyle w:val="NormalWeb"/>
        <w:spacing w:after="240" w:line="360" w:lineRule="auto"/>
        <w:jc w:val="both"/>
        <w:rPr>
          <w:rFonts w:asciiTheme="minorHAnsi" w:eastAsiaTheme="minorEastAsia" w:hAnsiTheme="minorHAnsi" w:cstheme="minorHAnsi"/>
          <w:kern w:val="2"/>
          <w:lang w:val="en-US" w:eastAsia="zh-CN"/>
          <w14:ligatures w14:val="standardContextual"/>
        </w:rPr>
      </w:pPr>
      <w:r w:rsidRPr="006C7A10">
        <w:rPr>
          <w:rFonts w:asciiTheme="minorHAnsi" w:eastAsiaTheme="minorEastAsia" w:hAnsiTheme="minorHAnsi" w:cstheme="minorHAnsi"/>
          <w:kern w:val="2"/>
          <w:lang w:val="en-US" w:eastAsia="zh-CN"/>
          <w14:ligatures w14:val="standardContextual"/>
        </w:rPr>
        <w:t xml:space="preserve">Where, </w:t>
      </w:r>
      <m:oMath>
        <m:sSubSup>
          <m:sSubSupPr>
            <m:ctrlPr>
              <w:rPr>
                <w:rFonts w:ascii="Cambria Math" w:eastAsiaTheme="minorEastAsia" w:hAnsi="Cambria Math" w:cstheme="minorHAnsi"/>
                <w:kern w:val="2"/>
                <w:lang w:val="en-US" w:eastAsia="zh-CN"/>
                <w14:ligatures w14:val="standardContextual"/>
              </w:rPr>
            </m:ctrlPr>
          </m:sSubSupPr>
          <m:e>
            <m:r>
              <w:rPr>
                <w:rFonts w:ascii="Cambria Math" w:eastAsiaTheme="minorEastAsia" w:hAnsi="Cambria Math" w:cstheme="minorHAnsi"/>
                <w:kern w:val="2"/>
                <w:lang w:val="en-US" w:eastAsia="zh-CN"/>
                <w14:ligatures w14:val="standardContextual"/>
              </w:rPr>
              <m:t>Change</m:t>
            </m:r>
          </m:e>
          <m:sub>
            <m:r>
              <w:rPr>
                <w:rFonts w:ascii="Cambria Math" w:eastAsiaTheme="minorEastAsia" w:hAnsi="Cambria Math" w:cstheme="minorHAnsi"/>
                <w:kern w:val="2"/>
                <w:lang w:val="en-US" w:eastAsia="zh-CN"/>
                <w14:ligatures w14:val="standardContextual"/>
              </w:rPr>
              <m:t>s'</m:t>
            </m:r>
            <m:r>
              <m:rPr>
                <m:sty m:val="p"/>
              </m:rPr>
              <w:rPr>
                <w:rFonts w:ascii="Cambria Math" w:eastAsiaTheme="minorEastAsia" w:hAnsi="Cambria Math" w:cstheme="minorHAnsi"/>
                <w:kern w:val="2"/>
                <w:lang w:val="en-US" w:eastAsia="zh-CN"/>
                <w14:ligatures w14:val="standardContextual"/>
              </w:rPr>
              <m:t>,</m:t>
            </m:r>
            <m:r>
              <w:rPr>
                <w:rFonts w:ascii="Cambria Math" w:eastAsiaTheme="minorEastAsia" w:hAnsi="Cambria Math" w:cstheme="minorHAnsi"/>
                <w:kern w:val="2"/>
                <w:lang w:val="en-US" w:eastAsia="zh-CN"/>
                <w14:ligatures w14:val="standardContextual"/>
              </w:rPr>
              <m:t>c</m:t>
            </m:r>
          </m:sub>
          <m:sup>
            <m:r>
              <w:rPr>
                <w:rFonts w:ascii="Cambria Math" w:eastAsiaTheme="minorEastAsia" w:hAnsi="Cambria Math" w:cstheme="minorHAnsi"/>
                <w:kern w:val="2"/>
                <w:lang w:val="en-US" w:eastAsia="zh-CN"/>
                <w14:ligatures w14:val="standardContextual"/>
              </w:rPr>
              <m:t>NPV</m:t>
            </m:r>
          </m:sup>
        </m:sSubSup>
      </m:oMath>
      <w:r w:rsidRPr="006C7A10">
        <w:rPr>
          <w:rFonts w:asciiTheme="minorHAnsi" w:eastAsiaTheme="minorEastAsia" w:hAnsiTheme="minorHAnsi" w:cstheme="minorHAnsi"/>
          <w:kern w:val="2"/>
          <w:lang w:val="en-US" w:eastAsia="zh-CN"/>
          <w14:ligatures w14:val="standardContextual"/>
        </w:rPr>
        <w:t xml:space="preserve"> represents change in NPV for </w:t>
      </w:r>
      <m:oMath>
        <m:r>
          <w:rPr>
            <w:rFonts w:ascii="Cambria Math" w:eastAsiaTheme="minorEastAsia" w:hAnsi="Cambria Math" w:cstheme="minorHAnsi"/>
            <w:kern w:val="2"/>
            <w:lang w:val="en-US" w:eastAsia="zh-CN"/>
            <w14:ligatures w14:val="standardContextual"/>
          </w:rPr>
          <m:t>s'</m:t>
        </m:r>
      </m:oMath>
      <w:r w:rsidRPr="006C7A10">
        <w:rPr>
          <w:rFonts w:asciiTheme="minorHAnsi" w:eastAsiaTheme="minorEastAsia" w:hAnsiTheme="minorHAnsi" w:cstheme="minorHAnsi"/>
          <w:kern w:val="2"/>
          <w:lang w:val="en-US" w:eastAsia="zh-CN"/>
          <w14:ligatures w14:val="standardContextual"/>
        </w:rPr>
        <w:t xml:space="preserve"> = MC (i.e., MC-LC) or HC (i.e., HC-LC). </w:t>
      </w:r>
    </w:p>
    <w:p w:rsidR="009E64E3" w:rsidRPr="006C7A10" w:rsidRDefault="009E64E3" w:rsidP="00150525">
      <w:pPr>
        <w:pStyle w:val="Heading1"/>
        <w:numPr>
          <w:ilvl w:val="1"/>
          <w:numId w:val="1"/>
        </w:numPr>
        <w:tabs>
          <w:tab w:val="num" w:pos="360"/>
        </w:tabs>
        <w:spacing w:before="240" w:after="240"/>
        <w:ind w:left="426" w:hanging="426"/>
        <w:jc w:val="both"/>
        <w:rPr>
          <w:rFonts w:asciiTheme="minorHAnsi" w:hAnsiTheme="minorHAnsi" w:cstheme="minorHAnsi"/>
          <w:i/>
          <w:iCs/>
          <w:color w:val="auto"/>
          <w:sz w:val="24"/>
          <w:szCs w:val="24"/>
          <w:lang w:eastAsia="de-DE"/>
        </w:rPr>
      </w:pPr>
      <w:r w:rsidRPr="006C7A10">
        <w:rPr>
          <w:rFonts w:asciiTheme="minorHAnsi" w:hAnsiTheme="minorHAnsi" w:cstheme="minorHAnsi"/>
          <w:i/>
          <w:iCs/>
          <w:color w:val="auto"/>
          <w:sz w:val="24"/>
          <w:szCs w:val="24"/>
          <w:lang w:eastAsia="de-DE"/>
        </w:rPr>
        <w:t xml:space="preserve">Sensitivity analysis </w:t>
      </w:r>
    </w:p>
    <w:p w:rsidR="009E64E3" w:rsidRPr="006C7A10" w:rsidRDefault="009E64E3" w:rsidP="009E64E3">
      <w:pPr>
        <w:pStyle w:val="Textbody"/>
        <w:spacing w:before="240" w:line="360" w:lineRule="auto"/>
        <w:jc w:val="both"/>
        <w:rPr>
          <w:rFonts w:asciiTheme="minorHAnsi" w:eastAsiaTheme="minorEastAsia" w:hAnsiTheme="minorHAnsi" w:cstheme="minorHAnsi"/>
          <w:kern w:val="2"/>
          <w:lang w:val="en-US" w:bidi="ar-SA"/>
        </w:rPr>
      </w:pPr>
      <w:r w:rsidRPr="006C7A10">
        <w:rPr>
          <w:rFonts w:asciiTheme="minorHAnsi" w:eastAsiaTheme="minorEastAsia" w:hAnsiTheme="minorHAnsi" w:cstheme="minorHAnsi"/>
          <w:kern w:val="2"/>
          <w:lang w:val="en-US" w:bidi="ar-SA"/>
        </w:rPr>
        <w:t xml:space="preserve">We performed sensitivity analysis by implementing Partial Least Square (PLS) regression analysis and Expected Value of Perfect Information (EVPI). PLS is appropriate where there is partial information about the determinants of the outcome, when predictors included in the model are highly </w:t>
      </w:r>
      <w:proofErr w:type="spellStart"/>
      <w:r w:rsidRPr="006C7A10">
        <w:rPr>
          <w:rFonts w:asciiTheme="minorHAnsi" w:eastAsiaTheme="minorEastAsia" w:hAnsiTheme="minorHAnsi" w:cstheme="minorHAnsi"/>
          <w:kern w:val="2"/>
          <w:lang w:val="en-US" w:bidi="ar-SA"/>
        </w:rPr>
        <w:t>intercorrelated</w:t>
      </w:r>
      <w:proofErr w:type="spellEnd"/>
      <w:r w:rsidRPr="006C7A10">
        <w:rPr>
          <w:rFonts w:asciiTheme="minorHAnsi" w:eastAsiaTheme="minorEastAsia" w:hAnsiTheme="minorHAnsi" w:cstheme="minorHAnsi"/>
          <w:kern w:val="2"/>
          <w:lang w:val="en-US" w:bidi="ar-SA"/>
        </w:rPr>
        <w:t xml:space="preserve">, and when their number are larger than the number of observations </w:t>
      </w:r>
      <w:r w:rsidRPr="006C7A10">
        <w:rPr>
          <w:rFonts w:asciiTheme="minorHAnsi" w:eastAsiaTheme="minorEastAsia" w:hAnsiTheme="minorHAnsi" w:cstheme="minorHAnsi"/>
          <w:kern w:val="2"/>
          <w:lang w:val="en-US" w:bidi="ar-SA"/>
        </w:rPr>
        <w:fldChar w:fldCharType="begin"/>
      </w:r>
      <w:r w:rsidRPr="006C7A10">
        <w:rPr>
          <w:rFonts w:asciiTheme="minorHAnsi" w:eastAsiaTheme="minorEastAsia" w:hAnsiTheme="minorHAnsi" w:cstheme="minorHAnsi"/>
          <w:kern w:val="2"/>
          <w:lang w:val="en-US" w:bidi="ar-SA"/>
        </w:rPr>
        <w:instrText xml:space="preserve"> ADDIN ZOTERO_ITEM CSL_CITATION {"citationID":"Wsvygv2s","properties":{"formattedCitation":"(Abdi, 2003)","plainCitation":"(Abdi, 2003)","noteIndex":0},"citationItems":[{"id":9114,"uris":["http://zotero.org/users/7267932/items/BGBQZFH9"],"itemData":{"id":9114,"type":"article-journal","container-title":"Encyclopedia of Social Sciences Research Methods. Thousand Oaks (CA): Sage.","language":"en","source":"Zotero","title":"Partial Least Squares (PLS) Regression.","author":[{"family":"Abdi","given":"Herve"}],"issued":{"date-parts":[["2003"]]}}}],"schema":"https://github.com/citation-style-language/schema/raw/master/csl-citation.json"} </w:instrText>
      </w:r>
      <w:r w:rsidRPr="006C7A10">
        <w:rPr>
          <w:rFonts w:asciiTheme="minorHAnsi" w:eastAsiaTheme="minorEastAsia" w:hAnsiTheme="minorHAnsi" w:cstheme="minorHAnsi"/>
          <w:kern w:val="2"/>
          <w:lang w:val="en-US" w:bidi="ar-SA"/>
        </w:rPr>
        <w:fldChar w:fldCharType="separate"/>
      </w:r>
      <w:r w:rsidRPr="006C7A10">
        <w:rPr>
          <w:rFonts w:asciiTheme="minorHAnsi" w:eastAsiaTheme="minorEastAsia" w:hAnsiTheme="minorHAnsi" w:cstheme="minorHAnsi"/>
          <w:kern w:val="2"/>
          <w:lang w:val="en-US" w:bidi="ar-SA"/>
        </w:rPr>
        <w:t>(Abdi, 2003)</w:t>
      </w:r>
      <w:r w:rsidRPr="006C7A10">
        <w:rPr>
          <w:rFonts w:asciiTheme="minorHAnsi" w:eastAsiaTheme="minorEastAsia" w:hAnsiTheme="minorHAnsi" w:cstheme="minorHAnsi"/>
          <w:kern w:val="2"/>
          <w:lang w:val="en-US" w:bidi="ar-SA"/>
        </w:rPr>
        <w:fldChar w:fldCharType="end"/>
      </w:r>
      <w:r w:rsidRPr="006C7A10">
        <w:rPr>
          <w:rFonts w:asciiTheme="minorHAnsi" w:eastAsiaTheme="minorEastAsia" w:hAnsiTheme="minorHAnsi" w:cstheme="minorHAnsi"/>
          <w:kern w:val="2"/>
          <w:lang w:val="en-US" w:bidi="ar-SA"/>
        </w:rPr>
        <w:t xml:space="preserve">. In our study all 144 variables are included in the model to determine the Variable Importance in Projection (VIP) score, similar to several other related studies (for example, see </w:t>
      </w:r>
      <w:r w:rsidRPr="006C7A10">
        <w:rPr>
          <w:rFonts w:asciiTheme="minorHAnsi" w:eastAsiaTheme="minorEastAsia" w:hAnsiTheme="minorHAnsi" w:cstheme="minorHAnsi"/>
          <w:kern w:val="2"/>
          <w:lang w:val="en-US" w:bidi="ar-SA"/>
        </w:rPr>
        <w:fldChar w:fldCharType="begin"/>
      </w:r>
      <w:r w:rsidRPr="006C7A10">
        <w:rPr>
          <w:rFonts w:asciiTheme="minorHAnsi" w:eastAsiaTheme="minorEastAsia" w:hAnsiTheme="minorHAnsi" w:cstheme="minorHAnsi"/>
          <w:kern w:val="2"/>
          <w:lang w:val="en-US" w:bidi="ar-SA"/>
        </w:rPr>
        <w:instrText xml:space="preserve"> ADDIN ZOTERO_ITEM CSL_CITATION {"citationID":"9EBsBN9q","properties":{"formattedCitation":"(Do et al., 2020; Helle et al., 2015; Lanzanova et al., 2019; Sain et al., 2017; Tamba et al., 2021)","plainCitation":"(Do et al., 2020; Helle et al., 2015; Lanzanova et al., 2019; Sain et al., 2017; Tamba et al., 2021)","dontUpdate":true,"noteIndex":0},"citationItems":[{"id":342,"uris":["http://zotero.org/users/7267932/items/799IMZJ3",["http://zotero.org/users/7267932/items/799IMZJ3"]],"itemData":{"id":342,"type":"article-journal","abstract":"Agroforestry interventions have the potential to benefit the livelihoods of farmers and communities worldwide. However, given the high system complexity, the long-term benefits of agroforestry are difficult to anticipate. This study aimed to integrate uncertainty into long-term performance projections for agroforestry interventions in the highlands of Northwest Vietnam. We applied decision analysis and probabilistic modeling approaches to produce economic ex-ante assessments for seven agroforestry options (intercropping of maize, forage grass, or coffee with tea, nut, fruit, and timber trees) promoted in the region. Our results indicate that farmers likely prefer annual monocultures due to the relatively early incomes and short time-lag on returns. However, the results also show that annual profits from monocrops can be expected to decrease over time, due mainly to unsustainable soil use. Agroforestry systems, on the other hand, return substantial profits in the long term, but they also incur high establishment and maintenance costs and can generate net losses in the first few years. Initial financial incentives to compensate for these losses may help in promoting agroforestry adoption in the region. Uncertainties related to farmers’ time preference, crop yields, and crop prices appeared to have the greatest influence on whether monocropping or agroforestry emerged as the preferable option. Narrowing these key knowledge gaps may offer additional clarity on farmers’ optimal course of action and provide guidance for agencies promoting agroforestry interventions in Vietnam and elsewhere. Our model produced a set of plausible ranges for net present values and highlighted critical variables, more clarity on which would support decision-making under uncertainty. Our innovative research approach proved effective in providing forecasts of uncertain outcomes and can be useful for informing similar development interventions in other contexts.","container-title":"Agronomy for Sustainable Development","DOI":"10.1007/s13593-020-00624-5","ISSN":"1773-0155","issue":"3","journalAbbreviation":"Agron. Sustain. Dev.","language":"en","page":"20","source":"Springer Link","title":"Decision analysis of agroforestry options reveals adoption risks for resource-poor farmers","volume":"40","author":[{"family":"Do","given":"Hoa"},{"family":"Luedeling","given":"Eike"},{"family":"Whitney","given":"Cory"}],"issued":{"date-parts":[["2020",6,9]]}},"label":"page"},{"id":1208,"uris":["http://zotero.org/users/7267932/items/6K8A4RMA"],"itemData":{"id":1208,"type":"article-journal","container-title":"Journal of Environmental Management","DOI":"10.1016/j.jenvman.2015.04.042","ISSN":"03014797","journalAbbreviation":"Journal of Environmental Management","language":"en","page":"122-132","source":"DOI.org (Crossref)","title":"A probabilistic approach for a cost-benefit analysis of oil spill management under uncertainty: A Bayesian network model for the Gulf of Finland","title-short":"A probabilistic approach for a cost-benefit analysis of oil spill management under uncertainty","volume":"158","author":[{"family":"Helle","given":"Inari"},{"family":"Ahtiainen","given":"Heini"},{"family":"Luoma","given":"Emilia"},{"family":"Hänninen","given":"Maria"},{"family":"Kuikka","given":"Sakari"}],"issued":{"date-parts":[["2015",8]]}},"label":"page"},{"id":1135,"uris":["http://zotero.org/users/7267932/items/TKDQ7JIZ"],"itemData":{"id":1135,"type":"article-journal","abstract":"In the arid areas of Sub-Saharan Africa, perennial challenges of water scarcity and food insecurity are exacerbated by climate change and variability. The development of robust strategies to cope with the region's climatic challenges requires thorough consideration of uncertainty and risk in decision making. We demonstrate the use of probabilistic decision analysis to compare intervention options to prevent reservoir sedimentation in Burkina Faso. To illustrate this approach, we developed a causal impact pathway model based on the local knowledge of expert stakeholders. Input parameters were described by probability distributions derived from estimated confidence intervals. The model was run in a Monte Carlo simulation to generate the range of plausible decision outcomes, quantified as the net present value and the annual cash flow. We used Partial Least Squares regression analysis to identify the parameters that most affected projected intervention outcomes and we computed the Expected Value of Perfect Information (EVPI) to highlight critical uncertainties. Numerical results show that the preferred intervention to secure agricultural production is a combination of dredging, rock dams and a buffer scheme around the reservoir. The EVPI calculation reveals an information value for the profit per ton of vegetables, indicating that more information on this variable would be useful for supporting the decision. However, without the need for follow-up analysis, the results show high probability of benefits given the combined interventions, which, given the current state of information, should be preferred over inaction.","container-title":"Environmental Modelling &amp; Software","DOI":"10.1016/j.envsoft.2019.01.016","ISSN":"1364-8152","journalAbbreviation":"Environmental Modelling &amp; Software","language":"en","page":"164-175","source":"ScienceDirect","title":"Improving development efficiency through decision analysis: Reservoir protection in Burkina Faso","title-short":"Improving development efficiency through decision analysis","volume":"115","author":[{"family":"Lanzanova","given":"Denis"},{"family":"Whitney","given":"Cory"},{"family":"Shepherd","given":"Keith"},{"family":"Luedeling","given":"Eike"}],"issued":{"date-parts":[["2019",5,1]]}},"label":"page"},{"id":344,"uris":["http://zotero.org/users/7267932/items/EY5ZTCPV",["http://zotero.org/users/7267932/items/EY5ZTCPV"]],"itemData":{"id":344,"type":"article-journal","abstract":"Central American countries, particularly Guatemala, are experiencing extreme climate events which are disproportionately affecting agriculture and subsequently rural livelihoods. Governments are taking action to address climatic threats, but they need tools to assess the impact of policies and interventions aiming to decrease the impacts of climate change on agriculture. This research, conducted with national policy makers and climate change and agriculture stakeholders in Guatemala, provides a comparative analysis of eight climate-smart agriculture (CSA) practices and technologies associated with the smallholder maize-beans production system in the Dry Corridor. The practices were identified as high-interest for investment by national stakeholders. CSA practices and technologies aim to improve food security, resilience, and low emissions development, where possible and appropriate. The paper assesses the cost-benefit profile of the introduction of CSA options into farm production systems. Indicators related to profitability and valuation of environmental and social externalities are used to assess options. Probabilistic cost-benefit analysis (CBA) is used to address field variability and high uncertainty around parameter values. All practices except one were profitable over their lifecycle, with some practices, expected to be ideal for drought prone areas, presenting a higher risk for adoption. The results were discussed with national stakeholders who established best-bet CSA investment portfolios. This paper argues that a thorough understanding of the costs and benefits of potential CSA options is needed to channel investments effectively and efficiently towards both short- and long-term interventions and should be coupled with broader assessment of tradeoffs between CSA outcomes.","container-title":"Agricultural Systems","DOI":"10.1016/j.agsy.2016.05.004","ISSN":"0308-521X","journalAbbreviation":"Agricultural Systems","language":"en","page":"163-173","source":"ScienceDirect","title":"Costs and benefits of climate-smart agriculture: The case of the Dry Corridor in Guatemala","title-short":"Costs and benefits of climate-smart agriculture","volume":"151","author":[{"family":"Sain","given":"Gustavo"},{"family":"Loboguerrero","given":"Ana María"},{"family":"Corner-Dolloff","given":"Caitlin"},{"family":"Lizarazo","given":"Miguel"},{"family":"Nowak","given":"Andreea"},{"family":"Martínez-Barón","given":"Deissy"},{"family":"Andrieu","given":"Nadine"}],"issued":{"date-parts":[["2017",2,1]]}},"label":"page"},{"id":684,"uris":["http://zotero.org/users/7267932/items/BZR76LV4"],"itemData":{"id":684,"type":"article-journal","abstract":"Forest and Landscape Restoration (FLR) is carried out with the objective of regaining ecological functions and enhancing human well-being through intervention in degrading ecosystems. However, uncertainties and risks related to FLR make it difficult to predict long-term outcomes and inform investment plans. We applied a Stochastic Impact Evaluation framework (SIE) to simulate returns on investment in the case of FLR interventions in a degraded dry Afromontane forest while accounting for uncertainties. We ran 10,000 iterations of a Monte Carlo simulation that projected FLR outcomes over a period of 25 years. Our simulations show that investments in assisted natural regeneration, enrichment planting, exclosure establishment and soil-water conservation structures all have a greater than 77% chance of positive returns. Sensitivity analysis of th</w:instrText>
      </w:r>
      <w:r w:rsidRPr="006C7A10">
        <w:rPr>
          <w:rFonts w:asciiTheme="minorHAnsi" w:eastAsiaTheme="minorEastAsia" w:hAnsiTheme="minorHAnsi" w:cstheme="minorHAnsi"/>
          <w:kern w:val="2"/>
          <w:lang w:val="nl-NL" w:bidi="ar-SA"/>
        </w:rPr>
        <w:instrText xml:space="preserve">ese outcomes indicated that the greatest threat to positive cashflows is the time required to achieve the targeted ecological outcomes. Value of Information (VOI) analysis indicated that the biggest priority for further measurement in this case is the maturity age of exclosures at which maximum biomass accumulation is achieved. The SIE framework was effective in providing forecasts of the distribution of outcomes and highlighting critical uncertainties where further measurements can help support decision-making. This approach can be useful for informing the management and planning of similar FLR interventions.","container-title":"Forest Policy and Economics","DOI":"10.1016/j.forpol.2021.102403","ISSN":"1389-9341","journalAbbreviation":"Forest Policy and Economics","language":"en","page":"102403","source":"ScienceDirect","title":"Stochastic simulation of restoration outcomes for a dry afromontane forest landscape in northern Ethiopia","volume":"125","author":[{"family":"Tamba","given":"Yvonne"},{"family":"Wafula","given":"Joshua"},{"family":"Whitney","given":"Cory"},{"family":"Luedeling","given":"Eike"},{"family":"Yigzaw","given":"Negusse"},{"family":"Negussie","given":"Aklilu"},{"family":"Muchiri","given":"Caroline"},{"family":"Gebru","given":"Yemane"},{"family":"Shepherd","given":"Keith"},{"family":"Aynekulu","given":"Ermias"}],"issued":{"date-parts":[["2021",4,1]]}},"label":"page"}],"schema":"https://github.com/citation-style-language/schema/raw/master/csl-citation.json"} </w:instrText>
      </w:r>
      <w:r w:rsidRPr="006C7A10">
        <w:rPr>
          <w:rFonts w:asciiTheme="minorHAnsi" w:eastAsiaTheme="minorEastAsia" w:hAnsiTheme="minorHAnsi" w:cstheme="minorHAnsi"/>
          <w:kern w:val="2"/>
          <w:lang w:val="en-US" w:bidi="ar-SA"/>
        </w:rPr>
        <w:fldChar w:fldCharType="separate"/>
      </w:r>
      <w:r w:rsidRPr="006C7A10">
        <w:rPr>
          <w:rFonts w:asciiTheme="minorHAnsi" w:eastAsiaTheme="minorEastAsia" w:hAnsiTheme="minorHAnsi" w:cstheme="minorHAnsi"/>
          <w:kern w:val="2"/>
          <w:lang w:val="nl-NL" w:bidi="ar-SA"/>
        </w:rPr>
        <w:t xml:space="preserve">Sain et al., 2017; </w:t>
      </w:r>
      <w:r w:rsidRPr="006C7A10">
        <w:rPr>
          <w:rFonts w:ascii="Calibri" w:hAnsi="Calibri" w:cs="Calibri"/>
          <w:lang w:val="nl-NL"/>
        </w:rPr>
        <w:t xml:space="preserve">Lanzanova et al., 2019; Do et al., 2020; </w:t>
      </w:r>
      <w:r w:rsidRPr="006C7A10">
        <w:rPr>
          <w:rFonts w:asciiTheme="minorHAnsi" w:eastAsiaTheme="minorEastAsia" w:hAnsiTheme="minorHAnsi" w:cstheme="minorHAnsi"/>
          <w:kern w:val="2"/>
          <w:lang w:val="nl-NL" w:bidi="ar-SA"/>
        </w:rPr>
        <w:t xml:space="preserve">Tamba et </w:t>
      </w:r>
      <w:r w:rsidRPr="006C7A10">
        <w:rPr>
          <w:rFonts w:asciiTheme="minorHAnsi" w:eastAsiaTheme="minorEastAsia" w:hAnsiTheme="minorHAnsi" w:cstheme="minorHAnsi"/>
          <w:kern w:val="2"/>
          <w:lang w:val="nl-NL" w:bidi="ar-SA"/>
        </w:rPr>
        <w:lastRenderedPageBreak/>
        <w:t>al., 2021)</w:t>
      </w:r>
      <w:r w:rsidRPr="006C7A10">
        <w:rPr>
          <w:rFonts w:asciiTheme="minorHAnsi" w:eastAsiaTheme="minorEastAsia" w:hAnsiTheme="minorHAnsi" w:cstheme="minorHAnsi"/>
          <w:kern w:val="2"/>
          <w:lang w:val="en-US" w:bidi="ar-SA"/>
        </w:rPr>
        <w:fldChar w:fldCharType="end"/>
      </w:r>
      <w:r w:rsidRPr="006C7A10">
        <w:rPr>
          <w:rFonts w:asciiTheme="minorHAnsi" w:eastAsiaTheme="minorEastAsia" w:hAnsiTheme="minorHAnsi" w:cstheme="minorHAnsi"/>
          <w:kern w:val="2"/>
          <w:lang w:val="nl-NL" w:bidi="ar-SA"/>
        </w:rPr>
        <w:t xml:space="preserve">. </w:t>
      </w:r>
      <w:r w:rsidRPr="006C7A10">
        <w:rPr>
          <w:rFonts w:asciiTheme="minorHAnsi" w:eastAsiaTheme="minorEastAsia" w:hAnsiTheme="minorHAnsi" w:cstheme="minorHAnsi"/>
          <w:kern w:val="2"/>
          <w:lang w:val="en-US" w:bidi="ar-SA"/>
        </w:rPr>
        <w:t xml:space="preserve">A variable with a VIP score of more than one is considered to have a substantial effect on the outcome </w:t>
      </w:r>
      <w:r w:rsidRPr="006C7A10">
        <w:rPr>
          <w:rFonts w:asciiTheme="minorHAnsi" w:eastAsiaTheme="minorEastAsia" w:hAnsiTheme="minorHAnsi" w:cstheme="minorHAnsi"/>
          <w:kern w:val="2"/>
          <w:lang w:val="en-US" w:bidi="ar-SA"/>
        </w:rPr>
        <w:fldChar w:fldCharType="begin"/>
      </w:r>
      <w:r w:rsidRPr="006C7A10">
        <w:rPr>
          <w:rFonts w:asciiTheme="minorHAnsi" w:eastAsiaTheme="minorEastAsia" w:hAnsiTheme="minorHAnsi" w:cstheme="minorHAnsi"/>
          <w:kern w:val="2"/>
          <w:lang w:val="en-US" w:bidi="ar-SA"/>
        </w:rPr>
        <w:instrText xml:space="preserve"> ADDIN ZOTERO_ITEM CSL_CITATION {"citationID":"0EtnU0Zp","properties":{"formattedCitation":"(Cocchi et al., 2018)","plainCitation":"(Cocchi et al., 2018)","noteIndex":0},"citationItems":[{"id":9323,"uris":["http://zotero.org/groups/2607548/items/QLX5XCBJ"],"itemData":{"id":9323,"type":"chapter","container-title":"Comprehensive Analytical Chemistry","ISBN":"978-0-444-64044-4","language":"en","license":"https://www.elsevier.com/tdm/userlicense/1.0/","note":"DOI: 10.1016/bs.coac.2018.08.006","page":"265-299","publisher":"Elsevier","source":"DOI.org (Crossref)","title":"Chemometric Methods for Classification and Feature Selection","URL":"https://linkinghub.elsevier.com/retrieve/pii/S0166526X18300771","volume":"82","author":[{"family":"Cocchi","given":"Marina"},{"family":"Biancolillo","given":"Alessandra"},{"family":"Marini","given":"Federico"}],"accessed":{"date-parts":[["2024",7,28]]},"issued":{"date-parts":[["2018"]]}}}],"schema":"https://github.com/citation-style-language/schema/raw/master/csl-citation.json"} </w:instrText>
      </w:r>
      <w:r w:rsidRPr="006C7A10">
        <w:rPr>
          <w:rFonts w:asciiTheme="minorHAnsi" w:eastAsiaTheme="minorEastAsia" w:hAnsiTheme="minorHAnsi" w:cstheme="minorHAnsi"/>
          <w:kern w:val="2"/>
          <w:lang w:val="en-US" w:bidi="ar-SA"/>
        </w:rPr>
        <w:fldChar w:fldCharType="separate"/>
      </w:r>
      <w:r w:rsidRPr="006C7A10">
        <w:rPr>
          <w:rFonts w:asciiTheme="minorHAnsi" w:eastAsiaTheme="minorEastAsia" w:hAnsiTheme="minorHAnsi" w:cstheme="minorHAnsi"/>
          <w:kern w:val="2"/>
          <w:lang w:val="en-US" w:bidi="ar-SA"/>
        </w:rPr>
        <w:t>(Cocchi et al., 2018)</w:t>
      </w:r>
      <w:r w:rsidRPr="006C7A10">
        <w:rPr>
          <w:rFonts w:asciiTheme="minorHAnsi" w:eastAsiaTheme="minorEastAsia" w:hAnsiTheme="minorHAnsi" w:cstheme="minorHAnsi"/>
          <w:kern w:val="2"/>
          <w:lang w:val="en-US" w:bidi="ar-SA"/>
        </w:rPr>
        <w:fldChar w:fldCharType="end"/>
      </w:r>
      <w:r w:rsidRPr="006C7A10">
        <w:rPr>
          <w:rFonts w:asciiTheme="minorHAnsi" w:eastAsiaTheme="minorEastAsia" w:hAnsiTheme="minorHAnsi" w:cstheme="minorHAnsi"/>
          <w:kern w:val="2"/>
          <w:lang w:val="en-US" w:bidi="ar-SA"/>
        </w:rPr>
        <w:t xml:space="preserve">. </w:t>
      </w:r>
    </w:p>
    <w:p w:rsidR="009E64E3" w:rsidRPr="006C7A10" w:rsidRDefault="009E64E3" w:rsidP="009E64E3">
      <w:pPr>
        <w:pStyle w:val="Textbody"/>
        <w:spacing w:before="240" w:line="360" w:lineRule="auto"/>
        <w:jc w:val="both"/>
        <w:rPr>
          <w:rFonts w:asciiTheme="minorHAnsi" w:eastAsiaTheme="minorEastAsia" w:hAnsiTheme="minorHAnsi" w:cstheme="minorHAnsi"/>
          <w:kern w:val="2"/>
          <w:lang w:val="en-US" w:bidi="ar-SA"/>
        </w:rPr>
      </w:pPr>
      <w:r w:rsidRPr="006C7A10">
        <w:rPr>
          <w:rFonts w:asciiTheme="minorHAnsi" w:eastAsiaTheme="minorEastAsia" w:hAnsiTheme="minorHAnsi" w:cstheme="minorHAnsi"/>
          <w:kern w:val="2"/>
          <w:lang w:val="en-US" w:bidi="ar-SA"/>
        </w:rPr>
        <w:t>Finally, we assessed the Value of information (</w:t>
      </w:r>
      <w:proofErr w:type="spellStart"/>
      <w:r w:rsidRPr="006C7A10">
        <w:rPr>
          <w:rFonts w:asciiTheme="minorHAnsi" w:eastAsiaTheme="minorEastAsia" w:hAnsiTheme="minorHAnsi" w:cstheme="minorHAnsi"/>
          <w:kern w:val="2"/>
          <w:lang w:val="en-US" w:bidi="ar-SA"/>
        </w:rPr>
        <w:t>VoI</w:t>
      </w:r>
      <w:proofErr w:type="spellEnd"/>
      <w:r w:rsidRPr="006C7A10">
        <w:rPr>
          <w:rFonts w:asciiTheme="minorHAnsi" w:eastAsiaTheme="minorEastAsia" w:hAnsiTheme="minorHAnsi" w:cstheme="minorHAnsi"/>
          <w:kern w:val="2"/>
          <w:lang w:val="en-US" w:bidi="ar-SA"/>
        </w:rPr>
        <w:t xml:space="preserve">) by estimating the Expected Value of Perfect Information (EVPI), as described by </w:t>
      </w:r>
      <w:r w:rsidRPr="006C7A10">
        <w:rPr>
          <w:rFonts w:asciiTheme="minorHAnsi" w:eastAsiaTheme="minorEastAsia" w:hAnsiTheme="minorHAnsi" w:cstheme="minorHAnsi"/>
          <w:kern w:val="2"/>
          <w:lang w:val="en-US" w:bidi="ar-SA"/>
        </w:rPr>
        <w:fldChar w:fldCharType="begin"/>
      </w:r>
      <w:r w:rsidRPr="006C7A10">
        <w:rPr>
          <w:rFonts w:asciiTheme="minorHAnsi" w:eastAsiaTheme="minorEastAsia" w:hAnsiTheme="minorHAnsi" w:cstheme="minorHAnsi"/>
          <w:kern w:val="2"/>
          <w:lang w:val="en-US" w:bidi="ar-SA"/>
        </w:rPr>
        <w:instrText xml:space="preserve"> ADDIN ZOTERO_ITEM CSL_CITATION {"citationID":"Sw9KJCGZ","properties":{"formattedCitation":"(Strong &amp; Oakley, 2013)","plainCitation":"(Strong &amp; Oakley, 2013)","dontUpdate":true,"noteIndex":0},"citationItems":[{"id":10121,"uris":["http://zotero.org/users/7267932/items/T7Z7HXXR"],"itemData":{"id":10121,"type":"article-journal","abstract":"The value of learning an uncertain input in a decision model can be quantified by its partial expected value of perfect information (EVPI). This is commonly estimated via a 2-level nested Monte Carlo procedure in which the parameter of interest is sampled in an outer loop, and then conditional on this sampled value, the remaining parameters are sampled in an inner loop. This 2-level method can be difficult to implement if the joint distribution of the inner-loop parameters conditional on the parameter of interest is not easy to sample from. We present a simple alternative 1-level method for calculating partial EVPI for a single parameter that avoids the need to sample directly from the potentially problematic conditional distributions. We derive the sampling distribution of our estimator and show in a case study that it is both statistically and computationally more efficient than the 2-level method.","container-title":"Medical Decision Making","DOI":"10.1177/0272989X12465123","ISSN":"0272-989X","issue":"6","journalAbbreviation":"Med Decis Making","language":"EN","note":"publisher: SAGE Publications Inc STM","page":"755-766","source":"SAGE Journals","title":"An Efficient Method for Computing Single-Parameter Partial Expected Value of Perfect Information","volume":"33","author":[{"family":"Strong","given":"Mark"},{"family":"Oakley","given":"Jeremy E."}],"issued":{"date-parts":[["2013",8,1]]}}}],"schema":"https://github.com/citation-style-language/schema/raw/master/csl-citation.json"} </w:instrText>
      </w:r>
      <w:r w:rsidRPr="006C7A10">
        <w:rPr>
          <w:rFonts w:asciiTheme="minorHAnsi" w:eastAsiaTheme="minorEastAsia" w:hAnsiTheme="minorHAnsi" w:cstheme="minorHAnsi"/>
          <w:kern w:val="2"/>
          <w:lang w:val="en-US" w:bidi="ar-SA"/>
        </w:rPr>
        <w:fldChar w:fldCharType="separate"/>
      </w:r>
      <w:r w:rsidRPr="006C7A10">
        <w:rPr>
          <w:rFonts w:ascii="Calibri" w:hAnsi="Calibri" w:cs="Calibri"/>
          <w:lang w:val="en-US"/>
        </w:rPr>
        <w:t>Strong &amp; Oakley (2013)</w:t>
      </w:r>
      <w:r w:rsidRPr="006C7A10">
        <w:rPr>
          <w:rFonts w:asciiTheme="minorHAnsi" w:eastAsiaTheme="minorEastAsia" w:hAnsiTheme="minorHAnsi" w:cstheme="minorHAnsi"/>
          <w:kern w:val="2"/>
          <w:lang w:val="en-US" w:bidi="ar-SA"/>
        </w:rPr>
        <w:fldChar w:fldCharType="end"/>
      </w:r>
      <w:r w:rsidRPr="006C7A10">
        <w:rPr>
          <w:rFonts w:asciiTheme="minorHAnsi" w:eastAsiaTheme="minorEastAsia" w:hAnsiTheme="minorHAnsi" w:cstheme="minorHAnsi"/>
          <w:kern w:val="2"/>
          <w:lang w:val="en-US" w:bidi="ar-SA"/>
        </w:rPr>
        <w:t xml:space="preserve">. EVPI was computed to determine the variables with information gaps. The gap is represented as a difference between the expected values under perfect information and that obtained under uncertainty. Thus, EVPI indicates the expected value a decision maker should be willing to pay to obtain more information on these variables (Hubbard, 2014; </w:t>
      </w:r>
      <w:r w:rsidRPr="006C7A10">
        <w:rPr>
          <w:rFonts w:asciiTheme="minorHAnsi" w:eastAsiaTheme="minorEastAsia" w:hAnsiTheme="minorHAnsi" w:cstheme="minorHAnsi"/>
          <w:kern w:val="2"/>
          <w:lang w:val="en-US" w:bidi="ar-SA"/>
        </w:rPr>
        <w:fldChar w:fldCharType="begin"/>
      </w:r>
      <w:r w:rsidRPr="006C7A10">
        <w:rPr>
          <w:rFonts w:asciiTheme="minorHAnsi" w:eastAsiaTheme="minorEastAsia" w:hAnsiTheme="minorHAnsi" w:cstheme="minorHAnsi"/>
          <w:kern w:val="2"/>
          <w:lang w:val="en-US" w:bidi="ar-SA"/>
        </w:rPr>
        <w:instrText xml:space="preserve"> ADDIN ZOTERO_ITEM CSL_CITATION {"citationID":"Ym6PXIi8","properties":{"formattedCitation":"(Lanzanova et al., 2019)","plainCitation":"(Lanzanova et al., 2019)","dontUpdate":true,"noteIndex":0},"citationItems":[{"id":1135,"uris":["http://zotero.org/users/7267932/items/TKDQ7JIZ"],"itemData":{"id":1135,"type":"article-journal","abstract":"In the arid areas of Sub-Saharan Africa, perennial challenges of water scarcity and food insecurity are exacerbated by climate change and variability. The development of robust strategies to cope with the region's climatic challenges requires thorough consideration of uncertainty and risk in decision making. We demonstrate the use of probabilistic decision analysis to compare intervention options to prevent reservoir sedimentation in Burkina Faso. To illustrate this approach, we developed a causal impact pathway model based on the local knowledge of expert stakeholders. Input parameters were described by probability distributions derived from estimated confidence intervals. The model was run in a Monte Carlo simulation to generate the range of plausible decision outcomes, quantified as the net present value and the annual cash flow. We used Partial Least Squares regression analysis to identify the parameters that most affected projected intervention outcomes and we computed the Expected Value of Perfect Information (EVPI) to highlight critical uncertainties. Numerical results show that the preferred intervention to secure agricultural production is a combination of dredging, rock dams and a buffer scheme around the reservoir. The EVPI calculation reveals an information value for the profit per ton of vegetables, indicating that more information on this variable would be useful for supporting the decision. However, without the need for follow-up analysis, the results show high probability of benefits given the combined interventions, which, given the current state of information, should be preferred over inaction.","container-title":"Environmental Modelling &amp; Software","DOI":"10.1016/j.envsoft.2019.01.016","ISSN":"1364-8152","journalAbbreviation":"Environmental Modelling &amp; Software","language":"en","page":"164-175","source":"ScienceDirect","title":"Improving development efficiency through decision analysis: Reservoir protection in Burkina Faso","title-short":"Improving development efficiency through decision analysis","volume":"115","author":[{"family":"Lanzanova","given":"Denis"},{"family":"Whitney","given":"Cory"},{"family":"Shepherd","given":"Keith"},{"family":"Luedeling","given":"Eike"}],"issued":{"date-parts":[["2019",5,1]]}}}],"schema":"https://github.com/citation-style-language/schema/raw/master/csl-citation.json"} </w:instrText>
      </w:r>
      <w:r w:rsidRPr="006C7A10">
        <w:rPr>
          <w:rFonts w:asciiTheme="minorHAnsi" w:eastAsiaTheme="minorEastAsia" w:hAnsiTheme="minorHAnsi" w:cstheme="minorHAnsi"/>
          <w:kern w:val="2"/>
          <w:lang w:val="en-US" w:bidi="ar-SA"/>
        </w:rPr>
        <w:fldChar w:fldCharType="separate"/>
      </w:r>
      <w:r w:rsidRPr="006C7A10">
        <w:rPr>
          <w:rFonts w:ascii="Calibri" w:hAnsi="Calibri" w:cs="Calibri"/>
        </w:rPr>
        <w:t>Lanzanova et al., 2019)</w:t>
      </w:r>
      <w:r w:rsidRPr="006C7A10">
        <w:rPr>
          <w:rFonts w:asciiTheme="minorHAnsi" w:eastAsiaTheme="minorEastAsia" w:hAnsiTheme="minorHAnsi" w:cstheme="minorHAnsi"/>
          <w:kern w:val="2"/>
          <w:lang w:val="en-US" w:bidi="ar-SA"/>
        </w:rPr>
        <w:fldChar w:fldCharType="end"/>
      </w:r>
    </w:p>
    <w:p w:rsidR="00B522E0" w:rsidRPr="006C7A10" w:rsidRDefault="00B522E0" w:rsidP="00150525">
      <w:pPr>
        <w:pStyle w:val="Heading1"/>
        <w:numPr>
          <w:ilvl w:val="0"/>
          <w:numId w:val="2"/>
        </w:numPr>
        <w:tabs>
          <w:tab w:val="num" w:pos="360"/>
        </w:tabs>
        <w:spacing w:before="240" w:after="240"/>
        <w:ind w:left="0" w:firstLine="0"/>
        <w:jc w:val="both"/>
        <w:rPr>
          <w:rFonts w:asciiTheme="minorHAnsi" w:hAnsiTheme="minorHAnsi" w:cstheme="minorHAnsi"/>
          <w:b/>
          <w:bCs/>
          <w:color w:val="auto"/>
          <w:sz w:val="24"/>
          <w:szCs w:val="24"/>
          <w:lang w:eastAsia="de-DE"/>
        </w:rPr>
      </w:pPr>
      <w:r w:rsidRPr="006C7A10">
        <w:rPr>
          <w:rFonts w:asciiTheme="minorHAnsi" w:hAnsiTheme="minorHAnsi" w:cstheme="minorHAnsi"/>
          <w:b/>
          <w:bCs/>
          <w:color w:val="auto"/>
          <w:sz w:val="24"/>
          <w:szCs w:val="24"/>
          <w:lang w:eastAsia="de-DE"/>
        </w:rPr>
        <w:t xml:space="preserve">Supplementary results </w:t>
      </w:r>
    </w:p>
    <w:p w:rsidR="00014B91" w:rsidRPr="006C7A10" w:rsidRDefault="00014B91" w:rsidP="00150525">
      <w:pPr>
        <w:pStyle w:val="Heading1"/>
        <w:numPr>
          <w:ilvl w:val="1"/>
          <w:numId w:val="5"/>
        </w:numPr>
        <w:spacing w:before="240" w:after="240"/>
        <w:ind w:left="426" w:hanging="426"/>
        <w:jc w:val="both"/>
        <w:rPr>
          <w:rFonts w:asciiTheme="minorHAnsi" w:hAnsiTheme="minorHAnsi" w:cstheme="minorHAnsi"/>
          <w:i/>
          <w:iCs/>
          <w:color w:val="auto"/>
          <w:sz w:val="24"/>
          <w:szCs w:val="24"/>
          <w:lang w:eastAsia="de-DE"/>
        </w:rPr>
      </w:pPr>
      <w:bookmarkStart w:id="2" w:name="_Toc184591092"/>
      <w:bookmarkStart w:id="3" w:name="_Toc188527370"/>
      <w:r w:rsidRPr="006C7A10">
        <w:rPr>
          <w:rFonts w:asciiTheme="minorHAnsi" w:hAnsiTheme="minorHAnsi" w:cstheme="minorHAnsi"/>
          <w:i/>
          <w:iCs/>
          <w:color w:val="auto"/>
          <w:sz w:val="24"/>
          <w:szCs w:val="24"/>
          <w:lang w:eastAsia="de-DE"/>
        </w:rPr>
        <w:t>Biodiversity, conservation costs, and benefits under a low landscape connectivity scenario</w:t>
      </w:r>
      <w:bookmarkEnd w:id="2"/>
      <w:bookmarkEnd w:id="3"/>
    </w:p>
    <w:p w:rsidR="0007106D" w:rsidRPr="006C7A10" w:rsidRDefault="0007106D" w:rsidP="0007106D">
      <w:pPr>
        <w:autoSpaceDE w:val="0"/>
        <w:autoSpaceDN w:val="0"/>
        <w:adjustRightInd w:val="0"/>
        <w:ind w:firstLine="0"/>
        <w:jc w:val="both"/>
        <w:rPr>
          <w:rFonts w:asciiTheme="minorHAnsi" w:eastAsiaTheme="minorEastAsia" w:hAnsiTheme="minorHAnsi" w:cstheme="minorHAnsi"/>
          <w:kern w:val="2"/>
          <w:lang w:eastAsia="zh-CN"/>
          <w14:ligatures w14:val="standardContextual"/>
        </w:rPr>
      </w:pPr>
      <w:r w:rsidRPr="006C7A10">
        <w:rPr>
          <w:rFonts w:asciiTheme="minorHAnsi" w:eastAsiaTheme="minorEastAsia" w:hAnsiTheme="minorHAnsi" w:cstheme="minorHAnsi"/>
          <w:kern w:val="2"/>
          <w:lang w:eastAsia="zh-CN"/>
          <w14:ligatures w14:val="standardContextual"/>
        </w:rPr>
        <w:t>Simulated outcomes under a low connectivity scenario indicate that the median forest stock per year (</w:t>
      </w:r>
      <w:proofErr w:type="spellStart"/>
      <w:r w:rsidRPr="006C7A10">
        <w:rPr>
          <w:rFonts w:asciiTheme="minorHAnsi" w:eastAsiaTheme="minorEastAsia" w:hAnsiTheme="minorHAnsi" w:cstheme="minorHAnsi"/>
          <w:kern w:val="2"/>
          <w:lang w:eastAsia="zh-CN"/>
          <w14:ligatures w14:val="standardContextual"/>
        </w:rPr>
        <w:t>proxied</w:t>
      </w:r>
      <w:proofErr w:type="spellEnd"/>
      <w:r w:rsidRPr="006C7A10">
        <w:rPr>
          <w:rFonts w:asciiTheme="minorHAnsi" w:eastAsiaTheme="minorEastAsia" w:hAnsiTheme="minorHAnsi" w:cstheme="minorHAnsi"/>
          <w:kern w:val="2"/>
          <w:lang w:eastAsia="zh-CN"/>
          <w14:ligatures w14:val="standardContextual"/>
        </w:rPr>
        <w:t xml:space="preserve"> by basal area) was 1.40 m</w:t>
      </w:r>
      <w:r w:rsidRPr="006C7A10">
        <w:rPr>
          <w:rFonts w:asciiTheme="minorHAnsi" w:eastAsiaTheme="minorEastAsia" w:hAnsiTheme="minorHAnsi" w:cstheme="minorHAnsi"/>
          <w:kern w:val="2"/>
          <w:vertAlign w:val="superscript"/>
          <w:lang w:eastAsia="zh-CN"/>
          <w14:ligatures w14:val="standardContextual"/>
        </w:rPr>
        <w:t>2</w:t>
      </w:r>
      <w:r w:rsidRPr="006C7A10">
        <w:rPr>
          <w:rFonts w:asciiTheme="minorHAnsi" w:eastAsiaTheme="minorEastAsia" w:hAnsiTheme="minorHAnsi" w:cstheme="minorHAnsi"/>
          <w:kern w:val="2"/>
          <w:lang w:eastAsia="zh-CN"/>
          <w14:ligatures w14:val="standardContextual"/>
        </w:rPr>
        <w:t>/ha [</w:t>
      </w:r>
      <w:bookmarkStart w:id="4" w:name="_Hlk195693347"/>
      <w:r w:rsidRPr="006C7A10">
        <w:rPr>
          <w:rFonts w:asciiTheme="minorHAnsi" w:eastAsiaTheme="minorEastAsia" w:hAnsiTheme="minorHAnsi" w:cstheme="minorHAnsi"/>
          <w:kern w:val="2"/>
          <w:lang w:eastAsia="zh-CN"/>
          <w14:ligatures w14:val="standardContextual"/>
        </w:rPr>
        <w:t xml:space="preserve">year 1 = </w:t>
      </w:r>
      <w:bookmarkEnd w:id="4"/>
      <w:r w:rsidRPr="006C7A10">
        <w:rPr>
          <w:rFonts w:asciiTheme="minorHAnsi" w:eastAsiaTheme="minorEastAsia" w:hAnsiTheme="minorHAnsi" w:cstheme="minorHAnsi"/>
          <w:kern w:val="2"/>
          <w:lang w:eastAsia="zh-CN"/>
          <w14:ligatures w14:val="standardContextual"/>
        </w:rPr>
        <w:t>0.8 m</w:t>
      </w:r>
      <w:r w:rsidRPr="006C7A10">
        <w:rPr>
          <w:rFonts w:asciiTheme="minorHAnsi" w:eastAsiaTheme="minorEastAsia" w:hAnsiTheme="minorHAnsi" w:cstheme="minorHAnsi"/>
          <w:kern w:val="2"/>
          <w:vertAlign w:val="superscript"/>
          <w:lang w:eastAsia="zh-CN"/>
          <w14:ligatures w14:val="standardContextual"/>
        </w:rPr>
        <w:t>2</w:t>
      </w:r>
      <w:r w:rsidRPr="006C7A10">
        <w:rPr>
          <w:rFonts w:asciiTheme="minorHAnsi" w:eastAsiaTheme="minorEastAsia" w:hAnsiTheme="minorHAnsi" w:cstheme="minorHAnsi"/>
          <w:kern w:val="2"/>
          <w:lang w:eastAsia="zh-CN"/>
          <w14:ligatures w14:val="standardContextual"/>
        </w:rPr>
        <w:t>/ha to year 30 = 2.0 m</w:t>
      </w:r>
      <w:r w:rsidRPr="006C7A10">
        <w:rPr>
          <w:rFonts w:asciiTheme="minorHAnsi" w:eastAsiaTheme="minorEastAsia" w:hAnsiTheme="minorHAnsi" w:cstheme="minorHAnsi"/>
          <w:kern w:val="2"/>
          <w:vertAlign w:val="superscript"/>
          <w:lang w:eastAsia="zh-CN"/>
          <w14:ligatures w14:val="standardContextual"/>
        </w:rPr>
        <w:t>2</w:t>
      </w:r>
      <w:r w:rsidRPr="006C7A10">
        <w:rPr>
          <w:rFonts w:asciiTheme="minorHAnsi" w:eastAsiaTheme="minorEastAsia" w:hAnsiTheme="minorHAnsi" w:cstheme="minorHAnsi"/>
          <w:kern w:val="2"/>
          <w:lang w:eastAsia="zh-CN"/>
          <w14:ligatures w14:val="standardContextual"/>
        </w:rPr>
        <w:t>/ha] in IIWC and 3.67 m</w:t>
      </w:r>
      <w:r w:rsidRPr="006C7A10">
        <w:rPr>
          <w:rFonts w:asciiTheme="minorHAnsi" w:eastAsiaTheme="minorEastAsia" w:hAnsiTheme="minorHAnsi" w:cstheme="minorHAnsi"/>
          <w:kern w:val="2"/>
          <w:vertAlign w:val="superscript"/>
          <w:lang w:eastAsia="zh-CN"/>
          <w14:ligatures w14:val="standardContextual"/>
        </w:rPr>
        <w:t>2</w:t>
      </w:r>
      <w:r w:rsidRPr="006C7A10">
        <w:rPr>
          <w:rFonts w:asciiTheme="minorHAnsi" w:eastAsiaTheme="minorEastAsia" w:hAnsiTheme="minorHAnsi" w:cstheme="minorHAnsi"/>
          <w:kern w:val="2"/>
          <w:lang w:eastAsia="zh-CN"/>
          <w14:ligatures w14:val="standardContextual"/>
        </w:rPr>
        <w:t>/ha [year 1 = 1.39 m</w:t>
      </w:r>
      <w:r w:rsidRPr="006C7A10">
        <w:rPr>
          <w:rFonts w:asciiTheme="minorHAnsi" w:eastAsiaTheme="minorEastAsia" w:hAnsiTheme="minorHAnsi" w:cstheme="minorHAnsi"/>
          <w:kern w:val="2"/>
          <w:vertAlign w:val="superscript"/>
          <w:lang w:eastAsia="zh-CN"/>
          <w14:ligatures w14:val="standardContextual"/>
        </w:rPr>
        <w:t>2</w:t>
      </w:r>
      <w:r w:rsidRPr="006C7A10">
        <w:rPr>
          <w:rFonts w:asciiTheme="minorHAnsi" w:eastAsiaTheme="minorEastAsia" w:hAnsiTheme="minorHAnsi" w:cstheme="minorHAnsi"/>
          <w:kern w:val="2"/>
          <w:lang w:eastAsia="zh-CN"/>
          <w14:ligatures w14:val="standardContextual"/>
        </w:rPr>
        <w:t>/ha to year 30 = 6.02 m</w:t>
      </w:r>
      <w:r w:rsidRPr="006C7A10">
        <w:rPr>
          <w:rFonts w:asciiTheme="minorHAnsi" w:eastAsiaTheme="minorEastAsia" w:hAnsiTheme="minorHAnsi" w:cstheme="minorHAnsi"/>
          <w:kern w:val="2"/>
          <w:vertAlign w:val="superscript"/>
          <w:lang w:eastAsia="zh-CN"/>
          <w14:ligatures w14:val="standardContextual"/>
        </w:rPr>
        <w:t>2</w:t>
      </w:r>
      <w:r w:rsidRPr="006C7A10">
        <w:rPr>
          <w:rFonts w:asciiTheme="minorHAnsi" w:eastAsiaTheme="minorEastAsia" w:hAnsiTheme="minorHAnsi" w:cstheme="minorHAnsi"/>
          <w:kern w:val="2"/>
          <w:lang w:eastAsia="zh-CN"/>
          <w14:ligatures w14:val="standardContextual"/>
        </w:rPr>
        <w:t xml:space="preserve">/ha] in BKG (Figure A.1). African savanna elephant numbers in the IIWC ranges from a median of 234 to 274 individuals for year 1 and year 30 of our simulation respectively (Figure A.1c). </w:t>
      </w:r>
    </w:p>
    <w:p w:rsidR="00462BEC" w:rsidRPr="006C7A10" w:rsidRDefault="00E7657F" w:rsidP="00150525">
      <w:pPr>
        <w:spacing w:line="240" w:lineRule="auto"/>
        <w:ind w:firstLine="0"/>
        <w:jc w:val="center"/>
      </w:pPr>
      <w:r w:rsidRPr="006C7A10">
        <w:rPr>
          <w:noProof/>
          <w:lang w:val="en-GB" w:eastAsia="zh-CN"/>
        </w:rPr>
        <w:drawing>
          <wp:inline distT="0" distB="0" distL="0" distR="0" wp14:anchorId="7CEBA947" wp14:editId="77CA0C5D">
            <wp:extent cx="4201947" cy="3345180"/>
            <wp:effectExtent l="0" t="0" r="825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62772" cy="3393603"/>
                    </a:xfrm>
                    <a:prstGeom prst="rect">
                      <a:avLst/>
                    </a:prstGeom>
                  </pic:spPr>
                </pic:pic>
              </a:graphicData>
            </a:graphic>
          </wp:inline>
        </w:drawing>
      </w:r>
    </w:p>
    <w:p w:rsidR="00B522E0" w:rsidRPr="006C7A10" w:rsidRDefault="00B522E0" w:rsidP="00150525">
      <w:pPr>
        <w:pStyle w:val="Textbody"/>
        <w:spacing w:before="240" w:line="240" w:lineRule="auto"/>
        <w:jc w:val="both"/>
        <w:rPr>
          <w:rFonts w:asciiTheme="minorHAnsi" w:eastAsiaTheme="minorHAnsi" w:hAnsiTheme="minorHAnsi" w:cstheme="minorHAnsi"/>
          <w:b/>
          <w:bCs/>
          <w:kern w:val="2"/>
          <w:szCs w:val="22"/>
          <w:lang w:val="en-US" w:eastAsia="en-US" w:bidi="ar-SA"/>
        </w:rPr>
      </w:pPr>
      <w:r w:rsidRPr="006C7A10">
        <w:rPr>
          <w:rFonts w:asciiTheme="minorHAnsi" w:eastAsiaTheme="minorHAnsi" w:hAnsiTheme="minorHAnsi" w:cstheme="minorHAnsi"/>
          <w:b/>
          <w:bCs/>
          <w:kern w:val="2"/>
          <w:szCs w:val="22"/>
          <w:lang w:val="en-US" w:eastAsia="en-US" w:bidi="ar-SA"/>
        </w:rPr>
        <w:t>Figure A.1. Basal area (m</w:t>
      </w:r>
      <w:r w:rsidRPr="006C7A10">
        <w:rPr>
          <w:rFonts w:asciiTheme="minorHAnsi" w:eastAsiaTheme="minorHAnsi" w:hAnsiTheme="minorHAnsi" w:cstheme="minorHAnsi"/>
          <w:b/>
          <w:bCs/>
          <w:kern w:val="2"/>
          <w:szCs w:val="22"/>
          <w:vertAlign w:val="superscript"/>
          <w:lang w:val="en-US" w:eastAsia="en-US" w:bidi="ar-SA"/>
        </w:rPr>
        <w:t>2</w:t>
      </w:r>
      <w:r w:rsidRPr="006C7A10">
        <w:rPr>
          <w:rFonts w:asciiTheme="minorHAnsi" w:eastAsiaTheme="minorHAnsi" w:hAnsiTheme="minorHAnsi" w:cstheme="minorHAnsi"/>
          <w:b/>
          <w:bCs/>
          <w:kern w:val="2"/>
          <w:szCs w:val="22"/>
          <w:lang w:val="en-US" w:eastAsia="en-US" w:bidi="ar-SA"/>
        </w:rPr>
        <w:t xml:space="preserve">/ha) under low landscape connectivity scenario in IIWC (a) and in BKG (b). Figure A.1 (c) represents </w:t>
      </w:r>
      <w:r w:rsidR="00E52ACF" w:rsidRPr="006C7A10">
        <w:rPr>
          <w:rFonts w:asciiTheme="minorHAnsi" w:eastAsiaTheme="minorHAnsi" w:hAnsiTheme="minorHAnsi" w:cstheme="minorHAnsi"/>
          <w:b/>
          <w:bCs/>
          <w:kern w:val="2"/>
          <w:szCs w:val="22"/>
          <w:lang w:val="en-US" w:eastAsia="en-US" w:bidi="ar-SA"/>
        </w:rPr>
        <w:t>African savanna elephant</w:t>
      </w:r>
      <w:r w:rsidRPr="006C7A10">
        <w:rPr>
          <w:rFonts w:asciiTheme="minorHAnsi" w:eastAsiaTheme="minorHAnsi" w:hAnsiTheme="minorHAnsi" w:cstheme="minorHAnsi"/>
          <w:b/>
          <w:bCs/>
          <w:kern w:val="2"/>
          <w:szCs w:val="22"/>
          <w:lang w:val="en-US" w:eastAsia="en-US" w:bidi="ar-SA"/>
        </w:rPr>
        <w:t xml:space="preserve"> population under low landscape connectivity scenario in IIWC. </w:t>
      </w:r>
    </w:p>
    <w:p w:rsidR="00E44AC0" w:rsidRPr="006C7A10" w:rsidRDefault="00E44AC0" w:rsidP="00150525">
      <w:pPr>
        <w:pStyle w:val="Textbody"/>
        <w:spacing w:before="240" w:line="360" w:lineRule="auto"/>
        <w:jc w:val="both"/>
        <w:rPr>
          <w:rFonts w:asciiTheme="minorHAnsi" w:eastAsiaTheme="minorEastAsia" w:hAnsiTheme="minorHAnsi" w:cstheme="minorHAnsi"/>
          <w:kern w:val="2"/>
          <w:lang w:val="en-US" w:bidi="ar-SA"/>
        </w:rPr>
      </w:pPr>
      <w:r w:rsidRPr="006C7A10">
        <w:rPr>
          <w:rFonts w:asciiTheme="minorHAnsi" w:eastAsiaTheme="minorEastAsia" w:hAnsiTheme="minorHAnsi" w:cstheme="minorHAnsi"/>
          <w:kern w:val="2"/>
          <w:lang w:val="en-US" w:bidi="ar-SA"/>
        </w:rPr>
        <w:lastRenderedPageBreak/>
        <w:t xml:space="preserve">The median costs of conservation incurred by a household per year were USD 233 [ranging from a minimum (min) of USD 50 to maximum (max) of USD 1585] and USD 109 [min: USD 25 to max: USD 517] in IIWC and BKG respectively (Figure A.2). The benefits per household per year were around USD 1273 [min: USD 226 to max: USD 6416] in IIWC and USD 573 [min: USD 195 to max: </w:t>
      </w:r>
      <w:r w:rsidR="00BA1EC9" w:rsidRPr="006C7A10">
        <w:rPr>
          <w:rFonts w:asciiTheme="minorHAnsi" w:eastAsiaTheme="minorEastAsia" w:hAnsiTheme="minorHAnsi" w:cstheme="minorHAnsi"/>
          <w:kern w:val="2"/>
          <w:lang w:val="en-US" w:bidi="ar-SA"/>
        </w:rPr>
        <w:t>2430] in BKG (Figure A.3</w:t>
      </w:r>
      <w:r w:rsidRPr="006C7A10">
        <w:rPr>
          <w:rFonts w:asciiTheme="minorHAnsi" w:eastAsiaTheme="minorEastAsia" w:hAnsiTheme="minorHAnsi" w:cstheme="minorHAnsi"/>
          <w:kern w:val="2"/>
          <w:lang w:val="en-US" w:bidi="ar-SA"/>
        </w:rPr>
        <w:t>).</w:t>
      </w:r>
    </w:p>
    <w:p w:rsidR="00B522E0" w:rsidRPr="006C7A10" w:rsidRDefault="00E7657F" w:rsidP="00B522E0">
      <w:pPr>
        <w:ind w:firstLine="0"/>
        <w:jc w:val="center"/>
        <w:rPr>
          <w:rFonts w:asciiTheme="minorHAnsi" w:hAnsiTheme="minorHAnsi" w:cstheme="minorHAnsi"/>
        </w:rPr>
      </w:pPr>
      <w:r w:rsidRPr="006C7A10">
        <w:rPr>
          <w:rFonts w:asciiTheme="minorHAnsi" w:hAnsiTheme="minorHAnsi" w:cstheme="minorHAnsi"/>
          <w:noProof/>
          <w:lang w:val="en-GB" w:eastAsia="zh-CN"/>
        </w:rPr>
        <w:drawing>
          <wp:inline distT="0" distB="0" distL="0" distR="0" wp14:anchorId="1D494A7E" wp14:editId="1FBB7D3F">
            <wp:extent cx="5192486" cy="2158454"/>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95974" cy="2159904"/>
                    </a:xfrm>
                    <a:prstGeom prst="rect">
                      <a:avLst/>
                    </a:prstGeom>
                  </pic:spPr>
                </pic:pic>
              </a:graphicData>
            </a:graphic>
          </wp:inline>
        </w:drawing>
      </w:r>
    </w:p>
    <w:p w:rsidR="00B522E0" w:rsidRPr="006C7A10" w:rsidRDefault="00B522E0" w:rsidP="00B522E0">
      <w:pPr>
        <w:ind w:firstLine="0"/>
        <w:jc w:val="both"/>
        <w:rPr>
          <w:rFonts w:asciiTheme="minorHAnsi" w:hAnsiTheme="minorHAnsi" w:cstheme="minorHAnsi"/>
          <w:b/>
          <w:bCs/>
        </w:rPr>
      </w:pPr>
      <w:r w:rsidRPr="006C7A10">
        <w:rPr>
          <w:rFonts w:asciiTheme="minorHAnsi" w:hAnsiTheme="minorHAnsi" w:cstheme="minorHAnsi"/>
          <w:b/>
          <w:bCs/>
        </w:rPr>
        <w:t>Figure A.2. Annual farmers cost per household (USD/</w:t>
      </w:r>
      <w:proofErr w:type="spellStart"/>
      <w:r w:rsidRPr="006C7A10">
        <w:rPr>
          <w:rFonts w:asciiTheme="minorHAnsi" w:hAnsiTheme="minorHAnsi" w:cstheme="minorHAnsi"/>
          <w:b/>
          <w:bCs/>
        </w:rPr>
        <w:t>hh</w:t>
      </w:r>
      <w:proofErr w:type="spellEnd"/>
      <w:r w:rsidRPr="006C7A10">
        <w:rPr>
          <w:rFonts w:asciiTheme="minorHAnsi" w:hAnsiTheme="minorHAnsi" w:cstheme="minorHAnsi"/>
          <w:b/>
          <w:bCs/>
        </w:rPr>
        <w:t xml:space="preserve">) under low landscape connectivity scenario in IIWC (left) and in BKG (right). </w:t>
      </w:r>
    </w:p>
    <w:p w:rsidR="00150525" w:rsidRPr="006C7A10" w:rsidRDefault="00150525" w:rsidP="00B522E0">
      <w:pPr>
        <w:ind w:firstLine="0"/>
        <w:jc w:val="both"/>
        <w:rPr>
          <w:rFonts w:asciiTheme="minorHAnsi" w:hAnsiTheme="minorHAnsi" w:cstheme="minorHAnsi"/>
          <w:b/>
          <w:bCs/>
        </w:rPr>
      </w:pPr>
    </w:p>
    <w:p w:rsidR="00BA1EC9" w:rsidRPr="006C7A10" w:rsidRDefault="00BA1EC9" w:rsidP="00BA1EC9">
      <w:pPr>
        <w:ind w:firstLine="0"/>
        <w:jc w:val="center"/>
        <w:rPr>
          <w:rFonts w:asciiTheme="minorHAnsi" w:hAnsiTheme="minorHAnsi" w:cstheme="minorHAnsi"/>
        </w:rPr>
      </w:pPr>
      <w:r w:rsidRPr="006C7A10">
        <w:rPr>
          <w:rFonts w:asciiTheme="minorHAnsi" w:hAnsiTheme="minorHAnsi" w:cstheme="minorHAnsi"/>
          <w:noProof/>
          <w:lang w:val="en-GB" w:eastAsia="zh-CN"/>
        </w:rPr>
        <w:drawing>
          <wp:inline distT="0" distB="0" distL="0" distR="0" wp14:anchorId="76C09993" wp14:editId="55D08560">
            <wp:extent cx="4941606" cy="201748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72658" cy="2030163"/>
                    </a:xfrm>
                    <a:prstGeom prst="rect">
                      <a:avLst/>
                    </a:prstGeom>
                  </pic:spPr>
                </pic:pic>
              </a:graphicData>
            </a:graphic>
          </wp:inline>
        </w:drawing>
      </w:r>
    </w:p>
    <w:p w:rsidR="00BA1EC9" w:rsidRPr="006C7A10" w:rsidRDefault="00BA1EC9" w:rsidP="00BA1EC9">
      <w:pPr>
        <w:ind w:firstLine="0"/>
        <w:jc w:val="both"/>
        <w:rPr>
          <w:rFonts w:asciiTheme="minorHAnsi" w:hAnsiTheme="minorHAnsi" w:cstheme="minorHAnsi"/>
          <w:b/>
          <w:bCs/>
        </w:rPr>
      </w:pPr>
      <w:r w:rsidRPr="006C7A10">
        <w:rPr>
          <w:rFonts w:asciiTheme="minorHAnsi" w:hAnsiTheme="minorHAnsi" w:cstheme="minorHAnsi"/>
          <w:b/>
          <w:bCs/>
        </w:rPr>
        <w:t>Figure A.3. Annual farmers benefit per household (USD/</w:t>
      </w:r>
      <w:proofErr w:type="spellStart"/>
      <w:r w:rsidRPr="006C7A10">
        <w:rPr>
          <w:rFonts w:asciiTheme="minorHAnsi" w:hAnsiTheme="minorHAnsi" w:cstheme="minorHAnsi"/>
          <w:b/>
          <w:bCs/>
        </w:rPr>
        <w:t>hh</w:t>
      </w:r>
      <w:proofErr w:type="spellEnd"/>
      <w:r w:rsidRPr="006C7A10">
        <w:rPr>
          <w:rFonts w:asciiTheme="minorHAnsi" w:hAnsiTheme="minorHAnsi" w:cstheme="minorHAnsi"/>
          <w:b/>
          <w:bCs/>
        </w:rPr>
        <w:t xml:space="preserve">) under low landscape connectivity scenario in IIWC (left) and in BKG (BKG). </w:t>
      </w:r>
    </w:p>
    <w:p w:rsidR="00BA1EC9" w:rsidRPr="006C7A10" w:rsidRDefault="00BA1EC9" w:rsidP="00E44AC0">
      <w:pPr>
        <w:ind w:firstLine="0"/>
        <w:jc w:val="both"/>
        <w:rPr>
          <w:rFonts w:asciiTheme="minorHAnsi" w:eastAsiaTheme="minorEastAsia" w:hAnsiTheme="minorHAnsi" w:cstheme="minorHAnsi"/>
          <w:kern w:val="2"/>
          <w:lang w:eastAsia="zh-CN"/>
          <w14:ligatures w14:val="standardContextual"/>
        </w:rPr>
      </w:pPr>
    </w:p>
    <w:p w:rsidR="00E44AC0" w:rsidRPr="006C7A10" w:rsidRDefault="00E44AC0" w:rsidP="00E44AC0">
      <w:pPr>
        <w:ind w:firstLine="0"/>
        <w:jc w:val="both"/>
        <w:rPr>
          <w:rFonts w:asciiTheme="minorHAnsi" w:hAnsiTheme="minorHAnsi" w:cstheme="minorHAnsi"/>
          <w:b/>
          <w:bCs/>
        </w:rPr>
      </w:pPr>
      <w:r w:rsidRPr="006C7A10">
        <w:rPr>
          <w:rFonts w:asciiTheme="minorHAnsi" w:eastAsiaTheme="minorEastAsia" w:hAnsiTheme="minorHAnsi" w:cstheme="minorHAnsi"/>
          <w:kern w:val="2"/>
          <w:lang w:eastAsia="zh-CN"/>
          <w14:ligatures w14:val="standardContextual"/>
        </w:rPr>
        <w:t xml:space="preserve">We estimated the governmental costs and benefits of conservation per hectare of farmland conserved (i.e., per unit value) and per total landscape conserved contiguously (i.e., absolute value per landscape). The median governmental costs per hectare per year were around USD </w:t>
      </w:r>
      <w:r w:rsidRPr="006C7A10">
        <w:rPr>
          <w:rFonts w:asciiTheme="minorHAnsi" w:eastAsiaTheme="minorEastAsia" w:hAnsiTheme="minorHAnsi" w:cstheme="minorHAnsi"/>
          <w:kern w:val="2"/>
          <w:shd w:val="clear" w:color="auto" w:fill="FFFFFF" w:themeFill="background1"/>
          <w:lang w:eastAsia="zh-CN"/>
          <w14:ligatures w14:val="standardContextual"/>
        </w:rPr>
        <w:t xml:space="preserve">10 [min: USD 2.57 to max: USD 197.17] in IIWC and USD 62 [min: USD 18 to max: USD </w:t>
      </w:r>
      <w:r w:rsidR="00BA1EC9" w:rsidRPr="006C7A10">
        <w:rPr>
          <w:rFonts w:asciiTheme="minorHAnsi" w:eastAsiaTheme="minorEastAsia" w:hAnsiTheme="minorHAnsi" w:cstheme="minorHAnsi"/>
          <w:kern w:val="2"/>
          <w:shd w:val="clear" w:color="auto" w:fill="FFFFFF" w:themeFill="background1"/>
          <w:lang w:eastAsia="zh-CN"/>
          <w14:ligatures w14:val="standardContextual"/>
        </w:rPr>
        <w:t>764] in BKG (Figure A.4</w:t>
      </w:r>
      <w:r w:rsidRPr="006C7A10">
        <w:rPr>
          <w:rFonts w:asciiTheme="minorHAnsi" w:eastAsiaTheme="minorEastAsia" w:hAnsiTheme="minorHAnsi" w:cstheme="minorHAnsi"/>
          <w:kern w:val="2"/>
          <w:shd w:val="clear" w:color="auto" w:fill="FFFFFF" w:themeFill="background1"/>
          <w:lang w:eastAsia="zh-CN"/>
          <w14:ligatures w14:val="standardContextual"/>
        </w:rPr>
        <w:t>).</w:t>
      </w:r>
    </w:p>
    <w:p w:rsidR="00586F76" w:rsidRPr="006C7A10" w:rsidRDefault="00E7657F" w:rsidP="00E44AC0">
      <w:pPr>
        <w:ind w:firstLine="0"/>
        <w:jc w:val="center"/>
        <w:rPr>
          <w:rFonts w:asciiTheme="minorHAnsi" w:hAnsiTheme="minorHAnsi" w:cstheme="minorHAnsi"/>
          <w:b/>
          <w:bCs/>
        </w:rPr>
      </w:pPr>
      <w:r w:rsidRPr="006C7A10">
        <w:rPr>
          <w:rFonts w:asciiTheme="minorHAnsi" w:hAnsiTheme="minorHAnsi" w:cstheme="minorHAnsi"/>
          <w:b/>
          <w:bCs/>
          <w:noProof/>
          <w:lang w:val="en-GB" w:eastAsia="zh-CN"/>
        </w:rPr>
        <w:lastRenderedPageBreak/>
        <w:drawing>
          <wp:inline distT="0" distB="0" distL="0" distR="0" wp14:anchorId="3B99A026" wp14:editId="0FA19757">
            <wp:extent cx="4652624" cy="20283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57668" cy="2030570"/>
                    </a:xfrm>
                    <a:prstGeom prst="rect">
                      <a:avLst/>
                    </a:prstGeom>
                  </pic:spPr>
                </pic:pic>
              </a:graphicData>
            </a:graphic>
          </wp:inline>
        </w:drawing>
      </w:r>
    </w:p>
    <w:p w:rsidR="00B522E0" w:rsidRPr="006C7A10" w:rsidRDefault="00B522E0" w:rsidP="00E44AC0">
      <w:pPr>
        <w:ind w:right="110" w:firstLine="0"/>
        <w:jc w:val="both"/>
        <w:rPr>
          <w:rFonts w:asciiTheme="minorHAnsi" w:hAnsiTheme="minorHAnsi" w:cstheme="minorHAnsi"/>
          <w:b/>
          <w:bCs/>
        </w:rPr>
      </w:pPr>
      <w:r w:rsidRPr="006C7A10">
        <w:rPr>
          <w:rFonts w:asciiTheme="minorHAnsi" w:hAnsiTheme="minorHAnsi" w:cstheme="minorHAnsi"/>
          <w:b/>
          <w:bCs/>
        </w:rPr>
        <w:t>Figure A.</w:t>
      </w:r>
      <w:r w:rsidR="00BA1EC9" w:rsidRPr="006C7A10">
        <w:rPr>
          <w:rFonts w:asciiTheme="minorHAnsi" w:hAnsiTheme="minorHAnsi" w:cstheme="minorHAnsi"/>
          <w:b/>
          <w:bCs/>
        </w:rPr>
        <w:t>4</w:t>
      </w:r>
      <w:r w:rsidRPr="006C7A10">
        <w:rPr>
          <w:rFonts w:asciiTheme="minorHAnsi" w:hAnsiTheme="minorHAnsi" w:cstheme="minorHAnsi"/>
          <w:b/>
          <w:bCs/>
        </w:rPr>
        <w:t xml:space="preserve">. Annual government cost per hectare (USD/ha) under low landscape connectivity scenario in IIWC (left) and in BKG (right). </w:t>
      </w:r>
    </w:p>
    <w:p w:rsidR="00BA1EC9" w:rsidRPr="006C7A10" w:rsidRDefault="00BA1EC9" w:rsidP="00BA1EC9">
      <w:pPr>
        <w:ind w:right="110" w:firstLine="0"/>
        <w:jc w:val="both"/>
        <w:rPr>
          <w:rFonts w:asciiTheme="minorHAnsi" w:eastAsiaTheme="minorEastAsia" w:hAnsiTheme="minorHAnsi" w:cstheme="minorHAnsi"/>
          <w:kern w:val="2"/>
          <w:shd w:val="clear" w:color="auto" w:fill="FFFFFF" w:themeFill="background1"/>
          <w:lang w:eastAsia="zh-CN"/>
          <w14:ligatures w14:val="standardContextual"/>
        </w:rPr>
      </w:pPr>
    </w:p>
    <w:p w:rsidR="00BA1EC9" w:rsidRPr="006C7A10" w:rsidRDefault="00BA1EC9" w:rsidP="00BA1EC9">
      <w:pPr>
        <w:ind w:right="110" w:firstLine="0"/>
        <w:jc w:val="both"/>
        <w:rPr>
          <w:rFonts w:asciiTheme="minorHAnsi" w:eastAsiaTheme="minorEastAsia" w:hAnsiTheme="minorHAnsi" w:cstheme="minorHAnsi"/>
          <w:kern w:val="2"/>
          <w:shd w:val="clear" w:color="auto" w:fill="FFFFFF" w:themeFill="background1"/>
          <w:lang w:eastAsia="zh-CN"/>
          <w14:ligatures w14:val="standardContextual"/>
        </w:rPr>
      </w:pPr>
      <w:r w:rsidRPr="006C7A10">
        <w:rPr>
          <w:rFonts w:asciiTheme="minorHAnsi" w:eastAsiaTheme="minorEastAsia" w:hAnsiTheme="minorHAnsi" w:cstheme="minorHAnsi"/>
          <w:kern w:val="2"/>
          <w:shd w:val="clear" w:color="auto" w:fill="FFFFFF" w:themeFill="background1"/>
          <w:lang w:eastAsia="zh-CN"/>
          <w14:ligatures w14:val="standardContextual"/>
        </w:rPr>
        <w:t xml:space="preserve">The absolute cost </w:t>
      </w:r>
      <w:r w:rsidR="00487320" w:rsidRPr="006C7A10">
        <w:rPr>
          <w:rFonts w:asciiTheme="minorHAnsi" w:eastAsiaTheme="minorEastAsia" w:hAnsiTheme="minorHAnsi" w:cstheme="minorHAnsi"/>
          <w:kern w:val="2"/>
          <w:shd w:val="clear" w:color="auto" w:fill="FFFFFF" w:themeFill="background1"/>
          <w:lang w:eastAsia="zh-CN"/>
          <w14:ligatures w14:val="standardContextual"/>
        </w:rPr>
        <w:t xml:space="preserve">(i.e., </w:t>
      </w:r>
      <w:r w:rsidRPr="006C7A10">
        <w:rPr>
          <w:rFonts w:asciiTheme="minorHAnsi" w:eastAsiaTheme="minorEastAsia" w:hAnsiTheme="minorHAnsi" w:cstheme="minorHAnsi"/>
          <w:kern w:val="2"/>
          <w:shd w:val="clear" w:color="auto" w:fill="FFFFFF" w:themeFill="background1"/>
          <w:lang w:eastAsia="zh-CN"/>
          <w14:ligatures w14:val="standardContextual"/>
        </w:rPr>
        <w:t>at landscape</w:t>
      </w:r>
      <w:r w:rsidR="00487320" w:rsidRPr="006C7A10">
        <w:rPr>
          <w:rFonts w:asciiTheme="minorHAnsi" w:eastAsiaTheme="minorEastAsia" w:hAnsiTheme="minorHAnsi" w:cstheme="minorHAnsi"/>
          <w:kern w:val="2"/>
          <w:shd w:val="clear" w:color="auto" w:fill="FFFFFF" w:themeFill="background1"/>
          <w:lang w:eastAsia="zh-CN"/>
          <w14:ligatures w14:val="standardContextual"/>
        </w:rPr>
        <w:t xml:space="preserve"> level)</w:t>
      </w:r>
      <w:r w:rsidRPr="006C7A10">
        <w:rPr>
          <w:rFonts w:asciiTheme="minorHAnsi" w:eastAsiaTheme="minorEastAsia" w:hAnsiTheme="minorHAnsi" w:cstheme="minorHAnsi"/>
          <w:kern w:val="2"/>
          <w:shd w:val="clear" w:color="auto" w:fill="FFFFFF" w:themeFill="background1"/>
          <w:lang w:eastAsia="zh-CN"/>
          <w14:ligatures w14:val="standardContextual"/>
        </w:rPr>
        <w:t xml:space="preserve"> was of USD 20,605 [min: USD 10,062 to max: USD 69,704] in IIWC, which is three times higher than in BKG (Figure A.5). Higher costs in IIWC may be attributed to the existence of Human-African savanna elephant conflicts.</w:t>
      </w:r>
    </w:p>
    <w:p w:rsidR="00150525" w:rsidRPr="006C7A10" w:rsidRDefault="00150525" w:rsidP="00BA1EC9">
      <w:pPr>
        <w:ind w:right="110" w:firstLine="0"/>
        <w:jc w:val="both"/>
        <w:rPr>
          <w:rFonts w:asciiTheme="minorHAnsi" w:hAnsiTheme="minorHAnsi" w:cstheme="minorHAnsi"/>
          <w:b/>
          <w:bCs/>
        </w:rPr>
      </w:pPr>
    </w:p>
    <w:p w:rsidR="00B522E0" w:rsidRPr="006C7A10" w:rsidRDefault="00E44AC0" w:rsidP="00E44AC0">
      <w:pPr>
        <w:ind w:firstLine="0"/>
        <w:jc w:val="center"/>
        <w:rPr>
          <w:rFonts w:asciiTheme="minorHAnsi" w:hAnsiTheme="minorHAnsi" w:cstheme="minorHAnsi"/>
          <w:b/>
          <w:bCs/>
        </w:rPr>
      </w:pPr>
      <w:r w:rsidRPr="006C7A10">
        <w:rPr>
          <w:rFonts w:asciiTheme="minorHAnsi" w:hAnsiTheme="minorHAnsi" w:cstheme="minorHAnsi"/>
          <w:b/>
          <w:bCs/>
          <w:noProof/>
          <w:lang w:val="en-GB" w:eastAsia="zh-CN"/>
        </w:rPr>
        <w:drawing>
          <wp:inline distT="0" distB="0" distL="0" distR="0" wp14:anchorId="4537ADA9" wp14:editId="040E0A0F">
            <wp:extent cx="4805039" cy="20320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4376" cy="2035949"/>
                    </a:xfrm>
                    <a:prstGeom prst="rect">
                      <a:avLst/>
                    </a:prstGeom>
                  </pic:spPr>
                </pic:pic>
              </a:graphicData>
            </a:graphic>
          </wp:inline>
        </w:drawing>
      </w:r>
    </w:p>
    <w:p w:rsidR="00B522E0" w:rsidRPr="006C7A10" w:rsidRDefault="00B522E0" w:rsidP="00B522E0">
      <w:pPr>
        <w:ind w:firstLine="0"/>
        <w:jc w:val="both"/>
        <w:rPr>
          <w:rFonts w:asciiTheme="minorHAnsi" w:hAnsiTheme="minorHAnsi" w:cstheme="minorHAnsi"/>
          <w:b/>
          <w:bCs/>
        </w:rPr>
      </w:pPr>
      <w:r w:rsidRPr="006C7A10">
        <w:rPr>
          <w:rFonts w:asciiTheme="minorHAnsi" w:hAnsiTheme="minorHAnsi" w:cstheme="minorHAnsi"/>
          <w:b/>
          <w:bCs/>
        </w:rPr>
        <w:t>Figure A.</w:t>
      </w:r>
      <w:r w:rsidR="00BA1EC9" w:rsidRPr="006C7A10">
        <w:rPr>
          <w:rFonts w:asciiTheme="minorHAnsi" w:hAnsiTheme="minorHAnsi" w:cstheme="minorHAnsi"/>
          <w:b/>
          <w:bCs/>
        </w:rPr>
        <w:t>5</w:t>
      </w:r>
      <w:r w:rsidRPr="006C7A10">
        <w:rPr>
          <w:rFonts w:asciiTheme="minorHAnsi" w:hAnsiTheme="minorHAnsi" w:cstheme="minorHAnsi"/>
          <w:b/>
          <w:bCs/>
        </w:rPr>
        <w:t xml:space="preserve">. Annual total government cost of conservation (USD/ha) under low landscape connectivity scenario in IIWC (left) and in BKG (right). </w:t>
      </w:r>
    </w:p>
    <w:p w:rsidR="00BA1EC9" w:rsidRPr="006C7A10" w:rsidRDefault="00BA1EC9" w:rsidP="00E44AC0">
      <w:pPr>
        <w:autoSpaceDE w:val="0"/>
        <w:autoSpaceDN w:val="0"/>
        <w:adjustRightInd w:val="0"/>
        <w:ind w:firstLine="0"/>
        <w:jc w:val="both"/>
        <w:rPr>
          <w:rFonts w:asciiTheme="minorHAnsi" w:hAnsiTheme="minorHAnsi" w:cstheme="minorHAnsi"/>
        </w:rPr>
      </w:pPr>
    </w:p>
    <w:p w:rsidR="00E44AC0" w:rsidRPr="006C7A10" w:rsidRDefault="00E44AC0" w:rsidP="00E44AC0">
      <w:pPr>
        <w:autoSpaceDE w:val="0"/>
        <w:autoSpaceDN w:val="0"/>
        <w:adjustRightInd w:val="0"/>
        <w:ind w:firstLine="0"/>
        <w:jc w:val="both"/>
        <w:rPr>
          <w:rFonts w:asciiTheme="minorHAnsi" w:eastAsiaTheme="minorEastAsia" w:hAnsiTheme="minorHAnsi" w:cstheme="minorHAnsi"/>
          <w:kern w:val="2"/>
          <w:lang w:eastAsia="zh-CN"/>
          <w14:ligatures w14:val="standardContextual"/>
        </w:rPr>
      </w:pPr>
      <w:r w:rsidRPr="006C7A10">
        <w:rPr>
          <w:rFonts w:asciiTheme="minorHAnsi" w:eastAsiaTheme="minorEastAsia" w:hAnsiTheme="minorHAnsi" w:cstheme="minorHAnsi"/>
          <w:kern w:val="2"/>
          <w:shd w:val="clear" w:color="auto" w:fill="FFFFFF" w:themeFill="background1"/>
          <w:lang w:eastAsia="zh-CN"/>
          <w14:ligatures w14:val="standardContextual"/>
        </w:rPr>
        <w:t>Annual governmental benefits per hectare conserved were estimated to be USD 1,709 [min: USD 431 to max: USD 21265] in IIWC and USD 564 [min: USD 103 to max: USD 2050] in BKG (Figure A.6). At the landscape level, the annual median benefits were USD 3,452,522 [min: USD 2,172,884 to max: USD 5,790,109] and USD 46,622 [min: USD 3,487 to max: USD 352,991] in IIWC and BKG respectively (Figure A.7).</w:t>
      </w:r>
    </w:p>
    <w:p w:rsidR="00B522E0" w:rsidRPr="006C7A10" w:rsidRDefault="00B522E0" w:rsidP="00B522E0">
      <w:pPr>
        <w:ind w:firstLine="0"/>
        <w:jc w:val="both"/>
        <w:rPr>
          <w:rFonts w:asciiTheme="minorHAnsi" w:hAnsiTheme="minorHAnsi" w:cstheme="minorHAnsi"/>
          <w:b/>
          <w:bCs/>
        </w:rPr>
      </w:pPr>
    </w:p>
    <w:p w:rsidR="00E44AC0" w:rsidRPr="006C7A10" w:rsidRDefault="00E44AC0" w:rsidP="00E44AC0">
      <w:pPr>
        <w:ind w:firstLine="0"/>
        <w:jc w:val="center"/>
        <w:rPr>
          <w:rFonts w:asciiTheme="minorHAnsi" w:hAnsiTheme="minorHAnsi" w:cstheme="minorHAnsi"/>
          <w:b/>
          <w:bCs/>
        </w:rPr>
      </w:pPr>
      <w:r w:rsidRPr="006C7A10">
        <w:rPr>
          <w:rFonts w:asciiTheme="minorHAnsi" w:hAnsiTheme="minorHAnsi" w:cstheme="minorHAnsi"/>
          <w:b/>
          <w:bCs/>
          <w:noProof/>
          <w:lang w:val="en-GB" w:eastAsia="zh-CN"/>
        </w:rPr>
        <w:lastRenderedPageBreak/>
        <w:drawing>
          <wp:inline distT="0" distB="0" distL="0" distR="0" wp14:anchorId="29A496E0" wp14:editId="2A3CD669">
            <wp:extent cx="5319486" cy="21358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34177" cy="2141709"/>
                    </a:xfrm>
                    <a:prstGeom prst="rect">
                      <a:avLst/>
                    </a:prstGeom>
                  </pic:spPr>
                </pic:pic>
              </a:graphicData>
            </a:graphic>
          </wp:inline>
        </w:drawing>
      </w:r>
    </w:p>
    <w:p w:rsidR="00B522E0" w:rsidRPr="006C7A10" w:rsidRDefault="00B522E0" w:rsidP="00B522E0">
      <w:pPr>
        <w:ind w:firstLine="0"/>
        <w:jc w:val="both"/>
        <w:rPr>
          <w:rFonts w:asciiTheme="minorHAnsi" w:hAnsiTheme="minorHAnsi" w:cstheme="minorHAnsi"/>
          <w:b/>
          <w:bCs/>
        </w:rPr>
      </w:pPr>
      <w:r w:rsidRPr="006C7A10">
        <w:rPr>
          <w:rFonts w:asciiTheme="minorHAnsi" w:hAnsiTheme="minorHAnsi" w:cstheme="minorHAnsi"/>
          <w:b/>
          <w:bCs/>
        </w:rPr>
        <w:t xml:space="preserve">Figure A.6. Annual government benefits per hectare (USD/ha) under low landscape connectivity scenario in IIWC (left) and in BKG (right). </w:t>
      </w:r>
    </w:p>
    <w:p w:rsidR="00150525" w:rsidRPr="006C7A10" w:rsidRDefault="00150525" w:rsidP="00B522E0">
      <w:pPr>
        <w:ind w:firstLine="0"/>
        <w:jc w:val="both"/>
        <w:rPr>
          <w:rFonts w:asciiTheme="minorHAnsi" w:hAnsiTheme="minorHAnsi" w:cstheme="minorHAnsi"/>
          <w:b/>
          <w:bCs/>
        </w:rPr>
      </w:pPr>
    </w:p>
    <w:p w:rsidR="00B522E0" w:rsidRPr="006C7A10" w:rsidRDefault="00E44AC0" w:rsidP="00E44AC0">
      <w:pPr>
        <w:ind w:firstLine="0"/>
        <w:jc w:val="center"/>
        <w:rPr>
          <w:rFonts w:asciiTheme="minorHAnsi" w:hAnsiTheme="minorHAnsi" w:cstheme="minorHAnsi"/>
        </w:rPr>
      </w:pPr>
      <w:r w:rsidRPr="006C7A10">
        <w:rPr>
          <w:rFonts w:asciiTheme="minorHAnsi" w:hAnsiTheme="minorHAnsi" w:cstheme="minorHAnsi"/>
          <w:noProof/>
          <w:lang w:val="en-GB" w:eastAsia="zh-CN"/>
        </w:rPr>
        <w:drawing>
          <wp:inline distT="0" distB="0" distL="0" distR="0" wp14:anchorId="7AFA351C" wp14:editId="6BD47180">
            <wp:extent cx="5281612" cy="21931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2346" cy="2214230"/>
                    </a:xfrm>
                    <a:prstGeom prst="rect">
                      <a:avLst/>
                    </a:prstGeom>
                  </pic:spPr>
                </pic:pic>
              </a:graphicData>
            </a:graphic>
          </wp:inline>
        </w:drawing>
      </w:r>
    </w:p>
    <w:p w:rsidR="00B522E0" w:rsidRPr="006C7A10" w:rsidRDefault="00B522E0" w:rsidP="00B522E0">
      <w:pPr>
        <w:ind w:firstLine="0"/>
        <w:jc w:val="both"/>
        <w:rPr>
          <w:rFonts w:asciiTheme="minorHAnsi" w:hAnsiTheme="minorHAnsi" w:cstheme="minorHAnsi"/>
          <w:b/>
          <w:bCs/>
        </w:rPr>
      </w:pPr>
      <w:r w:rsidRPr="006C7A10">
        <w:rPr>
          <w:rFonts w:asciiTheme="minorHAnsi" w:hAnsiTheme="minorHAnsi" w:cstheme="minorHAnsi"/>
          <w:b/>
          <w:bCs/>
        </w:rPr>
        <w:t xml:space="preserve">Figure A.7. Annual total government benefits (USD/landscape) under low landscape connectivity scenario in IIWC (left) and in BKG (right). </w:t>
      </w:r>
    </w:p>
    <w:p w:rsidR="008356B4" w:rsidRPr="006C7A10" w:rsidRDefault="008356B4" w:rsidP="00150525">
      <w:pPr>
        <w:pStyle w:val="Heading1"/>
        <w:numPr>
          <w:ilvl w:val="1"/>
          <w:numId w:val="5"/>
        </w:numPr>
        <w:spacing w:before="240" w:after="240"/>
        <w:ind w:left="426" w:hanging="426"/>
        <w:jc w:val="both"/>
        <w:rPr>
          <w:rFonts w:asciiTheme="minorHAnsi" w:hAnsiTheme="minorHAnsi" w:cstheme="minorHAnsi"/>
          <w:i/>
          <w:iCs/>
          <w:color w:val="auto"/>
          <w:sz w:val="24"/>
          <w:szCs w:val="24"/>
          <w:lang w:eastAsia="de-DE"/>
        </w:rPr>
      </w:pPr>
      <w:bookmarkStart w:id="5" w:name="_Toc184591097"/>
      <w:bookmarkStart w:id="6" w:name="_Toc188527375"/>
      <w:r w:rsidRPr="006C7A10">
        <w:rPr>
          <w:rFonts w:asciiTheme="minorHAnsi" w:hAnsiTheme="minorHAnsi" w:cstheme="minorHAnsi"/>
          <w:i/>
          <w:iCs/>
          <w:color w:val="auto"/>
          <w:sz w:val="24"/>
          <w:szCs w:val="24"/>
          <w:lang w:eastAsia="de-DE"/>
        </w:rPr>
        <w:t>Sensitivity analysis</w:t>
      </w:r>
      <w:bookmarkEnd w:id="5"/>
      <w:bookmarkEnd w:id="6"/>
      <w:r w:rsidRPr="006C7A10">
        <w:rPr>
          <w:rFonts w:asciiTheme="minorHAnsi" w:hAnsiTheme="minorHAnsi" w:cstheme="minorHAnsi"/>
          <w:i/>
          <w:iCs/>
          <w:color w:val="auto"/>
          <w:sz w:val="24"/>
          <w:szCs w:val="24"/>
          <w:lang w:eastAsia="de-DE"/>
        </w:rPr>
        <w:t xml:space="preserve"> </w:t>
      </w:r>
    </w:p>
    <w:p w:rsidR="008356B4" w:rsidRPr="006C7A10" w:rsidRDefault="008356B4" w:rsidP="00150525">
      <w:pPr>
        <w:pStyle w:val="Heading1"/>
        <w:numPr>
          <w:ilvl w:val="2"/>
          <w:numId w:val="5"/>
        </w:numPr>
        <w:spacing w:before="240" w:after="240"/>
        <w:ind w:left="709"/>
        <w:jc w:val="both"/>
        <w:rPr>
          <w:rFonts w:asciiTheme="minorHAnsi" w:hAnsiTheme="minorHAnsi" w:cstheme="minorHAnsi"/>
          <w:i/>
          <w:iCs/>
          <w:color w:val="auto"/>
          <w:sz w:val="24"/>
          <w:szCs w:val="24"/>
          <w:lang w:eastAsia="de-DE"/>
        </w:rPr>
      </w:pPr>
      <w:bookmarkStart w:id="7" w:name="_Toc184591098"/>
      <w:bookmarkStart w:id="8" w:name="_Toc188527376"/>
      <w:r w:rsidRPr="006C7A10">
        <w:rPr>
          <w:rFonts w:asciiTheme="minorHAnsi" w:hAnsiTheme="minorHAnsi" w:cstheme="minorHAnsi"/>
          <w:i/>
          <w:iCs/>
          <w:color w:val="auto"/>
          <w:sz w:val="24"/>
          <w:szCs w:val="24"/>
          <w:lang w:eastAsia="de-DE"/>
        </w:rPr>
        <w:t>Estimation of variable importance in projection</w:t>
      </w:r>
      <w:bookmarkEnd w:id="7"/>
      <w:bookmarkEnd w:id="8"/>
      <w:r w:rsidRPr="006C7A10">
        <w:rPr>
          <w:rFonts w:asciiTheme="minorHAnsi" w:hAnsiTheme="minorHAnsi" w:cstheme="minorHAnsi"/>
          <w:i/>
          <w:iCs/>
          <w:color w:val="auto"/>
          <w:sz w:val="24"/>
          <w:szCs w:val="24"/>
          <w:lang w:eastAsia="de-DE"/>
        </w:rPr>
        <w:t xml:space="preserve"> </w:t>
      </w:r>
    </w:p>
    <w:p w:rsidR="008356B4" w:rsidRPr="006C7A10" w:rsidRDefault="008356B4" w:rsidP="008356B4">
      <w:pPr>
        <w:suppressAutoHyphens/>
        <w:autoSpaceDN w:val="0"/>
        <w:spacing w:before="240" w:after="240"/>
        <w:ind w:firstLine="0"/>
        <w:jc w:val="both"/>
        <w:textAlignment w:val="baseline"/>
        <w:rPr>
          <w:rFonts w:asciiTheme="minorHAnsi" w:eastAsiaTheme="minorHAnsi" w:hAnsiTheme="minorHAnsi" w:cstheme="minorHAnsi"/>
          <w:kern w:val="2"/>
          <w14:ligatures w14:val="standardContextual"/>
        </w:rPr>
      </w:pPr>
      <w:r w:rsidRPr="006C7A10">
        <w:rPr>
          <w:rFonts w:asciiTheme="minorHAnsi" w:eastAsiaTheme="minorHAnsi" w:hAnsiTheme="minorHAnsi" w:cstheme="minorHAnsi"/>
          <w:kern w:val="2"/>
          <w14:ligatures w14:val="standardContextual"/>
        </w:rPr>
        <w:t xml:space="preserve">Our sensitivity analysis, conducted using PLS regression, yielded VIP scores that ranged from 0 to 7.2 (Table </w:t>
      </w:r>
      <w:r w:rsidR="00B11A63" w:rsidRPr="006C7A10">
        <w:rPr>
          <w:rFonts w:asciiTheme="minorHAnsi" w:eastAsiaTheme="minorHAnsi" w:hAnsiTheme="minorHAnsi" w:cstheme="minorHAnsi"/>
          <w:kern w:val="2"/>
          <w14:ligatures w14:val="standardContextual"/>
        </w:rPr>
        <w:t>A.</w:t>
      </w:r>
      <w:r w:rsidRPr="006C7A10">
        <w:rPr>
          <w:rFonts w:asciiTheme="minorHAnsi" w:eastAsiaTheme="minorHAnsi" w:hAnsiTheme="minorHAnsi" w:cstheme="minorHAnsi"/>
          <w:kern w:val="2"/>
          <w14:ligatures w14:val="standardContextual"/>
        </w:rPr>
        <w:t>1). As in</w:t>
      </w:r>
      <w:r w:rsidRPr="006C7A10">
        <w:rPr>
          <w:rFonts w:asciiTheme="minorHAnsi" w:eastAsiaTheme="minorEastAsia" w:hAnsiTheme="minorHAnsi" w:cstheme="minorHAnsi"/>
          <w:kern w:val="2"/>
          <w:lang w:eastAsia="zh-CN" w:bidi="hi-IN"/>
          <w14:ligatures w14:val="standardContextual"/>
        </w:rPr>
        <w:t xml:space="preserve"> </w:t>
      </w:r>
      <w:proofErr w:type="spellStart"/>
      <w:r w:rsidRPr="006C7A10">
        <w:rPr>
          <w:rFonts w:asciiTheme="minorHAnsi" w:eastAsiaTheme="minorEastAsia" w:hAnsiTheme="minorHAnsi" w:cstheme="minorHAnsi"/>
          <w:kern w:val="2"/>
          <w:lang w:eastAsia="zh-CN" w:bidi="hi-IN"/>
          <w14:ligatures w14:val="standardContextual"/>
        </w:rPr>
        <w:t>Cocchi</w:t>
      </w:r>
      <w:proofErr w:type="spellEnd"/>
      <w:r w:rsidRPr="006C7A10">
        <w:rPr>
          <w:rFonts w:asciiTheme="minorHAnsi" w:eastAsiaTheme="minorEastAsia" w:hAnsiTheme="minorHAnsi" w:cstheme="minorHAnsi"/>
          <w:kern w:val="2"/>
          <w:lang w:eastAsia="zh-CN" w:bidi="hi-IN"/>
          <w14:ligatures w14:val="standardContextual"/>
        </w:rPr>
        <w:t xml:space="preserve"> et al. (2018)</w:t>
      </w:r>
      <w:r w:rsidRPr="006C7A10">
        <w:rPr>
          <w:rFonts w:asciiTheme="minorHAnsi" w:eastAsiaTheme="minorHAnsi" w:hAnsiTheme="minorHAnsi" w:cstheme="minorHAnsi"/>
          <w:kern w:val="2"/>
          <w14:ligatures w14:val="standardContextual"/>
        </w:rPr>
        <w:t xml:space="preserve">, we chose a VIP threshold value of 1 to determine which variables substantially affected the NPV outcomes for households (Models 1 to 4) and the governments per hectare (Models 5 to 8) and landscape (Models 9 to 12). </w:t>
      </w:r>
    </w:p>
    <w:p w:rsidR="008356B4" w:rsidRPr="006C7A10" w:rsidRDefault="008356B4" w:rsidP="008356B4">
      <w:pPr>
        <w:suppressAutoHyphens/>
        <w:autoSpaceDN w:val="0"/>
        <w:spacing w:before="240" w:after="140"/>
        <w:ind w:firstLine="0"/>
        <w:jc w:val="both"/>
        <w:textAlignment w:val="baseline"/>
        <w:rPr>
          <w:rFonts w:asciiTheme="minorHAnsi" w:eastAsiaTheme="minorHAnsi" w:hAnsiTheme="minorHAnsi" w:cstheme="minorHAnsi"/>
          <w:kern w:val="2"/>
          <w14:ligatures w14:val="standardContextual"/>
        </w:rPr>
      </w:pPr>
      <w:r w:rsidRPr="006C7A10">
        <w:rPr>
          <w:rFonts w:asciiTheme="minorHAnsi" w:eastAsiaTheme="minorHAnsi" w:hAnsiTheme="minorHAnsi" w:cstheme="minorHAnsi"/>
          <w:kern w:val="2"/>
          <w14:ligatures w14:val="standardContextual"/>
        </w:rPr>
        <w:t>We found that proportion of conserved land with medium and high connectivity were linked to lower household NPVs</w:t>
      </w:r>
      <w:r w:rsidRPr="006C7A10">
        <w:rPr>
          <w:rFonts w:asciiTheme="minorHAnsi" w:eastAsiaTheme="minorHAnsi" w:hAnsiTheme="minorHAnsi" w:cstheme="minorHAnsi"/>
          <w:kern w:val="2"/>
        </w:rPr>
        <w:t xml:space="preserve">, </w:t>
      </w:r>
      <w:r w:rsidRPr="006C7A10">
        <w:rPr>
          <w:rFonts w:asciiTheme="minorHAnsi" w:eastAsiaTheme="minorHAnsi" w:hAnsiTheme="minorHAnsi" w:cstheme="minorHAnsi"/>
          <w:kern w:val="2"/>
          <w14:ligatures w14:val="standardContextual"/>
        </w:rPr>
        <w:t xml:space="preserve">while the proportion of landscape with low connectivity and </w:t>
      </w:r>
      <w:r w:rsidRPr="006C7A10">
        <w:rPr>
          <w:rFonts w:asciiTheme="minorHAnsi" w:eastAsiaTheme="minorHAnsi" w:hAnsiTheme="minorHAnsi" w:cstheme="minorHAnsi"/>
          <w:kern w:val="2"/>
          <w14:ligatures w14:val="standardContextual"/>
        </w:rPr>
        <w:lastRenderedPageBreak/>
        <w:t xml:space="preserve">discount rates consistently showed a positive correlation with NPV (Models 1 to 4). In IIWC (Models 1 and 2), net benefits of crop farming per hectare and their rate of change over time were consistently negatively correlated with household NPV (Models 1 and 2).    </w:t>
      </w:r>
    </w:p>
    <w:p w:rsidR="008356B4" w:rsidRPr="006C7A10" w:rsidRDefault="008356B4" w:rsidP="008356B4">
      <w:pPr>
        <w:suppressAutoHyphens/>
        <w:autoSpaceDN w:val="0"/>
        <w:spacing w:before="240" w:after="140"/>
        <w:ind w:firstLine="0"/>
        <w:jc w:val="both"/>
        <w:textAlignment w:val="baseline"/>
        <w:rPr>
          <w:rFonts w:asciiTheme="minorHAnsi" w:eastAsiaTheme="minorHAnsi" w:hAnsiTheme="minorHAnsi" w:cstheme="minorHAnsi"/>
          <w:kern w:val="2"/>
          <w14:ligatures w14:val="standardContextual"/>
        </w:rPr>
      </w:pPr>
      <w:r w:rsidRPr="006C7A10">
        <w:rPr>
          <w:rFonts w:asciiTheme="minorHAnsi" w:eastAsiaTheme="minorHAnsi" w:hAnsiTheme="minorHAnsi" w:cstheme="minorHAnsi"/>
          <w:kern w:val="2"/>
          <w14:ligatures w14:val="standardContextual"/>
        </w:rPr>
        <w:t xml:space="preserve">The government NPV per hectare was substantially influenced by 16 factors with large variations between the two ecological corridors. For both corridors, we found that similar to household NPVs, discount rates and the proportion of landscape with low connectivity were positively correlated to government NPV (Models 5 to 8). The amount of stem carbon accumulated per hectare per year (ton/ha/year) for conserved farmland showed mixed effects on NPV. Under the high connectivity scenario, it was negatively correlated with NPV in IIWC, but positively correlated in BKG (Models 5 and 7). In BKG, stem carbon accumulation reduced NPV under medium connectivity but increased it under low connectivity (Models 7 and 8). Additional variables that significantly influenced the NPV at IIWC included the price of carbon per ton, the annual rate of change of wildlife poaching, tourism income losses due to global market risks, HWC control costs, wildlife loss from droughts, and the government consolation expenses. In BKG monitoring costs and the number of households in the ecological corridor significantly influenced the NPV. </w:t>
      </w:r>
    </w:p>
    <w:p w:rsidR="008356B4" w:rsidRPr="006C7A10" w:rsidRDefault="008356B4" w:rsidP="008356B4">
      <w:pPr>
        <w:suppressAutoHyphens/>
        <w:autoSpaceDN w:val="0"/>
        <w:spacing w:before="240" w:after="240"/>
        <w:ind w:firstLine="0"/>
        <w:jc w:val="both"/>
        <w:textAlignment w:val="baseline"/>
        <w:rPr>
          <w:rFonts w:asciiTheme="minorHAnsi" w:eastAsiaTheme="minorHAnsi" w:hAnsiTheme="minorHAnsi" w:cstheme="minorHAnsi"/>
          <w:kern w:val="2"/>
          <w14:ligatures w14:val="standardContextual"/>
        </w:rPr>
      </w:pPr>
      <w:r w:rsidRPr="006C7A10">
        <w:rPr>
          <w:rFonts w:asciiTheme="minorHAnsi" w:eastAsiaTheme="minorHAnsi" w:hAnsiTheme="minorHAnsi" w:cstheme="minorHAnsi"/>
          <w:kern w:val="2"/>
          <w14:ligatures w14:val="standardContextual"/>
        </w:rPr>
        <w:t xml:space="preserve">At landscape level, NPV for the government were consistently negatively correlated with low connectivity and discount rates (Models 5 to 8). Medium and high connectivity was positively associated to the NPV (Models 6 and 8). Additionally, carbon-related variables, including baseline stem carbon, annual accumulation of stem carbon stock, and the price of carbon per ton, were linked to a positive change in NPV (Models 9 to 12). </w:t>
      </w:r>
    </w:p>
    <w:p w:rsidR="00E46E46" w:rsidRPr="006C7A10" w:rsidRDefault="00E46E46" w:rsidP="008356B4">
      <w:pPr>
        <w:suppressAutoHyphens/>
        <w:autoSpaceDN w:val="0"/>
        <w:spacing w:before="240" w:after="240"/>
        <w:ind w:firstLine="0"/>
        <w:jc w:val="both"/>
        <w:textAlignment w:val="baseline"/>
        <w:rPr>
          <w:rFonts w:asciiTheme="minorHAnsi" w:eastAsiaTheme="minorHAnsi" w:hAnsiTheme="minorHAnsi" w:cstheme="minorHAnsi"/>
          <w:kern w:val="2"/>
          <w14:ligatures w14:val="standardContextual"/>
        </w:rPr>
      </w:pPr>
    </w:p>
    <w:p w:rsidR="00E46E46" w:rsidRPr="006C7A10" w:rsidRDefault="00E46E46" w:rsidP="008356B4">
      <w:pPr>
        <w:suppressAutoHyphens/>
        <w:autoSpaceDN w:val="0"/>
        <w:spacing w:before="240" w:after="240"/>
        <w:ind w:firstLine="0"/>
        <w:jc w:val="both"/>
        <w:textAlignment w:val="baseline"/>
        <w:rPr>
          <w:rFonts w:asciiTheme="minorHAnsi" w:eastAsiaTheme="minorHAnsi" w:hAnsiTheme="minorHAnsi" w:cstheme="minorHAnsi"/>
          <w:kern w:val="2"/>
          <w14:ligatures w14:val="standardContextual"/>
        </w:rPr>
      </w:pPr>
    </w:p>
    <w:p w:rsidR="00E46E46" w:rsidRPr="006C7A10" w:rsidRDefault="00E46E46" w:rsidP="008356B4">
      <w:pPr>
        <w:suppressAutoHyphens/>
        <w:autoSpaceDN w:val="0"/>
        <w:spacing w:before="240" w:after="240"/>
        <w:ind w:firstLine="0"/>
        <w:jc w:val="both"/>
        <w:textAlignment w:val="baseline"/>
        <w:rPr>
          <w:rFonts w:asciiTheme="minorHAnsi" w:eastAsiaTheme="minorHAnsi" w:hAnsiTheme="minorHAnsi" w:cstheme="minorHAnsi"/>
          <w:kern w:val="2"/>
          <w14:ligatures w14:val="standardContextual"/>
        </w:rPr>
      </w:pPr>
    </w:p>
    <w:p w:rsidR="00E46E46" w:rsidRPr="006C7A10" w:rsidRDefault="00E46E46" w:rsidP="008356B4">
      <w:pPr>
        <w:suppressAutoHyphens/>
        <w:autoSpaceDN w:val="0"/>
        <w:spacing w:before="240" w:after="240"/>
        <w:ind w:firstLine="0"/>
        <w:jc w:val="both"/>
        <w:textAlignment w:val="baseline"/>
        <w:rPr>
          <w:rFonts w:asciiTheme="minorHAnsi" w:eastAsiaTheme="minorHAnsi" w:hAnsiTheme="minorHAnsi" w:cstheme="minorHAnsi"/>
          <w:kern w:val="2"/>
          <w14:ligatures w14:val="standardContextual"/>
        </w:rPr>
      </w:pPr>
    </w:p>
    <w:p w:rsidR="00E46E46" w:rsidRPr="006C7A10" w:rsidRDefault="00E46E46" w:rsidP="008356B4">
      <w:pPr>
        <w:suppressAutoHyphens/>
        <w:autoSpaceDN w:val="0"/>
        <w:spacing w:before="240" w:after="240"/>
        <w:ind w:firstLine="0"/>
        <w:jc w:val="both"/>
        <w:textAlignment w:val="baseline"/>
        <w:rPr>
          <w:rFonts w:asciiTheme="minorHAnsi" w:eastAsiaTheme="minorHAnsi" w:hAnsiTheme="minorHAnsi" w:cstheme="minorHAnsi"/>
          <w:kern w:val="2"/>
          <w14:ligatures w14:val="standardContextual"/>
        </w:rPr>
      </w:pPr>
    </w:p>
    <w:p w:rsidR="00E46E46" w:rsidRPr="006C7A10" w:rsidRDefault="00E46E46" w:rsidP="008356B4">
      <w:pPr>
        <w:suppressAutoHyphens/>
        <w:autoSpaceDN w:val="0"/>
        <w:spacing w:before="240" w:after="240"/>
        <w:ind w:firstLine="0"/>
        <w:jc w:val="both"/>
        <w:textAlignment w:val="baseline"/>
        <w:rPr>
          <w:rFonts w:asciiTheme="minorHAnsi" w:eastAsiaTheme="minorHAnsi" w:hAnsiTheme="minorHAnsi" w:cstheme="minorHAnsi"/>
          <w:kern w:val="2"/>
          <w14:ligatures w14:val="standardContextual"/>
        </w:rPr>
        <w:sectPr w:rsidR="00E46E46" w:rsidRPr="006C7A10" w:rsidSect="00E44AC0">
          <w:footerReference w:type="default" r:id="rId14"/>
          <w:pgSz w:w="11906" w:h="16838"/>
          <w:pgMar w:top="1440" w:right="1440" w:bottom="1440" w:left="1440" w:header="708" w:footer="708" w:gutter="0"/>
          <w:lnNumType w:countBy="1"/>
          <w:cols w:space="708"/>
          <w:docGrid w:linePitch="360"/>
        </w:sectPr>
      </w:pPr>
    </w:p>
    <w:p w:rsidR="00E46E46" w:rsidRPr="006C7A10" w:rsidRDefault="00E46E46" w:rsidP="00E46E46">
      <w:pPr>
        <w:pStyle w:val="Caption"/>
      </w:pPr>
      <w:bookmarkStart w:id="9" w:name="_Toc188528187"/>
      <w:r w:rsidRPr="006C7A10">
        <w:lastRenderedPageBreak/>
        <w:t>Table.</w:t>
      </w:r>
      <w:r w:rsidR="00B11A63" w:rsidRPr="006C7A10">
        <w:t xml:space="preserve"> A.</w:t>
      </w:r>
      <w:r w:rsidRPr="006C7A10">
        <w:fldChar w:fldCharType="begin"/>
      </w:r>
      <w:r w:rsidRPr="006C7A10">
        <w:instrText xml:space="preserve"> SEQ Table_2. \* ARABIC </w:instrText>
      </w:r>
      <w:r w:rsidRPr="006C7A10">
        <w:fldChar w:fldCharType="separate"/>
      </w:r>
      <w:r w:rsidRPr="006C7A10">
        <w:t>1</w:t>
      </w:r>
      <w:r w:rsidRPr="006C7A10">
        <w:fldChar w:fldCharType="end"/>
      </w:r>
      <w:r w:rsidRPr="006C7A10">
        <w:t>. Partial Least Square results showing the Variable Importance in Projection (VIP) for the variables to which the model was most sensitive in IIWC and BKG. The dependent variables are NPV differences for higher and lower connectivity (HC - LC) and medium and lower connectivity (MC - LC) for the respective corridors. Models 1 to 4 present the VIP variables for the NPV estimated per household. Model 5 to 8 represent the VIP variables for government NPV estimated per hectare. Models 9 to 12 presents the VIP variables for the NPV estimated for the government at the landscape level.</w:t>
      </w:r>
      <w:bookmarkEnd w:id="9"/>
      <w:r w:rsidRPr="006C7A10">
        <w:t xml:space="preserve">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0"/>
        <w:gridCol w:w="4124"/>
        <w:gridCol w:w="509"/>
        <w:gridCol w:w="547"/>
        <w:gridCol w:w="508"/>
        <w:gridCol w:w="547"/>
        <w:gridCol w:w="222"/>
        <w:gridCol w:w="521"/>
        <w:gridCol w:w="559"/>
        <w:gridCol w:w="517"/>
        <w:gridCol w:w="555"/>
        <w:gridCol w:w="222"/>
        <w:gridCol w:w="508"/>
        <w:gridCol w:w="547"/>
        <w:gridCol w:w="525"/>
        <w:gridCol w:w="547"/>
      </w:tblGrid>
      <w:tr w:rsidR="006C7A10" w:rsidRPr="006C7A10" w:rsidTr="00E46E46">
        <w:trPr>
          <w:tblHeader/>
          <w:jc w:val="center"/>
        </w:trPr>
        <w:tc>
          <w:tcPr>
            <w:tcW w:w="0" w:type="auto"/>
            <w:vMerge w:val="restart"/>
            <w:tcBorders>
              <w:top w:val="single" w:sz="4" w:space="0" w:color="auto"/>
              <w:bottom w:val="nil"/>
            </w:tcBorders>
            <w:shd w:val="clear" w:color="auto" w:fill="D9D9D9" w:themeFill="background1" w:themeFillShade="D9"/>
          </w:tcPr>
          <w:p w:rsidR="00E46E46" w:rsidRPr="006C7A10" w:rsidRDefault="00E46E46" w:rsidP="00E46E46">
            <w:pPr>
              <w:pStyle w:val="NormalWeb"/>
              <w:spacing w:before="0" w:beforeAutospacing="0" w:after="0" w:afterAutospacing="0"/>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Variables</w:t>
            </w:r>
          </w:p>
        </w:tc>
        <w:tc>
          <w:tcPr>
            <w:tcW w:w="0" w:type="auto"/>
            <w:vMerge w:val="restart"/>
            <w:tcBorders>
              <w:top w:val="single" w:sz="4" w:space="0" w:color="auto"/>
              <w:bottom w:val="nil"/>
            </w:tcBorders>
            <w:shd w:val="clear" w:color="auto" w:fill="D9D9D9" w:themeFill="background1" w:themeFillShade="D9"/>
          </w:tcPr>
          <w:p w:rsidR="00E46E46" w:rsidRPr="006C7A10" w:rsidRDefault="00E46E46" w:rsidP="00E46E46">
            <w:pPr>
              <w:pStyle w:val="NormalWeb"/>
              <w:spacing w:before="0" w:beforeAutospacing="0" w:after="0" w:afterAutospacing="0"/>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 xml:space="preserve"> Description of the variables</w:t>
            </w:r>
          </w:p>
        </w:tc>
        <w:tc>
          <w:tcPr>
            <w:tcW w:w="0" w:type="auto"/>
            <w:gridSpan w:val="14"/>
            <w:tcBorders>
              <w:top w:val="single" w:sz="4" w:space="0" w:color="auto"/>
              <w:bottom w:val="single" w:sz="4" w:space="0" w:color="auto"/>
            </w:tcBorders>
            <w:shd w:val="clear" w:color="auto" w:fill="D9D9D9" w:themeFill="background1" w:themeFillShade="D9"/>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VIP-Scores</w:t>
            </w:r>
          </w:p>
        </w:tc>
      </w:tr>
      <w:tr w:rsidR="006C7A10" w:rsidRPr="006C7A10" w:rsidTr="00E46E46">
        <w:trPr>
          <w:tblHeader/>
          <w:jc w:val="center"/>
        </w:trPr>
        <w:tc>
          <w:tcPr>
            <w:tcW w:w="0" w:type="auto"/>
            <w:vMerge/>
            <w:tcBorders>
              <w:top w:val="nil"/>
              <w:bottom w:val="nil"/>
            </w:tcBorders>
            <w:shd w:val="clear" w:color="auto" w:fill="D9D9D9" w:themeFill="background1" w:themeFillShade="D9"/>
          </w:tcPr>
          <w:p w:rsidR="00E46E46" w:rsidRPr="006C7A10" w:rsidRDefault="00E46E46" w:rsidP="00E46E46">
            <w:pPr>
              <w:pStyle w:val="NormalWeb"/>
              <w:spacing w:before="0" w:beforeAutospacing="0" w:after="0" w:afterAutospacing="0"/>
              <w:jc w:val="both"/>
              <w:rPr>
                <w:rFonts w:asciiTheme="minorHAnsi" w:hAnsiTheme="minorHAnsi" w:cstheme="minorHAnsi"/>
                <w:b/>
                <w:bCs/>
                <w:sz w:val="16"/>
                <w:szCs w:val="16"/>
                <w:lang w:val="en-US"/>
              </w:rPr>
            </w:pPr>
          </w:p>
        </w:tc>
        <w:tc>
          <w:tcPr>
            <w:tcW w:w="0" w:type="auto"/>
            <w:vMerge/>
            <w:tcBorders>
              <w:top w:val="nil"/>
              <w:bottom w:val="nil"/>
            </w:tcBorders>
            <w:shd w:val="clear" w:color="auto" w:fill="D9D9D9" w:themeFill="background1" w:themeFillShade="D9"/>
          </w:tcPr>
          <w:p w:rsidR="00E46E46" w:rsidRPr="006C7A10" w:rsidRDefault="00E46E46" w:rsidP="00E46E46">
            <w:pPr>
              <w:pStyle w:val="NormalWeb"/>
              <w:spacing w:before="0" w:beforeAutospacing="0" w:after="0" w:afterAutospacing="0"/>
              <w:jc w:val="both"/>
              <w:rPr>
                <w:rFonts w:asciiTheme="minorHAnsi" w:hAnsiTheme="minorHAnsi" w:cstheme="minorHAnsi"/>
                <w:b/>
                <w:bCs/>
                <w:sz w:val="16"/>
                <w:szCs w:val="16"/>
                <w:lang w:val="en-US"/>
              </w:rPr>
            </w:pPr>
          </w:p>
        </w:tc>
        <w:tc>
          <w:tcPr>
            <w:tcW w:w="0" w:type="auto"/>
            <w:gridSpan w:val="4"/>
            <w:tcBorders>
              <w:top w:val="single" w:sz="4" w:space="0" w:color="auto"/>
              <w:bottom w:val="single" w:sz="4" w:space="0" w:color="auto"/>
            </w:tcBorders>
            <w:shd w:val="clear" w:color="auto" w:fill="D9D9D9" w:themeFill="background1" w:themeFillShade="D9"/>
            <w:vAlign w:val="bottom"/>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Household</w:t>
            </w:r>
          </w:p>
        </w:tc>
        <w:tc>
          <w:tcPr>
            <w:tcW w:w="0" w:type="auto"/>
            <w:tcBorders>
              <w:top w:val="single" w:sz="4" w:space="0" w:color="auto"/>
              <w:bottom w:val="single" w:sz="4" w:space="0" w:color="auto"/>
            </w:tcBorders>
            <w:shd w:val="clear" w:color="auto" w:fill="D9D9D9" w:themeFill="background1" w:themeFillShade="D9"/>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p>
        </w:tc>
        <w:tc>
          <w:tcPr>
            <w:tcW w:w="0" w:type="auto"/>
            <w:gridSpan w:val="4"/>
            <w:tcBorders>
              <w:top w:val="single" w:sz="4" w:space="0" w:color="auto"/>
              <w:bottom w:val="single" w:sz="4" w:space="0" w:color="auto"/>
            </w:tcBorders>
            <w:shd w:val="clear" w:color="auto" w:fill="D9D9D9" w:themeFill="background1" w:themeFillShade="D9"/>
            <w:vAlign w:val="bottom"/>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proofErr w:type="spellStart"/>
            <w:r w:rsidRPr="006C7A10">
              <w:rPr>
                <w:rFonts w:asciiTheme="minorHAnsi" w:hAnsiTheme="minorHAnsi" w:cstheme="minorHAnsi"/>
                <w:b/>
                <w:bCs/>
                <w:sz w:val="16"/>
                <w:szCs w:val="16"/>
                <w:lang w:val="en-US"/>
              </w:rPr>
              <w:t>Government_per_hectare</w:t>
            </w:r>
            <w:proofErr w:type="spellEnd"/>
          </w:p>
        </w:tc>
        <w:tc>
          <w:tcPr>
            <w:tcW w:w="0" w:type="auto"/>
            <w:tcBorders>
              <w:top w:val="single" w:sz="4" w:space="0" w:color="auto"/>
              <w:bottom w:val="single" w:sz="4" w:space="0" w:color="auto"/>
            </w:tcBorders>
            <w:shd w:val="clear" w:color="auto" w:fill="D9D9D9" w:themeFill="background1" w:themeFillShade="D9"/>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p>
        </w:tc>
        <w:tc>
          <w:tcPr>
            <w:tcW w:w="0" w:type="auto"/>
            <w:gridSpan w:val="4"/>
            <w:tcBorders>
              <w:top w:val="single" w:sz="4" w:space="0" w:color="auto"/>
              <w:bottom w:val="single" w:sz="4" w:space="0" w:color="auto"/>
            </w:tcBorders>
            <w:shd w:val="clear" w:color="auto" w:fill="D9D9D9" w:themeFill="background1" w:themeFillShade="D9"/>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proofErr w:type="spellStart"/>
            <w:r w:rsidRPr="006C7A10">
              <w:rPr>
                <w:rFonts w:asciiTheme="minorHAnsi" w:hAnsiTheme="minorHAnsi" w:cstheme="minorHAnsi"/>
                <w:b/>
                <w:bCs/>
                <w:sz w:val="16"/>
                <w:szCs w:val="16"/>
                <w:lang w:val="en-US"/>
              </w:rPr>
              <w:t>Government_landscape</w:t>
            </w:r>
            <w:proofErr w:type="spellEnd"/>
          </w:p>
        </w:tc>
      </w:tr>
      <w:tr w:rsidR="006C7A10" w:rsidRPr="006C7A10" w:rsidTr="00E46E46">
        <w:trPr>
          <w:tblHeader/>
          <w:jc w:val="center"/>
        </w:trPr>
        <w:tc>
          <w:tcPr>
            <w:tcW w:w="0" w:type="auto"/>
            <w:vMerge/>
            <w:tcBorders>
              <w:top w:val="nil"/>
              <w:bottom w:val="nil"/>
            </w:tcBorders>
            <w:shd w:val="clear" w:color="auto" w:fill="D9D9D9" w:themeFill="background1" w:themeFillShade="D9"/>
          </w:tcPr>
          <w:p w:rsidR="00E46E46" w:rsidRPr="006C7A10" w:rsidRDefault="00E46E46" w:rsidP="00E46E46">
            <w:pPr>
              <w:pStyle w:val="NormalWeb"/>
              <w:spacing w:before="0" w:beforeAutospacing="0" w:after="0" w:afterAutospacing="0"/>
              <w:jc w:val="both"/>
              <w:rPr>
                <w:rFonts w:asciiTheme="minorHAnsi" w:hAnsiTheme="minorHAnsi" w:cstheme="minorHAnsi"/>
                <w:b/>
                <w:bCs/>
                <w:sz w:val="16"/>
                <w:szCs w:val="16"/>
                <w:lang w:val="en-US"/>
              </w:rPr>
            </w:pPr>
          </w:p>
        </w:tc>
        <w:tc>
          <w:tcPr>
            <w:tcW w:w="0" w:type="auto"/>
            <w:vMerge/>
            <w:tcBorders>
              <w:top w:val="nil"/>
              <w:bottom w:val="nil"/>
            </w:tcBorders>
            <w:shd w:val="clear" w:color="auto" w:fill="D9D9D9" w:themeFill="background1" w:themeFillShade="D9"/>
          </w:tcPr>
          <w:p w:rsidR="00E46E46" w:rsidRPr="006C7A10" w:rsidRDefault="00E46E46" w:rsidP="00E46E46">
            <w:pPr>
              <w:pStyle w:val="NormalWeb"/>
              <w:spacing w:before="0" w:beforeAutospacing="0" w:after="0" w:afterAutospacing="0"/>
              <w:jc w:val="both"/>
              <w:rPr>
                <w:rFonts w:asciiTheme="minorHAnsi" w:hAnsiTheme="minorHAnsi" w:cstheme="minorHAnsi"/>
                <w:b/>
                <w:bCs/>
                <w:sz w:val="16"/>
                <w:szCs w:val="16"/>
                <w:lang w:val="en-US"/>
              </w:rPr>
            </w:pPr>
          </w:p>
        </w:tc>
        <w:tc>
          <w:tcPr>
            <w:tcW w:w="0" w:type="auto"/>
            <w:gridSpan w:val="2"/>
            <w:tcBorders>
              <w:top w:val="single" w:sz="4" w:space="0" w:color="auto"/>
              <w:bottom w:val="single" w:sz="4" w:space="0" w:color="auto"/>
            </w:tcBorders>
            <w:shd w:val="clear" w:color="auto" w:fill="D9D9D9" w:themeFill="background1" w:themeFillShade="D9"/>
            <w:vAlign w:val="bottom"/>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IIWC</w:t>
            </w:r>
          </w:p>
        </w:tc>
        <w:tc>
          <w:tcPr>
            <w:tcW w:w="0" w:type="auto"/>
            <w:gridSpan w:val="2"/>
            <w:tcBorders>
              <w:top w:val="single" w:sz="4" w:space="0" w:color="auto"/>
              <w:bottom w:val="single" w:sz="4" w:space="0" w:color="auto"/>
            </w:tcBorders>
            <w:shd w:val="clear" w:color="auto" w:fill="D9D9D9" w:themeFill="background1" w:themeFillShade="D9"/>
            <w:vAlign w:val="bottom"/>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BKG</w:t>
            </w:r>
          </w:p>
        </w:tc>
        <w:tc>
          <w:tcPr>
            <w:tcW w:w="0" w:type="auto"/>
            <w:tcBorders>
              <w:top w:val="single" w:sz="4" w:space="0" w:color="auto"/>
              <w:bottom w:val="single" w:sz="4" w:space="0" w:color="auto"/>
            </w:tcBorders>
            <w:shd w:val="clear" w:color="auto" w:fill="D9D9D9" w:themeFill="background1" w:themeFillShade="D9"/>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p>
        </w:tc>
        <w:tc>
          <w:tcPr>
            <w:tcW w:w="0" w:type="auto"/>
            <w:gridSpan w:val="2"/>
            <w:tcBorders>
              <w:top w:val="single" w:sz="4" w:space="0" w:color="auto"/>
              <w:bottom w:val="single" w:sz="4" w:space="0" w:color="auto"/>
            </w:tcBorders>
            <w:shd w:val="clear" w:color="auto" w:fill="D9D9D9" w:themeFill="background1" w:themeFillShade="D9"/>
            <w:vAlign w:val="bottom"/>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IIWC</w:t>
            </w:r>
          </w:p>
        </w:tc>
        <w:tc>
          <w:tcPr>
            <w:tcW w:w="0" w:type="auto"/>
            <w:gridSpan w:val="2"/>
            <w:tcBorders>
              <w:top w:val="single" w:sz="4" w:space="0" w:color="auto"/>
              <w:bottom w:val="single" w:sz="4" w:space="0" w:color="auto"/>
            </w:tcBorders>
            <w:shd w:val="clear" w:color="auto" w:fill="D9D9D9" w:themeFill="background1" w:themeFillShade="D9"/>
            <w:vAlign w:val="bottom"/>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BKG</w:t>
            </w:r>
          </w:p>
        </w:tc>
        <w:tc>
          <w:tcPr>
            <w:tcW w:w="0" w:type="auto"/>
            <w:tcBorders>
              <w:top w:val="single" w:sz="4" w:space="0" w:color="auto"/>
              <w:bottom w:val="single" w:sz="4" w:space="0" w:color="auto"/>
            </w:tcBorders>
            <w:shd w:val="clear" w:color="auto" w:fill="D9D9D9" w:themeFill="background1" w:themeFillShade="D9"/>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p>
        </w:tc>
        <w:tc>
          <w:tcPr>
            <w:tcW w:w="0" w:type="auto"/>
            <w:gridSpan w:val="2"/>
            <w:tcBorders>
              <w:top w:val="single" w:sz="4" w:space="0" w:color="auto"/>
              <w:bottom w:val="single" w:sz="4" w:space="0" w:color="auto"/>
            </w:tcBorders>
            <w:shd w:val="clear" w:color="auto" w:fill="D9D9D9" w:themeFill="background1" w:themeFillShade="D9"/>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IIWC</w:t>
            </w:r>
          </w:p>
        </w:tc>
        <w:tc>
          <w:tcPr>
            <w:tcW w:w="0" w:type="auto"/>
            <w:gridSpan w:val="2"/>
            <w:tcBorders>
              <w:top w:val="single" w:sz="4" w:space="0" w:color="auto"/>
              <w:bottom w:val="single" w:sz="4" w:space="0" w:color="auto"/>
            </w:tcBorders>
            <w:shd w:val="clear" w:color="auto" w:fill="D9D9D9" w:themeFill="background1" w:themeFillShade="D9"/>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BKG</w:t>
            </w:r>
          </w:p>
        </w:tc>
      </w:tr>
      <w:tr w:rsidR="006C7A10" w:rsidRPr="006C7A10" w:rsidTr="00E46E46">
        <w:trPr>
          <w:tblHeader/>
          <w:jc w:val="center"/>
        </w:trPr>
        <w:tc>
          <w:tcPr>
            <w:tcW w:w="0" w:type="auto"/>
            <w:vMerge/>
            <w:tcBorders>
              <w:top w:val="nil"/>
              <w:bottom w:val="nil"/>
            </w:tcBorders>
            <w:shd w:val="clear" w:color="auto" w:fill="D9D9D9" w:themeFill="background1" w:themeFillShade="D9"/>
          </w:tcPr>
          <w:p w:rsidR="00E46E46" w:rsidRPr="006C7A10" w:rsidRDefault="00E46E46" w:rsidP="00E46E46">
            <w:pPr>
              <w:pStyle w:val="NormalWeb"/>
              <w:spacing w:before="0" w:beforeAutospacing="0" w:after="0" w:afterAutospacing="0"/>
              <w:jc w:val="both"/>
              <w:rPr>
                <w:rFonts w:asciiTheme="minorHAnsi" w:hAnsiTheme="minorHAnsi" w:cstheme="minorHAnsi"/>
                <w:b/>
                <w:bCs/>
                <w:sz w:val="16"/>
                <w:szCs w:val="16"/>
                <w:lang w:val="en-US"/>
              </w:rPr>
            </w:pPr>
          </w:p>
        </w:tc>
        <w:tc>
          <w:tcPr>
            <w:tcW w:w="0" w:type="auto"/>
            <w:vMerge/>
            <w:tcBorders>
              <w:top w:val="nil"/>
              <w:bottom w:val="nil"/>
            </w:tcBorders>
            <w:shd w:val="clear" w:color="auto" w:fill="D9D9D9" w:themeFill="background1" w:themeFillShade="D9"/>
          </w:tcPr>
          <w:p w:rsidR="00E46E46" w:rsidRPr="006C7A10" w:rsidRDefault="00E46E46" w:rsidP="00E46E46">
            <w:pPr>
              <w:pStyle w:val="NormalWeb"/>
              <w:spacing w:before="0" w:beforeAutospacing="0" w:after="0" w:afterAutospacing="0"/>
              <w:jc w:val="both"/>
              <w:rPr>
                <w:rFonts w:asciiTheme="minorHAnsi" w:hAnsiTheme="minorHAnsi" w:cstheme="minorHAnsi"/>
                <w:b/>
                <w:bCs/>
                <w:sz w:val="16"/>
                <w:szCs w:val="16"/>
                <w:lang w:val="en-US"/>
              </w:rPr>
            </w:pPr>
          </w:p>
        </w:tc>
        <w:tc>
          <w:tcPr>
            <w:tcW w:w="0" w:type="auto"/>
            <w:tcBorders>
              <w:top w:val="single" w:sz="4" w:space="0" w:color="auto"/>
              <w:bottom w:val="single" w:sz="4" w:space="0" w:color="auto"/>
            </w:tcBorders>
            <w:shd w:val="clear" w:color="auto" w:fill="D9D9D9" w:themeFill="background1" w:themeFillShade="D9"/>
            <w:vAlign w:val="bottom"/>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HC-LC</w:t>
            </w:r>
          </w:p>
        </w:tc>
        <w:tc>
          <w:tcPr>
            <w:tcW w:w="0" w:type="auto"/>
            <w:tcBorders>
              <w:top w:val="single" w:sz="4" w:space="0" w:color="auto"/>
              <w:bottom w:val="single" w:sz="4" w:space="0" w:color="auto"/>
            </w:tcBorders>
            <w:shd w:val="clear" w:color="auto" w:fill="D9D9D9" w:themeFill="background1" w:themeFillShade="D9"/>
            <w:vAlign w:val="bottom"/>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MC-LC</w:t>
            </w:r>
          </w:p>
        </w:tc>
        <w:tc>
          <w:tcPr>
            <w:tcW w:w="0" w:type="auto"/>
            <w:tcBorders>
              <w:top w:val="single" w:sz="4" w:space="0" w:color="auto"/>
              <w:bottom w:val="single" w:sz="4" w:space="0" w:color="auto"/>
            </w:tcBorders>
            <w:shd w:val="clear" w:color="auto" w:fill="D9D9D9" w:themeFill="background1" w:themeFillShade="D9"/>
            <w:vAlign w:val="bottom"/>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HC-LC</w:t>
            </w:r>
          </w:p>
        </w:tc>
        <w:tc>
          <w:tcPr>
            <w:tcW w:w="0" w:type="auto"/>
            <w:tcBorders>
              <w:top w:val="single" w:sz="4" w:space="0" w:color="auto"/>
              <w:bottom w:val="single" w:sz="4" w:space="0" w:color="auto"/>
            </w:tcBorders>
            <w:shd w:val="clear" w:color="auto" w:fill="D9D9D9" w:themeFill="background1" w:themeFillShade="D9"/>
            <w:vAlign w:val="bottom"/>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MC-LC</w:t>
            </w:r>
          </w:p>
        </w:tc>
        <w:tc>
          <w:tcPr>
            <w:tcW w:w="0" w:type="auto"/>
            <w:tcBorders>
              <w:top w:val="single" w:sz="4" w:space="0" w:color="auto"/>
              <w:bottom w:val="single" w:sz="4" w:space="0" w:color="auto"/>
            </w:tcBorders>
            <w:shd w:val="clear" w:color="auto" w:fill="D9D9D9" w:themeFill="background1" w:themeFillShade="D9"/>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p>
        </w:tc>
        <w:tc>
          <w:tcPr>
            <w:tcW w:w="0" w:type="auto"/>
            <w:tcBorders>
              <w:top w:val="single" w:sz="4" w:space="0" w:color="auto"/>
              <w:bottom w:val="single" w:sz="4" w:space="0" w:color="auto"/>
            </w:tcBorders>
            <w:shd w:val="clear" w:color="auto" w:fill="D9D9D9" w:themeFill="background1" w:themeFillShade="D9"/>
            <w:vAlign w:val="bottom"/>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HC-LC</w:t>
            </w:r>
          </w:p>
        </w:tc>
        <w:tc>
          <w:tcPr>
            <w:tcW w:w="0" w:type="auto"/>
            <w:tcBorders>
              <w:top w:val="single" w:sz="4" w:space="0" w:color="auto"/>
              <w:bottom w:val="single" w:sz="4" w:space="0" w:color="auto"/>
            </w:tcBorders>
            <w:shd w:val="clear" w:color="auto" w:fill="D9D9D9" w:themeFill="background1" w:themeFillShade="D9"/>
            <w:vAlign w:val="bottom"/>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MC-LC</w:t>
            </w:r>
          </w:p>
        </w:tc>
        <w:tc>
          <w:tcPr>
            <w:tcW w:w="0" w:type="auto"/>
            <w:tcBorders>
              <w:top w:val="single" w:sz="4" w:space="0" w:color="auto"/>
              <w:bottom w:val="single" w:sz="4" w:space="0" w:color="auto"/>
            </w:tcBorders>
            <w:shd w:val="clear" w:color="auto" w:fill="D9D9D9" w:themeFill="background1" w:themeFillShade="D9"/>
            <w:vAlign w:val="bottom"/>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HC-LC</w:t>
            </w:r>
          </w:p>
        </w:tc>
        <w:tc>
          <w:tcPr>
            <w:tcW w:w="0" w:type="auto"/>
            <w:tcBorders>
              <w:top w:val="single" w:sz="4" w:space="0" w:color="auto"/>
              <w:bottom w:val="single" w:sz="4" w:space="0" w:color="auto"/>
            </w:tcBorders>
            <w:shd w:val="clear" w:color="auto" w:fill="D9D9D9" w:themeFill="background1" w:themeFillShade="D9"/>
            <w:vAlign w:val="bottom"/>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MC-LC</w:t>
            </w:r>
          </w:p>
        </w:tc>
        <w:tc>
          <w:tcPr>
            <w:tcW w:w="0" w:type="auto"/>
            <w:tcBorders>
              <w:top w:val="single" w:sz="4" w:space="0" w:color="auto"/>
              <w:bottom w:val="single" w:sz="4" w:space="0" w:color="auto"/>
            </w:tcBorders>
            <w:shd w:val="clear" w:color="auto" w:fill="D9D9D9" w:themeFill="background1" w:themeFillShade="D9"/>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p>
        </w:tc>
        <w:tc>
          <w:tcPr>
            <w:tcW w:w="0" w:type="auto"/>
            <w:tcBorders>
              <w:top w:val="single" w:sz="4" w:space="0" w:color="auto"/>
              <w:bottom w:val="single" w:sz="4" w:space="0" w:color="auto"/>
            </w:tcBorders>
            <w:shd w:val="clear" w:color="auto" w:fill="D9D9D9" w:themeFill="background1" w:themeFillShade="D9"/>
            <w:vAlign w:val="bottom"/>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HC-LC</w:t>
            </w:r>
          </w:p>
        </w:tc>
        <w:tc>
          <w:tcPr>
            <w:tcW w:w="0" w:type="auto"/>
            <w:tcBorders>
              <w:top w:val="single" w:sz="4" w:space="0" w:color="auto"/>
              <w:bottom w:val="single" w:sz="4" w:space="0" w:color="auto"/>
            </w:tcBorders>
            <w:shd w:val="clear" w:color="auto" w:fill="D9D9D9" w:themeFill="background1" w:themeFillShade="D9"/>
            <w:vAlign w:val="bottom"/>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MC-LC</w:t>
            </w:r>
          </w:p>
        </w:tc>
        <w:tc>
          <w:tcPr>
            <w:tcW w:w="0" w:type="auto"/>
            <w:tcBorders>
              <w:top w:val="single" w:sz="4" w:space="0" w:color="auto"/>
              <w:bottom w:val="single" w:sz="4" w:space="0" w:color="auto"/>
            </w:tcBorders>
            <w:shd w:val="clear" w:color="auto" w:fill="D9D9D9" w:themeFill="background1" w:themeFillShade="D9"/>
            <w:vAlign w:val="bottom"/>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HC-LC</w:t>
            </w:r>
          </w:p>
        </w:tc>
        <w:tc>
          <w:tcPr>
            <w:tcW w:w="0" w:type="auto"/>
            <w:tcBorders>
              <w:top w:val="single" w:sz="4" w:space="0" w:color="auto"/>
              <w:bottom w:val="single" w:sz="4" w:space="0" w:color="auto"/>
            </w:tcBorders>
            <w:shd w:val="clear" w:color="auto" w:fill="D9D9D9" w:themeFill="background1" w:themeFillShade="D9"/>
            <w:vAlign w:val="bottom"/>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MC-LC</w:t>
            </w:r>
          </w:p>
        </w:tc>
      </w:tr>
      <w:tr w:rsidR="006C7A10" w:rsidRPr="006C7A10" w:rsidTr="00E46E46">
        <w:trPr>
          <w:tblHeader/>
          <w:jc w:val="center"/>
        </w:trPr>
        <w:tc>
          <w:tcPr>
            <w:tcW w:w="0" w:type="auto"/>
            <w:vMerge/>
            <w:tcBorders>
              <w:top w:val="nil"/>
              <w:bottom w:val="single" w:sz="4" w:space="0" w:color="auto"/>
            </w:tcBorders>
            <w:shd w:val="clear" w:color="auto" w:fill="D9D9D9" w:themeFill="background1" w:themeFillShade="D9"/>
          </w:tcPr>
          <w:p w:rsidR="00E46E46" w:rsidRPr="006C7A10" w:rsidRDefault="00E46E46" w:rsidP="00E46E46">
            <w:pPr>
              <w:pStyle w:val="NormalWeb"/>
              <w:spacing w:before="0" w:beforeAutospacing="0" w:after="0" w:afterAutospacing="0"/>
              <w:jc w:val="both"/>
              <w:rPr>
                <w:rFonts w:asciiTheme="minorHAnsi" w:hAnsiTheme="minorHAnsi" w:cstheme="minorHAnsi"/>
                <w:b/>
                <w:bCs/>
                <w:sz w:val="16"/>
                <w:szCs w:val="16"/>
                <w:lang w:val="en-US"/>
              </w:rPr>
            </w:pPr>
          </w:p>
        </w:tc>
        <w:tc>
          <w:tcPr>
            <w:tcW w:w="0" w:type="auto"/>
            <w:vMerge/>
            <w:tcBorders>
              <w:top w:val="nil"/>
              <w:bottom w:val="single" w:sz="4" w:space="0" w:color="auto"/>
            </w:tcBorders>
            <w:shd w:val="clear" w:color="auto" w:fill="D9D9D9" w:themeFill="background1" w:themeFillShade="D9"/>
          </w:tcPr>
          <w:p w:rsidR="00E46E46" w:rsidRPr="006C7A10" w:rsidRDefault="00E46E46" w:rsidP="00E46E46">
            <w:pPr>
              <w:pStyle w:val="NormalWeb"/>
              <w:spacing w:before="0" w:beforeAutospacing="0" w:after="0" w:afterAutospacing="0"/>
              <w:jc w:val="both"/>
              <w:rPr>
                <w:rFonts w:asciiTheme="minorHAnsi" w:hAnsiTheme="minorHAnsi" w:cstheme="minorHAnsi"/>
                <w:b/>
                <w:bCs/>
                <w:sz w:val="16"/>
                <w:szCs w:val="16"/>
                <w:lang w:val="en-US"/>
              </w:rPr>
            </w:pPr>
          </w:p>
        </w:tc>
        <w:tc>
          <w:tcPr>
            <w:tcW w:w="0" w:type="auto"/>
            <w:tcBorders>
              <w:top w:val="single" w:sz="4" w:space="0" w:color="auto"/>
              <w:bottom w:val="single" w:sz="4" w:space="0" w:color="auto"/>
            </w:tcBorders>
            <w:shd w:val="clear" w:color="auto" w:fill="D9D9D9" w:themeFill="background1" w:themeFillShade="D9"/>
            <w:vAlign w:val="bottom"/>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(1)</w:t>
            </w:r>
          </w:p>
        </w:tc>
        <w:tc>
          <w:tcPr>
            <w:tcW w:w="0" w:type="auto"/>
            <w:tcBorders>
              <w:top w:val="single" w:sz="4" w:space="0" w:color="auto"/>
              <w:bottom w:val="single" w:sz="4" w:space="0" w:color="auto"/>
            </w:tcBorders>
            <w:shd w:val="clear" w:color="auto" w:fill="D9D9D9" w:themeFill="background1" w:themeFillShade="D9"/>
            <w:vAlign w:val="bottom"/>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(2)</w:t>
            </w:r>
          </w:p>
        </w:tc>
        <w:tc>
          <w:tcPr>
            <w:tcW w:w="0" w:type="auto"/>
            <w:tcBorders>
              <w:top w:val="single" w:sz="4" w:space="0" w:color="auto"/>
              <w:bottom w:val="single" w:sz="4" w:space="0" w:color="auto"/>
            </w:tcBorders>
            <w:shd w:val="clear" w:color="auto" w:fill="D9D9D9" w:themeFill="background1" w:themeFillShade="D9"/>
            <w:vAlign w:val="bottom"/>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(3)</w:t>
            </w:r>
          </w:p>
        </w:tc>
        <w:tc>
          <w:tcPr>
            <w:tcW w:w="0" w:type="auto"/>
            <w:tcBorders>
              <w:top w:val="single" w:sz="4" w:space="0" w:color="auto"/>
              <w:bottom w:val="single" w:sz="4" w:space="0" w:color="auto"/>
            </w:tcBorders>
            <w:shd w:val="clear" w:color="auto" w:fill="D9D9D9" w:themeFill="background1" w:themeFillShade="D9"/>
            <w:vAlign w:val="bottom"/>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(4)</w:t>
            </w:r>
          </w:p>
        </w:tc>
        <w:tc>
          <w:tcPr>
            <w:tcW w:w="0" w:type="auto"/>
            <w:tcBorders>
              <w:top w:val="single" w:sz="4" w:space="0" w:color="auto"/>
              <w:bottom w:val="single" w:sz="4" w:space="0" w:color="auto"/>
            </w:tcBorders>
            <w:shd w:val="clear" w:color="auto" w:fill="D9D9D9" w:themeFill="background1" w:themeFillShade="D9"/>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p>
        </w:tc>
        <w:tc>
          <w:tcPr>
            <w:tcW w:w="0" w:type="auto"/>
            <w:tcBorders>
              <w:top w:val="single" w:sz="4" w:space="0" w:color="auto"/>
              <w:bottom w:val="single" w:sz="4" w:space="0" w:color="auto"/>
            </w:tcBorders>
            <w:shd w:val="clear" w:color="auto" w:fill="D9D9D9" w:themeFill="background1" w:themeFillShade="D9"/>
            <w:vAlign w:val="bottom"/>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(5)</w:t>
            </w:r>
          </w:p>
        </w:tc>
        <w:tc>
          <w:tcPr>
            <w:tcW w:w="0" w:type="auto"/>
            <w:tcBorders>
              <w:top w:val="single" w:sz="4" w:space="0" w:color="auto"/>
              <w:bottom w:val="single" w:sz="4" w:space="0" w:color="auto"/>
            </w:tcBorders>
            <w:shd w:val="clear" w:color="auto" w:fill="D9D9D9" w:themeFill="background1" w:themeFillShade="D9"/>
            <w:vAlign w:val="bottom"/>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(6)</w:t>
            </w:r>
          </w:p>
        </w:tc>
        <w:tc>
          <w:tcPr>
            <w:tcW w:w="0" w:type="auto"/>
            <w:tcBorders>
              <w:top w:val="single" w:sz="4" w:space="0" w:color="auto"/>
              <w:bottom w:val="single" w:sz="4" w:space="0" w:color="auto"/>
            </w:tcBorders>
            <w:shd w:val="clear" w:color="auto" w:fill="D9D9D9" w:themeFill="background1" w:themeFillShade="D9"/>
            <w:vAlign w:val="bottom"/>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(7)</w:t>
            </w:r>
          </w:p>
        </w:tc>
        <w:tc>
          <w:tcPr>
            <w:tcW w:w="0" w:type="auto"/>
            <w:tcBorders>
              <w:top w:val="single" w:sz="4" w:space="0" w:color="auto"/>
              <w:bottom w:val="single" w:sz="4" w:space="0" w:color="auto"/>
            </w:tcBorders>
            <w:shd w:val="clear" w:color="auto" w:fill="D9D9D9" w:themeFill="background1" w:themeFillShade="D9"/>
            <w:vAlign w:val="bottom"/>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(8)</w:t>
            </w:r>
          </w:p>
        </w:tc>
        <w:tc>
          <w:tcPr>
            <w:tcW w:w="0" w:type="auto"/>
            <w:tcBorders>
              <w:top w:val="single" w:sz="4" w:space="0" w:color="auto"/>
              <w:bottom w:val="single" w:sz="4" w:space="0" w:color="auto"/>
            </w:tcBorders>
            <w:shd w:val="clear" w:color="auto" w:fill="D9D9D9" w:themeFill="background1" w:themeFillShade="D9"/>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p>
        </w:tc>
        <w:tc>
          <w:tcPr>
            <w:tcW w:w="0" w:type="auto"/>
            <w:tcBorders>
              <w:top w:val="single" w:sz="4" w:space="0" w:color="auto"/>
              <w:bottom w:val="single" w:sz="4" w:space="0" w:color="auto"/>
            </w:tcBorders>
            <w:shd w:val="clear" w:color="auto" w:fill="D9D9D9" w:themeFill="background1" w:themeFillShade="D9"/>
            <w:vAlign w:val="bottom"/>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(9)</w:t>
            </w:r>
          </w:p>
        </w:tc>
        <w:tc>
          <w:tcPr>
            <w:tcW w:w="0" w:type="auto"/>
            <w:tcBorders>
              <w:top w:val="single" w:sz="4" w:space="0" w:color="auto"/>
              <w:bottom w:val="single" w:sz="4" w:space="0" w:color="auto"/>
            </w:tcBorders>
            <w:shd w:val="clear" w:color="auto" w:fill="D9D9D9" w:themeFill="background1" w:themeFillShade="D9"/>
            <w:vAlign w:val="bottom"/>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(10)</w:t>
            </w:r>
          </w:p>
        </w:tc>
        <w:tc>
          <w:tcPr>
            <w:tcW w:w="0" w:type="auto"/>
            <w:tcBorders>
              <w:top w:val="single" w:sz="4" w:space="0" w:color="auto"/>
              <w:bottom w:val="single" w:sz="4" w:space="0" w:color="auto"/>
            </w:tcBorders>
            <w:shd w:val="clear" w:color="auto" w:fill="D9D9D9" w:themeFill="background1" w:themeFillShade="D9"/>
            <w:vAlign w:val="bottom"/>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(11)</w:t>
            </w:r>
          </w:p>
        </w:tc>
        <w:tc>
          <w:tcPr>
            <w:tcW w:w="0" w:type="auto"/>
            <w:tcBorders>
              <w:top w:val="single" w:sz="4" w:space="0" w:color="auto"/>
              <w:bottom w:val="single" w:sz="4" w:space="0" w:color="auto"/>
            </w:tcBorders>
            <w:shd w:val="clear" w:color="auto" w:fill="D9D9D9" w:themeFill="background1" w:themeFillShade="D9"/>
            <w:vAlign w:val="bottom"/>
          </w:tcPr>
          <w:p w:rsidR="00E46E46" w:rsidRPr="006C7A10" w:rsidRDefault="00E46E46" w:rsidP="00E46E46">
            <w:pPr>
              <w:pStyle w:val="NormalWeb"/>
              <w:spacing w:before="0" w:beforeAutospacing="0" w:after="0" w:after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(12)</w:t>
            </w:r>
          </w:p>
        </w:tc>
      </w:tr>
      <w:tr w:rsidR="006C7A10" w:rsidRPr="006C7A10" w:rsidTr="00E46E46">
        <w:trPr>
          <w:jc w:val="center"/>
        </w:trPr>
        <w:tc>
          <w:tcPr>
            <w:tcW w:w="0" w:type="auto"/>
            <w:tcBorders>
              <w:top w:val="single" w:sz="4" w:space="0" w:color="auto"/>
            </w:tcBorders>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Net_benefits_crop_farm</w:t>
            </w:r>
            <w:proofErr w:type="spellEnd"/>
          </w:p>
        </w:tc>
        <w:tc>
          <w:tcPr>
            <w:tcW w:w="0" w:type="auto"/>
            <w:tcBorders>
              <w:top w:val="single" w:sz="4" w:space="0" w:color="auto"/>
            </w:tcBorders>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Net benefits of crop farming per hectare per year (USD/ha/year)</w:t>
            </w:r>
          </w:p>
        </w:tc>
        <w:tc>
          <w:tcPr>
            <w:tcW w:w="0" w:type="auto"/>
            <w:tcBorders>
              <w:top w:val="single" w:sz="4" w:space="0" w:color="auto"/>
            </w:tcBorders>
            <w:shd w:val="clear" w:color="auto" w:fill="auto"/>
            <w:vAlign w:val="center"/>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- 6.9</w:t>
            </w:r>
          </w:p>
        </w:tc>
        <w:tc>
          <w:tcPr>
            <w:tcW w:w="0" w:type="auto"/>
            <w:tcBorders>
              <w:top w:val="single" w:sz="4" w:space="0" w:color="auto"/>
            </w:tcBorders>
            <w:shd w:val="clear" w:color="auto" w:fill="auto"/>
            <w:vAlign w:val="center"/>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- 6.1</w:t>
            </w:r>
          </w:p>
        </w:tc>
        <w:tc>
          <w:tcPr>
            <w:tcW w:w="0" w:type="auto"/>
            <w:tcBorders>
              <w:top w:val="single" w:sz="4" w:space="0" w:color="auto"/>
            </w:tcBorders>
            <w:vAlign w:val="center"/>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Borders>
              <w:top w:val="single" w:sz="4" w:space="0" w:color="auto"/>
            </w:tcBorders>
            <w:vAlign w:val="center"/>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Borders>
              <w:top w:val="single" w:sz="4" w:space="0" w:color="auto"/>
            </w:tcBorders>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Borders>
              <w:top w:val="single" w:sz="4" w:space="0" w:color="auto"/>
            </w:tcBorders>
            <w:shd w:val="clear" w:color="auto" w:fill="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Borders>
              <w:top w:val="single" w:sz="4" w:space="0" w:color="auto"/>
            </w:tcBorders>
            <w:shd w:val="clear" w:color="auto" w:fill="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Borders>
              <w:top w:val="single" w:sz="4" w:space="0" w:color="auto"/>
            </w:tcBorders>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Borders>
              <w:top w:val="single" w:sz="4" w:space="0" w:color="auto"/>
            </w:tcBorders>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Borders>
              <w:top w:val="single" w:sz="4" w:space="0" w:color="auto"/>
            </w:tcBorders>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Borders>
              <w:top w:val="single" w:sz="4" w:space="0" w:color="auto"/>
            </w:tcBorders>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Borders>
              <w:top w:val="single" w:sz="4" w:space="0" w:color="auto"/>
            </w:tcBorders>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Borders>
              <w:top w:val="single" w:sz="4" w:space="0" w:color="auto"/>
            </w:tcBorders>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Borders>
              <w:top w:val="single" w:sz="4" w:space="0" w:color="auto"/>
            </w:tcBorders>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r>
      <w:tr w:rsidR="006C7A10" w:rsidRPr="006C7A10" w:rsidTr="00E46E46">
        <w:trPr>
          <w:jc w:val="center"/>
        </w:trPr>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Change_net_benefits_farm</w:t>
            </w:r>
            <w:proofErr w:type="spellEnd"/>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Change in net benefits of crop farming per hectare per year (%)</w:t>
            </w:r>
          </w:p>
        </w:tc>
        <w:tc>
          <w:tcPr>
            <w:tcW w:w="0" w:type="auto"/>
            <w:shd w:val="clear" w:color="auto" w:fill="auto"/>
            <w:vAlign w:val="center"/>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- 3.1</w:t>
            </w:r>
          </w:p>
        </w:tc>
        <w:tc>
          <w:tcPr>
            <w:tcW w:w="0" w:type="auto"/>
            <w:shd w:val="clear" w:color="auto" w:fill="auto"/>
            <w:vAlign w:val="center"/>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- 2.8</w:t>
            </w:r>
          </w:p>
        </w:tc>
        <w:tc>
          <w:tcPr>
            <w:tcW w:w="0" w:type="auto"/>
            <w:vAlign w:val="center"/>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vAlign w:val="center"/>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shd w:val="clear" w:color="auto" w:fill="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shd w:val="clear" w:color="auto" w:fill="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r>
      <w:tr w:rsidR="006C7A10" w:rsidRPr="006C7A10" w:rsidTr="00E46E46">
        <w:trPr>
          <w:jc w:val="center"/>
        </w:trPr>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Discount_rate</w:t>
            </w:r>
            <w:proofErr w:type="spellEnd"/>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Discount rate (%)</w:t>
            </w:r>
          </w:p>
        </w:tc>
        <w:tc>
          <w:tcPr>
            <w:tcW w:w="0" w:type="auto"/>
            <w:shd w:val="clear" w:color="auto" w:fill="auto"/>
            <w:vAlign w:val="center"/>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4.5</w:t>
            </w:r>
          </w:p>
        </w:tc>
        <w:tc>
          <w:tcPr>
            <w:tcW w:w="0" w:type="auto"/>
            <w:shd w:val="clear" w:color="auto" w:fill="auto"/>
            <w:vAlign w:val="center"/>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4.5</w:t>
            </w:r>
          </w:p>
        </w:tc>
        <w:tc>
          <w:tcPr>
            <w:tcW w:w="0" w:type="auto"/>
            <w:vAlign w:val="center"/>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7.2</w:t>
            </w:r>
          </w:p>
        </w:tc>
        <w:tc>
          <w:tcPr>
            <w:tcW w:w="0" w:type="auto"/>
            <w:vAlign w:val="center"/>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5.9</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shd w:val="clear" w:color="auto" w:fill="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1.8</w:t>
            </w:r>
          </w:p>
        </w:tc>
        <w:tc>
          <w:tcPr>
            <w:tcW w:w="0" w:type="auto"/>
            <w:shd w:val="clear" w:color="auto" w:fill="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1.8</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1.8</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- 6.1</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- 4.7</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- 5.3</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xml:space="preserve">- 4.4 </w:t>
            </w:r>
          </w:p>
        </w:tc>
      </w:tr>
      <w:tr w:rsidR="006C7A10" w:rsidRPr="006C7A10" w:rsidTr="00E46E46">
        <w:trPr>
          <w:jc w:val="center"/>
        </w:trPr>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Low_connectivity</w:t>
            </w:r>
            <w:proofErr w:type="spellEnd"/>
            <w:r w:rsidRPr="006C7A10">
              <w:rPr>
                <w:rFonts w:asciiTheme="minorHAnsi" w:hAnsiTheme="minorHAnsi" w:cstheme="minorHAnsi"/>
                <w:sz w:val="16"/>
                <w:szCs w:val="16"/>
                <w:lang w:val="en-US"/>
              </w:rPr>
              <w:t xml:space="preserve"> </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xml:space="preserve">Proportion of landscape conserved contiguously equivalent to less than 40% of the total farmlands in the corridor </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2.2</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3.1</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3.2</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4.1</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4.8</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4.8</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2.7</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2.6</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vAlign w:val="center"/>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vAlign w:val="center"/>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- 1.9</w:t>
            </w:r>
          </w:p>
        </w:tc>
        <w:tc>
          <w:tcPr>
            <w:tcW w:w="0" w:type="auto"/>
            <w:vAlign w:val="center"/>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- 1.3</w:t>
            </w:r>
          </w:p>
        </w:tc>
        <w:tc>
          <w:tcPr>
            <w:tcW w:w="0" w:type="auto"/>
            <w:vAlign w:val="center"/>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- 2.7</w:t>
            </w:r>
          </w:p>
        </w:tc>
      </w:tr>
      <w:tr w:rsidR="006C7A10" w:rsidRPr="006C7A10" w:rsidTr="00E46E46">
        <w:trPr>
          <w:jc w:val="center"/>
        </w:trPr>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Medium_connectivity</w:t>
            </w:r>
            <w:proofErr w:type="spellEnd"/>
            <w:r w:rsidRPr="006C7A10">
              <w:rPr>
                <w:rFonts w:asciiTheme="minorHAnsi" w:hAnsiTheme="minorHAnsi" w:cstheme="minorHAnsi"/>
                <w:sz w:val="16"/>
                <w:szCs w:val="16"/>
                <w:lang w:val="en-US"/>
              </w:rPr>
              <w:t xml:space="preserve"> </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Proportion of landscape conserved contiguously equivalent to more than 40% but less than 80% of the total farmlands in the corridor</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-2.9</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-3.9</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2.2</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2.1</w:t>
            </w:r>
          </w:p>
        </w:tc>
      </w:tr>
      <w:tr w:rsidR="006C7A10" w:rsidRPr="006C7A10" w:rsidTr="00E46E46">
        <w:trPr>
          <w:jc w:val="center"/>
        </w:trPr>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High_connectivity</w:t>
            </w:r>
            <w:proofErr w:type="spellEnd"/>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Proportion of landscape conserved contiguously equivalent to more than 80% of the total farmlands in the corridor</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- 1.0</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-1.2</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3.4</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3.3</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r>
      <w:tr w:rsidR="006C7A10" w:rsidRPr="006C7A10" w:rsidTr="00E46E46">
        <w:trPr>
          <w:jc w:val="center"/>
        </w:trPr>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Exchange_rate</w:t>
            </w:r>
            <w:proofErr w:type="spellEnd"/>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Exchange rate from TZS to USD</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1.2</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1.1</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1.8</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1.4</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- 1.2</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r>
      <w:tr w:rsidR="006C7A10" w:rsidRPr="006C7A10" w:rsidTr="00E46E46">
        <w:trPr>
          <w:jc w:val="center"/>
        </w:trPr>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Households_own_farm_best_path</w:t>
            </w:r>
            <w:proofErr w:type="spellEnd"/>
            <w:r w:rsidRPr="006C7A10">
              <w:rPr>
                <w:rFonts w:asciiTheme="minorHAnsi" w:hAnsiTheme="minorHAnsi" w:cstheme="minorHAnsi"/>
                <w:sz w:val="16"/>
                <w:szCs w:val="16"/>
                <w:lang w:val="en-US"/>
              </w:rPr>
              <w:t xml:space="preserve"> </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Number of households owns farmland in areas of high agro-ecological value (best path)</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3.2</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2.6</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r>
      <w:tr w:rsidR="006C7A10" w:rsidRPr="006C7A10" w:rsidTr="00E46E46">
        <w:trPr>
          <w:jc w:val="center"/>
        </w:trPr>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Stem_carbon_baseline</w:t>
            </w:r>
            <w:proofErr w:type="spellEnd"/>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Amount of stem carbon hectare (ton/ha) for a conserved farmland in year one</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1.2</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r>
      <w:tr w:rsidR="006C7A10" w:rsidRPr="006C7A10" w:rsidTr="00E46E46">
        <w:trPr>
          <w:jc w:val="center"/>
        </w:trPr>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Stem_carbon_acumultion_HC</w:t>
            </w:r>
            <w:proofErr w:type="spellEnd"/>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xml:space="preserve">Amount of stem carbon accumulated per hectare per year (ton/ha/year) for a conserved farmland under high connectivity scenario </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- 1.0</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3.3</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2.2</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3.2</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2.2</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r>
      <w:tr w:rsidR="006C7A10" w:rsidRPr="006C7A10" w:rsidTr="00E46E46">
        <w:trPr>
          <w:jc w:val="center"/>
        </w:trPr>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Stem_carbon_acumultion_MC</w:t>
            </w:r>
            <w:proofErr w:type="spellEnd"/>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Amount of stem carbon accumulated per hectare per year (ton/ha/year) for a conserved farmland under medium connectivity scenario</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- 3.0</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-2.7</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2.1</w:t>
            </w:r>
          </w:p>
        </w:tc>
      </w:tr>
      <w:tr w:rsidR="006C7A10" w:rsidRPr="006C7A10" w:rsidTr="00E46E46">
        <w:trPr>
          <w:jc w:val="center"/>
        </w:trPr>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Stem_carbon_acumultion_LC</w:t>
            </w:r>
            <w:proofErr w:type="spellEnd"/>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Amount of stem carbon accumulated per hectare per year (ton/ha/year) for a conserved farmland under low connectivity scenario</w:t>
            </w: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1.6</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3.6</w:t>
            </w: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r>
      <w:tr w:rsidR="006C7A10" w:rsidRPr="006C7A10" w:rsidTr="00E46E46">
        <w:trPr>
          <w:jc w:val="center"/>
        </w:trPr>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Price_carbon_per_ton</w:t>
            </w:r>
            <w:proofErr w:type="spellEnd"/>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Market price of carbon per ton (USD/ton)</w:t>
            </w: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- 1.7</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- 1.7</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1.8</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2.2</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2.4</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2.1</w:t>
            </w:r>
          </w:p>
        </w:tc>
      </w:tr>
      <w:tr w:rsidR="006C7A10" w:rsidRPr="006C7A10" w:rsidTr="00E46E46">
        <w:trPr>
          <w:jc w:val="center"/>
        </w:trPr>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Change_wildlife_poached_HC</w:t>
            </w:r>
            <w:proofErr w:type="spellEnd"/>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Rate (in %) of change of poaching per year per under high connectivity scenario</w:t>
            </w: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- 1.4</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- 1.4</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r>
      <w:tr w:rsidR="006C7A10" w:rsidRPr="006C7A10" w:rsidTr="00E46E46">
        <w:trPr>
          <w:jc w:val="center"/>
        </w:trPr>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lastRenderedPageBreak/>
              <w:t>Tourism_income_lost_global_market_risk</w:t>
            </w:r>
            <w:proofErr w:type="spellEnd"/>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xml:space="preserve">Income from tourism (in USD) that is lost due to global market risk. </w:t>
            </w: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xml:space="preserve"> 1.3</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xml:space="preserve"> 1.3</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r>
      <w:tr w:rsidR="006C7A10" w:rsidRPr="006C7A10" w:rsidTr="00E46E46">
        <w:trPr>
          <w:jc w:val="center"/>
        </w:trPr>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Cost_control_human_wildlife_conflict_MC</w:t>
            </w:r>
            <w:proofErr w:type="spellEnd"/>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xml:space="preserve">Costs (in USD) of controlling human wildlife conflicts per year under medium connectivity scenario </w:t>
            </w: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- 1.2</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- 1.2</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r>
      <w:tr w:rsidR="006C7A10" w:rsidRPr="006C7A10" w:rsidTr="00E46E46">
        <w:trPr>
          <w:jc w:val="center"/>
        </w:trPr>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Cost_control_human_wildlife_conflict_HC</w:t>
            </w:r>
            <w:proofErr w:type="spellEnd"/>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xml:space="preserve">Costs (in USD) of controlling human wildlife conflicts per year under high connectivity scenario </w:t>
            </w: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-1.1</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-1.1</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r>
      <w:tr w:rsidR="006C7A10" w:rsidRPr="006C7A10" w:rsidTr="00E46E46">
        <w:trPr>
          <w:jc w:val="center"/>
        </w:trPr>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Wildife_lost_drought</w:t>
            </w:r>
            <w:proofErr w:type="spellEnd"/>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Proportion of wildlife lost (in %) when drought occur</w:t>
            </w: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xml:space="preserve">  1.1</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xml:space="preserve">  1.1</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r>
      <w:tr w:rsidR="006C7A10" w:rsidRPr="006C7A10" w:rsidTr="00E46E46">
        <w:trPr>
          <w:jc w:val="center"/>
        </w:trPr>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Change_cost_consolation_HC</w:t>
            </w:r>
            <w:proofErr w:type="spellEnd"/>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xml:space="preserve">Rate (in %) of change of consolation expenses with time under high landscape connectivity scenario. </w:t>
            </w: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xml:space="preserve">  1.0</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xml:space="preserve">  1.0</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r>
      <w:tr w:rsidR="006C7A10" w:rsidRPr="006C7A10" w:rsidTr="00E46E46">
        <w:trPr>
          <w:jc w:val="center"/>
        </w:trPr>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Monitoring_costs_HC</w:t>
            </w:r>
            <w:proofErr w:type="spellEnd"/>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Monitoring costs per year (USD) under high landscape connectivity scenario</w:t>
            </w: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- 1.2</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- 1.2</w:t>
            </w: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r>
      <w:tr w:rsidR="006C7A10" w:rsidRPr="006C7A10" w:rsidTr="00E46E46">
        <w:trPr>
          <w:jc w:val="center"/>
        </w:trPr>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Monitoring_costs_MC</w:t>
            </w:r>
            <w:proofErr w:type="spellEnd"/>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Monitoring costs per year (USD) under medium landscape connectivity scenario</w:t>
            </w: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xml:space="preserve">  1.2</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xml:space="preserve">   1.1</w:t>
            </w: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r>
      <w:tr w:rsidR="006C7A10" w:rsidRPr="006C7A10" w:rsidTr="00E46E46">
        <w:trPr>
          <w:jc w:val="center"/>
        </w:trPr>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Monitoring_costs_LC</w:t>
            </w:r>
            <w:proofErr w:type="spellEnd"/>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Monitoring costs per year (USD) under low landscape connectivity scenario</w:t>
            </w: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xml:space="preserve">  1.1</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xml:space="preserve">   1.0</w:t>
            </w: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r>
      <w:tr w:rsidR="00E46E46" w:rsidRPr="006C7A10" w:rsidTr="00E46E46">
        <w:trPr>
          <w:jc w:val="center"/>
        </w:trPr>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Number_households_corridor</w:t>
            </w:r>
            <w:proofErr w:type="spellEnd"/>
            <w:r w:rsidRPr="006C7A10">
              <w:rPr>
                <w:rFonts w:asciiTheme="minorHAnsi" w:hAnsiTheme="minorHAnsi" w:cstheme="minorHAnsi"/>
                <w:sz w:val="16"/>
                <w:szCs w:val="16"/>
                <w:lang w:val="en-US"/>
              </w:rPr>
              <w:t xml:space="preserve"> </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xml:space="preserve">Number of households in the ecological corridor at year one of conservation </w:t>
            </w: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- 1.1</w:t>
            </w:r>
          </w:p>
        </w:tc>
        <w:tc>
          <w:tcPr>
            <w:tcW w:w="0" w:type="auto"/>
          </w:tcPr>
          <w:p w:rsidR="00E46E46" w:rsidRPr="006C7A10" w:rsidRDefault="00E46E46" w:rsidP="00E46E46">
            <w:pPr>
              <w:pStyle w:val="NormalWeb"/>
              <w:spacing w:before="0" w:beforeAutospacing="0" w:after="0" w:after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xml:space="preserve">  -1.1</w:t>
            </w: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c>
          <w:tcPr>
            <w:tcW w:w="0" w:type="auto"/>
          </w:tcPr>
          <w:p w:rsidR="00E46E46" w:rsidRPr="006C7A10" w:rsidRDefault="00E46E46" w:rsidP="00E46E46">
            <w:pPr>
              <w:pStyle w:val="NormalWeb"/>
              <w:spacing w:before="0" w:beforeAutospacing="0" w:after="0" w:afterAutospacing="0"/>
              <w:jc w:val="center"/>
              <w:rPr>
                <w:rFonts w:asciiTheme="minorHAnsi" w:hAnsiTheme="minorHAnsi" w:cstheme="minorHAnsi"/>
                <w:sz w:val="16"/>
                <w:szCs w:val="16"/>
                <w:lang w:val="en-US"/>
              </w:rPr>
            </w:pPr>
          </w:p>
        </w:tc>
      </w:tr>
    </w:tbl>
    <w:p w:rsidR="00E46E46" w:rsidRPr="006C7A10" w:rsidRDefault="00E46E46" w:rsidP="00E46E46">
      <w:pPr>
        <w:ind w:left="360"/>
        <w:jc w:val="both"/>
        <w:rPr>
          <w:rFonts w:asciiTheme="minorHAnsi" w:hAnsiTheme="minorHAnsi" w:cstheme="minorHAnsi"/>
          <w:b/>
          <w:bCs/>
        </w:rPr>
      </w:pPr>
    </w:p>
    <w:p w:rsidR="00E46E46" w:rsidRPr="006C7A10" w:rsidRDefault="00E46E46" w:rsidP="008356B4">
      <w:pPr>
        <w:suppressAutoHyphens/>
        <w:autoSpaceDN w:val="0"/>
        <w:spacing w:before="240" w:after="240"/>
        <w:ind w:firstLine="0"/>
        <w:jc w:val="both"/>
        <w:textAlignment w:val="baseline"/>
        <w:rPr>
          <w:rFonts w:asciiTheme="minorHAnsi" w:eastAsiaTheme="minorHAnsi" w:hAnsiTheme="minorHAnsi" w:cstheme="minorHAnsi"/>
          <w:kern w:val="2"/>
          <w14:ligatures w14:val="standardContextual"/>
        </w:rPr>
        <w:sectPr w:rsidR="00E46E46" w:rsidRPr="006C7A10" w:rsidSect="00150525">
          <w:pgSz w:w="16838" w:h="11906" w:orient="landscape"/>
          <w:pgMar w:top="1440" w:right="1440" w:bottom="1440" w:left="1440" w:header="709" w:footer="709" w:gutter="0"/>
          <w:cols w:space="708"/>
          <w:docGrid w:linePitch="360"/>
        </w:sectPr>
      </w:pPr>
    </w:p>
    <w:p w:rsidR="00E46E46" w:rsidRPr="006C7A10" w:rsidRDefault="00E46E46" w:rsidP="00150525">
      <w:pPr>
        <w:pStyle w:val="Heading1"/>
        <w:numPr>
          <w:ilvl w:val="2"/>
          <w:numId w:val="5"/>
        </w:numPr>
        <w:spacing w:before="240" w:after="240"/>
        <w:ind w:left="709"/>
        <w:jc w:val="both"/>
        <w:rPr>
          <w:rFonts w:asciiTheme="minorHAnsi" w:hAnsiTheme="minorHAnsi" w:cstheme="minorHAnsi"/>
          <w:i/>
          <w:iCs/>
          <w:color w:val="auto"/>
          <w:sz w:val="24"/>
          <w:szCs w:val="24"/>
          <w:lang w:eastAsia="de-DE"/>
        </w:rPr>
      </w:pPr>
      <w:bookmarkStart w:id="10" w:name="_Toc184591099"/>
      <w:bookmarkStart w:id="11" w:name="_Toc188527377"/>
      <w:r w:rsidRPr="006C7A10">
        <w:rPr>
          <w:rFonts w:asciiTheme="minorHAnsi" w:hAnsiTheme="minorHAnsi" w:cstheme="minorHAnsi"/>
          <w:i/>
          <w:iCs/>
          <w:color w:val="auto"/>
          <w:sz w:val="24"/>
          <w:szCs w:val="24"/>
          <w:lang w:eastAsia="de-DE"/>
        </w:rPr>
        <w:lastRenderedPageBreak/>
        <w:t>Estimation of expected value of perfect Information</w:t>
      </w:r>
      <w:bookmarkEnd w:id="10"/>
      <w:bookmarkEnd w:id="11"/>
      <w:r w:rsidRPr="006C7A10">
        <w:rPr>
          <w:rFonts w:asciiTheme="minorHAnsi" w:hAnsiTheme="minorHAnsi" w:cstheme="minorHAnsi"/>
          <w:i/>
          <w:iCs/>
          <w:color w:val="auto"/>
          <w:sz w:val="24"/>
          <w:szCs w:val="24"/>
          <w:lang w:eastAsia="de-DE"/>
        </w:rPr>
        <w:t xml:space="preserve"> </w:t>
      </w:r>
    </w:p>
    <w:p w:rsidR="00E46E46" w:rsidRPr="006C7A10" w:rsidRDefault="00E46E46" w:rsidP="00E46E46">
      <w:pPr>
        <w:pStyle w:val="Textbody"/>
        <w:spacing w:before="240" w:after="240" w:line="360" w:lineRule="auto"/>
        <w:jc w:val="both"/>
        <w:rPr>
          <w:rFonts w:asciiTheme="minorHAnsi" w:eastAsiaTheme="minorHAnsi" w:hAnsiTheme="minorHAnsi" w:cstheme="minorHAnsi"/>
          <w:kern w:val="2"/>
          <w:lang w:val="en-US" w:eastAsia="en-US" w:bidi="ar-SA"/>
        </w:rPr>
      </w:pPr>
      <w:r w:rsidRPr="006C7A10">
        <w:rPr>
          <w:rFonts w:asciiTheme="minorHAnsi" w:eastAsiaTheme="minorHAnsi" w:hAnsiTheme="minorHAnsi" w:cstheme="minorHAnsi"/>
          <w:kern w:val="2"/>
          <w:lang w:val="en-US" w:eastAsia="en-US" w:bidi="ar-SA"/>
        </w:rPr>
        <w:t>The variable “low connectivity," showed a positive EVPI for household model estimates (Model 1 to 4</w:t>
      </w:r>
      <w:r w:rsidR="00150525" w:rsidRPr="006C7A10">
        <w:rPr>
          <w:rFonts w:asciiTheme="minorHAnsi" w:eastAsiaTheme="minorHAnsi" w:hAnsiTheme="minorHAnsi" w:cstheme="minorHAnsi"/>
          <w:kern w:val="2"/>
          <w:lang w:val="en-US" w:eastAsia="en-US" w:bidi="ar-SA"/>
        </w:rPr>
        <w:t xml:space="preserve"> in Table A.2</w:t>
      </w:r>
      <w:r w:rsidRPr="006C7A10">
        <w:rPr>
          <w:rFonts w:asciiTheme="minorHAnsi" w:eastAsiaTheme="minorHAnsi" w:hAnsiTheme="minorHAnsi" w:cstheme="minorHAnsi"/>
          <w:kern w:val="2"/>
          <w:lang w:val="en-US" w:eastAsia="en-US" w:bidi="ar-SA"/>
        </w:rPr>
        <w:t>). The EVPI for this variable was approximately USD 1, USD 200, USD 1, and USD 200 for models 1 through 4, respectively.</w:t>
      </w:r>
    </w:p>
    <w:p w:rsidR="00E46E46" w:rsidRPr="006C7A10" w:rsidRDefault="00E46E46" w:rsidP="00E46E46">
      <w:pPr>
        <w:pStyle w:val="Textbody"/>
        <w:spacing w:before="240" w:after="240" w:line="360" w:lineRule="auto"/>
        <w:jc w:val="both"/>
        <w:rPr>
          <w:rFonts w:asciiTheme="minorHAnsi" w:eastAsiaTheme="minorHAnsi" w:hAnsiTheme="minorHAnsi" w:cstheme="minorHAnsi"/>
          <w:kern w:val="2"/>
          <w:lang w:val="en-US" w:eastAsia="en-US" w:bidi="ar-SA"/>
        </w:rPr>
      </w:pPr>
      <w:r w:rsidRPr="006C7A10">
        <w:rPr>
          <w:rFonts w:asciiTheme="minorHAnsi" w:eastAsiaTheme="minorHAnsi" w:hAnsiTheme="minorHAnsi" w:cstheme="minorHAnsi"/>
          <w:kern w:val="2"/>
          <w:lang w:val="en-US" w:eastAsia="en-US" w:bidi="ar-SA"/>
        </w:rPr>
        <w:t>Twelve variables showed a positive EVPI for the government per hectare models (Models 5 to 8). The variables with the highest EVPI were the amount of stem carbon accumulated per hectare per year (under medium and low connectivity scenarios) and annual monitoring costs (under low connectivity). The information value for these variables ranged from approximately USD 16,000 to USD 50,000. Other variables with positive EVPI, but below USD 8,000, included net benefits of crop farming per hectare, low connectivity, discount rates, rate of change in projects funded by tourism, monitoring costs (under low and medium connectivity), number of rangers (under high connectivity), farm size, rate of change in consolation expenses (under medium connectivity), government tax from crop yield trading, and the price of carbon per ton.</w:t>
      </w:r>
    </w:p>
    <w:p w:rsidR="00E46E46" w:rsidRPr="006C7A10" w:rsidRDefault="00E46E46" w:rsidP="00E46E46">
      <w:pPr>
        <w:pStyle w:val="Textbody"/>
        <w:spacing w:before="240" w:after="240" w:line="360" w:lineRule="auto"/>
        <w:jc w:val="both"/>
        <w:rPr>
          <w:rFonts w:asciiTheme="minorHAnsi" w:hAnsiTheme="minorHAnsi" w:cstheme="minorHAnsi"/>
          <w:lang w:val="en-US"/>
        </w:rPr>
      </w:pPr>
      <w:r w:rsidRPr="006C7A10">
        <w:rPr>
          <w:rFonts w:asciiTheme="minorHAnsi" w:eastAsiaTheme="minorHAnsi" w:hAnsiTheme="minorHAnsi" w:cstheme="minorHAnsi"/>
          <w:kern w:val="2"/>
          <w:lang w:val="en-US" w:eastAsia="en-US" w:bidi="ar-SA"/>
        </w:rPr>
        <w:t>For government NPV at the landscape level (Models 9 to 12), two variables exhibited positive EVPI: low connectivity and the amount of stem carbon accumulated per hectare per year. While additional information on these variables could reduce uncertainties in outcomes, we determined that the EVPI values are low to justify further investment in data collection.</w:t>
      </w:r>
      <w:r w:rsidRPr="006C7A10">
        <w:rPr>
          <w:rFonts w:asciiTheme="minorHAnsi" w:hAnsiTheme="minorHAnsi" w:cstheme="minorHAnsi"/>
          <w:lang w:val="en-US"/>
        </w:rPr>
        <w:t xml:space="preserve">   </w:t>
      </w:r>
    </w:p>
    <w:p w:rsidR="00E46E46" w:rsidRPr="006C7A10" w:rsidRDefault="00E46E46" w:rsidP="00E46E46">
      <w:pPr>
        <w:pStyle w:val="Textbody"/>
        <w:spacing w:before="240" w:after="240" w:line="360" w:lineRule="auto"/>
        <w:jc w:val="both"/>
        <w:rPr>
          <w:rFonts w:asciiTheme="minorHAnsi" w:hAnsiTheme="minorHAnsi" w:cstheme="minorHAnsi"/>
          <w:lang w:val="en-US"/>
        </w:rPr>
      </w:pPr>
    </w:p>
    <w:p w:rsidR="00E46E46" w:rsidRPr="006C7A10" w:rsidRDefault="00E46E46" w:rsidP="00E46E46">
      <w:pPr>
        <w:pStyle w:val="Textbody"/>
        <w:spacing w:before="240" w:after="240" w:line="360" w:lineRule="auto"/>
        <w:jc w:val="both"/>
        <w:rPr>
          <w:rFonts w:asciiTheme="minorHAnsi" w:hAnsiTheme="minorHAnsi" w:cstheme="minorHAnsi"/>
          <w:lang w:val="en-US"/>
        </w:rPr>
      </w:pPr>
    </w:p>
    <w:p w:rsidR="00E46E46" w:rsidRPr="006C7A10" w:rsidRDefault="00E46E46" w:rsidP="00E46E46">
      <w:pPr>
        <w:pStyle w:val="Textbody"/>
        <w:spacing w:before="240" w:after="240" w:line="360" w:lineRule="auto"/>
        <w:jc w:val="both"/>
        <w:rPr>
          <w:rFonts w:asciiTheme="minorHAnsi" w:hAnsiTheme="minorHAnsi" w:cstheme="minorHAnsi"/>
          <w:lang w:val="en-US"/>
        </w:rPr>
      </w:pPr>
    </w:p>
    <w:p w:rsidR="00E46E46" w:rsidRPr="006C7A10" w:rsidRDefault="00E46E46" w:rsidP="00E46E46">
      <w:pPr>
        <w:pStyle w:val="Textbody"/>
        <w:spacing w:before="240" w:after="240" w:line="360" w:lineRule="auto"/>
        <w:jc w:val="both"/>
        <w:rPr>
          <w:rFonts w:asciiTheme="minorHAnsi" w:hAnsiTheme="minorHAnsi" w:cstheme="minorHAnsi"/>
          <w:lang w:val="en-US"/>
        </w:rPr>
      </w:pPr>
    </w:p>
    <w:p w:rsidR="00E46E46" w:rsidRPr="006C7A10" w:rsidRDefault="00E46E46" w:rsidP="00E46E46">
      <w:pPr>
        <w:pStyle w:val="Textbody"/>
        <w:spacing w:before="240" w:after="240" w:line="360" w:lineRule="auto"/>
        <w:jc w:val="both"/>
        <w:rPr>
          <w:rFonts w:asciiTheme="minorHAnsi" w:hAnsiTheme="minorHAnsi" w:cstheme="minorHAnsi"/>
          <w:lang w:val="en-US"/>
        </w:rPr>
      </w:pPr>
    </w:p>
    <w:p w:rsidR="00E46E46" w:rsidRPr="006C7A10" w:rsidRDefault="00E46E46" w:rsidP="00E46E46">
      <w:pPr>
        <w:pStyle w:val="Textbody"/>
        <w:spacing w:before="240" w:after="240" w:line="360" w:lineRule="auto"/>
        <w:jc w:val="both"/>
        <w:rPr>
          <w:rFonts w:asciiTheme="minorHAnsi" w:hAnsiTheme="minorHAnsi" w:cstheme="minorHAnsi"/>
          <w:lang w:val="en-US"/>
        </w:rPr>
      </w:pPr>
    </w:p>
    <w:p w:rsidR="00E46E46" w:rsidRPr="006C7A10" w:rsidRDefault="00E46E46" w:rsidP="00E46E46">
      <w:pPr>
        <w:pStyle w:val="Textbody"/>
        <w:spacing w:before="240" w:after="240" w:line="360" w:lineRule="auto"/>
        <w:jc w:val="both"/>
        <w:rPr>
          <w:rFonts w:asciiTheme="minorHAnsi" w:hAnsiTheme="minorHAnsi" w:cstheme="minorHAnsi"/>
          <w:lang w:val="en-US"/>
        </w:rPr>
      </w:pPr>
    </w:p>
    <w:p w:rsidR="00E46E46" w:rsidRPr="006C7A10" w:rsidRDefault="00E46E46" w:rsidP="00E46E46">
      <w:pPr>
        <w:pStyle w:val="Textbody"/>
        <w:spacing w:before="240" w:after="240" w:line="360" w:lineRule="auto"/>
        <w:jc w:val="both"/>
        <w:rPr>
          <w:rFonts w:asciiTheme="minorHAnsi" w:hAnsiTheme="minorHAnsi" w:cstheme="minorHAnsi"/>
          <w:lang w:val="en-US"/>
        </w:rPr>
      </w:pPr>
    </w:p>
    <w:p w:rsidR="00E46E46" w:rsidRPr="006C7A10" w:rsidRDefault="00E46E46" w:rsidP="00E46E46">
      <w:pPr>
        <w:pStyle w:val="Textbody"/>
        <w:spacing w:before="240" w:after="240" w:line="360" w:lineRule="auto"/>
        <w:jc w:val="both"/>
        <w:rPr>
          <w:rFonts w:asciiTheme="minorHAnsi" w:hAnsiTheme="minorHAnsi" w:cstheme="minorHAnsi"/>
          <w:lang w:val="en-US"/>
        </w:rPr>
        <w:sectPr w:rsidR="00E46E46" w:rsidRPr="006C7A10">
          <w:pgSz w:w="11906" w:h="16838"/>
          <w:pgMar w:top="1440" w:right="1440" w:bottom="1440" w:left="1440" w:header="708" w:footer="708" w:gutter="0"/>
          <w:cols w:space="708"/>
          <w:docGrid w:linePitch="360"/>
        </w:sectPr>
      </w:pPr>
    </w:p>
    <w:p w:rsidR="00E46E46" w:rsidRPr="006C7A10" w:rsidRDefault="00E46E46" w:rsidP="00E46E46">
      <w:pPr>
        <w:pStyle w:val="Caption"/>
      </w:pPr>
      <w:bookmarkStart w:id="12" w:name="_Toc188528188"/>
      <w:r w:rsidRPr="006C7A10">
        <w:lastRenderedPageBreak/>
        <w:t>Table.</w:t>
      </w:r>
      <w:r w:rsidR="00B11A63" w:rsidRPr="006C7A10">
        <w:t xml:space="preserve"> A.</w:t>
      </w:r>
      <w:r w:rsidRPr="006C7A10">
        <w:fldChar w:fldCharType="begin"/>
      </w:r>
      <w:r w:rsidRPr="006C7A10">
        <w:instrText xml:space="preserve"> SEQ Table_2. \* ARABIC </w:instrText>
      </w:r>
      <w:r w:rsidRPr="006C7A10">
        <w:fldChar w:fldCharType="separate"/>
      </w:r>
      <w:r w:rsidRPr="006C7A10">
        <w:t>2</w:t>
      </w:r>
      <w:r w:rsidRPr="006C7A10">
        <w:fldChar w:fldCharType="end"/>
      </w:r>
      <w:r w:rsidRPr="006C7A10">
        <w:t>. Expected Value of Perfect Information (EVPI) for variables with non-zero values. Models 1 to 4 show the EVPI for the household model in IIWC and BKG. Models 5 to 8 display the EVPI for the government model (per hectare estimates), while Models 9 to 12 present the EVPI for the government model (per landscape estimates) within the same ecological corridors.</w:t>
      </w:r>
      <w:bookmarkEnd w:id="12"/>
      <w:r w:rsidRPr="006C7A10">
        <w:t xml:space="preserve"> </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5"/>
        <w:gridCol w:w="4028"/>
        <w:gridCol w:w="539"/>
        <w:gridCol w:w="578"/>
        <w:gridCol w:w="553"/>
        <w:gridCol w:w="581"/>
        <w:gridCol w:w="223"/>
        <w:gridCol w:w="514"/>
        <w:gridCol w:w="583"/>
        <w:gridCol w:w="556"/>
        <w:gridCol w:w="583"/>
        <w:gridCol w:w="223"/>
        <w:gridCol w:w="514"/>
        <w:gridCol w:w="583"/>
        <w:gridCol w:w="553"/>
        <w:gridCol w:w="572"/>
      </w:tblGrid>
      <w:tr w:rsidR="006C7A10" w:rsidRPr="006C7A10" w:rsidTr="00E46E46">
        <w:tc>
          <w:tcPr>
            <w:tcW w:w="994" w:type="pct"/>
            <w:vMerge w:val="restart"/>
            <w:tcBorders>
              <w:top w:val="single" w:sz="4" w:space="0" w:color="auto"/>
              <w:bottom w:val="nil"/>
            </w:tcBorders>
            <w:shd w:val="clear" w:color="auto" w:fill="auto"/>
          </w:tcPr>
          <w:p w:rsidR="00E46E46" w:rsidRPr="006C7A10" w:rsidRDefault="00E46E46" w:rsidP="00E46E46">
            <w:pPr>
              <w:pStyle w:val="NormalWeb"/>
              <w:spacing w:before="0" w:beforeAutospacing="0"/>
              <w:rPr>
                <w:rFonts w:asciiTheme="minorHAnsi" w:hAnsiTheme="minorHAnsi" w:cstheme="minorHAnsi"/>
                <w:sz w:val="16"/>
                <w:szCs w:val="16"/>
                <w:lang w:val="en-US"/>
              </w:rPr>
            </w:pPr>
            <w:r w:rsidRPr="006C7A10">
              <w:rPr>
                <w:rFonts w:asciiTheme="minorHAnsi" w:hAnsiTheme="minorHAnsi" w:cstheme="minorHAnsi"/>
                <w:sz w:val="16"/>
                <w:szCs w:val="16"/>
                <w:lang w:val="en-US"/>
              </w:rPr>
              <w:t>Variables</w:t>
            </w:r>
          </w:p>
        </w:tc>
        <w:tc>
          <w:tcPr>
            <w:tcW w:w="1443" w:type="pct"/>
            <w:vMerge w:val="restart"/>
            <w:tcBorders>
              <w:top w:val="single" w:sz="4" w:space="0" w:color="auto"/>
              <w:bottom w:val="nil"/>
            </w:tcBorders>
            <w:shd w:val="clear" w:color="auto" w:fill="auto"/>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r w:rsidRPr="006C7A10">
              <w:rPr>
                <w:rFonts w:asciiTheme="minorHAnsi" w:hAnsiTheme="minorHAnsi" w:cstheme="minorHAnsi"/>
                <w:sz w:val="16"/>
                <w:szCs w:val="16"/>
                <w:lang w:val="en-US"/>
              </w:rPr>
              <w:t>Description of the variables</w:t>
            </w:r>
          </w:p>
        </w:tc>
        <w:tc>
          <w:tcPr>
            <w:tcW w:w="2563" w:type="pct"/>
            <w:gridSpan w:val="14"/>
            <w:tcBorders>
              <w:top w:val="single" w:sz="4" w:space="0" w:color="auto"/>
              <w:bottom w:val="single" w:sz="4" w:space="0" w:color="auto"/>
            </w:tcBorders>
            <w:shd w:val="clear" w:color="auto" w:fill="auto"/>
          </w:tcPr>
          <w:p w:rsidR="00E46E46" w:rsidRPr="006C7A10" w:rsidRDefault="00E46E46" w:rsidP="00E46E46">
            <w:pPr>
              <w:pStyle w:val="NormalWeb"/>
              <w:spacing w:before="0" w:beforeAutospacing="0"/>
              <w:jc w:val="center"/>
              <w:rPr>
                <w:rFonts w:asciiTheme="minorHAnsi" w:hAnsiTheme="minorHAnsi" w:cstheme="minorHAnsi"/>
                <w:b/>
                <w:bCs/>
                <w:sz w:val="16"/>
                <w:szCs w:val="16"/>
                <w:lang w:val="en-US"/>
              </w:rPr>
            </w:pPr>
            <w:r w:rsidRPr="006C7A10">
              <w:rPr>
                <w:rFonts w:asciiTheme="minorHAnsi" w:hAnsiTheme="minorHAnsi" w:cstheme="minorHAnsi"/>
                <w:b/>
                <w:bCs/>
                <w:sz w:val="16"/>
                <w:szCs w:val="16"/>
                <w:lang w:val="en-US"/>
              </w:rPr>
              <w:t>EVPI in thousand USD</w:t>
            </w:r>
          </w:p>
        </w:tc>
      </w:tr>
      <w:tr w:rsidR="006C7A10" w:rsidRPr="006C7A10" w:rsidTr="00E46E46">
        <w:tc>
          <w:tcPr>
            <w:tcW w:w="994" w:type="pct"/>
            <w:vMerge/>
            <w:tcBorders>
              <w:top w:val="nil"/>
              <w:bottom w:val="nil"/>
            </w:tcBorders>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443" w:type="pct"/>
            <w:vMerge/>
            <w:tcBorders>
              <w:top w:val="nil"/>
              <w:bottom w:val="nil"/>
            </w:tcBorders>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806" w:type="pct"/>
            <w:gridSpan w:val="4"/>
            <w:tcBorders>
              <w:top w:val="single" w:sz="4" w:space="0" w:color="auto"/>
              <w:bottom w:val="nil"/>
            </w:tcBorders>
            <w:shd w:val="clear" w:color="auto" w:fill="auto"/>
            <w:vAlign w:val="bottom"/>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r w:rsidRPr="006C7A10">
              <w:rPr>
                <w:rFonts w:asciiTheme="minorHAnsi" w:hAnsiTheme="minorHAnsi" w:cstheme="minorHAnsi"/>
                <w:b/>
                <w:bCs/>
                <w:sz w:val="16"/>
                <w:szCs w:val="16"/>
                <w:lang w:val="en-US"/>
              </w:rPr>
              <w:t xml:space="preserve">Household </w:t>
            </w:r>
          </w:p>
        </w:tc>
        <w:tc>
          <w:tcPr>
            <w:tcW w:w="80" w:type="pct"/>
            <w:tcBorders>
              <w:top w:val="single" w:sz="4" w:space="0" w:color="auto"/>
              <w:bottom w:val="nil"/>
            </w:tcBorders>
            <w:shd w:val="clear" w:color="auto" w:fill="auto"/>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p>
        </w:tc>
        <w:tc>
          <w:tcPr>
            <w:tcW w:w="801" w:type="pct"/>
            <w:gridSpan w:val="4"/>
            <w:tcBorders>
              <w:top w:val="single" w:sz="4" w:space="0" w:color="auto"/>
              <w:bottom w:val="nil"/>
            </w:tcBorders>
            <w:shd w:val="clear" w:color="auto" w:fill="auto"/>
            <w:vAlign w:val="bottom"/>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proofErr w:type="spellStart"/>
            <w:r w:rsidRPr="006C7A10">
              <w:rPr>
                <w:rFonts w:asciiTheme="minorHAnsi" w:hAnsiTheme="minorHAnsi" w:cstheme="minorHAnsi"/>
                <w:b/>
                <w:bCs/>
                <w:sz w:val="16"/>
                <w:szCs w:val="16"/>
                <w:lang w:val="en-US"/>
              </w:rPr>
              <w:t>Government_per_hectare</w:t>
            </w:r>
            <w:proofErr w:type="spellEnd"/>
          </w:p>
        </w:tc>
        <w:tc>
          <w:tcPr>
            <w:tcW w:w="80" w:type="pct"/>
            <w:tcBorders>
              <w:top w:val="single" w:sz="4" w:space="0" w:color="auto"/>
              <w:bottom w:val="nil"/>
            </w:tcBorders>
            <w:shd w:val="clear" w:color="auto" w:fill="auto"/>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p>
        </w:tc>
        <w:tc>
          <w:tcPr>
            <w:tcW w:w="796" w:type="pct"/>
            <w:gridSpan w:val="4"/>
            <w:tcBorders>
              <w:top w:val="single" w:sz="4" w:space="0" w:color="auto"/>
              <w:bottom w:val="single" w:sz="4" w:space="0" w:color="auto"/>
            </w:tcBorders>
            <w:shd w:val="clear" w:color="auto" w:fill="auto"/>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proofErr w:type="spellStart"/>
            <w:r w:rsidRPr="006C7A10">
              <w:rPr>
                <w:rFonts w:asciiTheme="minorHAnsi" w:hAnsiTheme="minorHAnsi" w:cstheme="minorHAnsi"/>
                <w:b/>
                <w:bCs/>
                <w:sz w:val="16"/>
                <w:szCs w:val="16"/>
                <w:lang w:val="en-US"/>
              </w:rPr>
              <w:t>Government_landscape</w:t>
            </w:r>
            <w:proofErr w:type="spellEnd"/>
          </w:p>
        </w:tc>
      </w:tr>
      <w:tr w:rsidR="006C7A10" w:rsidRPr="006C7A10" w:rsidTr="00E46E46">
        <w:tc>
          <w:tcPr>
            <w:tcW w:w="994" w:type="pct"/>
            <w:vMerge/>
            <w:tcBorders>
              <w:top w:val="single" w:sz="4" w:space="0" w:color="auto"/>
              <w:bottom w:val="single" w:sz="4" w:space="0" w:color="auto"/>
            </w:tcBorders>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443" w:type="pct"/>
            <w:vMerge/>
            <w:tcBorders>
              <w:top w:val="single" w:sz="4" w:space="0" w:color="auto"/>
              <w:bottom w:val="single" w:sz="4" w:space="0" w:color="auto"/>
            </w:tcBorders>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400" w:type="pct"/>
            <w:gridSpan w:val="2"/>
            <w:tcBorders>
              <w:top w:val="single" w:sz="4" w:space="0" w:color="auto"/>
              <w:bottom w:val="single" w:sz="4" w:space="0" w:color="auto"/>
            </w:tcBorders>
            <w:shd w:val="clear" w:color="auto" w:fill="auto"/>
            <w:vAlign w:val="bottom"/>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r w:rsidRPr="006C7A10">
              <w:rPr>
                <w:rFonts w:asciiTheme="minorHAnsi" w:hAnsiTheme="minorHAnsi" w:cstheme="minorHAnsi"/>
                <w:b/>
                <w:bCs/>
                <w:sz w:val="16"/>
                <w:szCs w:val="16"/>
                <w:lang w:val="en-US"/>
              </w:rPr>
              <w:t>IIWC</w:t>
            </w:r>
          </w:p>
        </w:tc>
        <w:tc>
          <w:tcPr>
            <w:tcW w:w="406" w:type="pct"/>
            <w:gridSpan w:val="2"/>
            <w:tcBorders>
              <w:top w:val="single" w:sz="4" w:space="0" w:color="auto"/>
              <w:bottom w:val="single" w:sz="4" w:space="0" w:color="auto"/>
            </w:tcBorders>
            <w:shd w:val="clear" w:color="auto" w:fill="auto"/>
            <w:vAlign w:val="bottom"/>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r w:rsidRPr="006C7A10">
              <w:rPr>
                <w:rFonts w:asciiTheme="minorHAnsi" w:hAnsiTheme="minorHAnsi" w:cstheme="minorHAnsi"/>
                <w:b/>
                <w:bCs/>
                <w:sz w:val="16"/>
                <w:szCs w:val="16"/>
                <w:lang w:val="en-US"/>
              </w:rPr>
              <w:t>BKG</w:t>
            </w:r>
          </w:p>
        </w:tc>
        <w:tc>
          <w:tcPr>
            <w:tcW w:w="80" w:type="pct"/>
            <w:tcBorders>
              <w:top w:val="single" w:sz="4" w:space="0" w:color="auto"/>
              <w:bottom w:val="single" w:sz="4" w:space="0" w:color="auto"/>
            </w:tcBorders>
            <w:shd w:val="clear" w:color="auto" w:fill="auto"/>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p>
        </w:tc>
        <w:tc>
          <w:tcPr>
            <w:tcW w:w="393" w:type="pct"/>
            <w:gridSpan w:val="2"/>
            <w:tcBorders>
              <w:top w:val="single" w:sz="4" w:space="0" w:color="auto"/>
              <w:bottom w:val="single" w:sz="4" w:space="0" w:color="auto"/>
            </w:tcBorders>
            <w:shd w:val="clear" w:color="auto" w:fill="auto"/>
            <w:vAlign w:val="bottom"/>
          </w:tcPr>
          <w:p w:rsidR="00E46E46" w:rsidRPr="006C7A10" w:rsidRDefault="00E46E46" w:rsidP="00E46E46">
            <w:pPr>
              <w:pStyle w:val="NormalWeb"/>
              <w:spacing w:before="0" w:beforeAutospacing="0"/>
              <w:rPr>
                <w:rFonts w:asciiTheme="minorHAnsi" w:hAnsiTheme="minorHAnsi" w:cstheme="minorHAnsi"/>
                <w:sz w:val="16"/>
                <w:szCs w:val="16"/>
                <w:lang w:val="en-US"/>
              </w:rPr>
            </w:pPr>
            <w:r w:rsidRPr="006C7A10">
              <w:rPr>
                <w:rFonts w:asciiTheme="minorHAnsi" w:hAnsiTheme="minorHAnsi" w:cstheme="minorHAnsi"/>
                <w:b/>
                <w:bCs/>
                <w:sz w:val="16"/>
                <w:szCs w:val="16"/>
                <w:lang w:val="en-US"/>
              </w:rPr>
              <w:t>IIWC</w:t>
            </w:r>
          </w:p>
        </w:tc>
        <w:tc>
          <w:tcPr>
            <w:tcW w:w="408" w:type="pct"/>
            <w:gridSpan w:val="2"/>
            <w:tcBorders>
              <w:top w:val="single" w:sz="4" w:space="0" w:color="auto"/>
              <w:bottom w:val="single" w:sz="4" w:space="0" w:color="auto"/>
            </w:tcBorders>
            <w:shd w:val="clear" w:color="auto" w:fill="auto"/>
            <w:vAlign w:val="bottom"/>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r w:rsidRPr="006C7A10">
              <w:rPr>
                <w:rFonts w:asciiTheme="minorHAnsi" w:hAnsiTheme="minorHAnsi" w:cstheme="minorHAnsi"/>
                <w:b/>
                <w:bCs/>
                <w:sz w:val="16"/>
                <w:szCs w:val="16"/>
                <w:lang w:val="en-US"/>
              </w:rPr>
              <w:t>BKG</w:t>
            </w:r>
          </w:p>
        </w:tc>
        <w:tc>
          <w:tcPr>
            <w:tcW w:w="80" w:type="pct"/>
            <w:tcBorders>
              <w:top w:val="single" w:sz="4" w:space="0" w:color="auto"/>
              <w:bottom w:val="single" w:sz="4" w:space="0" w:color="auto"/>
            </w:tcBorders>
            <w:shd w:val="clear" w:color="auto" w:fill="auto"/>
            <w:vAlign w:val="bottom"/>
          </w:tcPr>
          <w:p w:rsidR="00E46E46" w:rsidRPr="006C7A10" w:rsidRDefault="00E46E46" w:rsidP="00E46E46">
            <w:pPr>
              <w:pStyle w:val="NormalWeb"/>
              <w:spacing w:before="0" w:beforeAutospacing="0"/>
              <w:jc w:val="center"/>
              <w:rPr>
                <w:rFonts w:asciiTheme="minorHAnsi" w:hAnsiTheme="minorHAnsi" w:cstheme="minorHAnsi"/>
                <w:b/>
                <w:bCs/>
                <w:sz w:val="16"/>
                <w:szCs w:val="16"/>
                <w:lang w:val="en-US"/>
              </w:rPr>
            </w:pPr>
          </w:p>
        </w:tc>
        <w:tc>
          <w:tcPr>
            <w:tcW w:w="393" w:type="pct"/>
            <w:gridSpan w:val="2"/>
            <w:tcBorders>
              <w:top w:val="single" w:sz="4" w:space="0" w:color="auto"/>
              <w:bottom w:val="single" w:sz="4" w:space="0" w:color="auto"/>
            </w:tcBorders>
            <w:shd w:val="clear" w:color="auto" w:fill="auto"/>
            <w:vAlign w:val="bottom"/>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r w:rsidRPr="006C7A10">
              <w:rPr>
                <w:rFonts w:asciiTheme="minorHAnsi" w:hAnsiTheme="minorHAnsi" w:cstheme="minorHAnsi"/>
                <w:b/>
                <w:bCs/>
                <w:sz w:val="16"/>
                <w:szCs w:val="16"/>
                <w:lang w:val="en-US"/>
              </w:rPr>
              <w:t>IIWC</w:t>
            </w:r>
          </w:p>
        </w:tc>
        <w:tc>
          <w:tcPr>
            <w:tcW w:w="403" w:type="pct"/>
            <w:gridSpan w:val="2"/>
            <w:tcBorders>
              <w:top w:val="single" w:sz="4" w:space="0" w:color="auto"/>
              <w:bottom w:val="single" w:sz="4" w:space="0" w:color="auto"/>
            </w:tcBorders>
            <w:shd w:val="clear" w:color="auto" w:fill="auto"/>
            <w:vAlign w:val="bottom"/>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r w:rsidRPr="006C7A10">
              <w:rPr>
                <w:rFonts w:asciiTheme="minorHAnsi" w:hAnsiTheme="minorHAnsi" w:cstheme="minorHAnsi"/>
                <w:b/>
                <w:bCs/>
                <w:sz w:val="16"/>
                <w:szCs w:val="16"/>
                <w:lang w:val="en-US"/>
              </w:rPr>
              <w:t>BKG</w:t>
            </w:r>
          </w:p>
        </w:tc>
      </w:tr>
      <w:tr w:rsidR="006C7A10" w:rsidRPr="006C7A10" w:rsidTr="00E46E46">
        <w:tc>
          <w:tcPr>
            <w:tcW w:w="994" w:type="pct"/>
            <w:vMerge/>
            <w:tcBorders>
              <w:top w:val="single" w:sz="4" w:space="0" w:color="auto"/>
            </w:tcBorders>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443" w:type="pct"/>
            <w:vMerge/>
            <w:tcBorders>
              <w:top w:val="single" w:sz="4" w:space="0" w:color="auto"/>
            </w:tcBorders>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93" w:type="pct"/>
            <w:tcBorders>
              <w:top w:val="single" w:sz="4" w:space="0" w:color="auto"/>
              <w:bottom w:val="single" w:sz="4" w:space="0" w:color="auto"/>
            </w:tcBorders>
            <w:shd w:val="clear" w:color="auto" w:fill="auto"/>
            <w:vAlign w:val="bottom"/>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r w:rsidRPr="006C7A10">
              <w:rPr>
                <w:rFonts w:asciiTheme="minorHAnsi" w:hAnsiTheme="minorHAnsi" w:cstheme="minorHAnsi"/>
                <w:sz w:val="16"/>
                <w:szCs w:val="16"/>
                <w:lang w:val="en-US"/>
              </w:rPr>
              <w:t>HC-LC</w:t>
            </w:r>
          </w:p>
        </w:tc>
        <w:tc>
          <w:tcPr>
            <w:tcW w:w="207" w:type="pct"/>
            <w:tcBorders>
              <w:top w:val="single" w:sz="4" w:space="0" w:color="auto"/>
              <w:bottom w:val="single" w:sz="4" w:space="0" w:color="auto"/>
            </w:tcBorders>
            <w:shd w:val="clear" w:color="auto" w:fill="auto"/>
            <w:vAlign w:val="bottom"/>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r w:rsidRPr="006C7A10">
              <w:rPr>
                <w:rFonts w:asciiTheme="minorHAnsi" w:hAnsiTheme="minorHAnsi" w:cstheme="minorHAnsi"/>
                <w:sz w:val="16"/>
                <w:szCs w:val="16"/>
                <w:lang w:val="en-US"/>
              </w:rPr>
              <w:t>MC-LC</w:t>
            </w:r>
          </w:p>
        </w:tc>
        <w:tc>
          <w:tcPr>
            <w:tcW w:w="198" w:type="pct"/>
            <w:tcBorders>
              <w:top w:val="single" w:sz="4" w:space="0" w:color="auto"/>
              <w:bottom w:val="single" w:sz="4" w:space="0" w:color="auto"/>
            </w:tcBorders>
            <w:shd w:val="clear" w:color="auto" w:fill="auto"/>
            <w:vAlign w:val="bottom"/>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r w:rsidRPr="006C7A10">
              <w:rPr>
                <w:rFonts w:asciiTheme="minorHAnsi" w:hAnsiTheme="minorHAnsi" w:cstheme="minorHAnsi"/>
                <w:sz w:val="16"/>
                <w:szCs w:val="16"/>
                <w:lang w:val="en-US"/>
              </w:rPr>
              <w:t>HC-LC</w:t>
            </w:r>
          </w:p>
        </w:tc>
        <w:tc>
          <w:tcPr>
            <w:tcW w:w="208" w:type="pct"/>
            <w:tcBorders>
              <w:top w:val="single" w:sz="4" w:space="0" w:color="auto"/>
              <w:bottom w:val="single" w:sz="4" w:space="0" w:color="auto"/>
            </w:tcBorders>
            <w:shd w:val="clear" w:color="auto" w:fill="auto"/>
            <w:vAlign w:val="bottom"/>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r w:rsidRPr="006C7A10">
              <w:rPr>
                <w:rFonts w:asciiTheme="minorHAnsi" w:hAnsiTheme="minorHAnsi" w:cstheme="minorHAnsi"/>
                <w:sz w:val="16"/>
                <w:szCs w:val="16"/>
                <w:lang w:val="en-US"/>
              </w:rPr>
              <w:t>MC-LC</w:t>
            </w:r>
          </w:p>
        </w:tc>
        <w:tc>
          <w:tcPr>
            <w:tcW w:w="80" w:type="pct"/>
            <w:tcBorders>
              <w:top w:val="single" w:sz="4" w:space="0" w:color="auto"/>
              <w:bottom w:val="single" w:sz="4" w:space="0" w:color="auto"/>
            </w:tcBorders>
            <w:shd w:val="clear" w:color="auto" w:fill="auto"/>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p>
        </w:tc>
        <w:tc>
          <w:tcPr>
            <w:tcW w:w="184" w:type="pct"/>
            <w:tcBorders>
              <w:top w:val="single" w:sz="4" w:space="0" w:color="auto"/>
              <w:bottom w:val="single" w:sz="4" w:space="0" w:color="auto"/>
            </w:tcBorders>
            <w:shd w:val="clear" w:color="auto" w:fill="auto"/>
            <w:vAlign w:val="bottom"/>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r w:rsidRPr="006C7A10">
              <w:rPr>
                <w:rFonts w:asciiTheme="minorHAnsi" w:hAnsiTheme="minorHAnsi" w:cstheme="minorHAnsi"/>
                <w:sz w:val="16"/>
                <w:szCs w:val="16"/>
                <w:lang w:val="en-US"/>
              </w:rPr>
              <w:t>HC-LC</w:t>
            </w:r>
          </w:p>
        </w:tc>
        <w:tc>
          <w:tcPr>
            <w:tcW w:w="209" w:type="pct"/>
            <w:tcBorders>
              <w:top w:val="single" w:sz="4" w:space="0" w:color="auto"/>
              <w:bottom w:val="single" w:sz="4" w:space="0" w:color="auto"/>
            </w:tcBorders>
            <w:shd w:val="clear" w:color="auto" w:fill="auto"/>
            <w:vAlign w:val="bottom"/>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r w:rsidRPr="006C7A10">
              <w:rPr>
                <w:rFonts w:asciiTheme="minorHAnsi" w:hAnsiTheme="minorHAnsi" w:cstheme="minorHAnsi"/>
                <w:sz w:val="16"/>
                <w:szCs w:val="16"/>
                <w:lang w:val="en-US"/>
              </w:rPr>
              <w:t>MC-LC</w:t>
            </w:r>
          </w:p>
        </w:tc>
        <w:tc>
          <w:tcPr>
            <w:tcW w:w="199" w:type="pct"/>
            <w:tcBorders>
              <w:top w:val="single" w:sz="4" w:space="0" w:color="auto"/>
              <w:bottom w:val="single" w:sz="4" w:space="0" w:color="auto"/>
            </w:tcBorders>
            <w:shd w:val="clear" w:color="auto" w:fill="auto"/>
            <w:vAlign w:val="bottom"/>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r w:rsidRPr="006C7A10">
              <w:rPr>
                <w:rFonts w:asciiTheme="minorHAnsi" w:hAnsiTheme="minorHAnsi" w:cstheme="minorHAnsi"/>
                <w:sz w:val="16"/>
                <w:szCs w:val="16"/>
                <w:lang w:val="en-US"/>
              </w:rPr>
              <w:t>HC-LC</w:t>
            </w:r>
          </w:p>
        </w:tc>
        <w:tc>
          <w:tcPr>
            <w:tcW w:w="209" w:type="pct"/>
            <w:tcBorders>
              <w:top w:val="single" w:sz="4" w:space="0" w:color="auto"/>
              <w:bottom w:val="single" w:sz="4" w:space="0" w:color="auto"/>
            </w:tcBorders>
            <w:shd w:val="clear" w:color="auto" w:fill="auto"/>
            <w:vAlign w:val="bottom"/>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r w:rsidRPr="006C7A10">
              <w:rPr>
                <w:rFonts w:asciiTheme="minorHAnsi" w:hAnsiTheme="minorHAnsi" w:cstheme="minorHAnsi"/>
                <w:sz w:val="16"/>
                <w:szCs w:val="16"/>
                <w:lang w:val="en-US"/>
              </w:rPr>
              <w:t>MC-LC</w:t>
            </w:r>
          </w:p>
        </w:tc>
        <w:tc>
          <w:tcPr>
            <w:tcW w:w="80" w:type="pct"/>
            <w:tcBorders>
              <w:top w:val="single" w:sz="4" w:space="0" w:color="auto"/>
              <w:bottom w:val="single" w:sz="4" w:space="0" w:color="auto"/>
            </w:tcBorders>
            <w:shd w:val="clear" w:color="auto" w:fill="auto"/>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p>
        </w:tc>
        <w:tc>
          <w:tcPr>
            <w:tcW w:w="184" w:type="pct"/>
            <w:tcBorders>
              <w:top w:val="single" w:sz="4" w:space="0" w:color="auto"/>
              <w:bottom w:val="single" w:sz="4" w:space="0" w:color="auto"/>
            </w:tcBorders>
            <w:shd w:val="clear" w:color="auto" w:fill="auto"/>
            <w:vAlign w:val="bottom"/>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r w:rsidRPr="006C7A10">
              <w:rPr>
                <w:rFonts w:asciiTheme="minorHAnsi" w:hAnsiTheme="minorHAnsi" w:cstheme="minorHAnsi"/>
                <w:sz w:val="16"/>
                <w:szCs w:val="16"/>
                <w:lang w:val="en-US"/>
              </w:rPr>
              <w:t>HC-LC</w:t>
            </w:r>
          </w:p>
        </w:tc>
        <w:tc>
          <w:tcPr>
            <w:tcW w:w="209" w:type="pct"/>
            <w:tcBorders>
              <w:top w:val="single" w:sz="4" w:space="0" w:color="auto"/>
              <w:bottom w:val="single" w:sz="4" w:space="0" w:color="auto"/>
            </w:tcBorders>
            <w:shd w:val="clear" w:color="auto" w:fill="auto"/>
            <w:vAlign w:val="bottom"/>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r w:rsidRPr="006C7A10">
              <w:rPr>
                <w:rFonts w:asciiTheme="minorHAnsi" w:hAnsiTheme="minorHAnsi" w:cstheme="minorHAnsi"/>
                <w:sz w:val="16"/>
                <w:szCs w:val="16"/>
                <w:lang w:val="en-US"/>
              </w:rPr>
              <w:t>MC-LC</w:t>
            </w:r>
          </w:p>
        </w:tc>
        <w:tc>
          <w:tcPr>
            <w:tcW w:w="198" w:type="pct"/>
            <w:tcBorders>
              <w:top w:val="single" w:sz="4" w:space="0" w:color="auto"/>
              <w:bottom w:val="single" w:sz="4" w:space="0" w:color="auto"/>
            </w:tcBorders>
            <w:shd w:val="clear" w:color="auto" w:fill="auto"/>
            <w:vAlign w:val="bottom"/>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r w:rsidRPr="006C7A10">
              <w:rPr>
                <w:rFonts w:asciiTheme="minorHAnsi" w:hAnsiTheme="minorHAnsi" w:cstheme="minorHAnsi"/>
                <w:sz w:val="16"/>
                <w:szCs w:val="16"/>
                <w:lang w:val="en-US"/>
              </w:rPr>
              <w:t>HC-LC</w:t>
            </w:r>
          </w:p>
        </w:tc>
        <w:tc>
          <w:tcPr>
            <w:tcW w:w="205" w:type="pct"/>
            <w:tcBorders>
              <w:top w:val="single" w:sz="4" w:space="0" w:color="auto"/>
              <w:bottom w:val="single" w:sz="4" w:space="0" w:color="auto"/>
            </w:tcBorders>
            <w:shd w:val="clear" w:color="auto" w:fill="auto"/>
            <w:vAlign w:val="bottom"/>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r w:rsidRPr="006C7A10">
              <w:rPr>
                <w:rFonts w:asciiTheme="minorHAnsi" w:hAnsiTheme="minorHAnsi" w:cstheme="minorHAnsi"/>
                <w:sz w:val="16"/>
                <w:szCs w:val="16"/>
                <w:lang w:val="en-US"/>
              </w:rPr>
              <w:t>MC-LC</w:t>
            </w:r>
          </w:p>
        </w:tc>
      </w:tr>
      <w:tr w:rsidR="006C7A10" w:rsidRPr="006C7A10" w:rsidTr="00E46E46">
        <w:tc>
          <w:tcPr>
            <w:tcW w:w="994" w:type="pct"/>
            <w:vMerge/>
            <w:tcBorders>
              <w:bottom w:val="single" w:sz="4" w:space="0" w:color="auto"/>
            </w:tcBorders>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443" w:type="pct"/>
            <w:vMerge/>
            <w:tcBorders>
              <w:bottom w:val="single" w:sz="4" w:space="0" w:color="auto"/>
            </w:tcBorders>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93" w:type="pct"/>
            <w:tcBorders>
              <w:top w:val="single" w:sz="4" w:space="0" w:color="auto"/>
              <w:bottom w:val="single" w:sz="4" w:space="0" w:color="auto"/>
            </w:tcBorders>
            <w:shd w:val="clear" w:color="auto" w:fill="auto"/>
            <w:vAlign w:val="bottom"/>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r w:rsidRPr="006C7A10">
              <w:rPr>
                <w:rFonts w:asciiTheme="minorHAnsi" w:hAnsiTheme="minorHAnsi" w:cstheme="minorHAnsi"/>
                <w:sz w:val="16"/>
                <w:szCs w:val="16"/>
                <w:lang w:val="en-US"/>
              </w:rPr>
              <w:t>(1)</w:t>
            </w:r>
          </w:p>
        </w:tc>
        <w:tc>
          <w:tcPr>
            <w:tcW w:w="207" w:type="pct"/>
            <w:tcBorders>
              <w:top w:val="single" w:sz="4" w:space="0" w:color="auto"/>
              <w:bottom w:val="single" w:sz="4" w:space="0" w:color="auto"/>
            </w:tcBorders>
            <w:shd w:val="clear" w:color="auto" w:fill="auto"/>
            <w:vAlign w:val="bottom"/>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r w:rsidRPr="006C7A10">
              <w:rPr>
                <w:rFonts w:asciiTheme="minorHAnsi" w:hAnsiTheme="minorHAnsi" w:cstheme="minorHAnsi"/>
                <w:sz w:val="16"/>
                <w:szCs w:val="16"/>
                <w:lang w:val="en-US"/>
              </w:rPr>
              <w:t>(2)</w:t>
            </w:r>
          </w:p>
        </w:tc>
        <w:tc>
          <w:tcPr>
            <w:tcW w:w="198" w:type="pct"/>
            <w:tcBorders>
              <w:top w:val="single" w:sz="4" w:space="0" w:color="auto"/>
              <w:bottom w:val="single" w:sz="4" w:space="0" w:color="auto"/>
            </w:tcBorders>
            <w:shd w:val="clear" w:color="auto" w:fill="auto"/>
            <w:vAlign w:val="bottom"/>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r w:rsidRPr="006C7A10">
              <w:rPr>
                <w:rFonts w:asciiTheme="minorHAnsi" w:hAnsiTheme="minorHAnsi" w:cstheme="minorHAnsi"/>
                <w:sz w:val="16"/>
                <w:szCs w:val="16"/>
                <w:lang w:val="en-US"/>
              </w:rPr>
              <w:t>(3)</w:t>
            </w:r>
          </w:p>
        </w:tc>
        <w:tc>
          <w:tcPr>
            <w:tcW w:w="208" w:type="pct"/>
            <w:tcBorders>
              <w:top w:val="single" w:sz="4" w:space="0" w:color="auto"/>
              <w:bottom w:val="single" w:sz="4" w:space="0" w:color="auto"/>
            </w:tcBorders>
            <w:shd w:val="clear" w:color="auto" w:fill="auto"/>
            <w:vAlign w:val="bottom"/>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r w:rsidRPr="006C7A10">
              <w:rPr>
                <w:rFonts w:asciiTheme="minorHAnsi" w:hAnsiTheme="minorHAnsi" w:cstheme="minorHAnsi"/>
                <w:sz w:val="16"/>
                <w:szCs w:val="16"/>
                <w:lang w:val="en-US"/>
              </w:rPr>
              <w:t>(4)</w:t>
            </w:r>
          </w:p>
        </w:tc>
        <w:tc>
          <w:tcPr>
            <w:tcW w:w="80" w:type="pct"/>
            <w:tcBorders>
              <w:top w:val="single" w:sz="4" w:space="0" w:color="auto"/>
              <w:bottom w:val="single" w:sz="4" w:space="0" w:color="auto"/>
            </w:tcBorders>
            <w:shd w:val="clear" w:color="auto" w:fill="auto"/>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p>
        </w:tc>
        <w:tc>
          <w:tcPr>
            <w:tcW w:w="184" w:type="pct"/>
            <w:tcBorders>
              <w:top w:val="single" w:sz="4" w:space="0" w:color="auto"/>
              <w:bottom w:val="single" w:sz="4" w:space="0" w:color="auto"/>
            </w:tcBorders>
            <w:shd w:val="clear" w:color="auto" w:fill="auto"/>
            <w:vAlign w:val="bottom"/>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r w:rsidRPr="006C7A10">
              <w:rPr>
                <w:rFonts w:asciiTheme="minorHAnsi" w:hAnsiTheme="minorHAnsi" w:cstheme="minorHAnsi"/>
                <w:sz w:val="16"/>
                <w:szCs w:val="16"/>
                <w:lang w:val="en-US"/>
              </w:rPr>
              <w:t>(5)</w:t>
            </w:r>
          </w:p>
        </w:tc>
        <w:tc>
          <w:tcPr>
            <w:tcW w:w="209" w:type="pct"/>
            <w:tcBorders>
              <w:top w:val="single" w:sz="4" w:space="0" w:color="auto"/>
              <w:bottom w:val="single" w:sz="4" w:space="0" w:color="auto"/>
            </w:tcBorders>
            <w:shd w:val="clear" w:color="auto" w:fill="auto"/>
            <w:vAlign w:val="bottom"/>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r w:rsidRPr="006C7A10">
              <w:rPr>
                <w:rFonts w:asciiTheme="minorHAnsi" w:hAnsiTheme="minorHAnsi" w:cstheme="minorHAnsi"/>
                <w:sz w:val="16"/>
                <w:szCs w:val="16"/>
                <w:lang w:val="en-US"/>
              </w:rPr>
              <w:t>(6)</w:t>
            </w:r>
          </w:p>
        </w:tc>
        <w:tc>
          <w:tcPr>
            <w:tcW w:w="199" w:type="pct"/>
            <w:tcBorders>
              <w:top w:val="single" w:sz="4" w:space="0" w:color="auto"/>
              <w:bottom w:val="single" w:sz="4" w:space="0" w:color="auto"/>
            </w:tcBorders>
            <w:shd w:val="clear" w:color="auto" w:fill="auto"/>
            <w:vAlign w:val="bottom"/>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r w:rsidRPr="006C7A10">
              <w:rPr>
                <w:rFonts w:asciiTheme="minorHAnsi" w:hAnsiTheme="minorHAnsi" w:cstheme="minorHAnsi"/>
                <w:sz w:val="16"/>
                <w:szCs w:val="16"/>
                <w:lang w:val="en-US"/>
              </w:rPr>
              <w:t>(7)</w:t>
            </w:r>
          </w:p>
        </w:tc>
        <w:tc>
          <w:tcPr>
            <w:tcW w:w="209" w:type="pct"/>
            <w:tcBorders>
              <w:top w:val="single" w:sz="4" w:space="0" w:color="auto"/>
              <w:bottom w:val="single" w:sz="4" w:space="0" w:color="auto"/>
            </w:tcBorders>
            <w:shd w:val="clear" w:color="auto" w:fill="auto"/>
            <w:vAlign w:val="bottom"/>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r w:rsidRPr="006C7A10">
              <w:rPr>
                <w:rFonts w:asciiTheme="minorHAnsi" w:hAnsiTheme="minorHAnsi" w:cstheme="minorHAnsi"/>
                <w:sz w:val="16"/>
                <w:szCs w:val="16"/>
                <w:lang w:val="en-US"/>
              </w:rPr>
              <w:t>(8)</w:t>
            </w:r>
          </w:p>
        </w:tc>
        <w:tc>
          <w:tcPr>
            <w:tcW w:w="80" w:type="pct"/>
            <w:tcBorders>
              <w:top w:val="single" w:sz="4" w:space="0" w:color="auto"/>
              <w:bottom w:val="single" w:sz="4" w:space="0" w:color="auto"/>
            </w:tcBorders>
            <w:shd w:val="clear" w:color="auto" w:fill="auto"/>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p>
        </w:tc>
        <w:tc>
          <w:tcPr>
            <w:tcW w:w="184" w:type="pct"/>
            <w:tcBorders>
              <w:top w:val="single" w:sz="4" w:space="0" w:color="auto"/>
              <w:bottom w:val="single" w:sz="4" w:space="0" w:color="auto"/>
            </w:tcBorders>
            <w:shd w:val="clear" w:color="auto" w:fill="auto"/>
            <w:vAlign w:val="bottom"/>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r w:rsidRPr="006C7A10">
              <w:rPr>
                <w:rFonts w:asciiTheme="minorHAnsi" w:hAnsiTheme="minorHAnsi" w:cstheme="minorHAnsi"/>
                <w:sz w:val="16"/>
                <w:szCs w:val="16"/>
                <w:lang w:val="en-US"/>
              </w:rPr>
              <w:t>(9)</w:t>
            </w:r>
          </w:p>
        </w:tc>
        <w:tc>
          <w:tcPr>
            <w:tcW w:w="209" w:type="pct"/>
            <w:tcBorders>
              <w:top w:val="single" w:sz="4" w:space="0" w:color="auto"/>
              <w:bottom w:val="single" w:sz="4" w:space="0" w:color="auto"/>
            </w:tcBorders>
            <w:shd w:val="clear" w:color="auto" w:fill="auto"/>
            <w:vAlign w:val="bottom"/>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r w:rsidRPr="006C7A10">
              <w:rPr>
                <w:rFonts w:asciiTheme="minorHAnsi" w:hAnsiTheme="minorHAnsi" w:cstheme="minorHAnsi"/>
                <w:sz w:val="16"/>
                <w:szCs w:val="16"/>
                <w:lang w:val="en-US"/>
              </w:rPr>
              <w:t>(10)</w:t>
            </w:r>
          </w:p>
        </w:tc>
        <w:tc>
          <w:tcPr>
            <w:tcW w:w="198" w:type="pct"/>
            <w:tcBorders>
              <w:top w:val="single" w:sz="4" w:space="0" w:color="auto"/>
              <w:bottom w:val="single" w:sz="4" w:space="0" w:color="auto"/>
            </w:tcBorders>
            <w:shd w:val="clear" w:color="auto" w:fill="auto"/>
            <w:vAlign w:val="bottom"/>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r w:rsidRPr="006C7A10">
              <w:rPr>
                <w:rFonts w:asciiTheme="minorHAnsi" w:hAnsiTheme="minorHAnsi" w:cstheme="minorHAnsi"/>
                <w:sz w:val="16"/>
                <w:szCs w:val="16"/>
                <w:lang w:val="en-US"/>
              </w:rPr>
              <w:t>(11)</w:t>
            </w:r>
          </w:p>
        </w:tc>
        <w:tc>
          <w:tcPr>
            <w:tcW w:w="205" w:type="pct"/>
            <w:tcBorders>
              <w:top w:val="single" w:sz="4" w:space="0" w:color="auto"/>
              <w:bottom w:val="single" w:sz="4" w:space="0" w:color="auto"/>
            </w:tcBorders>
            <w:shd w:val="clear" w:color="auto" w:fill="auto"/>
            <w:vAlign w:val="bottom"/>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r w:rsidRPr="006C7A10">
              <w:rPr>
                <w:rFonts w:asciiTheme="minorHAnsi" w:hAnsiTheme="minorHAnsi" w:cstheme="minorHAnsi"/>
                <w:sz w:val="16"/>
                <w:szCs w:val="16"/>
                <w:lang w:val="en-US"/>
              </w:rPr>
              <w:t>(12)</w:t>
            </w:r>
          </w:p>
        </w:tc>
      </w:tr>
      <w:tr w:rsidR="006C7A10" w:rsidRPr="006C7A10" w:rsidTr="00E46E46">
        <w:tc>
          <w:tcPr>
            <w:tcW w:w="994" w:type="pct"/>
            <w:tcBorders>
              <w:top w:val="single" w:sz="4" w:space="0" w:color="auto"/>
            </w:tcBorders>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Net_benefits_crop_farm</w:t>
            </w:r>
            <w:proofErr w:type="spellEnd"/>
          </w:p>
        </w:tc>
        <w:tc>
          <w:tcPr>
            <w:tcW w:w="1443" w:type="pct"/>
            <w:tcBorders>
              <w:top w:val="single" w:sz="4" w:space="0" w:color="auto"/>
            </w:tcBorders>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Net benefits of crop farming hectare (USD/ha/year)</w:t>
            </w:r>
          </w:p>
        </w:tc>
        <w:tc>
          <w:tcPr>
            <w:tcW w:w="193" w:type="pct"/>
            <w:tcBorders>
              <w:top w:val="single" w:sz="4" w:space="0" w:color="auto"/>
            </w:tcBorders>
            <w:shd w:val="clear" w:color="auto" w:fill="auto"/>
            <w:vAlign w:val="center"/>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p>
        </w:tc>
        <w:tc>
          <w:tcPr>
            <w:tcW w:w="207" w:type="pct"/>
            <w:tcBorders>
              <w:top w:val="single" w:sz="4" w:space="0" w:color="auto"/>
            </w:tcBorders>
            <w:shd w:val="clear" w:color="auto" w:fill="auto"/>
            <w:vAlign w:val="center"/>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p>
        </w:tc>
        <w:tc>
          <w:tcPr>
            <w:tcW w:w="198" w:type="pct"/>
            <w:tcBorders>
              <w:top w:val="single" w:sz="4" w:space="0" w:color="auto"/>
            </w:tcBorders>
            <w:shd w:val="clear" w:color="auto" w:fill="auto"/>
            <w:vAlign w:val="center"/>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p>
        </w:tc>
        <w:tc>
          <w:tcPr>
            <w:tcW w:w="208" w:type="pct"/>
            <w:tcBorders>
              <w:top w:val="single" w:sz="4" w:space="0" w:color="auto"/>
            </w:tcBorders>
            <w:shd w:val="clear" w:color="auto" w:fill="auto"/>
            <w:vAlign w:val="center"/>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p>
        </w:tc>
        <w:tc>
          <w:tcPr>
            <w:tcW w:w="80" w:type="pct"/>
            <w:tcBorders>
              <w:top w:val="single" w:sz="4" w:space="0" w:color="auto"/>
            </w:tcBorders>
            <w:shd w:val="clear" w:color="auto" w:fill="auto"/>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p>
        </w:tc>
        <w:tc>
          <w:tcPr>
            <w:tcW w:w="184" w:type="pct"/>
            <w:tcBorders>
              <w:top w:val="single" w:sz="4" w:space="0" w:color="auto"/>
            </w:tcBorders>
            <w:shd w:val="clear" w:color="auto" w:fill="auto"/>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p>
        </w:tc>
        <w:tc>
          <w:tcPr>
            <w:tcW w:w="209" w:type="pct"/>
            <w:tcBorders>
              <w:top w:val="single" w:sz="4" w:space="0" w:color="auto"/>
            </w:tcBorders>
            <w:shd w:val="clear" w:color="auto" w:fill="auto"/>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p>
        </w:tc>
        <w:tc>
          <w:tcPr>
            <w:tcW w:w="199" w:type="pct"/>
            <w:tcBorders>
              <w:top w:val="single" w:sz="4" w:space="0" w:color="auto"/>
            </w:tcBorders>
            <w:shd w:val="clear" w:color="auto" w:fill="auto"/>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p>
        </w:tc>
        <w:tc>
          <w:tcPr>
            <w:tcW w:w="209" w:type="pct"/>
            <w:tcBorders>
              <w:top w:val="single" w:sz="4" w:space="0" w:color="auto"/>
            </w:tcBorders>
            <w:shd w:val="clear" w:color="auto" w:fill="auto"/>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p>
        </w:tc>
        <w:tc>
          <w:tcPr>
            <w:tcW w:w="80" w:type="pct"/>
            <w:tcBorders>
              <w:top w:val="single" w:sz="4" w:space="0" w:color="auto"/>
            </w:tcBorders>
            <w:shd w:val="clear" w:color="auto" w:fill="auto"/>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p>
        </w:tc>
        <w:tc>
          <w:tcPr>
            <w:tcW w:w="184" w:type="pct"/>
            <w:tcBorders>
              <w:top w:val="single" w:sz="4" w:space="0" w:color="auto"/>
            </w:tcBorders>
            <w:shd w:val="clear" w:color="auto" w:fill="auto"/>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p>
        </w:tc>
        <w:tc>
          <w:tcPr>
            <w:tcW w:w="209" w:type="pct"/>
            <w:tcBorders>
              <w:top w:val="single" w:sz="4" w:space="0" w:color="auto"/>
            </w:tcBorders>
            <w:shd w:val="clear" w:color="auto" w:fill="auto"/>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p>
        </w:tc>
        <w:tc>
          <w:tcPr>
            <w:tcW w:w="198" w:type="pct"/>
            <w:tcBorders>
              <w:top w:val="single" w:sz="4" w:space="0" w:color="auto"/>
            </w:tcBorders>
            <w:shd w:val="clear" w:color="auto" w:fill="auto"/>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p>
        </w:tc>
        <w:tc>
          <w:tcPr>
            <w:tcW w:w="205" w:type="pct"/>
            <w:tcBorders>
              <w:top w:val="single" w:sz="4" w:space="0" w:color="auto"/>
            </w:tcBorders>
            <w:shd w:val="clear" w:color="auto" w:fill="auto"/>
          </w:tcPr>
          <w:p w:rsidR="00E46E46" w:rsidRPr="006C7A10" w:rsidRDefault="00E46E46" w:rsidP="00E46E46">
            <w:pPr>
              <w:pStyle w:val="NormalWeb"/>
              <w:spacing w:before="0" w:beforeAutospacing="0"/>
              <w:jc w:val="center"/>
              <w:rPr>
                <w:rFonts w:asciiTheme="minorHAnsi" w:hAnsiTheme="minorHAnsi" w:cstheme="minorHAnsi"/>
                <w:sz w:val="16"/>
                <w:szCs w:val="16"/>
                <w:lang w:val="en-US"/>
              </w:rPr>
            </w:pPr>
          </w:p>
        </w:tc>
      </w:tr>
      <w:tr w:rsidR="006C7A10" w:rsidRPr="006C7A10" w:rsidTr="00E46E46">
        <w:tc>
          <w:tcPr>
            <w:tcW w:w="99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Low_connectivity</w:t>
            </w:r>
            <w:proofErr w:type="spellEnd"/>
            <w:r w:rsidRPr="006C7A10">
              <w:rPr>
                <w:rFonts w:asciiTheme="minorHAnsi" w:hAnsiTheme="minorHAnsi" w:cstheme="minorHAnsi"/>
                <w:sz w:val="16"/>
                <w:szCs w:val="16"/>
                <w:lang w:val="en-US"/>
              </w:rPr>
              <w:t xml:space="preserve"> </w:t>
            </w:r>
          </w:p>
        </w:tc>
        <w:tc>
          <w:tcPr>
            <w:tcW w:w="1443"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xml:space="preserve">Proportion of landscape conserved contiguously equivalent to less than 40% of the total farmlands in the corridor </w:t>
            </w:r>
          </w:p>
        </w:tc>
        <w:tc>
          <w:tcPr>
            <w:tcW w:w="193"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0.0</w:t>
            </w:r>
          </w:p>
        </w:tc>
        <w:tc>
          <w:tcPr>
            <w:tcW w:w="207"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0.2</w:t>
            </w:r>
          </w:p>
        </w:tc>
        <w:tc>
          <w:tcPr>
            <w:tcW w:w="19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0.0</w:t>
            </w:r>
          </w:p>
        </w:tc>
        <w:tc>
          <w:tcPr>
            <w:tcW w:w="20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0.2</w:t>
            </w:r>
          </w:p>
        </w:tc>
        <w:tc>
          <w:tcPr>
            <w:tcW w:w="80"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8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0.03</w:t>
            </w: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0.1</w:t>
            </w:r>
          </w:p>
        </w:tc>
        <w:tc>
          <w:tcPr>
            <w:tcW w:w="19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80"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8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0.05</w:t>
            </w:r>
          </w:p>
        </w:tc>
        <w:tc>
          <w:tcPr>
            <w:tcW w:w="19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5"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6.8</w:t>
            </w:r>
          </w:p>
        </w:tc>
      </w:tr>
      <w:tr w:rsidR="006C7A10" w:rsidRPr="006C7A10" w:rsidTr="00E46E46">
        <w:tc>
          <w:tcPr>
            <w:tcW w:w="99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Medium_connectivity</w:t>
            </w:r>
            <w:proofErr w:type="spellEnd"/>
          </w:p>
        </w:tc>
        <w:tc>
          <w:tcPr>
            <w:tcW w:w="1443"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Proportion of landscape conserved contiguously equivalent to more than 40% but less than 80% of the total farmlands in the corridor</w:t>
            </w:r>
          </w:p>
        </w:tc>
        <w:tc>
          <w:tcPr>
            <w:tcW w:w="193"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7"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9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80"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8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0.4</w:t>
            </w: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0.4</w:t>
            </w:r>
          </w:p>
        </w:tc>
        <w:tc>
          <w:tcPr>
            <w:tcW w:w="19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80"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8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9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5"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r>
      <w:tr w:rsidR="006C7A10" w:rsidRPr="006C7A10" w:rsidTr="00E46E46">
        <w:tc>
          <w:tcPr>
            <w:tcW w:w="99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Discount_rate</w:t>
            </w:r>
            <w:proofErr w:type="spellEnd"/>
          </w:p>
        </w:tc>
        <w:tc>
          <w:tcPr>
            <w:tcW w:w="1443"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eastAsia="DengXian" w:hAnsiTheme="minorHAnsi" w:cstheme="minorHAnsi"/>
                <w:kern w:val="2"/>
                <w:sz w:val="16"/>
                <w:szCs w:val="16"/>
                <w:lang w:val="en-US" w:eastAsia="zh-CN"/>
                <w14:ligatures w14:val="standardContextual"/>
              </w:rPr>
              <w:t>Discount rate (%)</w:t>
            </w:r>
          </w:p>
        </w:tc>
        <w:tc>
          <w:tcPr>
            <w:tcW w:w="193"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7"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9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80"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8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9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1.1</w:t>
            </w: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1.2</w:t>
            </w:r>
          </w:p>
        </w:tc>
        <w:tc>
          <w:tcPr>
            <w:tcW w:w="80"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8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9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5"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r>
      <w:tr w:rsidR="006C7A10" w:rsidRPr="006C7A10" w:rsidTr="00E46E46">
        <w:tc>
          <w:tcPr>
            <w:tcW w:w="99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Stem_carbon_accumulted_MC</w:t>
            </w:r>
            <w:proofErr w:type="spellEnd"/>
          </w:p>
        </w:tc>
        <w:tc>
          <w:tcPr>
            <w:tcW w:w="1443"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Amount of stem carbon accumulated hectare(ton/ha/year) for a conserved farmland under medium connectivity scenario</w:t>
            </w:r>
          </w:p>
        </w:tc>
        <w:tc>
          <w:tcPr>
            <w:tcW w:w="193"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7"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9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80"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8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9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49.6</w:t>
            </w: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49.3</w:t>
            </w:r>
          </w:p>
        </w:tc>
        <w:tc>
          <w:tcPr>
            <w:tcW w:w="80"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8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8.3</w:t>
            </w:r>
          </w:p>
        </w:tc>
        <w:tc>
          <w:tcPr>
            <w:tcW w:w="19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5"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r>
      <w:tr w:rsidR="006C7A10" w:rsidRPr="006C7A10" w:rsidTr="00E46E46">
        <w:tc>
          <w:tcPr>
            <w:tcW w:w="99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Stem_carbon_accumulted_LC</w:t>
            </w:r>
            <w:proofErr w:type="spellEnd"/>
          </w:p>
        </w:tc>
        <w:tc>
          <w:tcPr>
            <w:tcW w:w="1443"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Amount of stem carbon accumulated hectare(ton/ha/year) for a conserved farmland under low connectivity scenario</w:t>
            </w:r>
          </w:p>
        </w:tc>
        <w:tc>
          <w:tcPr>
            <w:tcW w:w="193"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7"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9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80"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8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9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15.6</w:t>
            </w: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16.0</w:t>
            </w:r>
          </w:p>
        </w:tc>
        <w:tc>
          <w:tcPr>
            <w:tcW w:w="80"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8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9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5"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r>
      <w:tr w:rsidR="006C7A10" w:rsidRPr="006C7A10" w:rsidTr="00E46E46">
        <w:tc>
          <w:tcPr>
            <w:tcW w:w="99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Rate_change_tourism_project</w:t>
            </w:r>
            <w:proofErr w:type="spellEnd"/>
          </w:p>
        </w:tc>
        <w:tc>
          <w:tcPr>
            <w:tcW w:w="1443"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xml:space="preserve">Rate of change (in %) of projects funded by the tourism funds </w:t>
            </w:r>
          </w:p>
        </w:tc>
        <w:tc>
          <w:tcPr>
            <w:tcW w:w="193"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7"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9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80"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8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0.4</w:t>
            </w: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0.3</w:t>
            </w:r>
          </w:p>
        </w:tc>
        <w:tc>
          <w:tcPr>
            <w:tcW w:w="19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80"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8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9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5"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r>
      <w:tr w:rsidR="006C7A10" w:rsidRPr="006C7A10" w:rsidTr="00E46E46">
        <w:tc>
          <w:tcPr>
            <w:tcW w:w="99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Monitoring_costs_LC</w:t>
            </w:r>
            <w:proofErr w:type="spellEnd"/>
          </w:p>
        </w:tc>
        <w:tc>
          <w:tcPr>
            <w:tcW w:w="1443"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Monitoring costs per year (USD) under low landscape connectivity scenario</w:t>
            </w:r>
          </w:p>
        </w:tc>
        <w:tc>
          <w:tcPr>
            <w:tcW w:w="193"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7"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9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80"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8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25.8</w:t>
            </w: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26.7</w:t>
            </w:r>
          </w:p>
        </w:tc>
        <w:tc>
          <w:tcPr>
            <w:tcW w:w="19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80"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8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9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5"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r>
      <w:tr w:rsidR="006C7A10" w:rsidRPr="006C7A10" w:rsidTr="00E46E46">
        <w:tc>
          <w:tcPr>
            <w:tcW w:w="99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Monitoring_costs_MC</w:t>
            </w:r>
            <w:proofErr w:type="spellEnd"/>
          </w:p>
        </w:tc>
        <w:tc>
          <w:tcPr>
            <w:tcW w:w="1443"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Monitoring costs per year (USD) under medium landscape connectivity scenario</w:t>
            </w:r>
          </w:p>
        </w:tc>
        <w:tc>
          <w:tcPr>
            <w:tcW w:w="193"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7"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9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80"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8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1.9</w:t>
            </w: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2.0</w:t>
            </w:r>
          </w:p>
        </w:tc>
        <w:tc>
          <w:tcPr>
            <w:tcW w:w="19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80"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8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9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5"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r>
      <w:tr w:rsidR="006C7A10" w:rsidRPr="006C7A10" w:rsidTr="00E46E46">
        <w:tc>
          <w:tcPr>
            <w:tcW w:w="99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Monitoring_costs_HC</w:t>
            </w:r>
            <w:proofErr w:type="spellEnd"/>
          </w:p>
        </w:tc>
        <w:tc>
          <w:tcPr>
            <w:tcW w:w="1443"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Monitoring costs per year (USD) under high landscape connectivity scenario</w:t>
            </w:r>
          </w:p>
        </w:tc>
        <w:tc>
          <w:tcPr>
            <w:tcW w:w="193"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7"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9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80"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8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0.1</w:t>
            </w: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0.1</w:t>
            </w:r>
          </w:p>
        </w:tc>
        <w:tc>
          <w:tcPr>
            <w:tcW w:w="19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80"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8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9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5"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r>
      <w:tr w:rsidR="006C7A10" w:rsidRPr="006C7A10" w:rsidTr="00E46E46">
        <w:tc>
          <w:tcPr>
            <w:tcW w:w="99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Number_rangers_HC</w:t>
            </w:r>
            <w:proofErr w:type="spellEnd"/>
          </w:p>
        </w:tc>
        <w:tc>
          <w:tcPr>
            <w:tcW w:w="1443"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Number of rangers employed in a landscape per year</w:t>
            </w:r>
          </w:p>
        </w:tc>
        <w:tc>
          <w:tcPr>
            <w:tcW w:w="193"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7"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9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80"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8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0.2</w:t>
            </w: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0.1</w:t>
            </w:r>
          </w:p>
        </w:tc>
        <w:tc>
          <w:tcPr>
            <w:tcW w:w="19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0.01</w:t>
            </w: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0.02</w:t>
            </w:r>
          </w:p>
        </w:tc>
        <w:tc>
          <w:tcPr>
            <w:tcW w:w="80"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8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9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5"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r>
      <w:tr w:rsidR="006C7A10" w:rsidRPr="006C7A10" w:rsidTr="00E46E46">
        <w:tc>
          <w:tcPr>
            <w:tcW w:w="99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Farm_size_high_agro_ecological_value</w:t>
            </w:r>
            <w:proofErr w:type="spellEnd"/>
          </w:p>
        </w:tc>
        <w:tc>
          <w:tcPr>
            <w:tcW w:w="1443"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Farm size (in ha) of high agronomic and ecological value in the corridor</w:t>
            </w:r>
          </w:p>
        </w:tc>
        <w:tc>
          <w:tcPr>
            <w:tcW w:w="193"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7"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9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80"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8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7.6</w:t>
            </w: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7.8</w:t>
            </w:r>
          </w:p>
        </w:tc>
        <w:tc>
          <w:tcPr>
            <w:tcW w:w="19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80"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8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9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5"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r>
      <w:tr w:rsidR="006C7A10" w:rsidRPr="006C7A10" w:rsidTr="00E46E46">
        <w:tc>
          <w:tcPr>
            <w:tcW w:w="99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Rate_change_consol_costs_MC</w:t>
            </w:r>
            <w:proofErr w:type="spellEnd"/>
          </w:p>
        </w:tc>
        <w:tc>
          <w:tcPr>
            <w:tcW w:w="1443"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Rate (in %) of change of consolation expenses with time under medium landscape connectivity scenario.</w:t>
            </w:r>
          </w:p>
        </w:tc>
        <w:tc>
          <w:tcPr>
            <w:tcW w:w="193"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7"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9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80"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8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1.5</w:t>
            </w: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1.6</w:t>
            </w:r>
          </w:p>
        </w:tc>
        <w:tc>
          <w:tcPr>
            <w:tcW w:w="19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80"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8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9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5"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r>
      <w:tr w:rsidR="006C7A10" w:rsidRPr="006C7A10" w:rsidTr="00E46E46">
        <w:tc>
          <w:tcPr>
            <w:tcW w:w="99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Gov_tax_traded_crops</w:t>
            </w:r>
            <w:proofErr w:type="spellEnd"/>
          </w:p>
        </w:tc>
        <w:tc>
          <w:tcPr>
            <w:tcW w:w="1443"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 xml:space="preserve">Government taxes collected from trading of crop yields </w:t>
            </w:r>
          </w:p>
        </w:tc>
        <w:tc>
          <w:tcPr>
            <w:tcW w:w="193"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7"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9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80"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8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9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0.2</w:t>
            </w: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0.2</w:t>
            </w:r>
          </w:p>
        </w:tc>
        <w:tc>
          <w:tcPr>
            <w:tcW w:w="80"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8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9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5"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r>
      <w:tr w:rsidR="006C7A10" w:rsidRPr="006C7A10" w:rsidTr="00E46E46">
        <w:tc>
          <w:tcPr>
            <w:tcW w:w="99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roofErr w:type="spellStart"/>
            <w:r w:rsidRPr="006C7A10">
              <w:rPr>
                <w:rFonts w:asciiTheme="minorHAnsi" w:hAnsiTheme="minorHAnsi" w:cstheme="minorHAnsi"/>
                <w:sz w:val="16"/>
                <w:szCs w:val="16"/>
                <w:lang w:val="en-US"/>
              </w:rPr>
              <w:t>Price_carbon_ton</w:t>
            </w:r>
            <w:proofErr w:type="spellEnd"/>
          </w:p>
        </w:tc>
        <w:tc>
          <w:tcPr>
            <w:tcW w:w="1443"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Market price of carbon per ton (USD/ton)</w:t>
            </w:r>
          </w:p>
        </w:tc>
        <w:tc>
          <w:tcPr>
            <w:tcW w:w="193"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7"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9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80"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8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9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0.01</w:t>
            </w: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r w:rsidRPr="006C7A10">
              <w:rPr>
                <w:rFonts w:asciiTheme="minorHAnsi" w:hAnsiTheme="minorHAnsi" w:cstheme="minorHAnsi"/>
                <w:sz w:val="16"/>
                <w:szCs w:val="16"/>
                <w:lang w:val="en-US"/>
              </w:rPr>
              <w:t>0.02</w:t>
            </w:r>
          </w:p>
        </w:tc>
        <w:tc>
          <w:tcPr>
            <w:tcW w:w="80"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84"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9"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198"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c>
          <w:tcPr>
            <w:tcW w:w="205" w:type="pct"/>
            <w:shd w:val="clear" w:color="auto" w:fill="auto"/>
          </w:tcPr>
          <w:p w:rsidR="00E46E46" w:rsidRPr="006C7A10" w:rsidRDefault="00E46E46" w:rsidP="00E46E46">
            <w:pPr>
              <w:pStyle w:val="NormalWeb"/>
              <w:spacing w:before="0" w:beforeAutospacing="0"/>
              <w:jc w:val="both"/>
              <w:rPr>
                <w:rFonts w:asciiTheme="minorHAnsi" w:hAnsiTheme="minorHAnsi" w:cstheme="minorHAnsi"/>
                <w:sz w:val="16"/>
                <w:szCs w:val="16"/>
                <w:lang w:val="en-US"/>
              </w:rPr>
            </w:pPr>
          </w:p>
        </w:tc>
      </w:tr>
    </w:tbl>
    <w:p w:rsidR="00E46E46" w:rsidRPr="006C7A10" w:rsidRDefault="00E46E46" w:rsidP="00150525">
      <w:pPr>
        <w:rPr>
          <w:rFonts w:asciiTheme="minorHAnsi" w:hAnsiTheme="minorHAnsi" w:cstheme="minorHAnsi"/>
          <w:b/>
          <w:bCs/>
        </w:rPr>
        <w:sectPr w:rsidR="00E46E46" w:rsidRPr="006C7A10" w:rsidSect="00E46E46">
          <w:pgSz w:w="16838" w:h="11906" w:orient="landscape"/>
          <w:pgMar w:top="1440" w:right="1440" w:bottom="1440" w:left="1440" w:header="709" w:footer="709" w:gutter="0"/>
          <w:cols w:space="708"/>
          <w:docGrid w:linePitch="360"/>
        </w:sectPr>
      </w:pPr>
    </w:p>
    <w:p w:rsidR="00B522E0" w:rsidRPr="006C7A10" w:rsidRDefault="00B522E0" w:rsidP="00B522E0">
      <w:pPr>
        <w:ind w:firstLine="0"/>
        <w:jc w:val="both"/>
        <w:rPr>
          <w:rFonts w:asciiTheme="minorHAnsi" w:hAnsiTheme="minorHAnsi" w:cstheme="minorHAnsi"/>
          <w:b/>
          <w:bCs/>
        </w:rPr>
      </w:pPr>
      <w:r w:rsidRPr="006C7A10">
        <w:rPr>
          <w:rFonts w:asciiTheme="minorHAnsi" w:hAnsiTheme="minorHAnsi" w:cstheme="minorHAnsi"/>
          <w:b/>
          <w:bCs/>
        </w:rPr>
        <w:lastRenderedPageBreak/>
        <w:t xml:space="preserve">References </w:t>
      </w:r>
    </w:p>
    <w:p w:rsidR="00B522E0" w:rsidRPr="006C7A10" w:rsidRDefault="00B522E0" w:rsidP="00B522E0">
      <w:pPr>
        <w:ind w:firstLine="0"/>
        <w:jc w:val="both"/>
        <w:rPr>
          <w:rFonts w:asciiTheme="minorHAnsi" w:hAnsiTheme="minorHAnsi" w:cstheme="minorHAnsi"/>
          <w:b/>
          <w:bCs/>
        </w:rPr>
      </w:pPr>
    </w:p>
    <w:p w:rsidR="00B522E0" w:rsidRPr="006C7A10" w:rsidRDefault="00B522E0" w:rsidP="00B522E0">
      <w:pPr>
        <w:pStyle w:val="Bibliography"/>
        <w:spacing w:line="360" w:lineRule="auto"/>
        <w:jc w:val="both"/>
        <w:rPr>
          <w:rFonts w:cs="Calibri"/>
        </w:rPr>
      </w:pPr>
      <w:r w:rsidRPr="006C7A10">
        <w:rPr>
          <w:rFonts w:asciiTheme="minorHAnsi" w:hAnsiTheme="minorHAnsi" w:cstheme="minorHAnsi"/>
          <w:b/>
          <w:bCs/>
        </w:rPr>
        <w:fldChar w:fldCharType="begin"/>
      </w:r>
      <w:r w:rsidRPr="006C7A10">
        <w:rPr>
          <w:rFonts w:asciiTheme="minorHAnsi" w:hAnsiTheme="minorHAnsi" w:cstheme="minorHAnsi"/>
          <w:b/>
          <w:bCs/>
        </w:rPr>
        <w:instrText xml:space="preserve"> ADDIN ZOTERO_BIBL {"uncited":[],"omitted":[],"custom":[]} CSL_BIBLIOGRAPHY </w:instrText>
      </w:r>
      <w:r w:rsidRPr="006C7A10">
        <w:rPr>
          <w:rFonts w:asciiTheme="minorHAnsi" w:hAnsiTheme="minorHAnsi" w:cstheme="minorHAnsi"/>
          <w:b/>
          <w:bCs/>
        </w:rPr>
        <w:fldChar w:fldCharType="separate"/>
      </w:r>
      <w:r w:rsidRPr="006C7A10">
        <w:rPr>
          <w:rFonts w:cs="Calibri"/>
        </w:rPr>
        <w:t xml:space="preserve">Abatable. (2022). </w:t>
      </w:r>
      <w:r w:rsidRPr="006C7A10">
        <w:rPr>
          <w:rFonts w:cs="Calibri"/>
          <w:i/>
          <w:iCs/>
        </w:rPr>
        <w:t>Carbon credits prices in the voluntary carbon market</w:t>
      </w:r>
      <w:r w:rsidRPr="006C7A10">
        <w:rPr>
          <w:rFonts w:cs="Calibri"/>
        </w:rPr>
        <w:t>. https://abatable.com/blog/carbon-credits-pricing/</w:t>
      </w:r>
    </w:p>
    <w:p w:rsidR="00B522E0" w:rsidRPr="006C7A10" w:rsidRDefault="00B522E0" w:rsidP="00B522E0">
      <w:pPr>
        <w:pStyle w:val="Bibliography"/>
        <w:spacing w:line="360" w:lineRule="auto"/>
        <w:jc w:val="both"/>
        <w:rPr>
          <w:rFonts w:cs="Calibri"/>
        </w:rPr>
      </w:pPr>
      <w:r w:rsidRPr="006C7A10">
        <w:rPr>
          <w:rFonts w:cs="Calibri"/>
        </w:rPr>
        <w:t xml:space="preserve">Anderson, W., &amp; Saidi, S. A. (2011). Internationalization and Poverty Alleviation: Practical Evidence from Amani Butterfly Project in Tanzania. </w:t>
      </w:r>
      <w:r w:rsidRPr="006C7A10">
        <w:rPr>
          <w:rFonts w:cs="Calibri"/>
          <w:i/>
          <w:iCs/>
        </w:rPr>
        <w:t>Journal of Poverty Alleviation &amp; International Development</w:t>
      </w:r>
      <w:r w:rsidRPr="006C7A10">
        <w:rPr>
          <w:rFonts w:cs="Calibri"/>
        </w:rPr>
        <w:t xml:space="preserve">, </w:t>
      </w:r>
      <w:r w:rsidRPr="006C7A10">
        <w:rPr>
          <w:rFonts w:cs="Calibri"/>
          <w:i/>
          <w:iCs/>
        </w:rPr>
        <w:t>2</w:t>
      </w:r>
      <w:r w:rsidRPr="006C7A10">
        <w:rPr>
          <w:rFonts w:cs="Calibri"/>
        </w:rPr>
        <w:t>(2). http://hdl.handle.net/123456789/1546</w:t>
      </w:r>
    </w:p>
    <w:p w:rsidR="00B522E0" w:rsidRPr="006C7A10" w:rsidRDefault="00B522E0" w:rsidP="00B522E0">
      <w:pPr>
        <w:pStyle w:val="Bibliography"/>
        <w:spacing w:line="360" w:lineRule="auto"/>
        <w:jc w:val="both"/>
        <w:rPr>
          <w:rFonts w:cs="Calibri"/>
        </w:rPr>
      </w:pPr>
      <w:r w:rsidRPr="006C7A10">
        <w:rPr>
          <w:rFonts w:cs="Calibri"/>
          <w:lang w:val="nl-NL"/>
        </w:rPr>
        <w:t xml:space="preserve">Banerjee, S., Cason, T. N., de Vries, F. P., &amp; Hanley, N. (2017). </w:t>
      </w:r>
      <w:r w:rsidRPr="006C7A10">
        <w:rPr>
          <w:rFonts w:cs="Calibri"/>
        </w:rPr>
        <w:t xml:space="preserve">Transaction costs, communication and spatial coordination in Payment for Ecosystem Services Schemes. </w:t>
      </w:r>
      <w:r w:rsidRPr="006C7A10">
        <w:rPr>
          <w:rFonts w:cs="Calibri"/>
          <w:i/>
          <w:iCs/>
        </w:rPr>
        <w:t>Journal of Environmental Economics and Management</w:t>
      </w:r>
      <w:r w:rsidRPr="006C7A10">
        <w:rPr>
          <w:rFonts w:cs="Calibri"/>
        </w:rPr>
        <w:t xml:space="preserve">, </w:t>
      </w:r>
      <w:r w:rsidRPr="006C7A10">
        <w:rPr>
          <w:rFonts w:cs="Calibri"/>
          <w:i/>
          <w:iCs/>
        </w:rPr>
        <w:t>83</w:t>
      </w:r>
      <w:r w:rsidRPr="006C7A10">
        <w:rPr>
          <w:rFonts w:cs="Calibri"/>
        </w:rPr>
        <w:t>, 68–89. https://doi.org/10.1016/j.jeem.2016.12.005</w:t>
      </w:r>
    </w:p>
    <w:p w:rsidR="00B522E0" w:rsidRPr="006C7A10" w:rsidRDefault="00B522E0" w:rsidP="00B522E0">
      <w:pPr>
        <w:pStyle w:val="Bibliography"/>
        <w:spacing w:line="360" w:lineRule="auto"/>
        <w:jc w:val="both"/>
        <w:rPr>
          <w:rFonts w:cs="Calibri"/>
        </w:rPr>
      </w:pPr>
      <w:r w:rsidRPr="006C7A10">
        <w:rPr>
          <w:rFonts w:cs="Calibri"/>
        </w:rPr>
        <w:t xml:space="preserve">Community Wildlife Management Areas Consortium (CWMAC). (2019). </w:t>
      </w:r>
      <w:r w:rsidRPr="006C7A10">
        <w:rPr>
          <w:rFonts w:cs="Calibri"/>
          <w:i/>
          <w:iCs/>
        </w:rPr>
        <w:t>WILDLIFE MANAGEMENT AREA (WMA) PERFORMANCE ASSESSMENT  REPORT</w:t>
      </w:r>
      <w:r w:rsidRPr="006C7A10">
        <w:rPr>
          <w:rFonts w:cs="Calibri"/>
        </w:rPr>
        <w:t>.</w:t>
      </w:r>
    </w:p>
    <w:p w:rsidR="00B522E0" w:rsidRPr="006C7A10" w:rsidRDefault="00B522E0" w:rsidP="00B522E0">
      <w:pPr>
        <w:pStyle w:val="Bibliography"/>
        <w:spacing w:line="360" w:lineRule="auto"/>
        <w:jc w:val="both"/>
        <w:rPr>
          <w:rFonts w:cs="Calibri"/>
        </w:rPr>
      </w:pPr>
      <w:r w:rsidRPr="006C7A10">
        <w:rPr>
          <w:rFonts w:cs="Calibri"/>
        </w:rPr>
        <w:t xml:space="preserve">Fisher, B., Lewis, S. L., Burgess, N. D., Malimbwi, R. E., Munishi, P. K., Swetnam, R. D., Kerry Turner, R., Willcock, S., &amp; Balmford, A. (2011). Implementation and opportunity costs of reducing deforestation and forest degradation in Tanzania. </w:t>
      </w:r>
      <w:r w:rsidRPr="006C7A10">
        <w:rPr>
          <w:rFonts w:cs="Calibri"/>
          <w:i/>
          <w:iCs/>
        </w:rPr>
        <w:t>Nature Climate Change</w:t>
      </w:r>
      <w:r w:rsidRPr="006C7A10">
        <w:rPr>
          <w:rFonts w:cs="Calibri"/>
        </w:rPr>
        <w:t xml:space="preserve">, </w:t>
      </w:r>
      <w:r w:rsidRPr="006C7A10">
        <w:rPr>
          <w:rFonts w:cs="Calibri"/>
          <w:i/>
          <w:iCs/>
        </w:rPr>
        <w:t>1</w:t>
      </w:r>
      <w:r w:rsidRPr="006C7A10">
        <w:rPr>
          <w:rFonts w:cs="Calibri"/>
        </w:rPr>
        <w:t>(3), 161–164. https://doi.org/10.1038/nclimate1119</w:t>
      </w:r>
    </w:p>
    <w:p w:rsidR="00B522E0" w:rsidRPr="006C7A10" w:rsidRDefault="00B522E0" w:rsidP="00B522E0">
      <w:pPr>
        <w:pStyle w:val="Bibliography"/>
        <w:spacing w:line="360" w:lineRule="auto"/>
        <w:jc w:val="both"/>
        <w:rPr>
          <w:rFonts w:cs="Calibri"/>
        </w:rPr>
      </w:pPr>
      <w:r w:rsidRPr="006C7A10">
        <w:rPr>
          <w:rFonts w:cs="Calibri"/>
        </w:rPr>
        <w:t xml:space="preserve">Green, J. M. H., Fisher, B., Green, R. E., Makero, J., Platts, P. J., Robert, N., Schaafsma, M., Turner, R. K., &amp; Balmford, A. (2018). Local costs of conservation exceed those borne by the global majority. </w:t>
      </w:r>
      <w:r w:rsidRPr="006C7A10">
        <w:rPr>
          <w:rFonts w:cs="Calibri"/>
          <w:i/>
          <w:iCs/>
        </w:rPr>
        <w:t>Global Ecology and Conservation</w:t>
      </w:r>
      <w:r w:rsidRPr="006C7A10">
        <w:rPr>
          <w:rFonts w:cs="Calibri"/>
        </w:rPr>
        <w:t xml:space="preserve">, </w:t>
      </w:r>
      <w:r w:rsidRPr="006C7A10">
        <w:rPr>
          <w:rFonts w:cs="Calibri"/>
          <w:i/>
          <w:iCs/>
        </w:rPr>
        <w:t>14</w:t>
      </w:r>
      <w:r w:rsidRPr="006C7A10">
        <w:rPr>
          <w:rFonts w:cs="Calibri"/>
        </w:rPr>
        <w:t>, e00385. https://doi.org/10.1016/j.gecco.2018.e00385</w:t>
      </w:r>
    </w:p>
    <w:p w:rsidR="00B522E0" w:rsidRPr="006C7A10" w:rsidRDefault="00B522E0" w:rsidP="00B522E0">
      <w:pPr>
        <w:pStyle w:val="Bibliography"/>
        <w:spacing w:line="360" w:lineRule="auto"/>
        <w:jc w:val="both"/>
        <w:rPr>
          <w:rFonts w:cs="Calibri"/>
        </w:rPr>
      </w:pPr>
      <w:r w:rsidRPr="006C7A10">
        <w:rPr>
          <w:rFonts w:cs="Calibri"/>
        </w:rPr>
        <w:t xml:space="preserve">Greenwood, R., Hanson, S. G., Shleifer, A., &amp; Sørensen, J. A. (2022). Predictable Financial Crises. </w:t>
      </w:r>
      <w:r w:rsidRPr="006C7A10">
        <w:rPr>
          <w:rFonts w:cs="Calibri"/>
          <w:i/>
          <w:iCs/>
        </w:rPr>
        <w:t>The Journal of Finance</w:t>
      </w:r>
      <w:r w:rsidRPr="006C7A10">
        <w:rPr>
          <w:rFonts w:cs="Calibri"/>
        </w:rPr>
        <w:t xml:space="preserve">, </w:t>
      </w:r>
      <w:r w:rsidRPr="006C7A10">
        <w:rPr>
          <w:rFonts w:cs="Calibri"/>
          <w:i/>
          <w:iCs/>
        </w:rPr>
        <w:t>77</w:t>
      </w:r>
      <w:r w:rsidRPr="006C7A10">
        <w:rPr>
          <w:rFonts w:cs="Calibri"/>
        </w:rPr>
        <w:t>(2), 863–921. https://doi.org/10.1111/jofi.13105</w:t>
      </w:r>
    </w:p>
    <w:p w:rsidR="00B522E0" w:rsidRPr="006C7A10" w:rsidRDefault="00B522E0" w:rsidP="00B522E0">
      <w:pPr>
        <w:pStyle w:val="Bibliography"/>
        <w:spacing w:line="360" w:lineRule="auto"/>
        <w:jc w:val="both"/>
        <w:rPr>
          <w:rFonts w:cs="Calibri"/>
        </w:rPr>
      </w:pPr>
      <w:r w:rsidRPr="006C7A10">
        <w:rPr>
          <w:rFonts w:cs="Calibri"/>
        </w:rPr>
        <w:t xml:space="preserve">Guldemond, R. A. R., Louw, C. J., Maré, C., Nørgaard, C., &amp; van Aarde, R. J. (2022). Demographic responses of an insular elephant population to removal as a management intervention. </w:t>
      </w:r>
      <w:r w:rsidRPr="006C7A10">
        <w:rPr>
          <w:rFonts w:cs="Calibri"/>
          <w:i/>
          <w:iCs/>
        </w:rPr>
        <w:t>Conservation Science and Practice</w:t>
      </w:r>
      <w:r w:rsidRPr="006C7A10">
        <w:rPr>
          <w:rFonts w:cs="Calibri"/>
        </w:rPr>
        <w:t xml:space="preserve">, </w:t>
      </w:r>
      <w:r w:rsidRPr="006C7A10">
        <w:rPr>
          <w:rFonts w:cs="Calibri"/>
          <w:i/>
          <w:iCs/>
        </w:rPr>
        <w:t>4</w:t>
      </w:r>
      <w:r w:rsidRPr="006C7A10">
        <w:rPr>
          <w:rFonts w:cs="Calibri"/>
        </w:rPr>
        <w:t>, e12741. https://doi.org/10.1111/csp2.12741</w:t>
      </w:r>
    </w:p>
    <w:p w:rsidR="00B522E0" w:rsidRPr="006C7A10" w:rsidRDefault="00B522E0" w:rsidP="00B522E0">
      <w:pPr>
        <w:pStyle w:val="Bibliography"/>
        <w:spacing w:line="360" w:lineRule="auto"/>
        <w:jc w:val="both"/>
        <w:rPr>
          <w:rFonts w:cs="Calibri"/>
        </w:rPr>
      </w:pPr>
      <w:r w:rsidRPr="006C7A10">
        <w:rPr>
          <w:rFonts w:cs="Calibri"/>
        </w:rPr>
        <w:t xml:space="preserve">Hariohay, K., &amp; Røskaft, E. (2015). Wildlife Induced Damage to Crops and Livestock Loss and how they Affect Human Attitudes in the Kwakuchinja Wildlife Corridor in Northern Tanzania. </w:t>
      </w:r>
      <w:r w:rsidRPr="006C7A10">
        <w:rPr>
          <w:rFonts w:cs="Calibri"/>
          <w:i/>
          <w:iCs/>
        </w:rPr>
        <w:t>Environment and Natural Resources Research</w:t>
      </w:r>
      <w:r w:rsidRPr="006C7A10">
        <w:rPr>
          <w:rFonts w:cs="Calibri"/>
        </w:rPr>
        <w:t xml:space="preserve">, </w:t>
      </w:r>
      <w:r w:rsidRPr="006C7A10">
        <w:rPr>
          <w:rFonts w:cs="Calibri"/>
          <w:i/>
          <w:iCs/>
        </w:rPr>
        <w:t>5</w:t>
      </w:r>
      <w:r w:rsidRPr="006C7A10">
        <w:rPr>
          <w:rFonts w:cs="Calibri"/>
        </w:rPr>
        <w:t>(3), Article 3. https://doi.org/10.5539/enrr.v5n3p72</w:t>
      </w:r>
    </w:p>
    <w:p w:rsidR="00B522E0" w:rsidRPr="006C7A10" w:rsidRDefault="00B522E0" w:rsidP="00B522E0">
      <w:pPr>
        <w:pStyle w:val="Bibliography"/>
        <w:spacing w:line="360" w:lineRule="auto"/>
        <w:jc w:val="both"/>
        <w:rPr>
          <w:rFonts w:cs="Calibri"/>
        </w:rPr>
      </w:pPr>
      <w:r w:rsidRPr="006C7A10">
        <w:rPr>
          <w:rFonts w:cs="Calibri"/>
        </w:rPr>
        <w:lastRenderedPageBreak/>
        <w:t xml:space="preserve">Kalaba, F. K. (2013). Floristic composition, species diversity and carbon storage in charcoal and agriculture fallows and management implications in Miombo woodlands of Zambia. </w:t>
      </w:r>
      <w:r w:rsidRPr="006C7A10">
        <w:rPr>
          <w:rFonts w:cs="Calibri"/>
          <w:i/>
          <w:iCs/>
        </w:rPr>
        <w:t>Forest Ecology and Management</w:t>
      </w:r>
      <w:r w:rsidRPr="006C7A10">
        <w:rPr>
          <w:rFonts w:cs="Calibri"/>
        </w:rPr>
        <w:t>.</w:t>
      </w:r>
    </w:p>
    <w:p w:rsidR="00B522E0" w:rsidRPr="006C7A10" w:rsidRDefault="00B522E0" w:rsidP="00B522E0">
      <w:pPr>
        <w:pStyle w:val="Bibliography"/>
        <w:spacing w:line="360" w:lineRule="auto"/>
        <w:jc w:val="both"/>
        <w:rPr>
          <w:rFonts w:cs="Calibri"/>
        </w:rPr>
      </w:pPr>
      <w:r w:rsidRPr="006C7A10">
        <w:rPr>
          <w:rFonts w:cs="Calibri"/>
        </w:rPr>
        <w:t xml:space="preserve">Kegamba, J. J., Sangha, K. K., Wurm, P. A. S., Meitamei, J. L., Tiotem, L. G., &amp; Garnett, S. T. (2024). The human and financial costs of conservation for local communities living around the Greater Serengeti Ecosystem, Tanzania. </w:t>
      </w:r>
      <w:r w:rsidRPr="006C7A10">
        <w:rPr>
          <w:rFonts w:cs="Calibri"/>
          <w:i/>
          <w:iCs/>
        </w:rPr>
        <w:t>Global Ecology and Conservation</w:t>
      </w:r>
      <w:r w:rsidRPr="006C7A10">
        <w:rPr>
          <w:rFonts w:cs="Calibri"/>
        </w:rPr>
        <w:t xml:space="preserve">, </w:t>
      </w:r>
      <w:r w:rsidRPr="006C7A10">
        <w:rPr>
          <w:rFonts w:cs="Calibri"/>
          <w:i/>
          <w:iCs/>
        </w:rPr>
        <w:t>52</w:t>
      </w:r>
      <w:r w:rsidRPr="006C7A10">
        <w:rPr>
          <w:rFonts w:cs="Calibri"/>
        </w:rPr>
        <w:t>, e02974. https://doi.org/10.1016/j.gecco.2024.e02974</w:t>
      </w:r>
    </w:p>
    <w:p w:rsidR="00B522E0" w:rsidRPr="006C7A10" w:rsidRDefault="00B522E0" w:rsidP="00B522E0">
      <w:pPr>
        <w:pStyle w:val="Bibliography"/>
        <w:spacing w:line="360" w:lineRule="auto"/>
        <w:jc w:val="both"/>
        <w:rPr>
          <w:rFonts w:cs="Calibri"/>
        </w:rPr>
      </w:pPr>
      <w:r w:rsidRPr="006C7A10">
        <w:rPr>
          <w:rFonts w:cs="Calibri"/>
        </w:rPr>
        <w:t xml:space="preserve">Kideghesho, J. R. (2008). Who Pays for Wildlife Conservation in Tanzania and Who Benefits? </w:t>
      </w:r>
      <w:r w:rsidRPr="006C7A10">
        <w:rPr>
          <w:rFonts w:cs="Calibri"/>
          <w:i/>
          <w:iCs/>
        </w:rPr>
        <w:t>12th Biennal Conference of the International Association of the Study of the Commons (2008)</w:t>
      </w:r>
      <w:r w:rsidRPr="006C7A10">
        <w:rPr>
          <w:rFonts w:cs="Calibri"/>
        </w:rPr>
        <w:t>.</w:t>
      </w:r>
    </w:p>
    <w:p w:rsidR="00B522E0" w:rsidRPr="006C7A10" w:rsidRDefault="00B522E0" w:rsidP="00B522E0">
      <w:pPr>
        <w:pStyle w:val="Bibliography"/>
        <w:spacing w:line="360" w:lineRule="auto"/>
        <w:jc w:val="both"/>
        <w:rPr>
          <w:rFonts w:cs="Calibri"/>
        </w:rPr>
      </w:pPr>
      <w:r w:rsidRPr="006C7A10">
        <w:rPr>
          <w:rFonts w:cs="Calibri"/>
        </w:rPr>
        <w:t xml:space="preserve">Laws, E., Scott, N., Font, X., &amp; Koldowski, J. (2020). </w:t>
      </w:r>
      <w:r w:rsidRPr="006C7A10">
        <w:rPr>
          <w:rFonts w:cs="Calibri"/>
          <w:i/>
          <w:iCs/>
        </w:rPr>
        <w:t>The Elephant Tourism Business</w:t>
      </w:r>
      <w:r w:rsidRPr="006C7A10">
        <w:rPr>
          <w:rFonts w:cs="Calibri"/>
        </w:rPr>
        <w:t>. CABI.</w:t>
      </w:r>
    </w:p>
    <w:p w:rsidR="00B522E0" w:rsidRPr="006C7A10" w:rsidRDefault="00B522E0" w:rsidP="00B522E0">
      <w:pPr>
        <w:pStyle w:val="Bibliography"/>
        <w:spacing w:line="360" w:lineRule="auto"/>
        <w:jc w:val="both"/>
        <w:rPr>
          <w:rFonts w:cs="Calibri"/>
        </w:rPr>
      </w:pPr>
      <w:r w:rsidRPr="006C7A10">
        <w:rPr>
          <w:rFonts w:cs="Calibri"/>
        </w:rPr>
        <w:t xml:space="preserve">Manoa, D. O., Mwaura, F., Thenya, T., &amp; Mukhovi, S. (2021). Comparative analysis of time and monetary opportunity costs of human-wildlife conflict in Amboseli and Mt. Kenya Ecosystems, Kenya. </w:t>
      </w:r>
      <w:r w:rsidRPr="006C7A10">
        <w:rPr>
          <w:rFonts w:cs="Calibri"/>
          <w:i/>
          <w:iCs/>
        </w:rPr>
        <w:t>Current Research in Environmental Sustainability</w:t>
      </w:r>
      <w:r w:rsidRPr="006C7A10">
        <w:rPr>
          <w:rFonts w:cs="Calibri"/>
        </w:rPr>
        <w:t xml:space="preserve">, </w:t>
      </w:r>
      <w:r w:rsidRPr="006C7A10">
        <w:rPr>
          <w:rFonts w:cs="Calibri"/>
          <w:i/>
          <w:iCs/>
        </w:rPr>
        <w:t>3</w:t>
      </w:r>
      <w:r w:rsidRPr="006C7A10">
        <w:rPr>
          <w:rFonts w:cs="Calibri"/>
        </w:rPr>
        <w:t>, 100103. https://doi.org/10.1016/j.crsust.2021.100103</w:t>
      </w:r>
    </w:p>
    <w:p w:rsidR="00B522E0" w:rsidRPr="006C7A10" w:rsidRDefault="00B522E0" w:rsidP="00B522E0">
      <w:pPr>
        <w:pStyle w:val="Bibliography"/>
        <w:spacing w:line="360" w:lineRule="auto"/>
        <w:jc w:val="both"/>
        <w:rPr>
          <w:rFonts w:cs="Calibri"/>
        </w:rPr>
      </w:pPr>
      <w:r w:rsidRPr="006C7A10">
        <w:rPr>
          <w:rFonts w:cs="Calibri"/>
        </w:rPr>
        <w:t xml:space="preserve">Mathew, M. M., Majule, A. E., Sinclair, F., &amp; Marchant, R. (2016). Relationships between on-farm tree stocks and soil organic carbon along an altitudinal gradient, Mount Kilimanjaro, Tanzania. </w:t>
      </w:r>
      <w:r w:rsidRPr="006C7A10">
        <w:rPr>
          <w:rFonts w:cs="Calibri"/>
          <w:i/>
          <w:iCs/>
        </w:rPr>
        <w:t>Forests, Trees and Livelihoods</w:t>
      </w:r>
      <w:r w:rsidRPr="006C7A10">
        <w:rPr>
          <w:rFonts w:cs="Calibri"/>
        </w:rPr>
        <w:t xml:space="preserve">, </w:t>
      </w:r>
      <w:r w:rsidRPr="006C7A10">
        <w:rPr>
          <w:rFonts w:cs="Calibri"/>
          <w:i/>
          <w:iCs/>
        </w:rPr>
        <w:t>25</w:t>
      </w:r>
      <w:r w:rsidRPr="006C7A10">
        <w:rPr>
          <w:rFonts w:cs="Calibri"/>
        </w:rPr>
        <w:t>(4), 255–266. https://doi.org/10.1080/14728028.2016.1202790</w:t>
      </w:r>
    </w:p>
    <w:p w:rsidR="00B522E0" w:rsidRPr="006C7A10" w:rsidRDefault="00B522E0" w:rsidP="00B522E0">
      <w:pPr>
        <w:pStyle w:val="Bibliography"/>
        <w:spacing w:line="360" w:lineRule="auto"/>
        <w:jc w:val="both"/>
        <w:rPr>
          <w:rFonts w:cs="Calibri"/>
        </w:rPr>
      </w:pPr>
      <w:r w:rsidRPr="006C7A10">
        <w:rPr>
          <w:rFonts w:cs="Calibri"/>
        </w:rPr>
        <w:t xml:space="preserve">Mduma, S., Lobora, A., Foley, C., &amp; Jones, T. (2010). </w:t>
      </w:r>
      <w:r w:rsidRPr="006C7A10">
        <w:rPr>
          <w:rFonts w:cs="Calibri"/>
          <w:i/>
          <w:iCs/>
        </w:rPr>
        <w:t>Tanzania Elephant Management Plan: 2010-2015</w:t>
      </w:r>
      <w:r w:rsidRPr="006C7A10">
        <w:rPr>
          <w:rFonts w:cs="Calibri"/>
        </w:rPr>
        <w:t>. Tanzania Wildlife Research Institute.</w:t>
      </w:r>
    </w:p>
    <w:p w:rsidR="00B522E0" w:rsidRPr="006C7A10" w:rsidRDefault="00B522E0" w:rsidP="00B522E0">
      <w:pPr>
        <w:pStyle w:val="Bibliography"/>
        <w:spacing w:line="360" w:lineRule="auto"/>
        <w:jc w:val="both"/>
        <w:rPr>
          <w:rFonts w:cs="Calibri"/>
        </w:rPr>
      </w:pPr>
      <w:r w:rsidRPr="006C7A10">
        <w:rPr>
          <w:rFonts w:cs="Calibri"/>
        </w:rPr>
        <w:t xml:space="preserve">Muchapondwa, E., Carlsson, F., &amp; Köhlin, G. (2008). Wildlife Management in Zimbabwe: Evidence from a Contingent Valuation Study. </w:t>
      </w:r>
      <w:r w:rsidRPr="006C7A10">
        <w:rPr>
          <w:rFonts w:cs="Calibri"/>
          <w:i/>
          <w:iCs/>
        </w:rPr>
        <w:t>South African Journal of Economics</w:t>
      </w:r>
      <w:r w:rsidRPr="006C7A10">
        <w:rPr>
          <w:rFonts w:cs="Calibri"/>
        </w:rPr>
        <w:t xml:space="preserve">, </w:t>
      </w:r>
      <w:r w:rsidRPr="006C7A10">
        <w:rPr>
          <w:rFonts w:cs="Calibri"/>
          <w:i/>
          <w:iCs/>
        </w:rPr>
        <w:t>76</w:t>
      </w:r>
      <w:r w:rsidRPr="006C7A10">
        <w:rPr>
          <w:rFonts w:cs="Calibri"/>
        </w:rPr>
        <w:t>(4), 685–704. https://doi.org/10.1111/j.1813-6982.2008.00182.x</w:t>
      </w:r>
    </w:p>
    <w:p w:rsidR="00B522E0" w:rsidRPr="006C7A10" w:rsidRDefault="00B522E0" w:rsidP="00B522E0">
      <w:pPr>
        <w:pStyle w:val="Bibliography"/>
        <w:spacing w:line="360" w:lineRule="auto"/>
        <w:jc w:val="both"/>
        <w:rPr>
          <w:rFonts w:cs="Calibri"/>
        </w:rPr>
      </w:pPr>
      <w:r w:rsidRPr="006C7A10">
        <w:rPr>
          <w:rFonts w:cs="Calibri"/>
        </w:rPr>
        <w:t xml:space="preserve">Mwampamba, T. (2009). </w:t>
      </w:r>
      <w:r w:rsidRPr="006C7A10">
        <w:rPr>
          <w:rFonts w:cs="Calibri"/>
          <w:i/>
          <w:iCs/>
        </w:rPr>
        <w:t>Forest recovery and carbon sequestration under shifting cultivation in the Eastern Arc Mountains, Tanzania: Landscape and landuse effects - ProQuest</w:t>
      </w:r>
      <w:r w:rsidRPr="006C7A10">
        <w:rPr>
          <w:rFonts w:cs="Calibri"/>
        </w:rPr>
        <w:t>. https://www.proquest.com/openview/373466c4c2069edd017a5df0f4493428/1?pq-origsite=gscholar&amp;cbl=18750</w:t>
      </w:r>
    </w:p>
    <w:p w:rsidR="00B522E0" w:rsidRPr="006C7A10" w:rsidRDefault="00B522E0" w:rsidP="00B522E0">
      <w:pPr>
        <w:pStyle w:val="Bibliography"/>
        <w:spacing w:line="360" w:lineRule="auto"/>
        <w:jc w:val="both"/>
        <w:rPr>
          <w:rFonts w:cs="Calibri"/>
        </w:rPr>
      </w:pPr>
      <w:r w:rsidRPr="006C7A10">
        <w:rPr>
          <w:rFonts w:cs="Calibri"/>
        </w:rPr>
        <w:t xml:space="preserve">Newton, A. C., Hodder, K., Cantarello, E., Perrella, L., Birch, J. C., Robins, J., Douglas, S., Moody, C., &amp; Cordingley, J. (2012). Cost–benefit analysis of ecological networks assessed through spatial analysis of ecosystem services. </w:t>
      </w:r>
      <w:r w:rsidRPr="006C7A10">
        <w:rPr>
          <w:rFonts w:cs="Calibri"/>
          <w:i/>
          <w:iCs/>
        </w:rPr>
        <w:t>Journal of Applied Ecology</w:t>
      </w:r>
      <w:r w:rsidRPr="006C7A10">
        <w:rPr>
          <w:rFonts w:cs="Calibri"/>
        </w:rPr>
        <w:t xml:space="preserve">, </w:t>
      </w:r>
      <w:r w:rsidRPr="006C7A10">
        <w:rPr>
          <w:rFonts w:cs="Calibri"/>
          <w:i/>
          <w:iCs/>
        </w:rPr>
        <w:t>49</w:t>
      </w:r>
      <w:r w:rsidRPr="006C7A10">
        <w:rPr>
          <w:rFonts w:cs="Calibri"/>
        </w:rPr>
        <w:t>(3), 571–580. https://doi.org/10.1111/j.1365-2664.2012.02140.x</w:t>
      </w:r>
    </w:p>
    <w:p w:rsidR="00B522E0" w:rsidRPr="006C7A10" w:rsidRDefault="00B522E0" w:rsidP="00B522E0">
      <w:pPr>
        <w:pStyle w:val="Bibliography"/>
        <w:spacing w:line="360" w:lineRule="auto"/>
        <w:jc w:val="both"/>
        <w:rPr>
          <w:rFonts w:cs="Calibri"/>
        </w:rPr>
      </w:pPr>
      <w:r w:rsidRPr="006C7A10">
        <w:rPr>
          <w:rFonts w:cs="Calibri"/>
        </w:rPr>
        <w:lastRenderedPageBreak/>
        <w:t xml:space="preserve">Ngouhouo Poufoun, J., Abildtrup, J., Sonwa, D. J., &amp; Delacote, P. (2016). The value of endangered forest elephants to local communities in a transboundary conservation landscape. </w:t>
      </w:r>
      <w:r w:rsidRPr="006C7A10">
        <w:rPr>
          <w:rFonts w:cs="Calibri"/>
          <w:i/>
          <w:iCs/>
        </w:rPr>
        <w:t>Ecological Economics</w:t>
      </w:r>
      <w:r w:rsidRPr="006C7A10">
        <w:rPr>
          <w:rFonts w:cs="Calibri"/>
        </w:rPr>
        <w:t xml:space="preserve">, </w:t>
      </w:r>
      <w:r w:rsidRPr="006C7A10">
        <w:rPr>
          <w:rFonts w:cs="Calibri"/>
          <w:i/>
          <w:iCs/>
        </w:rPr>
        <w:t>126</w:t>
      </w:r>
      <w:r w:rsidRPr="006C7A10">
        <w:rPr>
          <w:rFonts w:cs="Calibri"/>
        </w:rPr>
        <w:t>, 70–86. https://doi.org/10.1016/j.ecolecon.2016.04.004</w:t>
      </w:r>
    </w:p>
    <w:p w:rsidR="00B522E0" w:rsidRPr="006C7A10" w:rsidRDefault="00B522E0" w:rsidP="00B522E0">
      <w:pPr>
        <w:pStyle w:val="Bibliography"/>
        <w:spacing w:line="360" w:lineRule="auto"/>
        <w:jc w:val="both"/>
        <w:rPr>
          <w:rFonts w:cs="Calibri"/>
        </w:rPr>
      </w:pPr>
      <w:r w:rsidRPr="006C7A10">
        <w:rPr>
          <w:rFonts w:cs="Calibri"/>
        </w:rPr>
        <w:t xml:space="preserve">Nuru, F., Abdallah, J. M., &amp; Ngaga, Y. M. (2014). Opportunity Costs of REDD+ to the Communities of Mufindi District, Iringa, Tanzania. </w:t>
      </w:r>
      <w:r w:rsidRPr="006C7A10">
        <w:rPr>
          <w:rFonts w:cs="Calibri"/>
          <w:i/>
          <w:iCs/>
        </w:rPr>
        <w:t>International Journal of Forestry Research</w:t>
      </w:r>
      <w:r w:rsidRPr="006C7A10">
        <w:rPr>
          <w:rFonts w:cs="Calibri"/>
        </w:rPr>
        <w:t xml:space="preserve">, </w:t>
      </w:r>
      <w:r w:rsidRPr="006C7A10">
        <w:rPr>
          <w:rFonts w:cs="Calibri"/>
          <w:i/>
          <w:iCs/>
        </w:rPr>
        <w:t>2014</w:t>
      </w:r>
      <w:r w:rsidRPr="006C7A10">
        <w:rPr>
          <w:rFonts w:cs="Calibri"/>
        </w:rPr>
        <w:t>(1), 697464. https://doi.org/10.1155/2014/697464</w:t>
      </w:r>
    </w:p>
    <w:p w:rsidR="00B522E0" w:rsidRPr="006C7A10" w:rsidRDefault="00B522E0" w:rsidP="00B522E0">
      <w:pPr>
        <w:pStyle w:val="Bibliography"/>
        <w:spacing w:line="360" w:lineRule="auto"/>
        <w:jc w:val="both"/>
        <w:rPr>
          <w:rFonts w:cs="Calibri"/>
        </w:rPr>
      </w:pPr>
      <w:r w:rsidRPr="006C7A10">
        <w:rPr>
          <w:rFonts w:cs="Calibri"/>
        </w:rPr>
        <w:t xml:space="preserve">Nyanghura, Q. M., &amp; Abdallah, J. M. (2023). Analysis of Economic Efficiency of Wildlife Law Enforcement in Serengeti Ecosystem Tanzania. </w:t>
      </w:r>
      <w:r w:rsidRPr="006C7A10">
        <w:rPr>
          <w:rFonts w:cs="Calibri"/>
          <w:i/>
          <w:iCs/>
        </w:rPr>
        <w:t>Journal of Environmental Protection</w:t>
      </w:r>
      <w:r w:rsidRPr="006C7A10">
        <w:rPr>
          <w:rFonts w:cs="Calibri"/>
        </w:rPr>
        <w:t xml:space="preserve">, </w:t>
      </w:r>
      <w:r w:rsidRPr="006C7A10">
        <w:rPr>
          <w:rFonts w:cs="Calibri"/>
          <w:i/>
          <w:iCs/>
        </w:rPr>
        <w:t>14</w:t>
      </w:r>
      <w:r w:rsidRPr="006C7A10">
        <w:rPr>
          <w:rFonts w:cs="Calibri"/>
        </w:rPr>
        <w:t>(07), 538–560. https://doi.org/10.4236/jep.2023.147032</w:t>
      </w:r>
    </w:p>
    <w:p w:rsidR="00B522E0" w:rsidRPr="006C7A10" w:rsidRDefault="00B522E0" w:rsidP="00B522E0">
      <w:pPr>
        <w:pStyle w:val="Bibliography"/>
        <w:spacing w:line="360" w:lineRule="auto"/>
        <w:jc w:val="both"/>
        <w:rPr>
          <w:rFonts w:cs="Calibri"/>
        </w:rPr>
      </w:pPr>
      <w:r w:rsidRPr="006C7A10">
        <w:rPr>
          <w:rFonts w:cs="Calibri"/>
        </w:rPr>
        <w:t xml:space="preserve">Runyoro, V. A., Maurus, M., &amp; Simon, M. (2019). Human Wildlife Conflict In Tanzania With A Focus On Elephant And Lion. </w:t>
      </w:r>
      <w:r w:rsidRPr="006C7A10">
        <w:rPr>
          <w:rFonts w:cs="Calibri"/>
          <w:i/>
          <w:iCs/>
        </w:rPr>
        <w:t>Archives of Zoological Studies</w:t>
      </w:r>
      <w:r w:rsidRPr="006C7A10">
        <w:rPr>
          <w:rFonts w:cs="Calibri"/>
        </w:rPr>
        <w:t xml:space="preserve">, </w:t>
      </w:r>
      <w:r w:rsidRPr="006C7A10">
        <w:rPr>
          <w:rFonts w:cs="Calibri"/>
          <w:i/>
          <w:iCs/>
        </w:rPr>
        <w:t>2</w:t>
      </w:r>
      <w:r w:rsidRPr="006C7A10">
        <w:rPr>
          <w:rFonts w:cs="Calibri"/>
        </w:rPr>
        <w:t>(1), 1–9. https://doi.org/10.24966/AZS-7779/100007</w:t>
      </w:r>
    </w:p>
    <w:p w:rsidR="00B522E0" w:rsidRPr="006C7A10" w:rsidRDefault="00B522E0" w:rsidP="00B522E0">
      <w:pPr>
        <w:pStyle w:val="Bibliography"/>
        <w:spacing w:line="360" w:lineRule="auto"/>
        <w:jc w:val="both"/>
        <w:rPr>
          <w:rFonts w:cs="Calibri"/>
        </w:rPr>
      </w:pPr>
      <w:r w:rsidRPr="006C7A10">
        <w:rPr>
          <w:rFonts w:cs="Calibri"/>
        </w:rPr>
        <w:t xml:space="preserve">Salerno, J., Gaughan, A. E., Warrier, R., Boone, R., Stevens, F. R., Keys, P. W., Mangewa, L. J., Mombo, F. M., de Sherbinin, A., Hartter, J., &amp; Hunter, L. (2024). Rural migration under climate and land systems change. </w:t>
      </w:r>
      <w:r w:rsidRPr="006C7A10">
        <w:rPr>
          <w:rFonts w:cs="Calibri"/>
          <w:i/>
          <w:iCs/>
        </w:rPr>
        <w:t>Nature Sustainability</w:t>
      </w:r>
      <w:r w:rsidRPr="006C7A10">
        <w:rPr>
          <w:rFonts w:cs="Calibri"/>
        </w:rPr>
        <w:t>, 1–10. https://doi.org/10.1038/s41893-024-01396-6</w:t>
      </w:r>
    </w:p>
    <w:p w:rsidR="00B522E0" w:rsidRPr="006C7A10" w:rsidRDefault="00B522E0" w:rsidP="00B522E0">
      <w:pPr>
        <w:pStyle w:val="Bibliography"/>
        <w:spacing w:line="360" w:lineRule="auto"/>
        <w:jc w:val="both"/>
        <w:rPr>
          <w:rFonts w:cs="Calibri"/>
        </w:rPr>
      </w:pPr>
      <w:r w:rsidRPr="006C7A10">
        <w:rPr>
          <w:rFonts w:cs="Calibri"/>
        </w:rPr>
        <w:t xml:space="preserve">Southern Tanzania Elephant Program and Wildlife Connection. (2016). </w:t>
      </w:r>
      <w:r w:rsidRPr="006C7A10">
        <w:rPr>
          <w:rFonts w:cs="Calibri"/>
          <w:i/>
          <w:iCs/>
        </w:rPr>
        <w:t>Towards Human-Elephant Coexistence in the Ruaha Ecosystem: An assessment of human-elephant interactions, elephant corridors, and community attitudes around Ruaha National Park, Tanzania.</w:t>
      </w:r>
      <w:r w:rsidRPr="006C7A10">
        <w:rPr>
          <w:rFonts w:cs="Calibri"/>
        </w:rPr>
        <w:t xml:space="preserve"> [Unpublished technical report].</w:t>
      </w:r>
    </w:p>
    <w:p w:rsidR="00B522E0" w:rsidRPr="006C7A10" w:rsidRDefault="00B522E0" w:rsidP="00B522E0">
      <w:pPr>
        <w:pStyle w:val="Bibliography"/>
        <w:spacing w:line="360" w:lineRule="auto"/>
        <w:jc w:val="both"/>
        <w:rPr>
          <w:rFonts w:cs="Calibri"/>
        </w:rPr>
      </w:pPr>
      <w:r w:rsidRPr="006C7A10">
        <w:rPr>
          <w:rFonts w:cs="Calibri"/>
        </w:rPr>
        <w:t xml:space="preserve">Tamba, Y., Wafula, J., Whitney, C., Luedeling, E., Yigzaw, N., Negussie, A., Muchiri, C., Gebru, Y., Shepherd, K., &amp; Aynekulu, E. (2021). Stochastic simulation of restoration outcomes for a dry afromontane forest landscape in northern Ethiopia. </w:t>
      </w:r>
      <w:r w:rsidRPr="006C7A10">
        <w:rPr>
          <w:rFonts w:cs="Calibri"/>
          <w:i/>
          <w:iCs/>
        </w:rPr>
        <w:t>Forest Policy and Economics</w:t>
      </w:r>
      <w:r w:rsidRPr="006C7A10">
        <w:rPr>
          <w:rFonts w:cs="Calibri"/>
        </w:rPr>
        <w:t xml:space="preserve">, </w:t>
      </w:r>
      <w:r w:rsidRPr="006C7A10">
        <w:rPr>
          <w:rFonts w:cs="Calibri"/>
          <w:i/>
          <w:iCs/>
        </w:rPr>
        <w:t>125</w:t>
      </w:r>
      <w:r w:rsidRPr="006C7A10">
        <w:rPr>
          <w:rFonts w:cs="Calibri"/>
        </w:rPr>
        <w:t>, 102403. https://doi.org/10.1016/j.forpol.2021.102403</w:t>
      </w:r>
    </w:p>
    <w:p w:rsidR="00B522E0" w:rsidRPr="006C7A10" w:rsidRDefault="00B522E0" w:rsidP="00B522E0">
      <w:pPr>
        <w:pStyle w:val="Bibliography"/>
        <w:spacing w:line="360" w:lineRule="auto"/>
        <w:jc w:val="both"/>
        <w:rPr>
          <w:rFonts w:cs="Calibri"/>
        </w:rPr>
      </w:pPr>
      <w:r w:rsidRPr="006C7A10">
        <w:rPr>
          <w:rFonts w:cs="Calibri"/>
        </w:rPr>
        <w:t xml:space="preserve">URT. (2012). </w:t>
      </w:r>
      <w:r w:rsidRPr="006C7A10">
        <w:rPr>
          <w:rFonts w:cs="Calibri"/>
          <w:i/>
          <w:iCs/>
        </w:rPr>
        <w:t>The Wildlife Conservation Act: The Wildlife Conservation (Valuation of Trophies) Regulations</w:t>
      </w:r>
      <w:r w:rsidRPr="006C7A10">
        <w:rPr>
          <w:rFonts w:cs="Calibri"/>
        </w:rPr>
        <w:t>.</w:t>
      </w:r>
    </w:p>
    <w:p w:rsidR="00B522E0" w:rsidRPr="006C7A10" w:rsidRDefault="00B522E0" w:rsidP="00B522E0">
      <w:pPr>
        <w:pStyle w:val="Bibliography"/>
        <w:spacing w:line="360" w:lineRule="auto"/>
        <w:jc w:val="both"/>
        <w:rPr>
          <w:rFonts w:cs="Calibri"/>
          <w:lang w:val="de-DE"/>
        </w:rPr>
      </w:pPr>
      <w:r w:rsidRPr="006C7A10">
        <w:rPr>
          <w:rFonts w:cs="Calibri"/>
        </w:rPr>
        <w:t xml:space="preserve">Varghese, T. H., Plamen K. Iossifov,Richard. (2023). </w:t>
      </w:r>
      <w:r w:rsidRPr="006C7A10">
        <w:rPr>
          <w:rFonts w:cs="Calibri"/>
          <w:i/>
          <w:iCs/>
        </w:rPr>
        <w:t>Predicting Financial Crises: The Role of Asset Prices</w:t>
      </w:r>
      <w:r w:rsidRPr="006C7A10">
        <w:rPr>
          <w:rFonts w:cs="Calibri"/>
        </w:rPr>
        <w:t xml:space="preserve">. </w:t>
      </w:r>
      <w:r w:rsidRPr="006C7A10">
        <w:rPr>
          <w:rFonts w:cs="Calibri"/>
          <w:lang w:val="de-DE"/>
        </w:rPr>
        <w:t>IMF. https://www.imf.org/en/Publications/WP/Issues/2023/08/03/Predicting-Financial-Crises-The-Role-of-Asset-Prices-536491</w:t>
      </w:r>
    </w:p>
    <w:p w:rsidR="00B522E0" w:rsidRPr="006C7A10" w:rsidRDefault="00B522E0" w:rsidP="00B522E0">
      <w:pPr>
        <w:pStyle w:val="Bibliography"/>
        <w:spacing w:line="360" w:lineRule="auto"/>
        <w:jc w:val="both"/>
        <w:rPr>
          <w:rFonts w:cs="Calibri"/>
        </w:rPr>
      </w:pPr>
      <w:r w:rsidRPr="006C7A10">
        <w:rPr>
          <w:rFonts w:cs="Calibri"/>
          <w:lang w:val="nl-NL"/>
        </w:rPr>
        <w:lastRenderedPageBreak/>
        <w:t xml:space="preserve">Wato, Y. A., Heitkönig, I. M. A., van Wieren, S. E., Wahungu, G., Prins, H. H. T., &amp; van Langevelde, F. (2016). </w:t>
      </w:r>
      <w:r w:rsidRPr="006C7A10">
        <w:rPr>
          <w:rFonts w:cs="Calibri"/>
        </w:rPr>
        <w:t>Prolonged drought results in starvation of African elephant (</w:t>
      </w:r>
      <w:r w:rsidRPr="006C7A10">
        <w:rPr>
          <w:rFonts w:cs="Calibri"/>
          <w:i/>
          <w:iCs/>
        </w:rPr>
        <w:t>Loxodonta africana</w:t>
      </w:r>
      <w:r w:rsidRPr="006C7A10">
        <w:rPr>
          <w:rFonts w:cs="Calibri"/>
        </w:rPr>
        <w:t xml:space="preserve">). </w:t>
      </w:r>
      <w:r w:rsidRPr="006C7A10">
        <w:rPr>
          <w:rFonts w:cs="Calibri"/>
          <w:i/>
          <w:iCs/>
        </w:rPr>
        <w:t>Biological Conservation</w:t>
      </w:r>
      <w:r w:rsidRPr="006C7A10">
        <w:rPr>
          <w:rFonts w:cs="Calibri"/>
        </w:rPr>
        <w:t xml:space="preserve">, </w:t>
      </w:r>
      <w:r w:rsidRPr="006C7A10">
        <w:rPr>
          <w:rFonts w:cs="Calibri"/>
          <w:i/>
          <w:iCs/>
        </w:rPr>
        <w:t>203</w:t>
      </w:r>
      <w:r w:rsidRPr="006C7A10">
        <w:rPr>
          <w:rFonts w:cs="Calibri"/>
        </w:rPr>
        <w:t>, 89–96. https://doi.org/10.1016/j.biocon.2016.09.007</w:t>
      </w:r>
    </w:p>
    <w:p w:rsidR="00B522E0" w:rsidRPr="006C7A10" w:rsidRDefault="00B522E0" w:rsidP="00B522E0">
      <w:pPr>
        <w:pStyle w:val="Bibliography"/>
        <w:spacing w:line="360" w:lineRule="auto"/>
        <w:jc w:val="both"/>
        <w:rPr>
          <w:rFonts w:cs="Calibri"/>
        </w:rPr>
      </w:pPr>
      <w:r w:rsidRPr="006C7A10">
        <w:rPr>
          <w:rFonts w:cs="Calibri"/>
        </w:rPr>
        <w:t xml:space="preserve">Wenborn, M., Svensson, M. S., Katupa, S., Collinson, R., &amp; Nijman, V. (2022). Lessons on the Community Conservancy Model for Wildlife Protection in Namibia. </w:t>
      </w:r>
      <w:r w:rsidRPr="006C7A10">
        <w:rPr>
          <w:rFonts w:cs="Calibri"/>
          <w:i/>
          <w:iCs/>
        </w:rPr>
        <w:t>The Journal of Environment &amp; Development</w:t>
      </w:r>
      <w:r w:rsidRPr="006C7A10">
        <w:rPr>
          <w:rFonts w:cs="Calibri"/>
        </w:rPr>
        <w:t xml:space="preserve">, </w:t>
      </w:r>
      <w:r w:rsidRPr="006C7A10">
        <w:rPr>
          <w:rFonts w:cs="Calibri"/>
          <w:i/>
          <w:iCs/>
        </w:rPr>
        <w:t>31</w:t>
      </w:r>
      <w:r w:rsidRPr="006C7A10">
        <w:rPr>
          <w:rFonts w:cs="Calibri"/>
        </w:rPr>
        <w:t>(4), 375–394. https://doi.org/10.1177/10704965221121026</w:t>
      </w:r>
    </w:p>
    <w:p w:rsidR="00B522E0" w:rsidRPr="006C7A10" w:rsidRDefault="00B522E0" w:rsidP="00B522E0">
      <w:pPr>
        <w:pStyle w:val="Bibliography"/>
        <w:spacing w:line="360" w:lineRule="auto"/>
        <w:jc w:val="both"/>
        <w:rPr>
          <w:rFonts w:cs="Calibri"/>
        </w:rPr>
      </w:pPr>
      <w:r w:rsidRPr="006C7A10">
        <w:rPr>
          <w:rFonts w:cs="Calibri"/>
        </w:rPr>
        <w:t xml:space="preserve">Williams, M., Ryan, C. M., Rees, R. M., Sambane, E., Fernando, J., &amp; Grace, J. (2008). Carbon sequestration and biodiversity of re-growing miombo woodlands in Mozambique. </w:t>
      </w:r>
      <w:r w:rsidRPr="006C7A10">
        <w:rPr>
          <w:rFonts w:cs="Calibri"/>
          <w:i/>
          <w:iCs/>
        </w:rPr>
        <w:t>Forest Ecology and Management</w:t>
      </w:r>
      <w:r w:rsidRPr="006C7A10">
        <w:rPr>
          <w:rFonts w:cs="Calibri"/>
        </w:rPr>
        <w:t xml:space="preserve">, </w:t>
      </w:r>
      <w:r w:rsidRPr="006C7A10">
        <w:rPr>
          <w:rFonts w:cs="Calibri"/>
          <w:i/>
          <w:iCs/>
        </w:rPr>
        <w:t>254</w:t>
      </w:r>
      <w:r w:rsidRPr="006C7A10">
        <w:rPr>
          <w:rFonts w:cs="Calibri"/>
        </w:rPr>
        <w:t>(2), 145–155. https://doi.org/10.1016/j.foreco.2007.07.033</w:t>
      </w:r>
    </w:p>
    <w:p w:rsidR="00B522E0" w:rsidRDefault="00B522E0" w:rsidP="00B522E0">
      <w:pPr>
        <w:pStyle w:val="Bibliography"/>
        <w:spacing w:line="360" w:lineRule="auto"/>
        <w:jc w:val="both"/>
        <w:rPr>
          <w:rFonts w:cs="Calibri"/>
        </w:rPr>
      </w:pPr>
      <w:r w:rsidRPr="006C7A10">
        <w:rPr>
          <w:rFonts w:cs="Calibri"/>
        </w:rPr>
        <w:t xml:space="preserve">Woodroffe, R., Thirgood, S., &amp; Rabinowitz, A. (2005). </w:t>
      </w:r>
      <w:r w:rsidRPr="006C7A10">
        <w:rPr>
          <w:rFonts w:cs="Calibri"/>
          <w:i/>
          <w:iCs/>
        </w:rPr>
        <w:t>People and Wildlife, Conflict or Co-existence?</w:t>
      </w:r>
      <w:r w:rsidRPr="006C7A10">
        <w:rPr>
          <w:rFonts w:cs="Calibri"/>
        </w:rPr>
        <w:t xml:space="preserve"> Cambridge University Press.</w:t>
      </w:r>
    </w:p>
    <w:p w:rsidR="00DB472D" w:rsidRDefault="00DB472D" w:rsidP="00DB472D"/>
    <w:p w:rsidR="00DB472D" w:rsidRDefault="00DB472D" w:rsidP="00DB472D"/>
    <w:p w:rsidR="00DB472D" w:rsidRDefault="00DB472D" w:rsidP="00DB472D"/>
    <w:p w:rsidR="00DB472D" w:rsidRDefault="00DB472D" w:rsidP="00DB472D"/>
    <w:p w:rsidR="00DB472D" w:rsidRDefault="00DB472D" w:rsidP="00DB472D"/>
    <w:p w:rsidR="00DB472D" w:rsidRDefault="00DB472D" w:rsidP="00DB472D"/>
    <w:p w:rsidR="00DB472D" w:rsidRDefault="00DB472D" w:rsidP="00DB472D"/>
    <w:p w:rsidR="00DB472D" w:rsidRDefault="00DB472D" w:rsidP="00DB472D"/>
    <w:p w:rsidR="00DB472D" w:rsidRDefault="00DB472D" w:rsidP="00DB472D"/>
    <w:p w:rsidR="00DB472D" w:rsidRDefault="00DB472D" w:rsidP="00DB472D"/>
    <w:p w:rsidR="00DB472D" w:rsidRDefault="00DB472D" w:rsidP="00DB472D"/>
    <w:p w:rsidR="00DB472D" w:rsidRDefault="00DB472D" w:rsidP="00DB472D"/>
    <w:p w:rsidR="00DB472D" w:rsidRDefault="00DB472D" w:rsidP="00DB472D"/>
    <w:p w:rsidR="00DB472D" w:rsidRDefault="00DB472D" w:rsidP="00DB472D"/>
    <w:p w:rsidR="00DB472D" w:rsidRDefault="00DB472D" w:rsidP="00DB472D"/>
    <w:p w:rsidR="00DB472D" w:rsidRDefault="00DB472D" w:rsidP="00DB472D"/>
    <w:p w:rsidR="00DB472D" w:rsidRDefault="00DB472D" w:rsidP="00DB472D"/>
    <w:p w:rsidR="00DB472D" w:rsidRDefault="00B522E0" w:rsidP="00DB472D">
      <w:pPr>
        <w:ind w:firstLine="0"/>
        <w:jc w:val="both"/>
        <w:rPr>
          <w:rFonts w:asciiTheme="minorHAnsi" w:hAnsiTheme="minorHAnsi" w:cstheme="minorHAnsi"/>
          <w:b/>
          <w:bCs/>
        </w:rPr>
      </w:pPr>
      <w:r w:rsidRPr="006C7A10">
        <w:rPr>
          <w:rFonts w:asciiTheme="minorHAnsi" w:hAnsiTheme="minorHAnsi" w:cstheme="minorHAnsi"/>
          <w:b/>
          <w:bCs/>
        </w:rPr>
        <w:fldChar w:fldCharType="end"/>
      </w:r>
      <w:bookmarkEnd w:id="0"/>
    </w:p>
    <w:p w:rsidR="00DB472D" w:rsidRDefault="00DB472D" w:rsidP="00DB472D">
      <w:pPr>
        <w:ind w:firstLine="0"/>
        <w:jc w:val="both"/>
        <w:rPr>
          <w:rFonts w:asciiTheme="minorHAnsi" w:hAnsiTheme="minorHAnsi" w:cstheme="minorHAnsi"/>
          <w:b/>
          <w:bCs/>
        </w:rPr>
      </w:pPr>
      <w:r>
        <w:rPr>
          <w:rFonts w:asciiTheme="minorHAnsi" w:hAnsiTheme="minorHAnsi" w:cstheme="minorHAnsi"/>
          <w:b/>
          <w:bCs/>
        </w:rPr>
        <w:lastRenderedPageBreak/>
        <w:t>Annex I: E</w:t>
      </w:r>
      <w:r w:rsidRPr="00DB472D">
        <w:rPr>
          <w:rFonts w:asciiTheme="minorHAnsi" w:hAnsiTheme="minorHAnsi" w:cstheme="minorHAnsi"/>
          <w:b/>
          <w:bCs/>
        </w:rPr>
        <w:t>thical</w:t>
      </w:r>
      <w:bookmarkStart w:id="13" w:name="_GoBack"/>
      <w:bookmarkEnd w:id="13"/>
      <w:r w:rsidRPr="00DB472D">
        <w:rPr>
          <w:rFonts w:asciiTheme="minorHAnsi" w:hAnsiTheme="minorHAnsi" w:cstheme="minorHAnsi"/>
          <w:b/>
          <w:bCs/>
        </w:rPr>
        <w:t xml:space="preserve"> Clearance Certificate</w:t>
      </w:r>
    </w:p>
    <w:p w:rsidR="00DB472D" w:rsidRPr="006C7A10" w:rsidRDefault="00DB472D" w:rsidP="00DB472D">
      <w:pPr>
        <w:ind w:firstLine="0"/>
        <w:jc w:val="both"/>
      </w:pPr>
      <w:r w:rsidRPr="004E5C20">
        <w:rPr>
          <w:rFonts w:ascii="Times New Roman" w:hAnsi="Times New Roman"/>
          <w:noProof/>
          <w:lang w:val="en-GB" w:eastAsia="zh-CN"/>
        </w:rPr>
        <w:drawing>
          <wp:inline distT="0" distB="0" distL="0" distR="0" wp14:anchorId="73999A89" wp14:editId="66CA672A">
            <wp:extent cx="5785933" cy="8168640"/>
            <wp:effectExtent l="0" t="0" r="571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5933" cy="8168640"/>
                    </a:xfrm>
                    <a:prstGeom prst="rect">
                      <a:avLst/>
                    </a:prstGeom>
                    <a:noFill/>
                    <a:ln>
                      <a:noFill/>
                    </a:ln>
                  </pic:spPr>
                </pic:pic>
              </a:graphicData>
            </a:graphic>
          </wp:inline>
        </w:drawing>
      </w:r>
    </w:p>
    <w:sectPr w:rsidR="00DB472D" w:rsidRPr="006C7A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811" w:rsidRDefault="00361811" w:rsidP="001D1C7C">
      <w:pPr>
        <w:spacing w:line="240" w:lineRule="auto"/>
      </w:pPr>
      <w:r>
        <w:separator/>
      </w:r>
    </w:p>
  </w:endnote>
  <w:endnote w:type="continuationSeparator" w:id="0">
    <w:p w:rsidR="00361811" w:rsidRDefault="00361811" w:rsidP="001D1C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Liberation Serif">
    <w:altName w:val="Times New Roman"/>
    <w:charset w:val="00"/>
    <w:family w:val="roman"/>
    <w:pitch w:val="variable"/>
    <w:sig w:usb0="E0000AFF" w:usb1="500078FF" w:usb2="00000021" w:usb3="00000000" w:csb0="000001BF" w:csb1="00000000"/>
  </w:font>
  <w:font w:name="Noto Sans CJK SC Regular">
    <w:altName w:val="Times New Roman"/>
    <w:charset w:val="00"/>
    <w:family w:val="auto"/>
    <w:pitch w:val="variable"/>
  </w:font>
  <w:font w:name="FreeSans">
    <w:altName w:val="Arial"/>
    <w:charset w:val="00"/>
    <w:family w:val="swiss"/>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194945"/>
      <w:docPartObj>
        <w:docPartGallery w:val="Page Numbers (Bottom of Page)"/>
        <w:docPartUnique/>
      </w:docPartObj>
    </w:sdtPr>
    <w:sdtEndPr>
      <w:rPr>
        <w:noProof/>
      </w:rPr>
    </w:sdtEndPr>
    <w:sdtContent>
      <w:p w:rsidR="00150525" w:rsidRDefault="00150525">
        <w:pPr>
          <w:pStyle w:val="Footer"/>
          <w:jc w:val="center"/>
        </w:pPr>
        <w:r>
          <w:fldChar w:fldCharType="begin"/>
        </w:r>
        <w:r>
          <w:instrText xml:space="preserve"> PAGE   \* MERGEFORMAT </w:instrText>
        </w:r>
        <w:r>
          <w:fldChar w:fldCharType="separate"/>
        </w:r>
        <w:r w:rsidR="00DB472D">
          <w:rPr>
            <w:noProof/>
          </w:rPr>
          <w:t>20</w:t>
        </w:r>
        <w:r>
          <w:rPr>
            <w:noProof/>
          </w:rPr>
          <w:fldChar w:fldCharType="end"/>
        </w:r>
      </w:p>
    </w:sdtContent>
  </w:sdt>
  <w:p w:rsidR="00150525" w:rsidRDefault="001505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811" w:rsidRDefault="00361811" w:rsidP="001D1C7C">
      <w:pPr>
        <w:spacing w:line="240" w:lineRule="auto"/>
      </w:pPr>
      <w:r>
        <w:separator/>
      </w:r>
    </w:p>
  </w:footnote>
  <w:footnote w:type="continuationSeparator" w:id="0">
    <w:p w:rsidR="00361811" w:rsidRDefault="00361811" w:rsidP="001D1C7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64601"/>
    <w:multiLevelType w:val="multilevel"/>
    <w:tmpl w:val="9C5CDBD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33353726"/>
    <w:multiLevelType w:val="multilevel"/>
    <w:tmpl w:val="F82AEE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val="0"/>
      </w:rPr>
    </w:lvl>
    <w:lvl w:ilvl="2">
      <w:start w:val="1"/>
      <w:numFmt w:val="decimal"/>
      <w:isLgl/>
      <w:lvlText w:val="%1.%2.%3"/>
      <w:lvlJc w:val="left"/>
      <w:pPr>
        <w:ind w:left="1080" w:hanging="720"/>
      </w:pPr>
      <w:rPr>
        <w:rFonts w:ascii="Times New Roman" w:hAnsi="Times New Roman" w:cs="Times New Roman" w:hint="default"/>
        <w:b w:val="0"/>
      </w:rPr>
    </w:lvl>
    <w:lvl w:ilvl="3">
      <w:start w:val="1"/>
      <w:numFmt w:val="decimal"/>
      <w:isLgl/>
      <w:lvlText w:val="%1.%2.%3.%4"/>
      <w:lvlJc w:val="left"/>
      <w:pPr>
        <w:ind w:left="1080" w:hanging="720"/>
      </w:pPr>
      <w:rPr>
        <w:rFonts w:ascii="Times New Roman" w:hAnsi="Times New Roman" w:cs="Times New Roman" w:hint="default"/>
        <w:b w:val="0"/>
      </w:rPr>
    </w:lvl>
    <w:lvl w:ilvl="4">
      <w:start w:val="1"/>
      <w:numFmt w:val="decimal"/>
      <w:isLgl/>
      <w:lvlText w:val="%1.%2.%3.%4.%5"/>
      <w:lvlJc w:val="left"/>
      <w:pPr>
        <w:ind w:left="1440" w:hanging="1080"/>
      </w:pPr>
      <w:rPr>
        <w:rFonts w:ascii="Times New Roman" w:hAnsi="Times New Roman" w:cs="Times New Roman" w:hint="default"/>
        <w:b w:val="0"/>
      </w:rPr>
    </w:lvl>
    <w:lvl w:ilvl="5">
      <w:start w:val="1"/>
      <w:numFmt w:val="decimal"/>
      <w:isLgl/>
      <w:lvlText w:val="%1.%2.%3.%4.%5.%6"/>
      <w:lvlJc w:val="left"/>
      <w:pPr>
        <w:ind w:left="1440" w:hanging="1080"/>
      </w:pPr>
      <w:rPr>
        <w:rFonts w:ascii="Times New Roman" w:hAnsi="Times New Roman" w:cs="Times New Roman" w:hint="default"/>
        <w:b w:val="0"/>
      </w:rPr>
    </w:lvl>
    <w:lvl w:ilvl="6">
      <w:start w:val="1"/>
      <w:numFmt w:val="decimal"/>
      <w:isLgl/>
      <w:lvlText w:val="%1.%2.%3.%4.%5.%6.%7"/>
      <w:lvlJc w:val="left"/>
      <w:pPr>
        <w:ind w:left="1800" w:hanging="1440"/>
      </w:pPr>
      <w:rPr>
        <w:rFonts w:ascii="Times New Roman" w:hAnsi="Times New Roman" w:cs="Times New Roman" w:hint="default"/>
        <w:b w:val="0"/>
      </w:rPr>
    </w:lvl>
    <w:lvl w:ilvl="7">
      <w:start w:val="1"/>
      <w:numFmt w:val="decimal"/>
      <w:isLgl/>
      <w:lvlText w:val="%1.%2.%3.%4.%5.%6.%7.%8"/>
      <w:lvlJc w:val="left"/>
      <w:pPr>
        <w:ind w:left="1800" w:hanging="1440"/>
      </w:pPr>
      <w:rPr>
        <w:rFonts w:ascii="Times New Roman" w:hAnsi="Times New Roman" w:cs="Times New Roman" w:hint="default"/>
        <w:b w:val="0"/>
      </w:rPr>
    </w:lvl>
    <w:lvl w:ilvl="8">
      <w:start w:val="1"/>
      <w:numFmt w:val="decimal"/>
      <w:isLgl/>
      <w:lvlText w:val="%1.%2.%3.%4.%5.%6.%7.%8.%9"/>
      <w:lvlJc w:val="left"/>
      <w:pPr>
        <w:ind w:left="2160" w:hanging="1800"/>
      </w:pPr>
      <w:rPr>
        <w:rFonts w:ascii="Times New Roman" w:hAnsi="Times New Roman" w:cs="Times New Roman" w:hint="default"/>
        <w:b w:val="0"/>
      </w:rPr>
    </w:lvl>
  </w:abstractNum>
  <w:abstractNum w:abstractNumId="2" w15:restartNumberingAfterBreak="0">
    <w:nsid w:val="35164F91"/>
    <w:multiLevelType w:val="multilevel"/>
    <w:tmpl w:val="458ECD9A"/>
    <w:lvl w:ilvl="0">
      <w:start w:val="2"/>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BD76E89"/>
    <w:multiLevelType w:val="multilevel"/>
    <w:tmpl w:val="A106D88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6C8213EE"/>
    <w:multiLevelType w:val="multilevel"/>
    <w:tmpl w:val="68E0B90E"/>
    <w:lvl w:ilvl="0">
      <w:start w:val="1"/>
      <w:numFmt w:val="decimal"/>
      <w:lvlText w:val="%1"/>
      <w:lvlJc w:val="left"/>
      <w:pPr>
        <w:ind w:left="444" w:hanging="444"/>
      </w:pPr>
      <w:rPr>
        <w:rFonts w:hint="default"/>
      </w:rPr>
    </w:lvl>
    <w:lvl w:ilvl="1">
      <w:numFmt w:val="decimal"/>
      <w:lvlText w:val="%1.%2"/>
      <w:lvlJc w:val="left"/>
      <w:pPr>
        <w:ind w:left="444" w:hanging="444"/>
      </w:pPr>
      <w:rPr>
        <w:rFonts w:hint="default"/>
        <w:b w:val="0"/>
        <w:bCs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2E0"/>
    <w:rsid w:val="00014B91"/>
    <w:rsid w:val="0007106D"/>
    <w:rsid w:val="000F0F9E"/>
    <w:rsid w:val="00150525"/>
    <w:rsid w:val="00164594"/>
    <w:rsid w:val="001D1C7C"/>
    <w:rsid w:val="00261216"/>
    <w:rsid w:val="00283FE6"/>
    <w:rsid w:val="0032081E"/>
    <w:rsid w:val="003352F5"/>
    <w:rsid w:val="00361811"/>
    <w:rsid w:val="00462BEC"/>
    <w:rsid w:val="0048145E"/>
    <w:rsid w:val="00487320"/>
    <w:rsid w:val="00586F76"/>
    <w:rsid w:val="00634F93"/>
    <w:rsid w:val="006B067A"/>
    <w:rsid w:val="006C7A10"/>
    <w:rsid w:val="00713E98"/>
    <w:rsid w:val="00746167"/>
    <w:rsid w:val="007869AB"/>
    <w:rsid w:val="007A2831"/>
    <w:rsid w:val="007A4C4C"/>
    <w:rsid w:val="00823BEE"/>
    <w:rsid w:val="008346A5"/>
    <w:rsid w:val="0083529F"/>
    <w:rsid w:val="008356B4"/>
    <w:rsid w:val="008A2B9A"/>
    <w:rsid w:val="009E64E3"/>
    <w:rsid w:val="00A26FD6"/>
    <w:rsid w:val="00B11A63"/>
    <w:rsid w:val="00B522E0"/>
    <w:rsid w:val="00BA1EC9"/>
    <w:rsid w:val="00C309A9"/>
    <w:rsid w:val="00C441AE"/>
    <w:rsid w:val="00C70C76"/>
    <w:rsid w:val="00D25C44"/>
    <w:rsid w:val="00D723BB"/>
    <w:rsid w:val="00DB472D"/>
    <w:rsid w:val="00E44AC0"/>
    <w:rsid w:val="00E46E46"/>
    <w:rsid w:val="00E52ACF"/>
    <w:rsid w:val="00E7657F"/>
    <w:rsid w:val="00EA7E3B"/>
    <w:rsid w:val="00F54A36"/>
    <w:rsid w:val="00F84A3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12213"/>
  <w15:chartTrackingRefBased/>
  <w15:docId w15:val="{144FB0F8-E71B-40B7-A7FF-88C330F54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de-DE" w:eastAsia="zh-CN"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2E0"/>
    <w:pPr>
      <w:spacing w:after="0" w:line="360" w:lineRule="auto"/>
      <w:ind w:firstLine="902"/>
    </w:pPr>
    <w:rPr>
      <w:rFonts w:ascii="Calibri" w:eastAsia="Times New Roman" w:hAnsi="Calibri" w:cs="Times New Roman"/>
      <w:kern w:val="0"/>
      <w:lang w:val="en-US" w:eastAsia="en-US"/>
      <w14:ligatures w14:val="none"/>
    </w:rPr>
  </w:style>
  <w:style w:type="paragraph" w:styleId="Heading1">
    <w:name w:val="heading 1"/>
    <w:aliases w:val="EDS Heading 1 (level 1)"/>
    <w:basedOn w:val="Normal"/>
    <w:next w:val="Normal"/>
    <w:link w:val="Heading1Char"/>
    <w:uiPriority w:val="9"/>
    <w:qFormat/>
    <w:rsid w:val="00B522E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aliases w:val="EDS Heading 1.1 (level 2)"/>
    <w:basedOn w:val="Normal"/>
    <w:next w:val="Normal"/>
    <w:link w:val="Heading2Char"/>
    <w:uiPriority w:val="9"/>
    <w:unhideWhenUsed/>
    <w:qFormat/>
    <w:rsid w:val="00B522E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522E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522E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522E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522E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22E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22E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22E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DS Heading 1 (level 1) Char"/>
    <w:basedOn w:val="DefaultParagraphFont"/>
    <w:link w:val="Heading1"/>
    <w:uiPriority w:val="9"/>
    <w:rsid w:val="00B522E0"/>
    <w:rPr>
      <w:rFonts w:asciiTheme="majorHAnsi" w:eastAsiaTheme="majorEastAsia" w:hAnsiTheme="majorHAnsi" w:cstheme="majorBidi"/>
      <w:color w:val="2F5496" w:themeColor="accent1" w:themeShade="BF"/>
      <w:sz w:val="40"/>
      <w:szCs w:val="40"/>
    </w:rPr>
  </w:style>
  <w:style w:type="character" w:customStyle="1" w:styleId="Heading2Char">
    <w:name w:val="Heading 2 Char"/>
    <w:aliases w:val="EDS Heading 1.1 (level 2) Char"/>
    <w:basedOn w:val="DefaultParagraphFont"/>
    <w:link w:val="Heading2"/>
    <w:uiPriority w:val="9"/>
    <w:rsid w:val="00B522E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522E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522E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522E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522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22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22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22E0"/>
    <w:rPr>
      <w:rFonts w:eastAsiaTheme="majorEastAsia" w:cstheme="majorBidi"/>
      <w:color w:val="272727" w:themeColor="text1" w:themeTint="D8"/>
    </w:rPr>
  </w:style>
  <w:style w:type="paragraph" w:styleId="Title">
    <w:name w:val="Title"/>
    <w:basedOn w:val="Normal"/>
    <w:next w:val="Normal"/>
    <w:link w:val="TitleChar"/>
    <w:uiPriority w:val="10"/>
    <w:qFormat/>
    <w:rsid w:val="00B522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22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22E0"/>
    <w:pPr>
      <w:numPr>
        <w:ilvl w:val="1"/>
      </w:numPr>
      <w:ind w:firstLine="902"/>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22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22E0"/>
    <w:pPr>
      <w:spacing w:before="160"/>
      <w:jc w:val="center"/>
    </w:pPr>
    <w:rPr>
      <w:i/>
      <w:iCs/>
      <w:color w:val="404040" w:themeColor="text1" w:themeTint="BF"/>
    </w:rPr>
  </w:style>
  <w:style w:type="character" w:customStyle="1" w:styleId="QuoteChar">
    <w:name w:val="Quote Char"/>
    <w:basedOn w:val="DefaultParagraphFont"/>
    <w:link w:val="Quote"/>
    <w:uiPriority w:val="29"/>
    <w:rsid w:val="00B522E0"/>
    <w:rPr>
      <w:i/>
      <w:iCs/>
      <w:color w:val="404040" w:themeColor="text1" w:themeTint="BF"/>
    </w:rPr>
  </w:style>
  <w:style w:type="paragraph" w:styleId="ListParagraph">
    <w:name w:val="List Paragraph"/>
    <w:basedOn w:val="Normal"/>
    <w:uiPriority w:val="34"/>
    <w:qFormat/>
    <w:rsid w:val="00B522E0"/>
    <w:pPr>
      <w:ind w:left="720"/>
      <w:contextualSpacing/>
    </w:pPr>
  </w:style>
  <w:style w:type="character" w:styleId="IntenseEmphasis">
    <w:name w:val="Intense Emphasis"/>
    <w:basedOn w:val="DefaultParagraphFont"/>
    <w:uiPriority w:val="21"/>
    <w:qFormat/>
    <w:rsid w:val="00B522E0"/>
    <w:rPr>
      <w:i/>
      <w:iCs/>
      <w:color w:val="2F5496" w:themeColor="accent1" w:themeShade="BF"/>
    </w:rPr>
  </w:style>
  <w:style w:type="paragraph" w:styleId="IntenseQuote">
    <w:name w:val="Intense Quote"/>
    <w:basedOn w:val="Normal"/>
    <w:next w:val="Normal"/>
    <w:link w:val="IntenseQuoteChar"/>
    <w:uiPriority w:val="30"/>
    <w:qFormat/>
    <w:rsid w:val="00B522E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522E0"/>
    <w:rPr>
      <w:i/>
      <w:iCs/>
      <w:color w:val="2F5496" w:themeColor="accent1" w:themeShade="BF"/>
    </w:rPr>
  </w:style>
  <w:style w:type="character" w:styleId="IntenseReference">
    <w:name w:val="Intense Reference"/>
    <w:basedOn w:val="DefaultParagraphFont"/>
    <w:uiPriority w:val="32"/>
    <w:qFormat/>
    <w:rsid w:val="00B522E0"/>
    <w:rPr>
      <w:b/>
      <w:bCs/>
      <w:smallCaps/>
      <w:color w:val="2F5496" w:themeColor="accent1" w:themeShade="BF"/>
      <w:spacing w:val="5"/>
    </w:rPr>
  </w:style>
  <w:style w:type="paragraph" w:styleId="NormalWeb">
    <w:name w:val="Normal (Web)"/>
    <w:basedOn w:val="Normal"/>
    <w:uiPriority w:val="99"/>
    <w:unhideWhenUsed/>
    <w:qFormat/>
    <w:rsid w:val="00B522E0"/>
    <w:pPr>
      <w:spacing w:before="100" w:beforeAutospacing="1" w:after="100" w:afterAutospacing="1" w:line="240" w:lineRule="auto"/>
      <w:ind w:firstLine="0"/>
    </w:pPr>
    <w:rPr>
      <w:rFonts w:ascii="Times New Roman" w:hAnsi="Times New Roman"/>
      <w:lang w:val="de-DE" w:eastAsia="de-DE"/>
    </w:rPr>
  </w:style>
  <w:style w:type="paragraph" w:customStyle="1" w:styleId="Textbody">
    <w:name w:val="Text body"/>
    <w:basedOn w:val="Normal"/>
    <w:rsid w:val="00B522E0"/>
    <w:pPr>
      <w:suppressAutoHyphens/>
      <w:autoSpaceDN w:val="0"/>
      <w:spacing w:after="140" w:line="276" w:lineRule="auto"/>
      <w:ind w:firstLine="0"/>
      <w:textAlignment w:val="baseline"/>
    </w:pPr>
    <w:rPr>
      <w:rFonts w:ascii="Liberation Serif" w:eastAsia="Noto Sans CJK SC Regular" w:hAnsi="Liberation Serif" w:cs="FreeSans"/>
      <w:kern w:val="3"/>
      <w:lang w:val="en-GB" w:eastAsia="zh-CN" w:bidi="hi-IN"/>
      <w14:ligatures w14:val="standardContextual"/>
    </w:rPr>
  </w:style>
  <w:style w:type="paragraph" w:styleId="Bibliography">
    <w:name w:val="Bibliography"/>
    <w:basedOn w:val="Normal"/>
    <w:next w:val="Normal"/>
    <w:uiPriority w:val="37"/>
    <w:unhideWhenUsed/>
    <w:rsid w:val="00B522E0"/>
    <w:pPr>
      <w:spacing w:line="480" w:lineRule="auto"/>
      <w:ind w:left="720" w:hanging="720"/>
    </w:pPr>
  </w:style>
  <w:style w:type="paragraph" w:styleId="BalloonText">
    <w:name w:val="Balloon Text"/>
    <w:basedOn w:val="Normal"/>
    <w:link w:val="BalloonTextChar"/>
    <w:uiPriority w:val="99"/>
    <w:semiHidden/>
    <w:unhideWhenUsed/>
    <w:rsid w:val="00F54A3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A36"/>
    <w:rPr>
      <w:rFonts w:ascii="Segoe UI" w:eastAsia="Times New Roman" w:hAnsi="Segoe UI" w:cs="Segoe UI"/>
      <w:kern w:val="0"/>
      <w:sz w:val="18"/>
      <w:szCs w:val="18"/>
      <w:lang w:val="en-US" w:eastAsia="en-US"/>
      <w14:ligatures w14:val="none"/>
    </w:rPr>
  </w:style>
  <w:style w:type="paragraph" w:styleId="Caption">
    <w:name w:val="caption"/>
    <w:aliases w:val="EDS Table Heading"/>
    <w:basedOn w:val="Normal"/>
    <w:next w:val="Normal"/>
    <w:link w:val="CaptionChar"/>
    <w:autoRedefine/>
    <w:qFormat/>
    <w:rsid w:val="00E46E46"/>
    <w:pPr>
      <w:keepNext/>
      <w:spacing w:after="240" w:line="276" w:lineRule="auto"/>
      <w:ind w:hanging="28"/>
      <w:jc w:val="both"/>
    </w:pPr>
    <w:rPr>
      <w:b/>
      <w:szCs w:val="20"/>
    </w:rPr>
  </w:style>
  <w:style w:type="table" w:styleId="TableGrid">
    <w:name w:val="Table Grid"/>
    <w:basedOn w:val="TableNormal"/>
    <w:uiPriority w:val="39"/>
    <w:qFormat/>
    <w:rsid w:val="00E46E46"/>
    <w:pPr>
      <w:spacing w:after="0" w:line="240" w:lineRule="auto"/>
    </w:pPr>
    <w:rPr>
      <w:rFonts w:ascii="Calibri" w:eastAsia="Times New Roman" w:hAnsi="Calibri" w:cs="Times New Roman"/>
      <w:kern w:val="0"/>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EDS Table Heading Char"/>
    <w:basedOn w:val="DefaultParagraphFont"/>
    <w:link w:val="Caption"/>
    <w:rsid w:val="00E46E46"/>
    <w:rPr>
      <w:rFonts w:ascii="Calibri" w:eastAsia="Times New Roman" w:hAnsi="Calibri" w:cs="Times New Roman"/>
      <w:b/>
      <w:kern w:val="0"/>
      <w:szCs w:val="20"/>
      <w:lang w:val="en-US" w:eastAsia="en-US"/>
      <w14:ligatures w14:val="none"/>
    </w:rPr>
  </w:style>
  <w:style w:type="paragraph" w:styleId="Header">
    <w:name w:val="header"/>
    <w:basedOn w:val="Normal"/>
    <w:link w:val="HeaderChar"/>
    <w:uiPriority w:val="99"/>
    <w:unhideWhenUsed/>
    <w:rsid w:val="001D1C7C"/>
    <w:pPr>
      <w:tabs>
        <w:tab w:val="center" w:pos="4513"/>
        <w:tab w:val="right" w:pos="9026"/>
      </w:tabs>
      <w:spacing w:line="240" w:lineRule="auto"/>
    </w:pPr>
  </w:style>
  <w:style w:type="character" w:customStyle="1" w:styleId="HeaderChar">
    <w:name w:val="Header Char"/>
    <w:basedOn w:val="DefaultParagraphFont"/>
    <w:link w:val="Header"/>
    <w:uiPriority w:val="99"/>
    <w:rsid w:val="001D1C7C"/>
    <w:rPr>
      <w:rFonts w:ascii="Calibri" w:eastAsia="Times New Roman" w:hAnsi="Calibri" w:cs="Times New Roman"/>
      <w:kern w:val="0"/>
      <w:lang w:val="en-US" w:eastAsia="en-US"/>
      <w14:ligatures w14:val="none"/>
    </w:rPr>
  </w:style>
  <w:style w:type="paragraph" w:styleId="Footer">
    <w:name w:val="footer"/>
    <w:basedOn w:val="Normal"/>
    <w:link w:val="FooterChar"/>
    <w:uiPriority w:val="99"/>
    <w:unhideWhenUsed/>
    <w:rsid w:val="001D1C7C"/>
    <w:pPr>
      <w:tabs>
        <w:tab w:val="center" w:pos="4513"/>
        <w:tab w:val="right" w:pos="9026"/>
      </w:tabs>
      <w:spacing w:line="240" w:lineRule="auto"/>
    </w:pPr>
  </w:style>
  <w:style w:type="character" w:customStyle="1" w:styleId="FooterChar">
    <w:name w:val="Footer Char"/>
    <w:basedOn w:val="DefaultParagraphFont"/>
    <w:link w:val="Footer"/>
    <w:uiPriority w:val="99"/>
    <w:rsid w:val="001D1C7C"/>
    <w:rPr>
      <w:rFonts w:ascii="Calibri" w:eastAsia="Times New Roman" w:hAnsi="Calibri" w:cs="Times New Roman"/>
      <w:kern w:val="0"/>
      <w:lang w:val="en-US" w:eastAsia="en-US"/>
      <w14:ligatures w14:val="none"/>
    </w:rPr>
  </w:style>
  <w:style w:type="character" w:styleId="LineNumber">
    <w:name w:val="line number"/>
    <w:basedOn w:val="DefaultParagraphFont"/>
    <w:uiPriority w:val="99"/>
    <w:semiHidden/>
    <w:unhideWhenUsed/>
    <w:rsid w:val="003208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18187</Words>
  <Characters>103667</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Qambemeda Nyanghura</dc:creator>
  <cp:keywords/>
  <dc:description/>
  <cp:lastModifiedBy>qmnya</cp:lastModifiedBy>
  <cp:revision>3</cp:revision>
  <dcterms:created xsi:type="dcterms:W3CDTF">2026-04-15T18:33:00Z</dcterms:created>
  <dcterms:modified xsi:type="dcterms:W3CDTF">2026-05-14T15:31:00Z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id="N6sCRqsN"/&gt;&lt;style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