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A0E" w:rsidRPr="002C4A0E" w:rsidRDefault="002C4A0E" w:rsidP="002C4A0E">
      <w:pPr>
        <w:widowControl/>
        <w:shd w:val="clear" w:color="auto" w:fill="FFFFFF"/>
        <w:spacing w:after="120"/>
        <w:jc w:val="left"/>
        <w:textAlignment w:val="baseline"/>
        <w:outlineLvl w:val="0"/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</w:pPr>
      <w:r w:rsidRPr="002C4A0E"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  <w:t>Supplementary Table S</w:t>
      </w:r>
      <w:r w:rsidRPr="00A121F8"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  <w:t>1</w:t>
      </w:r>
      <w:r w:rsidRPr="002C4A0E"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  <w:t>. Model parameters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384"/>
        <w:gridCol w:w="8021"/>
      </w:tblGrid>
      <w:tr w:rsidR="002C4A0E" w:rsidRPr="002C4A0E" w:rsidTr="002C4A0E">
        <w:trPr>
          <w:tblHeader/>
        </w:trPr>
        <w:tc>
          <w:tcPr>
            <w:tcW w:w="0" w:type="auto"/>
            <w:vAlign w:val="bottom"/>
            <w:hideMark/>
          </w:tcPr>
          <w:p w:rsidR="002C4A0E" w:rsidRPr="002C4A0E" w:rsidRDefault="002C4A0E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Parameter</w:t>
            </w:r>
          </w:p>
        </w:tc>
        <w:tc>
          <w:tcPr>
            <w:tcW w:w="0" w:type="auto"/>
            <w:vAlign w:val="bottom"/>
            <w:hideMark/>
          </w:tcPr>
          <w:p w:rsidR="002C4A0E" w:rsidRPr="002C4A0E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 xml:space="preserve">Estimated </w:t>
            </w:r>
            <w:r w:rsidR="002C4A0E"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value</w:t>
            </w:r>
          </w:p>
        </w:tc>
        <w:tc>
          <w:tcPr>
            <w:tcW w:w="0" w:type="auto"/>
            <w:vAlign w:val="bottom"/>
            <w:hideMark/>
          </w:tcPr>
          <w:p w:rsidR="002C4A0E" w:rsidRPr="002C4A0E" w:rsidRDefault="002C4A0E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Biological / mathematical meaning</w:t>
            </w:r>
          </w:p>
        </w:tc>
      </w:tr>
      <w:tr w:rsidR="00A121F8" w:rsidRPr="002C4A0E" w:rsidTr="002C4A0E">
        <w:tc>
          <w:tcPr>
            <w:tcW w:w="0" w:type="auto"/>
            <w:vAlign w:val="bottom"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​</w:t>
            </w:r>
          </w:p>
        </w:tc>
        <w:tc>
          <w:tcPr>
            <w:tcW w:w="0" w:type="auto"/>
            <w:vAlign w:val="bottom"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 w:hint="eastAsia"/>
                <w:color w:val="333333"/>
                <w:spacing w:val="-4"/>
                <w:w w:val="105"/>
                <w:sz w:val="17"/>
                <w:szCs w:val="17"/>
              </w:rPr>
              <w:t>I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mmune capacity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Basal environmental generation rate of tumor cells. In the current simulations, this was set to zero.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Tumor-cell proliferation rate.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Natural tumor-cell death rate; also contributes to removal of tumor-associated surface quantities.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Maximal immune-mediated cell lysis rate for both ADCC/CDC-like and Tc-mediated killing.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20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Saturation/threshold constant for ADCC/CDC-like killing driven by 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333333"/>
                      <w:spacing w:val="-4"/>
                      <w:w w:val="105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333333"/>
                      <w:spacing w:val="-4"/>
                      <w:w w:val="105"/>
                      <w:sz w:val="17"/>
                      <w:szCs w:val="17"/>
                    </w:rPr>
                    <m:t>Complex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color w:val="333333"/>
                      <w:spacing w:val="-4"/>
                      <w:w w:val="105"/>
                      <w:sz w:val="17"/>
                      <w:szCs w:val="17"/>
                    </w:rPr>
                    <m:t>_1</m:t>
                  </m:r>
                </m:num>
                <m:den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color w:val="333333"/>
                          <w:spacing w:val="-4"/>
                          <w:w w:val="105"/>
                          <w:sz w:val="17"/>
                          <w:szCs w:val="17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333333"/>
                          <w:spacing w:val="-4"/>
                          <w:w w:val="105"/>
                          <w:sz w:val="17"/>
                          <w:szCs w:val="17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333333"/>
                          <w:spacing w:val="-4"/>
                          <w:w w:val="105"/>
                          <w:sz w:val="17"/>
                          <w:szCs w:val="17"/>
                        </w:rPr>
                        <m:t>u</m:t>
                      </m:r>
                    </m:sub>
                  </m:sSub>
                </m:den>
              </m:f>
            </m:oMath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p6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−9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Model rate constant in the antigen/immune interaction module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p7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Saturation/threshold constant for Tc-mediated killing driven by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333333"/>
                      <w:spacing w:val="-4"/>
                      <w:w w:val="105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333333"/>
                      <w:spacing w:val="-4"/>
                      <w:w w:val="105"/>
                      <w:sz w:val="17"/>
                      <w:szCs w:val="17"/>
                    </w:rPr>
                    <m:t>Complex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color w:val="333333"/>
                      <w:spacing w:val="-4"/>
                      <w:w w:val="105"/>
                      <w:sz w:val="17"/>
                      <w:szCs w:val="17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color w:val="333333"/>
                      <w:spacing w:val="-4"/>
                      <w:w w:val="105"/>
                      <w:sz w:val="17"/>
                      <w:szCs w:val="17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color w:val="333333"/>
                          <w:spacing w:val="-4"/>
                          <w:w w:val="105"/>
                          <w:sz w:val="17"/>
                          <w:szCs w:val="17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333333"/>
                          <w:spacing w:val="-4"/>
                          <w:w w:val="105"/>
                          <w:sz w:val="17"/>
                          <w:szCs w:val="17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333333"/>
                          <w:spacing w:val="-4"/>
                          <w:w w:val="105"/>
                          <w:sz w:val="17"/>
                          <w:szCs w:val="17"/>
                        </w:rPr>
                        <m:t>u</m:t>
                      </m:r>
                    </m:sub>
                  </m:sSub>
                </m:den>
              </m:f>
            </m:oMath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−12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Forward binding coefficient between neoantigen and antibody/BCR; also used for membrane neoantigen–antibody binding.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Dissociation coefficient of antigen–antibody or antigen–BCR complexes.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Degradation/removal rate of antigen–antibody complex 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C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Maximal generation rate of processed MHC-II-type peptide from antigen–antibody complex uptake by DCs.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11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 constant for antigen–antibody complex uptake/processing by DCs.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p13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Degradation rate of processed intracellular MHC-II-type peptide 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F1​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p14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−9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 xml:space="preserve">Forward binding coefficient between processed peptide and MHC molecules; 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1.0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Dissociation coefficient of peptide–MHC complexes.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p16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Degradation/removal rate of MHC-II–peptide complex 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F3​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p17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−10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Binding coefficient between MHC-II–peptide complex and CD4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++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 T cells.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Dissociation coefficient of the CD4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++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 TCR–MHC-II–peptide complex.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p19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Saturation/scaling constant in helper T cell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rate in helper T cell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Immune activation/proliferation coefficient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Immune activation/proliferation coefficient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p23​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T cell or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p24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T cell or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7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Saturation/scaling constant in adaptive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p26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Saturation/scaling constant in adaptive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p27​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adaptive immune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Proliferation/activation coefficient in adaptive immune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p29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 xml:space="preserve">Immune activation/proliferation coefficient; 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Scaling coefficient in B cell/antibody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Rate/scaling coefficient in B cell/antibody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Rate/scaling coefficient in B cell/antibody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p33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B cell/antibody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p34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4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Saturation/scaling constant in B cell/antibody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p35​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Maximal activation/production coefficient in B cell/antibody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p36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11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 constant in B cell/antibody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p37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−11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Binding/interaction coefficient in B cell or antibody module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1.1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Dissociation/activation coefficient in B cell or antibody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p39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−10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Forward binding coefficient between tumor-surface MHC-I–neoantigen peptide complex and Tc cells.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p40​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Dissociation coefficient of </w:t>
            </w:r>
            <m:oMath>
              <m: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Complex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_2</m:t>
              </m:r>
            </m:oMath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, the MHC-I–peptide–TCR recognition complex.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Saturation/scaling constant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p43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lastRenderedPageBreak/>
              <w:t>p44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Differentiation/activation fraction or rate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p46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p47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Rate/scaling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p48​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Decay/removal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p49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Rate/scaling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Rate/scaling coefficient in immune activation module.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Immune production/activation coefficient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50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Antibody or effector-cell production/scaling coefficient.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p53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Degradation/removal rate of unoccupied MHC-II pool 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F2​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p54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External input term; set to zero in default simulations.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p55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External input term; set to zero in default simulations.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p56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Transcription coefficient for neoantigen-encoding mRNA.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p57​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Translation coefficient from mRNA to intracellular neoantigen.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Neoantigen membrane-routing coefficient. Larger values indicate poor membrane accessibility or weak transmembrane localization, thereby reducing ADCC/CDC-like killing.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p59​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Neoantigen MHC-I presentation coefficient. Larger values indicate reduced MHC-I expression, impaired antigen presentation, or weak MHC-I immunogenicity, thereby reducing Tc-mediated killing.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p60​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External input or additional source term; set to zero in default simulations.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p61​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Source/supply term for unoccupied MHC-II molecules </w:t>
            </w: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F2​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  <w:tr w:rsidR="00A121F8" w:rsidRPr="002C4A0E" w:rsidTr="002C4A0E"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p62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0.01</w:t>
            </w:r>
          </w:p>
        </w:tc>
        <w:tc>
          <w:tcPr>
            <w:tcW w:w="0" w:type="auto"/>
            <w:vAlign w:val="bottom"/>
            <w:hideMark/>
          </w:tcPr>
          <w:p w:rsidR="00A121F8" w:rsidRPr="002C4A0E" w:rsidRDefault="00A121F8" w:rsidP="002010D7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Natural degradation/removal coefficient for </w:t>
            </w:r>
            <m:oMath>
              <m: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N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_</m:t>
              </m:r>
              <m: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sur</m:t>
              </m:r>
            </m:oMath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, </w:t>
            </w:r>
            <m:oMath>
              <m: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N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_</m:t>
              </m:r>
              <m: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sur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_2</m:t>
              </m:r>
            </m:oMath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 xml:space="preserve"> 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, </w:t>
            </w:r>
            <m:oMath>
              <m: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Complex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_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1</m:t>
              </m:r>
            </m:oMath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, and </w:t>
            </w:r>
            <m:oMath>
              <m: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Complex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color w:val="333333"/>
                  <w:spacing w:val="-4"/>
                  <w:w w:val="105"/>
                  <w:sz w:val="17"/>
                  <w:szCs w:val="17"/>
                </w:rPr>
                <m:t>_2</m:t>
              </m:r>
            </m:oMath>
            <w:r w:rsidRPr="002010D7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​</w:t>
            </w:r>
            <w:r w:rsidRPr="002C4A0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.</w:t>
            </w:r>
          </w:p>
        </w:tc>
      </w:tr>
    </w:tbl>
    <w:p w:rsidR="002C4A0E" w:rsidRPr="002C4A0E" w:rsidRDefault="002C4A0E" w:rsidP="002C4A0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2C4A0E" w:rsidRPr="002C4A0E" w:rsidRDefault="002C4A0E" w:rsidP="002C4A0E">
      <w:pPr>
        <w:widowControl/>
        <w:shd w:val="clear" w:color="auto" w:fill="FFFFFF"/>
        <w:spacing w:after="120"/>
        <w:jc w:val="left"/>
        <w:textAlignment w:val="baseline"/>
        <w:outlineLvl w:val="0"/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</w:pPr>
      <w:r w:rsidRPr="002C4A0E"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  <w:t>S</w:t>
      </w:r>
      <w:r w:rsidRPr="00A121F8"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  <w:t>2</w:t>
      </w:r>
      <w:r w:rsidRPr="002C4A0E">
        <w:rPr>
          <w:rFonts w:ascii="Times New Roman" w:eastAsia="宋体" w:hAnsi="Times New Roman" w:cs="Times New Roman"/>
          <w:b/>
          <w:bCs/>
          <w:color w:val="080808"/>
          <w:kern w:val="36"/>
          <w:sz w:val="29"/>
          <w:szCs w:val="29"/>
        </w:rPr>
        <w:t>. Default initial conditions</w:t>
      </w:r>
    </w:p>
    <w:p w:rsidR="002C4A0E" w:rsidRPr="002C4A0E" w:rsidRDefault="002C4A0E" w:rsidP="002C4A0E">
      <w:pPr>
        <w:widowControl/>
        <w:shd w:val="clear" w:color="auto" w:fill="FFFFFF"/>
        <w:spacing w:after="240"/>
        <w:jc w:val="left"/>
        <w:textAlignment w:val="baseline"/>
        <w:rPr>
          <w:rFonts w:ascii="Times New Roman" w:eastAsia="宋体" w:hAnsi="Times New Roman" w:cs="Times New Roman"/>
          <w:color w:val="080808"/>
          <w:spacing w:val="5"/>
          <w:kern w:val="0"/>
          <w:szCs w:val="21"/>
        </w:rPr>
      </w:pPr>
      <w:r w:rsidRPr="002C4A0E">
        <w:rPr>
          <w:rFonts w:ascii="Times New Roman" w:eastAsia="宋体" w:hAnsi="Times New Roman" w:cs="Times New Roman"/>
          <w:color w:val="080808"/>
          <w:spacing w:val="5"/>
          <w:kern w:val="0"/>
          <w:szCs w:val="21"/>
        </w:rPr>
        <w:t>The default initial conditions used in the simulations are listed in Supplementary Table S</w:t>
      </w:r>
      <w:r w:rsidRPr="00A121F8">
        <w:rPr>
          <w:rFonts w:ascii="Times New Roman" w:eastAsia="宋体" w:hAnsi="Times New Roman" w:cs="Times New Roman"/>
          <w:color w:val="080808"/>
          <w:spacing w:val="5"/>
          <w:kern w:val="0"/>
          <w:szCs w:val="21"/>
        </w:rPr>
        <w:t>2</w:t>
      </w:r>
      <w:r w:rsidRPr="002C4A0E">
        <w:rPr>
          <w:rFonts w:ascii="Times New Roman" w:eastAsia="宋体" w:hAnsi="Times New Roman" w:cs="Times New Roman"/>
          <w:color w:val="080808"/>
          <w:spacing w:val="5"/>
          <w:kern w:val="0"/>
          <w:szCs w:val="21"/>
        </w:rPr>
        <w:t>.</w:t>
      </w:r>
    </w:p>
    <w:p w:rsidR="002C4A0E" w:rsidRPr="002C4A0E" w:rsidRDefault="002C4A0E" w:rsidP="002C4A0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C4A0E">
        <w:rPr>
          <w:rFonts w:ascii="Times New Roman" w:eastAsia="宋体" w:hAnsi="Times New Roman" w:cs="Times New Roman"/>
          <w:kern w:val="0"/>
          <w:sz w:val="24"/>
          <w:szCs w:val="24"/>
        </w:rPr>
        <w:pict>
          <v:rect id="_x0000_i1026" style="width:0;height:0" o:hralign="center" o:hrstd="t" o:hr="t" fillcolor="#a0a0a0" stroked="f"/>
        </w:pict>
      </w:r>
    </w:p>
    <w:p w:rsidR="002C4A0E" w:rsidRDefault="002C4A0E" w:rsidP="002C4A0E">
      <w:pPr>
        <w:widowControl/>
        <w:shd w:val="clear" w:color="auto" w:fill="FFFFFF"/>
        <w:spacing w:after="120"/>
        <w:jc w:val="left"/>
        <w:textAlignment w:val="baseline"/>
        <w:outlineLvl w:val="1"/>
        <w:rPr>
          <w:rFonts w:ascii="Times New Roman" w:eastAsia="宋体" w:hAnsi="Times New Roman" w:cs="Times New Roman"/>
          <w:b/>
          <w:bCs/>
          <w:color w:val="080808"/>
          <w:kern w:val="0"/>
          <w:sz w:val="26"/>
          <w:szCs w:val="26"/>
        </w:rPr>
      </w:pPr>
      <w:r w:rsidRPr="002C4A0E">
        <w:rPr>
          <w:rFonts w:ascii="Times New Roman" w:eastAsia="宋体" w:hAnsi="Times New Roman" w:cs="Times New Roman"/>
          <w:b/>
          <w:bCs/>
          <w:color w:val="080808"/>
          <w:kern w:val="0"/>
          <w:sz w:val="26"/>
          <w:szCs w:val="26"/>
        </w:rPr>
        <w:t>Supplementary Table S</w:t>
      </w:r>
      <w:r w:rsidRPr="00A121F8">
        <w:rPr>
          <w:rFonts w:ascii="Times New Roman" w:eastAsia="宋体" w:hAnsi="Times New Roman" w:cs="Times New Roman"/>
          <w:b/>
          <w:bCs/>
          <w:color w:val="080808"/>
          <w:kern w:val="0"/>
          <w:sz w:val="26"/>
          <w:szCs w:val="26"/>
        </w:rPr>
        <w:t>2</w:t>
      </w:r>
      <w:r w:rsidRPr="002C4A0E">
        <w:rPr>
          <w:rFonts w:ascii="Times New Roman" w:eastAsia="宋体" w:hAnsi="Times New Roman" w:cs="Times New Roman"/>
          <w:b/>
          <w:bCs/>
          <w:color w:val="080808"/>
          <w:kern w:val="0"/>
          <w:sz w:val="26"/>
          <w:szCs w:val="26"/>
        </w:rPr>
        <w:t>. Default initial conditions</w:t>
      </w:r>
    </w:p>
    <w:p w:rsidR="002010D7" w:rsidRDefault="002010D7" w:rsidP="002C4A0E">
      <w:pPr>
        <w:widowControl/>
        <w:shd w:val="clear" w:color="auto" w:fill="FFFFFF"/>
        <w:spacing w:after="120"/>
        <w:jc w:val="left"/>
        <w:textAlignment w:val="baseline"/>
        <w:outlineLvl w:val="1"/>
        <w:rPr>
          <w:rFonts w:ascii="Times New Roman" w:eastAsia="宋体" w:hAnsi="Times New Roman" w:cs="Times New Roman"/>
          <w:b/>
          <w:bCs/>
          <w:color w:val="080808"/>
          <w:kern w:val="0"/>
          <w:sz w:val="26"/>
          <w:szCs w:val="26"/>
        </w:rPr>
      </w:pPr>
    </w:p>
    <w:p w:rsidR="002010D7" w:rsidRPr="00926C7A" w:rsidRDefault="002010D7" w:rsidP="002010D7">
      <w:pPr>
        <w:tabs>
          <w:tab w:val="left" w:pos="2081"/>
        </w:tabs>
        <w:spacing w:before="150"/>
        <w:ind w:leftChars="100" w:left="210" w:rightChars="100" w:right="210"/>
        <w:rPr>
          <w:rFonts w:ascii="Times New Roman" w:hAnsi="Times New Roman" w:cs="Times New Roman"/>
          <w:sz w:val="17"/>
          <w:szCs w:val="17"/>
        </w:rPr>
      </w:pPr>
    </w:p>
    <w:tbl>
      <w:tblPr>
        <w:tblStyle w:val="TableNormal"/>
        <w:tblW w:w="5000" w:type="pct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1357"/>
        <w:gridCol w:w="4635"/>
        <w:gridCol w:w="4633"/>
      </w:tblGrid>
      <w:tr w:rsidR="002010D7" w:rsidRPr="00926C7A" w:rsidTr="002010D7">
        <w:trPr>
          <w:trHeight w:val="447"/>
        </w:trPr>
        <w:tc>
          <w:tcPr>
            <w:tcW w:w="639" w:type="pct"/>
            <w:tcBorders>
              <w:left w:val="nil"/>
            </w:tcBorders>
          </w:tcPr>
          <w:p w:rsidR="002010D7" w:rsidRPr="002010D7" w:rsidRDefault="002010D7" w:rsidP="00E8686A">
            <w:pPr>
              <w:ind w:firstLineChars="100" w:firstLine="170"/>
              <w:rPr>
                <w:rFonts w:ascii="Cambria Math" w:hAnsi="Cambria Math" w:cs="Cambria Math" w:hint="eastAsia"/>
                <w:color w:val="333333"/>
                <w:spacing w:val="-4"/>
                <w:w w:val="105"/>
                <w:sz w:val="17"/>
                <w:szCs w:val="17"/>
                <w:lang w:eastAsia="zh-CN"/>
              </w:rPr>
            </w:pPr>
            <w:r>
              <w:rPr>
                <w:rFonts w:ascii="Cambria Math" w:hAnsi="Cambria Math" w:cs="Cambria Math"/>
                <w:color w:val="333333"/>
                <w:spacing w:val="-4"/>
                <w:w w:val="105"/>
                <w:sz w:val="17"/>
                <w:szCs w:val="17"/>
                <w:lang w:eastAsia="zh-CN"/>
              </w:rPr>
              <w:t>Variables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Pr="00E900EE" w:rsidRDefault="002010D7" w:rsidP="00E8686A">
            <w:pPr>
              <w:ind w:firstLineChars="100" w:firstLine="178"/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  <w:t>B</w:t>
            </w:r>
            <w:r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  <w:t xml:space="preserve">iological interpretation 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Pr="00E900EE" w:rsidRDefault="002010D7" w:rsidP="00E8686A">
            <w:pPr>
              <w:ind w:firstLineChars="100" w:firstLine="178"/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  <w:t>I</w:t>
            </w:r>
            <w:r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  <w:t>nitial value</w:t>
            </w:r>
          </w:p>
        </w:tc>
      </w:tr>
      <w:tr w:rsidR="002010D7" w:rsidRPr="00926C7A" w:rsidTr="002010D7">
        <w:trPr>
          <w:trHeight w:val="447"/>
        </w:trPr>
        <w:tc>
          <w:tcPr>
            <w:tcW w:w="639" w:type="pct"/>
            <w:tcBorders>
              <w:left w:val="nil"/>
            </w:tcBorders>
          </w:tcPr>
          <w:p w:rsidR="002010D7" w:rsidRPr="00E900EE" w:rsidRDefault="002010D7" w:rsidP="00E8686A">
            <w:pPr>
              <w:ind w:firstLineChars="100" w:firstLine="170"/>
              <w:rPr>
                <w:rFonts w:ascii="Times New Roman" w:hAnsi="Times New Roman" w:cs="Times New Roman"/>
                <w:color w:val="333333"/>
                <w:sz w:val="17"/>
                <w:szCs w:val="17"/>
              </w:rPr>
            </w:pPr>
            <w:r w:rsidRPr="00E900E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𝑇</w:t>
            </w:r>
            <w:r w:rsidRPr="00E900EE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position w:val="-2"/>
                <w:sz w:val="17"/>
                <w:szCs w:val="17"/>
              </w:rPr>
              <w:t>𝑢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Default="002010D7" w:rsidP="00E8686A">
            <w:pPr>
              <w:ind w:firstLineChars="100" w:firstLine="178"/>
            </w:pPr>
            <w:r w:rsidRPr="00E900EE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tumor</w:t>
            </w:r>
            <w:r w:rsidRPr="00E900EE">
              <w:rPr>
                <w:rFonts w:ascii="Times New Roman" w:hAnsi="Times New Roman" w:cs="Times New Roman"/>
                <w:color w:val="333333"/>
                <w:spacing w:val="-10"/>
                <w:w w:val="105"/>
                <w:sz w:val="17"/>
                <w:szCs w:val="17"/>
              </w:rPr>
              <w:t xml:space="preserve"> </w:t>
            </w:r>
            <w:r w:rsidRPr="00E900EE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cell</w:t>
            </w:r>
            <w:r w:rsidRPr="00E900EE">
              <w:rPr>
                <w:rFonts w:ascii="Times New Roman" w:hAnsi="Times New Roman" w:cs="Times New Roman"/>
                <w:color w:val="333333"/>
                <w:spacing w:val="-9"/>
                <w:w w:val="105"/>
                <w:sz w:val="17"/>
                <w:szCs w:val="17"/>
              </w:rPr>
              <w:t xml:space="preserve"> </w:t>
            </w:r>
            <w:r w:rsidRPr="00E900EE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population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Pr="00E900EE" w:rsidRDefault="002010D7" w:rsidP="00E8686A">
            <w:pPr>
              <w:ind w:firstLineChars="100" w:firstLine="178"/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  <w:t>00</w:t>
            </w:r>
          </w:p>
        </w:tc>
      </w:tr>
      <w:tr w:rsidR="002010D7" w:rsidRPr="00926C7A" w:rsidTr="002010D7">
        <w:trPr>
          <w:trHeight w:val="447"/>
        </w:trPr>
        <w:tc>
          <w:tcPr>
            <w:tcW w:w="639" w:type="pct"/>
            <w:tcBorders>
              <w:left w:val="nil"/>
            </w:tcBorders>
          </w:tcPr>
          <w:p w:rsidR="002010D7" w:rsidRPr="00926C7A" w:rsidRDefault="002010D7" w:rsidP="00E868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𝑁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Pr="00926C7A" w:rsidRDefault="002010D7" w:rsidP="00E868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extracellular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soluble</w:t>
            </w:r>
            <w:r w:rsidRPr="00926C7A">
              <w:rPr>
                <w:rFonts w:ascii="Times New Roman" w:hAnsi="Times New Roman" w:cs="Times New Roman"/>
                <w:color w:val="333333"/>
                <w:spacing w:val="2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neoantigen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Pr="00926C7A" w:rsidRDefault="002010D7" w:rsidP="00E868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47"/>
        </w:trPr>
        <w:tc>
          <w:tcPr>
            <w:tcW w:w="639" w:type="pct"/>
            <w:tcBorders>
              <w:left w:val="nil"/>
            </w:tcBorders>
          </w:tcPr>
          <w:p w:rsidR="002010D7" w:rsidRPr="00926C7A" w:rsidRDefault="002010D7" w:rsidP="00E868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𝐶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Pr="00926C7A" w:rsidRDefault="002010D7" w:rsidP="00E868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soluble</w:t>
            </w:r>
            <w:r w:rsidRPr="00926C7A">
              <w:rPr>
                <w:rFonts w:ascii="Times New Roman" w:hAnsi="Times New Roman" w:cs="Times New Roman"/>
                <w:color w:val="333333"/>
                <w:spacing w:val="27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antigen–antibody</w:t>
            </w:r>
            <w:r w:rsidRPr="00926C7A">
              <w:rPr>
                <w:rFonts w:ascii="Times New Roman" w:hAnsi="Times New Roman" w:cs="Times New Roman"/>
                <w:color w:val="333333"/>
                <w:spacing w:val="2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immune</w:t>
            </w:r>
            <w:r w:rsidRPr="00926C7A">
              <w:rPr>
                <w:rFonts w:ascii="Times New Roman" w:hAnsi="Times New Roman" w:cs="Times New Roman"/>
                <w:color w:val="333333"/>
                <w:spacing w:val="2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181" w:type="pct"/>
            <w:tcBorders>
              <w:right w:val="nil"/>
            </w:tcBorders>
          </w:tcPr>
          <w:p w:rsidR="002010D7" w:rsidRPr="00926C7A" w:rsidRDefault="002010D7" w:rsidP="00E868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</w:tbl>
    <w:p w:rsidR="002010D7" w:rsidRPr="00926C7A" w:rsidRDefault="002010D7" w:rsidP="002010D7">
      <w:pPr>
        <w:pStyle w:val="TableParagraph"/>
        <w:ind w:left="0" w:rightChars="100" w:right="210"/>
        <w:jc w:val="both"/>
        <w:rPr>
          <w:rFonts w:ascii="Times New Roman" w:hAnsi="Times New Roman" w:cs="Times New Roman"/>
          <w:sz w:val="17"/>
          <w:szCs w:val="17"/>
        </w:rPr>
        <w:sectPr w:rsidR="002010D7" w:rsidRPr="00926C7A">
          <w:pgSz w:w="11900" w:h="16840"/>
          <w:pgMar w:top="1660" w:right="425" w:bottom="280" w:left="850" w:header="720" w:footer="720" w:gutter="0"/>
          <w:cols w:space="720"/>
        </w:sectPr>
      </w:pPr>
    </w:p>
    <w:p w:rsidR="002010D7" w:rsidRPr="00926C7A" w:rsidRDefault="002010D7" w:rsidP="002010D7">
      <w:pPr>
        <w:pStyle w:val="6"/>
        <w:spacing w:before="62" w:line="240" w:lineRule="auto"/>
        <w:ind w:rightChars="100" w:right="210"/>
        <w:rPr>
          <w:rFonts w:ascii="Times New Roman" w:hAnsi="Times New Roman" w:cs="Times New Roman"/>
        </w:rPr>
      </w:pPr>
      <w:r w:rsidRPr="00926C7A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11466E45" wp14:editId="56011320">
                <wp:simplePos x="0" y="0"/>
                <wp:positionH relativeFrom="page">
                  <wp:posOffset>1782918</wp:posOffset>
                </wp:positionH>
                <wp:positionV relativeFrom="paragraph">
                  <wp:posOffset>-5333</wp:posOffset>
                </wp:positionV>
                <wp:extent cx="7620" cy="287020"/>
                <wp:effectExtent l="0" t="0" r="0" b="0"/>
                <wp:wrapNone/>
                <wp:docPr id="302" name="Graphic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287020">
                              <a:moveTo>
                                <a:pt x="6999" y="286993"/>
                              </a:moveTo>
                              <a:lnTo>
                                <a:pt x="0" y="286993"/>
                              </a:lnTo>
                              <a:lnTo>
                                <a:pt x="0" y="0"/>
                              </a:lnTo>
                              <a:lnTo>
                                <a:pt x="6999" y="0"/>
                              </a:lnTo>
                              <a:lnTo>
                                <a:pt x="6999" y="2869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4071B" id="Graphic 302" o:spid="_x0000_s1026" style="position:absolute;left:0;text-align:left;margin-left:140.4pt;margin-top:-.4pt;width:.6pt;height:22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" path="m6999,286993r-6999,l,,6999,r,286993xe" fillcolor="#333" stroked="f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5000" w:type="pct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1630"/>
        <w:gridCol w:w="3339"/>
        <w:gridCol w:w="3337"/>
      </w:tblGrid>
      <w:tr w:rsidR="002010D7" w:rsidRPr="00926C7A" w:rsidTr="002010D7">
        <w:trPr>
          <w:trHeight w:val="67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E868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𝐹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2"/>
                <w:sz w:val="17"/>
                <w:szCs w:val="17"/>
              </w:rPr>
              <w:t>1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E8686A">
            <w:pPr>
              <w:pStyle w:val="TableParagraph"/>
              <w:spacing w:before="118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DC-processed MHC-II-associated peptide derived from immune complex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2010D7" w:rsidP="00E8686A">
            <w:pPr>
              <w:pStyle w:val="TableParagraph"/>
              <w:spacing w:before="118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pacing w:val="-2"/>
                <w:w w:val="105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pacing w:val="-2"/>
                <w:w w:val="105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𝐹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2"/>
                <w:sz w:val="17"/>
                <w:szCs w:val="17"/>
              </w:rPr>
              <w:t>2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free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MHC-II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molecules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presentation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capacity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on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dendritic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cells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10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𝐹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2"/>
                <w:sz w:val="17"/>
                <w:szCs w:val="17"/>
              </w:rPr>
              <w:t>3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peptide-loaded</w:t>
            </w:r>
            <w:r w:rsidRPr="00926C7A">
              <w:rPr>
                <w:rFonts w:ascii="Times New Roman" w:hAnsi="Times New Roman" w:cs="Times New Roman"/>
                <w:color w:val="333333"/>
                <w:spacing w:val="21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MHC-II</w:t>
            </w:r>
            <w:r w:rsidRPr="00926C7A">
              <w:rPr>
                <w:rFonts w:ascii="Times New Roman" w:hAnsi="Times New Roman" w:cs="Times New Roman"/>
                <w:color w:val="333333"/>
                <w:spacing w:val="21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complex</w:t>
            </w:r>
            <w:r w:rsidRPr="00926C7A">
              <w:rPr>
                <w:rFonts w:ascii="Times New Roman" w:hAnsi="Times New Roman" w:cs="Times New Roman"/>
                <w:color w:val="333333"/>
                <w:spacing w:val="21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on</w:t>
            </w:r>
            <w:r w:rsidRPr="00926C7A">
              <w:rPr>
                <w:rFonts w:ascii="Times New Roman" w:hAnsi="Times New Roman" w:cs="Times New Roman"/>
                <w:color w:val="333333"/>
                <w:spacing w:val="21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dendritic</w:t>
            </w:r>
            <w:r w:rsidRPr="00926C7A">
              <w:rPr>
                <w:rFonts w:ascii="Times New Roman" w:hAnsi="Times New Roman" w:cs="Times New Roman"/>
                <w:color w:val="333333"/>
                <w:spacing w:val="22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cells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𝑊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available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CD4⁺</w:t>
            </w:r>
            <w:r w:rsidRPr="00926C7A">
              <w:rPr>
                <w:rFonts w:ascii="Times New Roman" w:hAnsi="Times New Roman" w:cs="Times New Roman"/>
                <w:color w:val="333333"/>
                <w:spacing w:val="-4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compartment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interacting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with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5"/>
                <w:w w:val="105"/>
                <w:sz w:val="17"/>
                <w:szCs w:val="17"/>
              </w:rPr>
              <w:t>DCs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6</w:t>
            </w:r>
          </w:p>
        </w:tc>
      </w:tr>
      <w:tr w:rsidR="002010D7" w:rsidRPr="00B4666A" w:rsidTr="002010D7">
        <w:trPr>
          <w:trHeight w:val="45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𝑊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position w:val="-2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nonspecific</w:t>
            </w:r>
            <w:r w:rsidRPr="00926C7A">
              <w:rPr>
                <w:rFonts w:ascii="Times New Roman" w:hAnsi="Times New Roman" w:cs="Times New Roman"/>
                <w:color w:val="333333"/>
                <w:spacing w:val="-1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1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alternative</w:t>
            </w:r>
            <w:r w:rsidRPr="00926C7A">
              <w:rPr>
                <w:rFonts w:ascii="Times New Roman" w:hAnsi="Times New Roman" w:cs="Times New Roman"/>
                <w:color w:val="333333"/>
                <w:spacing w:val="-1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CD4⁺</w:t>
            </w:r>
            <w:r w:rsidRPr="00926C7A">
              <w:rPr>
                <w:rFonts w:ascii="Times New Roman" w:hAnsi="Times New Roman" w:cs="Times New Roman"/>
                <w:color w:val="333333"/>
                <w:spacing w:val="-15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-1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-1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compartment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9999×10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6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𝑋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DC</w:t>
            </w:r>
            <w:r w:rsidRPr="00926C7A">
              <w:rPr>
                <w:rFonts w:ascii="Times New Roman" w:hAnsi="Times New Roman" w:cs="Times New Roman"/>
                <w:color w:val="333333"/>
                <w:spacing w:val="20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MHC-II–peptide–CD4⁺</w:t>
            </w:r>
            <w:r w:rsidRPr="00926C7A">
              <w:rPr>
                <w:rFonts w:ascii="Times New Roman" w:hAnsi="Times New Roman" w:cs="Times New Roman"/>
                <w:color w:val="333333"/>
                <w:spacing w:val="17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21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20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interaction</w:t>
            </w:r>
            <w:r w:rsidRPr="00926C7A">
              <w:rPr>
                <w:rFonts w:ascii="Times New Roman" w:hAnsi="Times New Roman" w:cs="Times New Roman"/>
                <w:color w:val="333333"/>
                <w:spacing w:val="20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𝐴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antigen-specific</w:t>
            </w:r>
            <w:r w:rsidRPr="00926C7A">
              <w:rPr>
                <w:rFonts w:ascii="Times New Roman" w:hAnsi="Times New Roman" w:cs="Times New Roman"/>
                <w:color w:val="333333"/>
                <w:spacing w:val="39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antibody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10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𝑇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position w:val="-2"/>
                <w:sz w:val="17"/>
                <w:szCs w:val="17"/>
              </w:rPr>
              <w:t>𝑐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neoantigen-specific</w:t>
            </w:r>
            <w:r w:rsidRPr="00926C7A">
              <w:rPr>
                <w:rFonts w:ascii="Times New Roman" w:hAnsi="Times New Roman" w:cs="Times New Roman"/>
                <w:color w:val="333333"/>
                <w:spacing w:val="20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effector</w:t>
            </w:r>
            <w:r w:rsidRPr="00926C7A">
              <w:rPr>
                <w:rFonts w:ascii="Times New Roman" w:hAnsi="Times New Roman" w:cs="Times New Roman"/>
                <w:color w:val="333333"/>
                <w:spacing w:val="20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CD8⁺</w:t>
            </w:r>
            <w:r w:rsidRPr="00926C7A">
              <w:rPr>
                <w:rFonts w:ascii="Times New Roman" w:hAnsi="Times New Roman" w:cs="Times New Roman"/>
                <w:color w:val="333333"/>
                <w:spacing w:val="1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20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cells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6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z w:val="17"/>
                <w:szCs w:val="17"/>
              </w:rPr>
              <w:t>𝑇</w:t>
            </w:r>
            <w:r w:rsidRPr="00926C7A">
              <w:rPr>
                <w:rFonts w:ascii="Cambria Math" w:eastAsia="Cambria Math" w:hAnsi="Cambria Math" w:cs="Cambria Math"/>
                <w:color w:val="333333"/>
                <w:position w:val="-2"/>
                <w:sz w:val="17"/>
                <w:szCs w:val="17"/>
              </w:rPr>
              <w:t>𝑐</w:t>
            </w:r>
            <w:r w:rsidRPr="00926C7A">
              <w:rPr>
                <w:rFonts w:ascii="Times New Roman" w:eastAsia="Cambria Math" w:hAnsi="Times New Roman" w:cs="Times New Roman"/>
                <w:color w:val="333333"/>
                <w:position w:val="-2"/>
                <w:sz w:val="17"/>
                <w:szCs w:val="17"/>
              </w:rPr>
              <w:t>,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1"/>
                <w:position w:val="-2"/>
                <w:sz w:val="17"/>
                <w:szCs w:val="17"/>
              </w:rPr>
              <w:t xml:space="preserve"> 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position w:val="-2"/>
                <w:sz w:val="17"/>
                <w:szCs w:val="17"/>
              </w:rPr>
              <w:t>𝑛𝑜𝑛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nonspecific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1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bystander</w:t>
            </w:r>
            <w:r w:rsidRPr="00926C7A">
              <w:rPr>
                <w:rFonts w:ascii="Times New Roman" w:hAnsi="Times New Roman" w:cs="Times New Roman"/>
                <w:color w:val="333333"/>
                <w:spacing w:val="-1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CD8⁺</w:t>
            </w:r>
            <w:r w:rsidRPr="00926C7A">
              <w:rPr>
                <w:rFonts w:ascii="Times New Roman" w:hAnsi="Times New Roman" w:cs="Times New Roman"/>
                <w:color w:val="333333"/>
                <w:spacing w:val="-14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cells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9999×10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6</w:t>
            </w:r>
          </w:p>
        </w:tc>
      </w:tr>
      <w:tr w:rsidR="002010D7" w:rsidRPr="00B4666A" w:rsidTr="002010D7">
        <w:trPr>
          <w:trHeight w:val="470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sz w:val="17"/>
                <w:szCs w:val="17"/>
              </w:rPr>
              <w:t>𝑇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position w:val="-3"/>
                <w:sz w:val="17"/>
                <w:szCs w:val="17"/>
              </w:rPr>
              <w:t>𝑐𝑝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precursor,</w:t>
            </w:r>
            <w:r w:rsidRPr="00926C7A">
              <w:rPr>
                <w:rFonts w:ascii="Times New Roman" w:hAnsi="Times New Roman" w:cs="Times New Roman"/>
                <w:color w:val="333333"/>
                <w:spacing w:val="-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proliferating,</w:t>
            </w:r>
            <w:r w:rsidRPr="00926C7A">
              <w:rPr>
                <w:rFonts w:ascii="Times New Roman" w:hAnsi="Times New Roman" w:cs="Times New Roman"/>
                <w:color w:val="333333"/>
                <w:spacing w:val="-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activated</w:t>
            </w:r>
            <w:r w:rsidRPr="00926C7A">
              <w:rPr>
                <w:rFonts w:ascii="Times New Roman" w:hAnsi="Times New Roman" w:cs="Times New Roman"/>
                <w:color w:val="333333"/>
                <w:spacing w:val="-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CD8⁺</w:t>
            </w:r>
            <w:r w:rsidRPr="00926C7A">
              <w:rPr>
                <w:rFonts w:ascii="Times New Roman" w:hAnsi="Times New Roman" w:cs="Times New Roman"/>
                <w:color w:val="333333"/>
                <w:spacing w:val="-6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-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-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compartment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𝑍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exhausted</w:t>
            </w:r>
            <w:r w:rsidRPr="00926C7A">
              <w:rPr>
                <w:rFonts w:ascii="Times New Roman" w:hAnsi="Times New Roman" w:cs="Times New Roman"/>
                <w:color w:val="333333"/>
                <w:spacing w:val="19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19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inhibited</w:t>
            </w:r>
            <w:r w:rsidRPr="00926C7A">
              <w:rPr>
                <w:rFonts w:ascii="Times New Roman" w:hAnsi="Times New Roman" w:cs="Times New Roman"/>
                <w:color w:val="333333"/>
                <w:spacing w:val="19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neoantigen-specific</w:t>
            </w:r>
            <w:r w:rsidRPr="00926C7A">
              <w:rPr>
                <w:rFonts w:ascii="Times New Roman" w:hAnsi="Times New Roman" w:cs="Times New Roman"/>
                <w:color w:val="333333"/>
                <w:spacing w:val="19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CD8⁺</w:t>
            </w:r>
            <w:r w:rsidRPr="00926C7A">
              <w:rPr>
                <w:rFonts w:ascii="Times New Roman" w:hAnsi="Times New Roman" w:cs="Times New Roman"/>
                <w:color w:val="333333"/>
                <w:spacing w:val="16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19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cells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2010D7">
        <w:trPr>
          <w:trHeight w:val="45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𝑍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position w:val="-2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exhausted</w:t>
            </w:r>
            <w:r w:rsidRPr="00926C7A">
              <w:rPr>
                <w:rFonts w:ascii="Times New Roman" w:hAnsi="Times New Roman" w:cs="Times New Roman"/>
                <w:color w:val="333333"/>
                <w:spacing w:val="-1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inhibited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nonspecific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CD8⁺</w:t>
            </w:r>
            <w:r w:rsidRPr="00926C7A">
              <w:rPr>
                <w:rFonts w:ascii="Times New Roman" w:hAnsi="Times New Roman" w:cs="Times New Roman"/>
                <w:color w:val="333333"/>
                <w:spacing w:val="-14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compartment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CA0970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𝑅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2"/>
                <w:sz w:val="17"/>
                <w:szCs w:val="17"/>
              </w:rPr>
              <w:t>1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competing/background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peptide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for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MHC-II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presentation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CA0970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𝑅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2"/>
                <w:sz w:val="17"/>
                <w:szCs w:val="17"/>
              </w:rPr>
              <w:t>2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competing/background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peptide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for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presentation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CA0970">
        <w:trPr>
          <w:trHeight w:val="67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sz w:val="17"/>
                <w:szCs w:val="17"/>
              </w:rPr>
              <w:t>𝐹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2"/>
                <w:position w:val="-2"/>
                <w:sz w:val="17"/>
                <w:szCs w:val="17"/>
              </w:rPr>
              <w:t>1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position w:val="-2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spacing w:before="118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DC-processed MHC-I-associated peptide derived from immune complex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B4666A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CA0970">
        <w:trPr>
          <w:trHeight w:val="45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sz w:val="17"/>
                <w:szCs w:val="17"/>
              </w:rPr>
              <w:t>𝐹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2"/>
                <w:position w:val="-2"/>
                <w:sz w:val="17"/>
                <w:szCs w:val="17"/>
              </w:rPr>
              <w:t>2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position w:val="-2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free MHC-I molecules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or MHC-I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presentation capacity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B4666A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10</w:t>
            </w:r>
          </w:p>
        </w:tc>
      </w:tr>
      <w:tr w:rsidR="002010D7" w:rsidRPr="00B4666A" w:rsidTr="00CA0970">
        <w:trPr>
          <w:trHeight w:val="470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sz w:val="17"/>
                <w:szCs w:val="17"/>
              </w:rPr>
              <w:t>𝐹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2"/>
                <w:position w:val="-3"/>
                <w:sz w:val="17"/>
                <w:szCs w:val="17"/>
              </w:rPr>
              <w:t>3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position w:val="-3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peptide-loaded</w:t>
            </w:r>
            <w:r w:rsidRPr="00926C7A">
              <w:rPr>
                <w:rFonts w:ascii="Times New Roman" w:hAnsi="Times New Roman" w:cs="Times New Roman"/>
                <w:color w:val="333333"/>
                <w:spacing w:val="26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</w:t>
            </w:r>
            <w:r w:rsidRPr="00926C7A">
              <w:rPr>
                <w:rFonts w:ascii="Times New Roman" w:hAnsi="Times New Roman" w:cs="Times New Roman"/>
                <w:color w:val="333333"/>
                <w:spacing w:val="26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CA0970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𝑌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MHC-I–peptide–CD8⁺</w:t>
            </w:r>
            <w:r w:rsidRPr="00926C7A">
              <w:rPr>
                <w:rFonts w:ascii="Times New Roman" w:hAnsi="Times New Roman" w:cs="Times New Roman"/>
                <w:color w:val="333333"/>
                <w:spacing w:val="20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interaction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2010D7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CA0970">
        <w:trPr>
          <w:trHeight w:val="45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𝑌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position w:val="-2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alternative/nonspecific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MHC-I–CD8⁺</w:t>
            </w:r>
            <w:r w:rsidRPr="00926C7A">
              <w:rPr>
                <w:rFonts w:ascii="Times New Roman" w:hAnsi="Times New Roman" w:cs="Times New Roman"/>
                <w:color w:val="333333"/>
                <w:spacing w:val="21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2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interaction</w:t>
            </w:r>
            <w:r w:rsidRPr="00926C7A">
              <w:rPr>
                <w:rFonts w:ascii="Times New Roman" w:hAnsi="Times New Roman" w:cs="Times New Roman"/>
                <w:color w:val="333333"/>
                <w:spacing w:val="2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B4666A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0</w:t>
            </w:r>
          </w:p>
        </w:tc>
      </w:tr>
      <w:tr w:rsidR="002010D7" w:rsidRPr="00B4666A" w:rsidTr="00CA0970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𝐵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neoantigen-specific</w:t>
            </w:r>
            <w:r w:rsidRPr="00926C7A">
              <w:rPr>
                <w:rFonts w:ascii="Times New Roman" w:hAnsi="Times New Roman" w:cs="Times New Roman"/>
                <w:color w:val="333333"/>
                <w:spacing w:val="-1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BCR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B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compartment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B4666A" w:rsidP="00B4666A">
            <w:pPr>
              <w:pStyle w:val="TableParagraph"/>
              <w:ind w:leftChars="100" w:left="210" w:rightChars="100" w:right="210"/>
              <w:jc w:val="both"/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</w:pPr>
            <w:r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10</w:t>
            </w:r>
            <w:r w:rsidRPr="00B4666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  <w:vertAlign w:val="superscript"/>
              </w:rPr>
              <w:t>10</w:t>
            </w:r>
          </w:p>
        </w:tc>
      </w:tr>
      <w:tr w:rsidR="002010D7" w:rsidRPr="00926C7A" w:rsidTr="00CA0970">
        <w:trPr>
          <w:trHeight w:val="45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lastRenderedPageBreak/>
              <w:t>𝐵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position w:val="-2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nonspecific</w:t>
            </w:r>
            <w:r w:rsidRPr="00926C7A">
              <w:rPr>
                <w:rFonts w:ascii="Times New Roman" w:hAnsi="Times New Roman" w:cs="Times New Roman"/>
                <w:color w:val="333333"/>
                <w:spacing w:val="-9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BCR</w:t>
            </w:r>
            <w:r w:rsidRPr="00926C7A">
              <w:rPr>
                <w:rFonts w:ascii="Times New Roman" w:hAnsi="Times New Roman" w:cs="Times New Roman"/>
                <w:color w:val="333333"/>
                <w:spacing w:val="-9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9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B</w:t>
            </w:r>
            <w:r w:rsidRPr="00926C7A">
              <w:rPr>
                <w:rFonts w:ascii="Times New Roman" w:hAnsi="Times New Roman" w:cs="Times New Roman"/>
                <w:color w:val="333333"/>
                <w:spacing w:val="-8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-9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compartment</w:t>
            </w:r>
          </w:p>
        </w:tc>
        <w:tc>
          <w:tcPr>
            <w:tcW w:w="2009" w:type="pct"/>
            <w:tcBorders>
              <w:right w:val="nil"/>
            </w:tcBorders>
            <w:vAlign w:val="bottom"/>
          </w:tcPr>
          <w:p w:rsidR="002010D7" w:rsidRPr="002C4A0E" w:rsidRDefault="00B4666A" w:rsidP="00B4666A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</w:pPr>
            <w:r w:rsidRPr="00B4666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  <w:t>9999*</w:t>
            </w:r>
            <w:r w:rsidRPr="00B4666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  <w:t>10</w:t>
            </w:r>
            <w:r w:rsidRPr="00B4666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vertAlign w:val="superscript"/>
                <w:lang w:eastAsia="zh-CN"/>
              </w:rPr>
              <w:t>10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𝑃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antibody-secreting</w:t>
            </w:r>
            <w:r w:rsidRPr="00926C7A">
              <w:rPr>
                <w:rFonts w:ascii="Times New Roman" w:hAnsi="Times New Roman" w:cs="Times New Roman"/>
                <w:color w:val="333333"/>
                <w:spacing w:val="23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plasma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2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compartment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B4666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</w:pPr>
            <w:r w:rsidRPr="00B4666A"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  <w:t>1</w:t>
            </w:r>
            <w:r w:rsidRPr="00B4666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  <w:t>06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𝐶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2"/>
                <w:sz w:val="17"/>
                <w:szCs w:val="17"/>
              </w:rPr>
              <w:t>1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BCR–neoantigen</w:t>
            </w:r>
            <w:r w:rsidRPr="00926C7A">
              <w:rPr>
                <w:rFonts w:ascii="Times New Roman" w:hAnsi="Times New Roman" w:cs="Times New Roman"/>
                <w:color w:val="333333"/>
                <w:spacing w:val="3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𝑀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3"/>
                <w:sz w:val="17"/>
                <w:szCs w:val="17"/>
              </w:rPr>
              <w:t>1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B</w:t>
            </w:r>
            <w:r w:rsidRPr="00926C7A">
              <w:rPr>
                <w:rFonts w:ascii="Times New Roman" w:hAnsi="Times New Roman" w:cs="Times New Roman"/>
                <w:color w:val="333333"/>
                <w:spacing w:val="27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cell-processed</w:t>
            </w:r>
            <w:r w:rsidRPr="00926C7A">
              <w:rPr>
                <w:rFonts w:ascii="Times New Roman" w:hAnsi="Times New Roman" w:cs="Times New Roman"/>
                <w:color w:val="333333"/>
                <w:spacing w:val="27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MHC-II-associated</w:t>
            </w:r>
            <w:r w:rsidRPr="00926C7A">
              <w:rPr>
                <w:rFonts w:ascii="Times New Roman" w:hAnsi="Times New Roman" w:cs="Times New Roman"/>
                <w:color w:val="333333"/>
                <w:spacing w:val="27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peptide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𝑀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3"/>
                <w:sz w:val="17"/>
                <w:szCs w:val="17"/>
              </w:rPr>
              <w:t>2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free</w:t>
            </w:r>
            <w:r w:rsidRPr="00926C7A">
              <w:rPr>
                <w:rFonts w:ascii="Times New Roman" w:hAnsi="Times New Roman" w:cs="Times New Roman"/>
                <w:color w:val="333333"/>
                <w:spacing w:val="-1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MHC-II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molecules</w:t>
            </w:r>
            <w:r w:rsidRPr="00926C7A">
              <w:rPr>
                <w:rFonts w:ascii="Times New Roman" w:hAnsi="Times New Roman" w:cs="Times New Roman"/>
                <w:color w:val="333333"/>
                <w:spacing w:val="-1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or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presentation</w:t>
            </w:r>
            <w:r w:rsidRPr="00926C7A">
              <w:rPr>
                <w:rFonts w:ascii="Times New Roman" w:hAnsi="Times New Roman" w:cs="Times New Roman"/>
                <w:color w:val="333333"/>
                <w:spacing w:val="-1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capacity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on</w:t>
            </w:r>
            <w:r w:rsidRPr="00926C7A">
              <w:rPr>
                <w:rFonts w:ascii="Times New Roman" w:hAnsi="Times New Roman" w:cs="Times New Roman"/>
                <w:color w:val="333333"/>
                <w:spacing w:val="-12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</w:rPr>
              <w:t>B</w:t>
            </w:r>
            <w:r w:rsidRPr="00926C7A">
              <w:rPr>
                <w:rFonts w:ascii="Times New Roman" w:hAnsi="Times New Roman" w:cs="Times New Roman"/>
                <w:color w:val="333333"/>
                <w:spacing w:val="-13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cells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w w:val="105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lang w:eastAsia="zh-CN"/>
              </w:rPr>
              <w:t>10</w:t>
            </w:r>
            <w:r w:rsidRPr="00B4666A">
              <w:rPr>
                <w:rFonts w:ascii="Times New Roman" w:hAnsi="Times New Roman" w:cs="Times New Roman"/>
                <w:color w:val="333333"/>
                <w:w w:val="105"/>
                <w:sz w:val="17"/>
                <w:szCs w:val="17"/>
                <w:vertAlign w:val="superscript"/>
                <w:lang w:eastAsia="zh-CN"/>
              </w:rPr>
              <w:t>10</w:t>
            </w:r>
            <w:bookmarkStart w:id="0" w:name="_GoBack"/>
            <w:bookmarkEnd w:id="0"/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𝑀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4"/>
                <w:w w:val="105"/>
                <w:position w:val="-3"/>
                <w:sz w:val="17"/>
                <w:szCs w:val="17"/>
              </w:rPr>
              <w:t>3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B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peptide-loaded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MHC-II</w:t>
            </w:r>
            <w:r w:rsidRPr="00926C7A">
              <w:rPr>
                <w:rFonts w:ascii="Times New Roman" w:hAnsi="Times New Roman" w:cs="Times New Roman"/>
                <w:color w:val="333333"/>
                <w:spacing w:val="-1"/>
                <w:w w:val="10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w w:val="105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pacing w:val="-2"/>
                <w:w w:val="105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pacing w:val="-2"/>
                <w:w w:val="105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70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sz w:val="17"/>
                <w:szCs w:val="17"/>
              </w:rPr>
              <w:t>𝑋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4"/>
                <w:w w:val="105"/>
                <w:position w:val="-3"/>
                <w:sz w:val="17"/>
                <w:szCs w:val="17"/>
              </w:rPr>
              <w:t>𝑝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B</w:t>
            </w:r>
            <w:r w:rsidRPr="00926C7A">
              <w:rPr>
                <w:rFonts w:ascii="Times New Roman" w:hAnsi="Times New Roman" w:cs="Times New Roman"/>
                <w:color w:val="333333"/>
                <w:spacing w:val="17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1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MHC-II–peptide–CD4⁺</w:t>
            </w:r>
            <w:r w:rsidRPr="00926C7A">
              <w:rPr>
                <w:rFonts w:ascii="Times New Roman" w:hAnsi="Times New Roman" w:cs="Times New Roman"/>
                <w:color w:val="333333"/>
                <w:spacing w:val="1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</w:t>
            </w:r>
            <w:r w:rsidRPr="00926C7A">
              <w:rPr>
                <w:rFonts w:ascii="Times New Roman" w:hAnsi="Times New Roman" w:cs="Times New Roman"/>
                <w:color w:val="333333"/>
                <w:spacing w:val="1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cell</w:t>
            </w:r>
            <w:r w:rsidRPr="00926C7A">
              <w:rPr>
                <w:rFonts w:ascii="Times New Roman" w:hAnsi="Times New Roman" w:cs="Times New Roman"/>
                <w:color w:val="333333"/>
                <w:spacing w:val="1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interaction</w:t>
            </w:r>
            <w:r w:rsidRPr="00926C7A">
              <w:rPr>
                <w:rFonts w:ascii="Times New Roman" w:hAnsi="Times New Roman" w:cs="Times New Roman"/>
                <w:color w:val="333333"/>
                <w:spacing w:val="18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5"/>
                <w:w w:val="105"/>
                <w:sz w:val="17"/>
                <w:szCs w:val="17"/>
              </w:rPr>
              <w:t>𝑅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tumor-derived</w:t>
            </w:r>
            <w:r w:rsidRPr="00926C7A">
              <w:rPr>
                <w:rFonts w:ascii="Times New Roman" w:hAnsi="Times New Roman" w:cs="Times New Roman"/>
                <w:color w:val="333333"/>
                <w:spacing w:val="36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neoantigen-encoding</w:t>
            </w:r>
            <w:r w:rsidRPr="00926C7A">
              <w:rPr>
                <w:rFonts w:ascii="Times New Roman" w:hAnsi="Times New Roman" w:cs="Times New Roman"/>
                <w:color w:val="333333"/>
                <w:spacing w:val="37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5"/>
                <w:sz w:val="17"/>
                <w:szCs w:val="17"/>
              </w:rPr>
              <w:t>RNA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sz w:val="17"/>
                <w:szCs w:val="17"/>
              </w:rPr>
              <w:t>𝑁</w:t>
            </w: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position w:val="-2"/>
                <w:sz w:val="17"/>
                <w:szCs w:val="17"/>
              </w:rPr>
              <w:t>𝑖𝑛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intracellular</w:t>
            </w:r>
            <w:r w:rsidRPr="00926C7A">
              <w:rPr>
                <w:rFonts w:ascii="Times New Roman" w:hAnsi="Times New Roman" w:cs="Times New Roman"/>
                <w:color w:val="333333"/>
                <w:spacing w:val="21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neoantigen</w:t>
            </w:r>
            <w:r w:rsidRPr="00926C7A">
              <w:rPr>
                <w:rFonts w:ascii="Times New Roman" w:hAnsi="Times New Roman" w:cs="Times New Roman"/>
                <w:color w:val="333333"/>
                <w:spacing w:val="22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within</w:t>
            </w:r>
            <w:r w:rsidRPr="00926C7A">
              <w:rPr>
                <w:rFonts w:ascii="Times New Roman" w:hAnsi="Times New Roman" w:cs="Times New Roman"/>
                <w:color w:val="333333"/>
                <w:spacing w:val="22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tumor</w:t>
            </w:r>
            <w:r w:rsidRPr="00926C7A">
              <w:rPr>
                <w:rFonts w:ascii="Times New Roman" w:hAnsi="Times New Roman" w:cs="Times New Roman"/>
                <w:color w:val="333333"/>
                <w:spacing w:val="22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cells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eastAsia="Cambria Math" w:hAnsi="Times New Roman" w:cs="Times New Roman"/>
                <w:color w:val="333333"/>
                <w:spacing w:val="-2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z w:val="17"/>
                <w:szCs w:val="17"/>
              </w:rPr>
              <w:t>𝑁</w:t>
            </w:r>
            <w:r w:rsidRPr="00926C7A">
              <w:rPr>
                <w:rFonts w:ascii="Times New Roman" w:eastAsia="Cambria Math" w:hAnsi="Times New Roman" w:cs="Times New Roman"/>
                <w:color w:val="333333"/>
                <w:sz w:val="17"/>
                <w:szCs w:val="17"/>
              </w:rPr>
              <w:t>_sur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color w:val="333333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Tumor-surface neoantigen available for antibody binding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447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eastAsia="Cambria Math" w:hAnsi="Times New Roman" w:cs="Times New Roman"/>
                <w:color w:val="333333"/>
                <w:spacing w:val="-2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z w:val="17"/>
                <w:szCs w:val="17"/>
              </w:rPr>
              <w:t>𝑁</w:t>
            </w:r>
            <w:r w:rsidRPr="00926C7A">
              <w:rPr>
                <w:rFonts w:ascii="Times New Roman" w:eastAsia="Cambria Math" w:hAnsi="Times New Roman" w:cs="Times New Roman"/>
                <w:color w:val="333333"/>
                <w:sz w:val="17"/>
                <w:szCs w:val="17"/>
              </w:rPr>
              <w:t>_sur_2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color w:val="333333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Tumor-surface antigen/MHC-I-related substrate available for TCR recognition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67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spacing w:before="123"/>
              <w:ind w:leftChars="100" w:left="210" w:rightChars="100" w:right="210"/>
              <w:jc w:val="both"/>
              <w:rPr>
                <w:rFonts w:ascii="Times New Roman" w:eastAsia="Cambria Math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w w:val="105"/>
                <w:sz w:val="17"/>
                <w:szCs w:val="17"/>
              </w:rPr>
              <w:t>𝐶𝑜𝑚𝑝𝑙𝑒𝑥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2"/>
                <w:w w:val="105"/>
                <w:sz w:val="17"/>
                <w:szCs w:val="17"/>
                <w:vertAlign w:val="subscript"/>
              </w:rPr>
              <w:t>1</w:t>
            </w: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tumor-surface</w:t>
            </w:r>
            <w:r w:rsidRPr="00926C7A">
              <w:rPr>
                <w:rFonts w:ascii="Times New Roman" w:hAnsi="Times New Roman" w:cs="Times New Roman"/>
                <w:color w:val="333333"/>
                <w:spacing w:val="3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antigen–antibody</w:t>
            </w:r>
            <w:r w:rsidRPr="00926C7A">
              <w:rPr>
                <w:rFonts w:ascii="Times New Roman" w:hAnsi="Times New Roman" w:cs="Times New Roman"/>
                <w:color w:val="333333"/>
                <w:spacing w:val="35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  <w:tr w:rsidR="002010D7" w:rsidRPr="00926C7A" w:rsidTr="002010D7">
        <w:trPr>
          <w:trHeight w:val="679"/>
        </w:trPr>
        <w:tc>
          <w:tcPr>
            <w:tcW w:w="981" w:type="pct"/>
            <w:tcBorders>
              <w:left w:val="nil"/>
            </w:tcBorders>
          </w:tcPr>
          <w:p w:rsidR="002010D7" w:rsidRPr="00926C7A" w:rsidRDefault="002010D7" w:rsidP="002010D7">
            <w:pPr>
              <w:pStyle w:val="TableParagraph"/>
              <w:spacing w:before="123"/>
              <w:ind w:leftChars="100" w:left="210" w:rightChars="100" w:right="210"/>
              <w:jc w:val="both"/>
              <w:rPr>
                <w:rFonts w:ascii="Times New Roman" w:eastAsia="Cambria Math" w:hAnsi="Times New Roman" w:cs="Times New Roman"/>
                <w:sz w:val="17"/>
                <w:szCs w:val="17"/>
              </w:rPr>
            </w:pPr>
            <w:r w:rsidRPr="00926C7A">
              <w:rPr>
                <w:rFonts w:ascii="Cambria Math" w:eastAsia="Cambria Math" w:hAnsi="Cambria Math" w:cs="Cambria Math"/>
                <w:color w:val="333333"/>
                <w:spacing w:val="-2"/>
                <w:w w:val="105"/>
                <w:sz w:val="17"/>
                <w:szCs w:val="17"/>
              </w:rPr>
              <w:t>𝐶𝑜𝑚𝑝𝑙𝑒𝑥</w:t>
            </w:r>
            <w:r w:rsidRPr="00926C7A">
              <w:rPr>
                <w:rFonts w:ascii="Times New Roman" w:eastAsia="Cambria Math" w:hAnsi="Times New Roman" w:cs="Times New Roman"/>
                <w:color w:val="333333"/>
                <w:spacing w:val="-2"/>
                <w:w w:val="105"/>
                <w:sz w:val="17"/>
                <w:szCs w:val="17"/>
                <w:vertAlign w:val="subscript"/>
              </w:rPr>
              <w:t>2</w:t>
            </w:r>
          </w:p>
          <w:p w:rsidR="002010D7" w:rsidRPr="00926C7A" w:rsidRDefault="002010D7" w:rsidP="002010D7">
            <w:pPr>
              <w:pStyle w:val="TableParagraph"/>
              <w:spacing w:before="0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0" w:type="pct"/>
            <w:tcBorders>
              <w:right w:val="nil"/>
            </w:tcBorders>
          </w:tcPr>
          <w:p w:rsidR="002010D7" w:rsidRPr="00926C7A" w:rsidRDefault="002010D7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tumor-surface</w:t>
            </w:r>
            <w:r w:rsidRPr="00926C7A">
              <w:rPr>
                <w:rFonts w:ascii="Times New Roman" w:hAnsi="Times New Roman" w:cs="Times New Roman"/>
                <w:color w:val="333333"/>
                <w:spacing w:val="3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MHC-I–peptide–TCR</w:t>
            </w:r>
            <w:r w:rsidRPr="00926C7A">
              <w:rPr>
                <w:rFonts w:ascii="Times New Roman" w:hAnsi="Times New Roman" w:cs="Times New Roman"/>
                <w:color w:val="333333"/>
                <w:spacing w:val="34"/>
                <w:sz w:val="17"/>
                <w:szCs w:val="17"/>
              </w:rPr>
              <w:t xml:space="preserve"> </w:t>
            </w:r>
            <w:r w:rsidRPr="00926C7A">
              <w:rPr>
                <w:rFonts w:ascii="Times New Roman" w:hAnsi="Times New Roman" w:cs="Times New Roman"/>
                <w:color w:val="333333"/>
                <w:spacing w:val="-2"/>
                <w:sz w:val="17"/>
                <w:szCs w:val="17"/>
              </w:rPr>
              <w:t>complex</w:t>
            </w:r>
          </w:p>
        </w:tc>
        <w:tc>
          <w:tcPr>
            <w:tcW w:w="2009" w:type="pct"/>
            <w:tcBorders>
              <w:right w:val="nil"/>
            </w:tcBorders>
          </w:tcPr>
          <w:p w:rsidR="002010D7" w:rsidRPr="00926C7A" w:rsidRDefault="00B4666A" w:rsidP="002010D7">
            <w:pPr>
              <w:pStyle w:val="TableParagraph"/>
              <w:ind w:leftChars="100" w:left="210" w:rightChars="100" w:right="210"/>
              <w:jc w:val="both"/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17"/>
                <w:szCs w:val="17"/>
                <w:lang w:eastAsia="zh-CN"/>
              </w:rPr>
              <w:t>0</w:t>
            </w:r>
          </w:p>
        </w:tc>
      </w:tr>
    </w:tbl>
    <w:p w:rsidR="002010D7" w:rsidRPr="002C4A0E" w:rsidRDefault="002010D7" w:rsidP="002C4A0E">
      <w:pPr>
        <w:widowControl/>
        <w:shd w:val="clear" w:color="auto" w:fill="FFFFFF"/>
        <w:spacing w:after="120"/>
        <w:jc w:val="left"/>
        <w:textAlignment w:val="baseline"/>
        <w:outlineLvl w:val="1"/>
        <w:rPr>
          <w:rFonts w:ascii="Times New Roman" w:eastAsia="宋体" w:hAnsi="Times New Roman" w:cs="Times New Roman" w:hint="eastAsia"/>
          <w:b/>
          <w:bCs/>
          <w:color w:val="080808"/>
          <w:kern w:val="0"/>
          <w:sz w:val="26"/>
          <w:szCs w:val="26"/>
        </w:rPr>
      </w:pPr>
    </w:p>
    <w:p w:rsidR="00463920" w:rsidRPr="00A121F8" w:rsidRDefault="00463920">
      <w:pPr>
        <w:rPr>
          <w:rFonts w:ascii="Times New Roman" w:hAnsi="Times New Roman" w:cs="Times New Roman"/>
        </w:rPr>
      </w:pPr>
    </w:p>
    <w:sectPr w:rsidR="00463920" w:rsidRPr="00A12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Cambria Math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0E"/>
    <w:rsid w:val="002010D7"/>
    <w:rsid w:val="002C4A0E"/>
    <w:rsid w:val="00463920"/>
    <w:rsid w:val="00A121F8"/>
    <w:rsid w:val="00B3435C"/>
    <w:rsid w:val="00B4666A"/>
    <w:rsid w:val="00E3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8B1B"/>
  <w15:chartTrackingRefBased/>
  <w15:docId w15:val="{363F8F58-6006-4E4E-B039-754AB92C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C4A0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C4A0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0D7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A0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2C4A0E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msonormal0">
    <w:name w:val="msonormal"/>
    <w:basedOn w:val="a"/>
    <w:rsid w:val="002C4A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katex">
    <w:name w:val="katex"/>
    <w:basedOn w:val="a0"/>
    <w:rsid w:val="002C4A0E"/>
  </w:style>
  <w:style w:type="character" w:customStyle="1" w:styleId="katex-mathml">
    <w:name w:val="katex-mathml"/>
    <w:basedOn w:val="a0"/>
    <w:rsid w:val="002C4A0E"/>
  </w:style>
  <w:style w:type="character" w:customStyle="1" w:styleId="katex-html">
    <w:name w:val="katex-html"/>
    <w:basedOn w:val="a0"/>
    <w:rsid w:val="002C4A0E"/>
  </w:style>
  <w:style w:type="character" w:customStyle="1" w:styleId="base">
    <w:name w:val="base"/>
    <w:basedOn w:val="a0"/>
    <w:rsid w:val="002C4A0E"/>
  </w:style>
  <w:style w:type="character" w:customStyle="1" w:styleId="strut">
    <w:name w:val="strut"/>
    <w:basedOn w:val="a0"/>
    <w:rsid w:val="002C4A0E"/>
  </w:style>
  <w:style w:type="character" w:customStyle="1" w:styleId="mord">
    <w:name w:val="mord"/>
    <w:basedOn w:val="a0"/>
    <w:rsid w:val="002C4A0E"/>
  </w:style>
  <w:style w:type="character" w:customStyle="1" w:styleId="msupsub">
    <w:name w:val="msupsub"/>
    <w:basedOn w:val="a0"/>
    <w:rsid w:val="002C4A0E"/>
  </w:style>
  <w:style w:type="character" w:customStyle="1" w:styleId="vlist-t">
    <w:name w:val="vlist-t"/>
    <w:basedOn w:val="a0"/>
    <w:rsid w:val="002C4A0E"/>
  </w:style>
  <w:style w:type="character" w:customStyle="1" w:styleId="vlist-r">
    <w:name w:val="vlist-r"/>
    <w:basedOn w:val="a0"/>
    <w:rsid w:val="002C4A0E"/>
  </w:style>
  <w:style w:type="character" w:customStyle="1" w:styleId="vlist">
    <w:name w:val="vlist"/>
    <w:basedOn w:val="a0"/>
    <w:rsid w:val="002C4A0E"/>
  </w:style>
  <w:style w:type="character" w:customStyle="1" w:styleId="pstrut">
    <w:name w:val="pstrut"/>
    <w:basedOn w:val="a0"/>
    <w:rsid w:val="002C4A0E"/>
  </w:style>
  <w:style w:type="character" w:customStyle="1" w:styleId="sizing">
    <w:name w:val="sizing"/>
    <w:basedOn w:val="a0"/>
    <w:rsid w:val="002C4A0E"/>
  </w:style>
  <w:style w:type="character" w:customStyle="1" w:styleId="vlist-s">
    <w:name w:val="vlist-s"/>
    <w:basedOn w:val="a0"/>
    <w:rsid w:val="002C4A0E"/>
  </w:style>
  <w:style w:type="character" w:styleId="HTML">
    <w:name w:val="HTML Code"/>
    <w:basedOn w:val="a0"/>
    <w:uiPriority w:val="99"/>
    <w:semiHidden/>
    <w:unhideWhenUsed/>
    <w:rsid w:val="002C4A0E"/>
    <w:rPr>
      <w:rFonts w:ascii="宋体" w:eastAsia="宋体" w:hAnsi="宋体" w:cs="宋体"/>
      <w:sz w:val="24"/>
      <w:szCs w:val="24"/>
    </w:rPr>
  </w:style>
  <w:style w:type="character" w:customStyle="1" w:styleId="mspace">
    <w:name w:val="mspace"/>
    <w:basedOn w:val="a0"/>
    <w:rsid w:val="002C4A0E"/>
  </w:style>
  <w:style w:type="character" w:customStyle="1" w:styleId="mbin">
    <w:name w:val="mbin"/>
    <w:basedOn w:val="a0"/>
    <w:rsid w:val="002C4A0E"/>
  </w:style>
  <w:style w:type="character" w:customStyle="1" w:styleId="mpunct">
    <w:name w:val="mpunct"/>
    <w:basedOn w:val="a0"/>
    <w:rsid w:val="002C4A0E"/>
  </w:style>
  <w:style w:type="paragraph" w:styleId="a3">
    <w:name w:val="Normal (Web)"/>
    <w:basedOn w:val="a"/>
    <w:uiPriority w:val="99"/>
    <w:semiHidden/>
    <w:unhideWhenUsed/>
    <w:rsid w:val="002C4A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010D7"/>
    <w:rPr>
      <w:rFonts w:asciiTheme="majorHAnsi" w:eastAsiaTheme="majorEastAsia" w:hAnsiTheme="majorHAnsi" w:cstheme="majorBid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010D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10D7"/>
    <w:pPr>
      <w:autoSpaceDE w:val="0"/>
      <w:autoSpaceDN w:val="0"/>
      <w:spacing w:before="68"/>
      <w:ind w:left="111"/>
      <w:jc w:val="left"/>
    </w:pPr>
    <w:rPr>
      <w:rFonts w:ascii="Microsoft YaHei UI" w:eastAsia="Microsoft YaHei UI" w:hAnsi="Microsoft YaHei UI" w:cs="Microsoft YaHei U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6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zhaobin xu</dc:creator>
  <cp:keywords/>
  <dc:description/>
  <cp:lastModifiedBy>zhaobin xu</cp:lastModifiedBy>
  <cp:revision>2</cp:revision>
  <dcterms:created xsi:type="dcterms:W3CDTF">2026-06-03T01:26:00Z</dcterms:created>
  <dcterms:modified xsi:type="dcterms:W3CDTF">2026-06-03T01:26:00Z</dcterms:modified>
</cp:coreProperties>
</file>