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541D" w14:textId="6D431258" w:rsidR="00C3484B" w:rsidRPr="00F66EED" w:rsidRDefault="001422BF" w:rsidP="00F66EED">
      <w:pPr>
        <w:jc w:val="center"/>
        <w:rPr>
          <w:rFonts w:ascii="Times New Roman" w:hAnsi="Times New Roman" w:cs="Times New Roman"/>
          <w:b/>
          <w:bCs/>
        </w:rPr>
      </w:pPr>
      <w:r w:rsidRPr="00F66EED">
        <w:rPr>
          <w:rFonts w:ascii="Times New Roman" w:hAnsi="Times New Roman" w:cs="Times New Roman"/>
          <w:b/>
          <w:bCs/>
        </w:rPr>
        <w:t>Extended Data</w:t>
      </w:r>
    </w:p>
    <w:p w14:paraId="1CB7261D" w14:textId="3F6AA6B8" w:rsidR="00B54A35" w:rsidRDefault="00B54A35" w:rsidP="00B54A35">
      <w:pPr>
        <w:jc w:val="center"/>
        <w:rPr>
          <w:rFonts w:ascii="Times New Roman" w:hAnsi="Times New Roman" w:cs="Times New Roman"/>
        </w:rPr>
      </w:pPr>
      <w:r w:rsidRPr="20E34D65">
        <w:rPr>
          <w:rFonts w:ascii="Times New Roman" w:hAnsi="Times New Roman" w:cs="Times New Roman"/>
        </w:rPr>
        <w:t>CRISPR RNA-independent activation of Cas12a</w:t>
      </w:r>
    </w:p>
    <w:p w14:paraId="393DF669" w14:textId="23E1A2B6" w:rsidR="00B54A35" w:rsidRPr="00B460DD" w:rsidRDefault="73702CAE" w:rsidP="73702CAE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Idorenyin A. Iwe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*1,2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Serena Singh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Kaoling Guan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*3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Rodrigo Fregoso Ocampo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*3,4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Severino Jefferson Ribeiro da Silva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Dagwin Wachholz Junior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1,5,6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Nadia Emami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Ariel Corsano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Ilan Zeisler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Kristof Bozovicar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Liu Wang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Dalton Ham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7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Rita Cai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7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Paul Kelly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Riham Zayani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Jessica Nguyen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Pouriya Bayat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Moiz Charania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Sean Palter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Frank X.Liu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8,9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Suman Shrestha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Ashayad Rayhan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Gregory A. Wasney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10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Tony Mazzulli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11,12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Alexander A. Green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13,14,15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Zhigang Li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8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Shuhuai Yao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8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Basil P. Hubbard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1,7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David W. Taylor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**3,4,16,17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, Keith Pardee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**1,2</w:t>
      </w:r>
      <w:r w:rsidRPr="73702CA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1922E5C0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</w:rPr>
        <w:t xml:space="preserve"> </w:t>
      </w: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604D0">
        <w:rPr>
          <w:rFonts w:ascii="Times New Roman" w:hAnsi="Times New Roman" w:cs="Times New Roman"/>
          <w:sz w:val="22"/>
          <w:szCs w:val="22"/>
        </w:rPr>
        <w:t>Department of Pharmaceutical Sciences, Leslie Dan Faculty of Pharmacy, University of Toronto, Toronto, ON M5S 3M2, Canada.</w:t>
      </w:r>
    </w:p>
    <w:p w14:paraId="6AD4B4CA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604D0">
        <w:rPr>
          <w:rFonts w:ascii="Times New Roman" w:hAnsi="Times New Roman" w:cs="Times New Roman"/>
          <w:sz w:val="22"/>
          <w:szCs w:val="22"/>
        </w:rPr>
        <w:t>Department of Mechanical and Industrial Engineering, University of Toronto, Toronto, ON M5S 1A1, Canada.</w:t>
      </w:r>
    </w:p>
    <w:p w14:paraId="7D289281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0604D0">
        <w:rPr>
          <w:rFonts w:ascii="Times New Roman" w:hAnsi="Times New Roman" w:cs="Times New Roman"/>
          <w:sz w:val="22"/>
          <w:szCs w:val="22"/>
        </w:rPr>
        <w:t>Department of Molecular Biosciences, University of Texas at Austin, Austin, TX, USA</w:t>
      </w:r>
    </w:p>
    <w:p w14:paraId="18895913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0604D0">
        <w:rPr>
          <w:rFonts w:ascii="Times New Roman" w:hAnsi="Times New Roman" w:cs="Times New Roman"/>
          <w:sz w:val="22"/>
          <w:szCs w:val="22"/>
        </w:rPr>
        <w:t>Interdisciplinary Life Sciences Graduate Programs, University of Texas at Austin, Austin, TX, USA.</w:t>
      </w:r>
    </w:p>
    <w:p w14:paraId="682AEB44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2C779759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2C779759">
        <w:rPr>
          <w:rFonts w:ascii="Times New Roman" w:hAnsi="Times New Roman" w:cs="Times New Roman"/>
          <w:sz w:val="22"/>
          <w:szCs w:val="22"/>
        </w:rPr>
        <w:t>Institute of Chemistry, University of Campinas, Campinas, São Paulo, Brazil.</w:t>
      </w:r>
    </w:p>
    <w:p w14:paraId="519086D7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2C779759">
        <w:rPr>
          <w:rFonts w:ascii="Times New Roman" w:hAnsi="Times New Roman" w:cs="Times New Roman"/>
          <w:sz w:val="22"/>
          <w:szCs w:val="22"/>
          <w:vertAlign w:val="superscript"/>
        </w:rPr>
        <w:t>6</w:t>
      </w:r>
      <w:r w:rsidRPr="2C779759">
        <w:rPr>
          <w:rFonts w:ascii="Times New Roman" w:hAnsi="Times New Roman" w:cs="Times New Roman"/>
          <w:sz w:val="22"/>
          <w:szCs w:val="22"/>
        </w:rPr>
        <w:t>National Institute of Science and Technology in Bioanalytic Lauro Kubota (INCTBio-LK), São Paulo, Brazil.</w:t>
      </w:r>
    </w:p>
    <w:p w14:paraId="3091B89A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7</w:t>
      </w:r>
      <w:r w:rsidRPr="000604D0">
        <w:rPr>
          <w:rFonts w:ascii="Times New Roman" w:hAnsi="Times New Roman" w:cs="Times New Roman"/>
          <w:sz w:val="22"/>
          <w:szCs w:val="22"/>
        </w:rPr>
        <w:t>Department of Pharmacology and Toxicology, University of Toronto, Toronto, Ontario M5G 2C8, Canada</w:t>
      </w:r>
    </w:p>
    <w:p w14:paraId="6163C542" w14:textId="77777777" w:rsidR="00B54A35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8</w:t>
      </w:r>
      <w:r w:rsidRPr="000604D0">
        <w:rPr>
          <w:rFonts w:ascii="Times New Roman" w:hAnsi="Times New Roman" w:cs="Times New Roman"/>
          <w:sz w:val="22"/>
          <w:szCs w:val="22"/>
        </w:rPr>
        <w:t>Department of Mechanical and Aerospace Engineering, The Hong Kong University of Science and Technology, Hong Kong.</w:t>
      </w:r>
    </w:p>
    <w:p w14:paraId="4B936299" w14:textId="77777777" w:rsidR="00B54A35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9</w:t>
      </w:r>
      <w:r w:rsidRPr="000604D0">
        <w:rPr>
          <w:rFonts w:ascii="Times New Roman" w:hAnsi="Times New Roman" w:cs="Times New Roman"/>
          <w:sz w:val="22"/>
          <w:szCs w:val="22"/>
        </w:rPr>
        <w:t>Orange Biotech Limited, Hong Kong.</w:t>
      </w:r>
    </w:p>
    <w:p w14:paraId="703A5774" w14:textId="77777777" w:rsidR="00B54A35" w:rsidRPr="00FE144C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40320B">
        <w:rPr>
          <w:rFonts w:ascii="Times New Roman" w:hAnsi="Times New Roman" w:cs="Times New Roman"/>
          <w:sz w:val="22"/>
          <w:szCs w:val="22"/>
          <w:vertAlign w:val="superscript"/>
        </w:rPr>
        <w:t>10</w:t>
      </w:r>
      <w:r w:rsidRPr="00FE144C">
        <w:rPr>
          <w:rFonts w:ascii="Times New Roman" w:hAnsi="Times New Roman" w:cs="Times New Roman"/>
          <w:sz w:val="22"/>
          <w:szCs w:val="22"/>
        </w:rPr>
        <w:t>The Structural &amp; Biophysical Core Facility, The SickKids Research Institute, Toronto, ON, Canada.</w:t>
      </w:r>
    </w:p>
    <w:p w14:paraId="0939EF1C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604D0">
        <w:rPr>
          <w:rFonts w:ascii="Times New Roman" w:hAnsi="Times New Roman" w:cs="Times New Roman"/>
          <w:sz w:val="22"/>
          <w:szCs w:val="22"/>
        </w:rPr>
        <w:t>Department of Laboratory Medicine and Pathobiology, University of Toronto, Toronto, M5S 1A8 ON, Canada.</w:t>
      </w:r>
    </w:p>
    <w:p w14:paraId="0E96C34A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604D0">
        <w:rPr>
          <w:rFonts w:ascii="Times New Roman" w:hAnsi="Times New Roman" w:cs="Times New Roman"/>
          <w:sz w:val="22"/>
          <w:szCs w:val="22"/>
        </w:rPr>
        <w:t>Department of Microbiology, Sinai Health System/University Health Network, Toronto, M5G 1X5 ON, Canada.</w:t>
      </w:r>
    </w:p>
    <w:p w14:paraId="48CEB79D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Pr="000604D0">
        <w:rPr>
          <w:rFonts w:ascii="Times New Roman" w:hAnsi="Times New Roman" w:cs="Times New Roman"/>
          <w:sz w:val="22"/>
          <w:szCs w:val="22"/>
        </w:rPr>
        <w:t>Department of Biomedical Engineering, Boston University, Boston, MA 02215, USA</w:t>
      </w:r>
    </w:p>
    <w:p w14:paraId="3D66D1AF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0604D0">
        <w:rPr>
          <w:rFonts w:ascii="Times New Roman" w:hAnsi="Times New Roman" w:cs="Times New Roman"/>
          <w:sz w:val="22"/>
          <w:szCs w:val="22"/>
        </w:rPr>
        <w:t>Molecular Biology, Cell Biology &amp; Biochemistry Program, Graduate School of Arts and Sciences, Boston University, Boston, MA 02215, USA</w:t>
      </w:r>
    </w:p>
    <w:p w14:paraId="2C8703A3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0604D0">
        <w:rPr>
          <w:rFonts w:ascii="Times New Roman" w:hAnsi="Times New Roman" w:cs="Times New Roman"/>
          <w:sz w:val="22"/>
          <w:szCs w:val="22"/>
        </w:rPr>
        <w:t>Biological Design Center, Boston University, Boston, MA 02215, USA</w:t>
      </w:r>
    </w:p>
    <w:p w14:paraId="52A34E9E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6</w:t>
      </w:r>
      <w:r w:rsidRPr="000604D0">
        <w:rPr>
          <w:rFonts w:ascii="Times New Roman" w:hAnsi="Times New Roman" w:cs="Times New Roman"/>
          <w:sz w:val="22"/>
          <w:szCs w:val="22"/>
        </w:rPr>
        <w:t>Center for Systems and Synthetic Biology, University of Texas at Austin, Austin, TX, USA.</w:t>
      </w:r>
    </w:p>
    <w:p w14:paraId="5E0BEB66" w14:textId="77777777" w:rsidR="00B54A35" w:rsidRPr="000604D0" w:rsidRDefault="00B54A35" w:rsidP="00CC146D">
      <w:pPr>
        <w:spacing w:before="120" w:after="120"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7</w:t>
      </w:r>
      <w:r w:rsidRPr="000604D0">
        <w:rPr>
          <w:rFonts w:ascii="Times New Roman" w:hAnsi="Times New Roman" w:cs="Times New Roman"/>
          <w:sz w:val="22"/>
          <w:szCs w:val="22"/>
        </w:rPr>
        <w:t>LIVESTRONG Cancer Institutes, Dell Medical School, University of Texas at Austin, Austin, TX, USA.</w:t>
      </w:r>
    </w:p>
    <w:p w14:paraId="0A528665" w14:textId="77777777" w:rsidR="00B54A35" w:rsidRPr="000604D0" w:rsidRDefault="00B54A35" w:rsidP="00CC146D">
      <w:pPr>
        <w:spacing w:after="120"/>
        <w:jc w:val="both"/>
        <w:rPr>
          <w:rFonts w:ascii="Times New Roman" w:hAnsi="Times New Roman" w:cs="Times New Roman"/>
          <w:sz w:val="2"/>
          <w:szCs w:val="2"/>
        </w:rPr>
      </w:pPr>
    </w:p>
    <w:p w14:paraId="1AFA781B" w14:textId="77777777" w:rsidR="00B54A35" w:rsidRDefault="00B54A35" w:rsidP="00CC14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E7701">
        <w:rPr>
          <w:rFonts w:ascii="Times New Roman" w:hAnsi="Times New Roman" w:cs="Times New Roman"/>
          <w:sz w:val="22"/>
          <w:szCs w:val="22"/>
        </w:rPr>
        <w:t>*Co-first Authors</w:t>
      </w:r>
    </w:p>
    <w:p w14:paraId="15DE6C1E" w14:textId="77777777" w:rsidR="00B54A35" w:rsidRPr="000604D0" w:rsidRDefault="00B54A35" w:rsidP="00CC146D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>*</w:t>
      </w:r>
      <w:r w:rsidRPr="000604D0">
        <w:rPr>
          <w:rFonts w:ascii="Times New Roman" w:hAnsi="Times New Roman" w:cs="Times New Roman"/>
          <w:sz w:val="22"/>
          <w:szCs w:val="22"/>
        </w:rPr>
        <w:t>Corresponding Authors</w:t>
      </w:r>
    </w:p>
    <w:p w14:paraId="0B6AD697" w14:textId="52C83B40" w:rsidR="00B54A35" w:rsidRDefault="00B54A35" w:rsidP="000722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604D0">
        <w:rPr>
          <w:rFonts w:ascii="Times New Roman" w:hAnsi="Times New Roman" w:cs="Times New Roman"/>
          <w:sz w:val="22"/>
          <w:szCs w:val="22"/>
        </w:rPr>
        <w:t xml:space="preserve">Emails: keith.pardee@utoronto.ca; </w:t>
      </w:r>
      <w:hyperlink r:id="rId4" w:history="1">
        <w:r w:rsidR="00B9480F" w:rsidRPr="00973AFA">
          <w:rPr>
            <w:rStyle w:val="Hyperlink"/>
            <w:rFonts w:ascii="Times New Roman" w:hAnsi="Times New Roman" w:cs="Times New Roman"/>
            <w:sz w:val="22"/>
            <w:szCs w:val="22"/>
          </w:rPr>
          <w:t>dtaylor@utexas.edu</w:t>
        </w:r>
      </w:hyperlink>
    </w:p>
    <w:p w14:paraId="78D53E7F" w14:textId="77777777" w:rsidR="00B9480F" w:rsidRDefault="00B9480F" w:rsidP="00B9480F">
      <w:pPr>
        <w:keepNext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79EEBA9" wp14:editId="36C39D3E">
            <wp:extent cx="5943600" cy="5177589"/>
            <wp:effectExtent l="0" t="0" r="0" b="4445"/>
            <wp:docPr id="8334075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7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B91A3" w14:textId="645B122D" w:rsidR="00B9480F" w:rsidRPr="006E7B5A" w:rsidRDefault="001D7800" w:rsidP="00B9480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Extended Data 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 xml:space="preserve">Fig. </w:t>
      </w:r>
      <w:r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 xml:space="preserve">. crRNA-independent detection of ssDNA and dsDNA targets across respiratory viruses. </w:t>
      </w:r>
      <w:r w:rsidR="00B9480F" w:rsidRPr="006E7B5A">
        <w:rPr>
          <w:rFonts w:ascii="Times New Roman" w:hAnsi="Times New Roman" w:cs="Times New Roman"/>
          <w:sz w:val="22"/>
          <w:szCs w:val="22"/>
        </w:rPr>
        <w:t>(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B9480F" w:rsidRPr="006E7B5A">
        <w:rPr>
          <w:rFonts w:ascii="Times New Roman" w:hAnsi="Times New Roman" w:cs="Times New Roman"/>
          <w:sz w:val="22"/>
          <w:szCs w:val="22"/>
        </w:rPr>
        <w:t>) PAM-independent ssDNA detection of three representative viral targets</w:t>
      </w:r>
      <w:r w:rsidR="00B9480F">
        <w:rPr>
          <w:rFonts w:ascii="Times New Roman" w:hAnsi="Times New Roman" w:cs="Times New Roman"/>
          <w:sz w:val="22"/>
          <w:szCs w:val="22"/>
        </w:rPr>
        <w:t xml:space="preserve">: </w:t>
      </w:r>
      <w:r w:rsidR="00B9480F" w:rsidRPr="006E7B5A">
        <w:rPr>
          <w:rFonts w:ascii="Times New Roman" w:hAnsi="Times New Roman" w:cs="Times New Roman"/>
          <w:sz w:val="22"/>
          <w:szCs w:val="22"/>
        </w:rPr>
        <w:t>Influenza A (i), Influenza B (ii), and RSV A (iii)</w:t>
      </w:r>
      <w:r w:rsidR="00B9480F">
        <w:rPr>
          <w:rFonts w:ascii="Times New Roman" w:hAnsi="Times New Roman" w:cs="Times New Roman"/>
          <w:sz w:val="22"/>
          <w:szCs w:val="22"/>
        </w:rPr>
        <w:t xml:space="preserve">, </w:t>
      </w:r>
      <w:r w:rsidR="00B9480F" w:rsidRPr="006E7B5A">
        <w:rPr>
          <w:rFonts w:ascii="Times New Roman" w:hAnsi="Times New Roman" w:cs="Times New Roman"/>
          <w:sz w:val="22"/>
          <w:szCs w:val="22"/>
        </w:rPr>
        <w:t>using miniCaR 5, miniCaR 3, and miniCaR 4, respectively. (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B9480F" w:rsidRPr="006E7B5A">
        <w:rPr>
          <w:rFonts w:ascii="Times New Roman" w:hAnsi="Times New Roman" w:cs="Times New Roman"/>
          <w:sz w:val="22"/>
          <w:szCs w:val="22"/>
        </w:rPr>
        <w:t>) crRNA-independent identification of PAM-containing dsDNA targets using the same miniCaRs as in (a). (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B9480F" w:rsidRPr="006E7B5A">
        <w:rPr>
          <w:rFonts w:ascii="Times New Roman" w:hAnsi="Times New Roman" w:cs="Times New Roman"/>
          <w:sz w:val="22"/>
          <w:szCs w:val="22"/>
        </w:rPr>
        <w:t>) PAM-independent dsDNA detection in a crRNA-free format using miniCaR 2 (Influenza A), miniCaR 1 (Influenza B), and miniCaR 6 (RSV A). (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B9480F" w:rsidRPr="006E7B5A">
        <w:rPr>
          <w:rFonts w:ascii="Times New Roman" w:hAnsi="Times New Roman" w:cs="Times New Roman"/>
          <w:sz w:val="22"/>
          <w:szCs w:val="22"/>
        </w:rPr>
        <w:t xml:space="preserve">) </w:t>
      </w:r>
      <w:r w:rsidR="00B9480F">
        <w:rPr>
          <w:rFonts w:ascii="Times New Roman" w:hAnsi="Times New Roman" w:cs="Times New Roman"/>
          <w:sz w:val="22"/>
          <w:szCs w:val="22"/>
        </w:rPr>
        <w:t>L</w:t>
      </w:r>
      <w:r w:rsidR="00B9480F" w:rsidRPr="006E7B5A">
        <w:rPr>
          <w:rFonts w:ascii="Times New Roman" w:hAnsi="Times New Roman" w:cs="Times New Roman"/>
          <w:sz w:val="22"/>
          <w:szCs w:val="22"/>
        </w:rPr>
        <w:t xml:space="preserve">ong RSV A </w:t>
      </w:r>
      <w:r w:rsidR="00B9480F" w:rsidRPr="00865B8D">
        <w:rPr>
          <w:rFonts w:ascii="Times New Roman" w:hAnsi="Times New Roman" w:cs="Times New Roman"/>
          <w:b/>
          <w:bCs/>
          <w:sz w:val="22"/>
          <w:szCs w:val="22"/>
        </w:rPr>
        <w:t>dsDNA</w:t>
      </w:r>
      <w:r w:rsidR="00B9480F" w:rsidRPr="006E7B5A">
        <w:rPr>
          <w:rFonts w:ascii="Times New Roman" w:hAnsi="Times New Roman" w:cs="Times New Roman"/>
          <w:sz w:val="22"/>
          <w:szCs w:val="22"/>
        </w:rPr>
        <w:t xml:space="preserve"> substrates using distinct miniCaRs binding at loci with varying GC content: miniCaR 1 (41%) (i), miniCaR 2 (45%) (ii), miniCaR 4 (27%) (iii), miniCaR 5 (59%) (iv), and miniCaR 6 (59%) (v). (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B9480F" w:rsidRPr="006E7B5A">
        <w:rPr>
          <w:rFonts w:ascii="Times New Roman" w:hAnsi="Times New Roman" w:cs="Times New Roman"/>
          <w:sz w:val="22"/>
          <w:szCs w:val="22"/>
        </w:rPr>
        <w:t>) Kinetic profiles corresponding to the binding regions shown in (</w:t>
      </w:r>
      <w:r w:rsidR="00B9480F" w:rsidRPr="006E7B5A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B9480F" w:rsidRPr="006E7B5A">
        <w:rPr>
          <w:rFonts w:ascii="Times New Roman" w:hAnsi="Times New Roman" w:cs="Times New Roman"/>
          <w:sz w:val="22"/>
          <w:szCs w:val="22"/>
        </w:rPr>
        <w:t xml:space="preserve">). </w:t>
      </w:r>
      <w:r w:rsidR="00B9480F">
        <w:rPr>
          <w:rFonts w:ascii="Times New Roman" w:hAnsi="Times New Roman" w:cs="Times New Roman"/>
          <w:sz w:val="22"/>
          <w:szCs w:val="22"/>
        </w:rPr>
        <w:t>DNA templates and a</w:t>
      </w:r>
      <w:r w:rsidR="00B9480F" w:rsidRPr="006E7B5A">
        <w:rPr>
          <w:rFonts w:ascii="Times New Roman" w:hAnsi="Times New Roman" w:cs="Times New Roman"/>
          <w:sz w:val="22"/>
          <w:szCs w:val="22"/>
        </w:rPr>
        <w:t xml:space="preserve">ll miniCaR sequences are provided in </w:t>
      </w:r>
      <w:r w:rsidR="00B9480F" w:rsidRPr="00B07C9C">
        <w:rPr>
          <w:rFonts w:ascii="Times New Roman" w:hAnsi="Times New Roman" w:cs="Times New Roman"/>
          <w:b/>
          <w:bCs/>
          <w:sz w:val="22"/>
          <w:szCs w:val="22"/>
        </w:rPr>
        <w:t>Supplementary Table 9</w:t>
      </w:r>
      <w:r w:rsidR="00B9480F" w:rsidRPr="006E7B5A">
        <w:rPr>
          <w:rFonts w:ascii="Times New Roman" w:hAnsi="Times New Roman" w:cs="Times New Roman"/>
          <w:sz w:val="22"/>
          <w:szCs w:val="22"/>
        </w:rPr>
        <w:t>. For panels (a–c), (i–iii) correspond to Influenza A, Influenza B, and RSV A, respectively.</w:t>
      </w:r>
    </w:p>
    <w:p w14:paraId="57930634" w14:textId="77777777" w:rsidR="00B9480F" w:rsidRDefault="00B9480F" w:rsidP="000722D2">
      <w:pPr>
        <w:spacing w:after="0" w:line="240" w:lineRule="auto"/>
        <w:contextualSpacing/>
        <w:jc w:val="both"/>
      </w:pPr>
    </w:p>
    <w:p w14:paraId="7DE63EAF" w14:textId="2A2EBAD0" w:rsidR="001422BF" w:rsidRPr="00C94551" w:rsidRDefault="00AB18A5" w:rsidP="001422BF">
      <w:pPr>
        <w:keepNext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9EBBD19" wp14:editId="0C1BFB01">
            <wp:extent cx="5943600" cy="7840980"/>
            <wp:effectExtent l="0" t="0" r="0" b="7620"/>
            <wp:docPr id="930269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BAE9" w14:textId="53812F96" w:rsidR="001422BF" w:rsidRPr="00C94551" w:rsidRDefault="001422BF" w:rsidP="001422BF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Extended data </w:t>
      </w:r>
      <w:r w:rsidRPr="00C94551">
        <w:rPr>
          <w:rFonts w:ascii="Times New Roman" w:hAnsi="Times New Roman" w:cs="Times New Roman"/>
          <w:b/>
          <w:bCs/>
          <w:sz w:val="22"/>
          <w:szCs w:val="22"/>
        </w:rPr>
        <w:t xml:space="preserve">Fig. </w:t>
      </w:r>
      <w:r w:rsidR="001D7800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C9455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2C2017">
        <w:rPr>
          <w:rFonts w:ascii="Times New Roman" w:hAnsi="Times New Roman" w:cs="Times New Roman"/>
          <w:i/>
          <w:iCs/>
          <w:sz w:val="22"/>
          <w:szCs w:val="22"/>
        </w:rPr>
        <w:t>Trans</w:t>
      </w:r>
      <w:r w:rsidR="002C2017">
        <w:rPr>
          <w:rFonts w:ascii="Times New Roman" w:hAnsi="Times New Roman" w:cs="Times New Roman"/>
          <w:sz w:val="22"/>
          <w:szCs w:val="22"/>
        </w:rPr>
        <w:t xml:space="preserve"> </w:t>
      </w:r>
      <w:r w:rsidRPr="00C94551">
        <w:rPr>
          <w:rFonts w:ascii="Times New Roman" w:hAnsi="Times New Roman" w:cs="Times New Roman"/>
          <w:sz w:val="22"/>
          <w:szCs w:val="22"/>
        </w:rPr>
        <w:t>cleavage kinetics for an additional 35 miRNAs</w:t>
      </w:r>
      <w:r w:rsidR="00C95B1F">
        <w:rPr>
          <w:rFonts w:ascii="Times New Roman" w:hAnsi="Times New Roman" w:cs="Times New Roman"/>
          <w:sz w:val="22"/>
          <w:szCs w:val="22"/>
        </w:rPr>
        <w:t xml:space="preserve"> (or miniCaRs)</w:t>
      </w:r>
      <w:r w:rsidRPr="00C94551">
        <w:rPr>
          <w:rFonts w:ascii="Times New Roman" w:hAnsi="Times New Roman" w:cs="Times New Roman"/>
          <w:sz w:val="22"/>
          <w:szCs w:val="22"/>
        </w:rPr>
        <w:t xml:space="preserve"> </w:t>
      </w:r>
      <w:r w:rsidR="00A57ACA">
        <w:rPr>
          <w:rFonts w:ascii="Times New Roman" w:hAnsi="Times New Roman" w:cs="Times New Roman"/>
          <w:sz w:val="22"/>
          <w:szCs w:val="22"/>
        </w:rPr>
        <w:t xml:space="preserve">with </w:t>
      </w:r>
      <w:r w:rsidRPr="00C94551">
        <w:rPr>
          <w:rFonts w:ascii="Times New Roman" w:hAnsi="Times New Roman" w:cs="Times New Roman"/>
          <w:sz w:val="22"/>
          <w:szCs w:val="22"/>
        </w:rPr>
        <w:t xml:space="preserve">varying GC content (32%–95%). </w:t>
      </w:r>
      <w:r w:rsidR="00864269">
        <w:rPr>
          <w:rFonts w:ascii="Times New Roman" w:hAnsi="Times New Roman" w:cs="Times New Roman"/>
          <w:sz w:val="22"/>
          <w:szCs w:val="22"/>
        </w:rPr>
        <w:t>Dark green curve indicates the presence of crRNA, while light</w:t>
      </w:r>
      <w:r w:rsidR="0028064C">
        <w:rPr>
          <w:rFonts w:ascii="Times New Roman" w:hAnsi="Times New Roman" w:cs="Times New Roman"/>
          <w:sz w:val="22"/>
          <w:szCs w:val="22"/>
        </w:rPr>
        <w:t xml:space="preserve"> green</w:t>
      </w:r>
      <w:r w:rsidR="00864269">
        <w:rPr>
          <w:rFonts w:ascii="Times New Roman" w:hAnsi="Times New Roman" w:cs="Times New Roman"/>
          <w:sz w:val="22"/>
          <w:szCs w:val="22"/>
        </w:rPr>
        <w:t xml:space="preserve"> </w:t>
      </w:r>
      <w:r w:rsidR="0028064C">
        <w:rPr>
          <w:rFonts w:ascii="Times New Roman" w:hAnsi="Times New Roman" w:cs="Times New Roman"/>
          <w:sz w:val="22"/>
          <w:szCs w:val="22"/>
        </w:rPr>
        <w:t xml:space="preserve">shows crRNA-independent system, </w:t>
      </w:r>
      <w:r w:rsidR="00460821">
        <w:rPr>
          <w:rFonts w:ascii="Times New Roman" w:hAnsi="Times New Roman" w:cs="Times New Roman"/>
          <w:sz w:val="22"/>
          <w:szCs w:val="22"/>
        </w:rPr>
        <w:t>and purple</w:t>
      </w:r>
      <w:r w:rsidR="007C4B80">
        <w:rPr>
          <w:rFonts w:ascii="Times New Roman" w:hAnsi="Times New Roman" w:cs="Times New Roman"/>
          <w:sz w:val="22"/>
          <w:szCs w:val="22"/>
        </w:rPr>
        <w:t xml:space="preserve"> curve</w:t>
      </w:r>
      <w:r w:rsidR="00460821">
        <w:rPr>
          <w:rFonts w:ascii="Times New Roman" w:hAnsi="Times New Roman" w:cs="Times New Roman"/>
          <w:sz w:val="22"/>
          <w:szCs w:val="22"/>
        </w:rPr>
        <w:t xml:space="preserve"> depicts the blank or no-target control</w:t>
      </w:r>
      <w:r w:rsidR="008C3D8A">
        <w:rPr>
          <w:rFonts w:ascii="Times New Roman" w:hAnsi="Times New Roman" w:cs="Times New Roman"/>
          <w:sz w:val="22"/>
          <w:szCs w:val="22"/>
        </w:rPr>
        <w:t xml:space="preserve"> (NTC)</w:t>
      </w:r>
      <w:r w:rsidRPr="00C94551">
        <w:rPr>
          <w:rFonts w:ascii="Times New Roman" w:hAnsi="Times New Roman" w:cs="Times New Roman"/>
          <w:sz w:val="22"/>
          <w:szCs w:val="22"/>
        </w:rPr>
        <w:t>. Downward- and rightward-pointing arrows indicate increasing GC content across the data. miRNAs</w:t>
      </w:r>
      <w:r w:rsidR="008C3D8A">
        <w:rPr>
          <w:rFonts w:ascii="Times New Roman" w:hAnsi="Times New Roman" w:cs="Times New Roman"/>
          <w:sz w:val="22"/>
          <w:szCs w:val="22"/>
        </w:rPr>
        <w:t xml:space="preserve"> or miniCaRs</w:t>
      </w:r>
      <w:r w:rsidRPr="00C94551">
        <w:rPr>
          <w:rFonts w:ascii="Times New Roman" w:hAnsi="Times New Roman" w:cs="Times New Roman"/>
          <w:sz w:val="22"/>
          <w:szCs w:val="22"/>
        </w:rPr>
        <w:t xml:space="preserve"> with GC ≤60% produce strong signals (some comparable to the conventional </w:t>
      </w:r>
      <w:r w:rsidR="004402A0">
        <w:rPr>
          <w:rFonts w:ascii="Times New Roman" w:hAnsi="Times New Roman" w:cs="Times New Roman"/>
          <w:sz w:val="22"/>
          <w:szCs w:val="22"/>
        </w:rPr>
        <w:t>cr</w:t>
      </w:r>
      <w:r w:rsidRPr="00C94551">
        <w:rPr>
          <w:rFonts w:ascii="Times New Roman" w:hAnsi="Times New Roman" w:cs="Times New Roman"/>
          <w:sz w:val="22"/>
          <w:szCs w:val="22"/>
        </w:rPr>
        <w:t xml:space="preserve">RNA-assisted system), whereas miRNAs with GC ≥60% fail to activate </w:t>
      </w:r>
      <w:r w:rsidR="004402A0" w:rsidRPr="004402A0">
        <w:rPr>
          <w:rFonts w:ascii="Times New Roman" w:hAnsi="Times New Roman" w:cs="Times New Roman"/>
          <w:i/>
          <w:iCs/>
          <w:sz w:val="22"/>
          <w:szCs w:val="22"/>
        </w:rPr>
        <w:t>trans</w:t>
      </w:r>
      <w:r w:rsidR="004402A0">
        <w:rPr>
          <w:rFonts w:ascii="Times New Roman" w:hAnsi="Times New Roman" w:cs="Times New Roman"/>
          <w:sz w:val="22"/>
          <w:szCs w:val="22"/>
        </w:rPr>
        <w:t xml:space="preserve"> </w:t>
      </w:r>
      <w:r w:rsidRPr="00C94551">
        <w:rPr>
          <w:rFonts w:ascii="Times New Roman" w:hAnsi="Times New Roman" w:cs="Times New Roman"/>
          <w:sz w:val="22"/>
          <w:szCs w:val="22"/>
        </w:rPr>
        <w:t xml:space="preserve">cleavage. This confirms that the </w:t>
      </w:r>
      <w:r w:rsidR="004402A0">
        <w:rPr>
          <w:rFonts w:ascii="Times New Roman" w:hAnsi="Times New Roman" w:cs="Times New Roman"/>
          <w:sz w:val="22"/>
          <w:szCs w:val="22"/>
        </w:rPr>
        <w:t>cr</w:t>
      </w:r>
      <w:r w:rsidRPr="00C94551">
        <w:rPr>
          <w:rFonts w:ascii="Times New Roman" w:hAnsi="Times New Roman" w:cs="Times New Roman"/>
          <w:sz w:val="22"/>
          <w:szCs w:val="22"/>
        </w:rPr>
        <w:t>RNA-</w:t>
      </w:r>
      <w:r w:rsidR="004C4D74">
        <w:rPr>
          <w:rFonts w:ascii="Times New Roman" w:hAnsi="Times New Roman" w:cs="Times New Roman"/>
          <w:sz w:val="22"/>
          <w:szCs w:val="22"/>
        </w:rPr>
        <w:t xml:space="preserve">independent </w:t>
      </w:r>
      <w:r w:rsidRPr="00C94551">
        <w:rPr>
          <w:rFonts w:ascii="Times New Roman" w:hAnsi="Times New Roman" w:cs="Times New Roman"/>
          <w:sz w:val="22"/>
          <w:szCs w:val="22"/>
        </w:rPr>
        <w:t>system effectively activates Cas12a for low</w:t>
      </w:r>
      <w:r w:rsidR="004C4D74">
        <w:rPr>
          <w:rFonts w:ascii="Times New Roman" w:hAnsi="Times New Roman" w:cs="Times New Roman"/>
          <w:sz w:val="22"/>
          <w:szCs w:val="22"/>
        </w:rPr>
        <w:t xml:space="preserve"> to moderate </w:t>
      </w:r>
      <w:r w:rsidRPr="00C94551">
        <w:rPr>
          <w:rFonts w:ascii="Times New Roman" w:hAnsi="Times New Roman" w:cs="Times New Roman"/>
          <w:sz w:val="22"/>
          <w:szCs w:val="22"/>
        </w:rPr>
        <w:t xml:space="preserve">GC targets but not for </w:t>
      </w:r>
      <w:r w:rsidR="004C4D74">
        <w:rPr>
          <w:rFonts w:ascii="Times New Roman" w:hAnsi="Times New Roman" w:cs="Times New Roman"/>
          <w:sz w:val="22"/>
          <w:szCs w:val="22"/>
        </w:rPr>
        <w:t xml:space="preserve">high </w:t>
      </w:r>
      <w:r w:rsidRPr="00C94551">
        <w:rPr>
          <w:rFonts w:ascii="Times New Roman" w:hAnsi="Times New Roman" w:cs="Times New Roman"/>
          <w:sz w:val="22"/>
          <w:szCs w:val="22"/>
        </w:rPr>
        <w:t xml:space="preserve">GC-rich targets. All sequences and extended data are provided in </w:t>
      </w:r>
      <w:r w:rsidR="00982211" w:rsidRPr="005A6A48">
        <w:rPr>
          <w:rFonts w:ascii="Times New Roman" w:hAnsi="Times New Roman" w:cs="Times New Roman"/>
          <w:b/>
          <w:bCs/>
          <w:sz w:val="22"/>
          <w:szCs w:val="22"/>
        </w:rPr>
        <w:t xml:space="preserve">Suppl </w:t>
      </w:r>
      <w:r w:rsidRPr="005A6A48">
        <w:rPr>
          <w:rFonts w:ascii="Times New Roman" w:hAnsi="Times New Roman" w:cs="Times New Roman"/>
          <w:b/>
          <w:bCs/>
          <w:sz w:val="22"/>
          <w:szCs w:val="22"/>
        </w:rPr>
        <w:t>Table</w:t>
      </w:r>
      <w:r w:rsidR="004C4D74" w:rsidRPr="005A6A48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5A6A48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982211" w:rsidRPr="005A6A48">
        <w:rPr>
          <w:rFonts w:ascii="Times New Roman" w:hAnsi="Times New Roman" w:cs="Times New Roman"/>
          <w:b/>
          <w:bCs/>
          <w:sz w:val="22"/>
          <w:szCs w:val="22"/>
        </w:rPr>
        <w:t>S1,3,4</w:t>
      </w:r>
      <w:r w:rsidRPr="00C94551">
        <w:rPr>
          <w:rFonts w:ascii="Times New Roman" w:hAnsi="Times New Roman" w:cs="Times New Roman"/>
          <w:sz w:val="22"/>
          <w:szCs w:val="22"/>
        </w:rPr>
        <w:t>. All data are mean ± SD (n ≥ 3 technical replicates). Assays were performed with AsCas12a and reporter R7. The reduced activity on GC-rich miRNAs is consistent with reports that high-GC RNA targets form stable secondary structures, lowering hybridization efficiency and fluorescence signal.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  <w:highlight w:val="white"/>
          </w:rPr>
          <w:alias w:val="Citation"/>
          <w:tag w:val="{&quot;referencesIds&quot;:[&quot;doc:68e259b04be6611d660f58bc&quot;],&quot;referencesOptions&quot;:{&quot;doc:68e259b04be6611d660f58bc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586505548,&quot;citationText&quot;:&quot;&lt;span style=\&quot;font-family:Times New Roman;font-size:14.666666666666666px;color:#000000\&quot;&gt;&lt;sup&gt;1&lt;/sup&gt;&lt;/span&gt;&quot;}"/>
          <w:id w:val="586505548"/>
          <w:placeholder>
            <w:docPart w:val="7A9919595CFD4994A0A16AA1B7B21383"/>
          </w:placeholder>
        </w:sdtPr>
        <w:sdtContent>
          <w:r w:rsidR="00D8012F">
            <w:rPr>
              <w:rFonts w:eastAsia="Times New Roman"/>
              <w:color w:val="000000"/>
              <w:sz w:val="22"/>
              <w:szCs w:val="22"/>
              <w:vertAlign w:val="superscript"/>
            </w:rPr>
            <w:t>1</w:t>
          </w:r>
        </w:sdtContent>
      </w:sdt>
    </w:p>
    <w:p w14:paraId="4F0B41C0" w14:textId="77777777" w:rsidR="001422BF" w:rsidRDefault="001422BF"/>
    <w:p w14:paraId="3EC04FCC" w14:textId="0CA7A013" w:rsidR="008A1F79" w:rsidRPr="00C94551" w:rsidRDefault="00206ACC" w:rsidP="008A1F79">
      <w:pPr>
        <w:keepNext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558D3C1" wp14:editId="4B4D54D0">
            <wp:extent cx="5943236" cy="7034029"/>
            <wp:effectExtent l="0" t="0" r="635" b="0"/>
            <wp:docPr id="1224362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" b="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03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2192D" w14:textId="378AADEA" w:rsidR="008A1F79" w:rsidRPr="00C94551" w:rsidRDefault="008A1F79" w:rsidP="008A1F7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Extended Data</w:t>
      </w:r>
      <w:r w:rsidRPr="00C94551">
        <w:rPr>
          <w:rFonts w:ascii="Times New Roman" w:hAnsi="Times New Roman" w:cs="Times New Roman"/>
          <w:b/>
          <w:bCs/>
          <w:sz w:val="22"/>
          <w:szCs w:val="22"/>
        </w:rPr>
        <w:t xml:space="preserve"> Fig. </w:t>
      </w:r>
      <w:r w:rsidR="001D7800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C94551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C94551">
        <w:rPr>
          <w:rFonts w:ascii="Times New Roman" w:hAnsi="Times New Roman" w:cs="Times New Roman"/>
          <w:sz w:val="22"/>
          <w:szCs w:val="22"/>
        </w:rPr>
        <w:t xml:space="preserve"> Reporter design and Cas12a ortholog compatibility in </w:t>
      </w:r>
      <w:r w:rsidR="00DC248A">
        <w:rPr>
          <w:rFonts w:ascii="Times New Roman" w:hAnsi="Times New Roman" w:cs="Times New Roman"/>
          <w:sz w:val="22"/>
          <w:szCs w:val="22"/>
        </w:rPr>
        <w:t>crRNA-independent system</w:t>
      </w:r>
      <w:r w:rsidRPr="00C94551">
        <w:rPr>
          <w:rFonts w:ascii="Times New Roman" w:hAnsi="Times New Roman" w:cs="Times New Roman"/>
          <w:sz w:val="22"/>
          <w:szCs w:val="22"/>
        </w:rPr>
        <w:t>. (</w:t>
      </w:r>
      <w:r w:rsidRPr="00DC248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C94551">
        <w:rPr>
          <w:rFonts w:ascii="Times New Roman" w:hAnsi="Times New Roman" w:cs="Times New Roman"/>
          <w:sz w:val="22"/>
          <w:szCs w:val="22"/>
        </w:rPr>
        <w:t xml:space="preserve">) Schematic of the fluorophore–quencher reporter used to assay Cas12a </w:t>
      </w:r>
      <w:r w:rsidRPr="00DC248A">
        <w:rPr>
          <w:rFonts w:ascii="Times New Roman" w:hAnsi="Times New Roman" w:cs="Times New Roman"/>
          <w:i/>
          <w:iCs/>
          <w:sz w:val="22"/>
          <w:szCs w:val="22"/>
        </w:rPr>
        <w:t>trans</w:t>
      </w:r>
      <w:r w:rsidR="00DC248A">
        <w:rPr>
          <w:rFonts w:ascii="Times New Roman" w:hAnsi="Times New Roman" w:cs="Times New Roman"/>
          <w:sz w:val="22"/>
          <w:szCs w:val="22"/>
        </w:rPr>
        <w:t xml:space="preserve"> </w:t>
      </w:r>
      <w:r w:rsidRPr="00C94551">
        <w:rPr>
          <w:rFonts w:ascii="Times New Roman" w:hAnsi="Times New Roman" w:cs="Times New Roman"/>
          <w:sz w:val="22"/>
          <w:szCs w:val="22"/>
        </w:rPr>
        <w:t xml:space="preserve">cleavage on DNA, RNA, and chimeric substrates (i-iii). </w:t>
      </w:r>
      <w:r w:rsidRPr="00DC248A">
        <w:rPr>
          <w:rFonts w:ascii="Times New Roman" w:hAnsi="Times New Roman" w:cs="Times New Roman"/>
          <w:i/>
          <w:iCs/>
          <w:sz w:val="22"/>
          <w:szCs w:val="22"/>
        </w:rPr>
        <w:t>Trans</w:t>
      </w:r>
      <w:r w:rsidR="00DC248A">
        <w:rPr>
          <w:rFonts w:ascii="Times New Roman" w:hAnsi="Times New Roman" w:cs="Times New Roman"/>
          <w:sz w:val="22"/>
          <w:szCs w:val="22"/>
        </w:rPr>
        <w:t xml:space="preserve"> </w:t>
      </w:r>
      <w:r w:rsidRPr="00C94551">
        <w:rPr>
          <w:rFonts w:ascii="Times New Roman" w:hAnsi="Times New Roman" w:cs="Times New Roman"/>
          <w:sz w:val="22"/>
          <w:szCs w:val="22"/>
        </w:rPr>
        <w:t xml:space="preserve">cleavage performance for 16 different reporters (various DNA/RNA/chimeric sequences) tested across eight Cas12a orthologs: AsCas12a (b), MbCas12a (c), LbCas12a (d), Pb2Cas12a (e), FnCas12a (f), ErCas12a (g), BoCas12a (h), and Lb5Cas12a (i). Reporter sequence composition strongly influenced activity. All orthologs cleaved the C-rich reporter (R7: C₆) </w:t>
      </w:r>
      <w:r w:rsidRPr="00C94551">
        <w:rPr>
          <w:rFonts w:ascii="Times New Roman" w:hAnsi="Times New Roman" w:cs="Times New Roman"/>
          <w:sz w:val="22"/>
          <w:szCs w:val="22"/>
        </w:rPr>
        <w:lastRenderedPageBreak/>
        <w:t xml:space="preserve">efficiently, while the remaining reporters generally produced weak signals. Notably, AsCas12a robustly cleaved all DNA and chimeric reporters tested, in contrast to the other orthologs. No ortholog cleaved poly-G reporters. (Fluorescence time courses (RFU.min) over 60 min are shown to illustrate </w:t>
      </w:r>
      <w:r w:rsidRPr="005A1631">
        <w:rPr>
          <w:rFonts w:ascii="Times New Roman" w:hAnsi="Times New Roman" w:cs="Times New Roman"/>
          <w:i/>
          <w:iCs/>
          <w:sz w:val="22"/>
          <w:szCs w:val="22"/>
        </w:rPr>
        <w:t>trans</w:t>
      </w:r>
      <w:r w:rsidR="005A1631">
        <w:rPr>
          <w:rFonts w:ascii="Times New Roman" w:hAnsi="Times New Roman" w:cs="Times New Roman"/>
          <w:sz w:val="22"/>
          <w:szCs w:val="22"/>
        </w:rPr>
        <w:t xml:space="preserve"> </w:t>
      </w:r>
      <w:r w:rsidRPr="00C94551">
        <w:rPr>
          <w:rFonts w:ascii="Times New Roman" w:hAnsi="Times New Roman" w:cs="Times New Roman"/>
          <w:sz w:val="22"/>
          <w:szCs w:val="22"/>
        </w:rPr>
        <w:t>cleavage rates.) All data are mean ± SD (n ≥ 3 technical replicates).</w:t>
      </w:r>
      <w:r w:rsidR="00FF2E66">
        <w:rPr>
          <w:rFonts w:ascii="Times New Roman" w:hAnsi="Times New Roman" w:cs="Times New Roman"/>
          <w:sz w:val="22"/>
          <w:szCs w:val="22"/>
        </w:rPr>
        <w:t xml:space="preserve"> </w:t>
      </w:r>
      <w:r w:rsidR="00E57948">
        <w:rPr>
          <w:rFonts w:ascii="Times New Roman" w:hAnsi="Times New Roman" w:cs="Times New Roman"/>
          <w:sz w:val="22"/>
          <w:szCs w:val="22"/>
        </w:rPr>
        <w:t xml:space="preserve">Color description: </w:t>
      </w:r>
      <w:r w:rsidR="005D479E">
        <w:rPr>
          <w:rFonts w:ascii="Times New Roman" w:hAnsi="Times New Roman" w:cs="Times New Roman"/>
          <w:sz w:val="22"/>
          <w:szCs w:val="22"/>
        </w:rPr>
        <w:t>gold</w:t>
      </w:r>
      <w:r w:rsidR="004338F2">
        <w:rPr>
          <w:rFonts w:ascii="Times New Roman" w:hAnsi="Times New Roman" w:cs="Times New Roman"/>
          <w:sz w:val="22"/>
          <w:szCs w:val="22"/>
        </w:rPr>
        <w:t xml:space="preserve"> </w:t>
      </w:r>
      <w:r w:rsidR="005D44D0">
        <w:rPr>
          <w:rFonts w:ascii="Times New Roman" w:hAnsi="Times New Roman" w:cs="Times New Roman"/>
          <w:sz w:val="22"/>
          <w:szCs w:val="22"/>
        </w:rPr>
        <w:t xml:space="preserve">bars, </w:t>
      </w:r>
      <w:r w:rsidR="004338F2">
        <w:rPr>
          <w:rFonts w:ascii="Times New Roman" w:hAnsi="Times New Roman" w:cs="Times New Roman"/>
          <w:sz w:val="22"/>
          <w:szCs w:val="22"/>
        </w:rPr>
        <w:t>DNA</w:t>
      </w:r>
      <w:r w:rsidR="005D44D0">
        <w:rPr>
          <w:rFonts w:ascii="Times New Roman" w:hAnsi="Times New Roman" w:cs="Times New Roman"/>
          <w:sz w:val="22"/>
          <w:szCs w:val="22"/>
        </w:rPr>
        <w:t xml:space="preserve">; </w:t>
      </w:r>
      <w:r w:rsidR="005D479E">
        <w:rPr>
          <w:rFonts w:ascii="Times New Roman" w:hAnsi="Times New Roman" w:cs="Times New Roman"/>
          <w:sz w:val="22"/>
          <w:szCs w:val="22"/>
        </w:rPr>
        <w:t>o</w:t>
      </w:r>
      <w:r w:rsidR="004338F2">
        <w:rPr>
          <w:rFonts w:ascii="Times New Roman" w:hAnsi="Times New Roman" w:cs="Times New Roman"/>
          <w:sz w:val="22"/>
          <w:szCs w:val="22"/>
        </w:rPr>
        <w:t>range</w:t>
      </w:r>
      <w:r w:rsidR="005D44D0">
        <w:rPr>
          <w:rFonts w:ascii="Times New Roman" w:hAnsi="Times New Roman" w:cs="Times New Roman"/>
          <w:sz w:val="22"/>
          <w:szCs w:val="22"/>
        </w:rPr>
        <w:t xml:space="preserve"> bars,</w:t>
      </w:r>
      <w:r w:rsidR="004338F2">
        <w:rPr>
          <w:rFonts w:ascii="Times New Roman" w:hAnsi="Times New Roman" w:cs="Times New Roman"/>
          <w:sz w:val="22"/>
          <w:szCs w:val="22"/>
        </w:rPr>
        <w:t xml:space="preserve"> RNA</w:t>
      </w:r>
      <w:r w:rsidR="005D44D0">
        <w:rPr>
          <w:rFonts w:ascii="Times New Roman" w:hAnsi="Times New Roman" w:cs="Times New Roman"/>
          <w:sz w:val="22"/>
          <w:szCs w:val="22"/>
        </w:rPr>
        <w:t>;</w:t>
      </w:r>
      <w:r w:rsidR="004338F2">
        <w:rPr>
          <w:rFonts w:ascii="Times New Roman" w:hAnsi="Times New Roman" w:cs="Times New Roman"/>
          <w:sz w:val="22"/>
          <w:szCs w:val="22"/>
        </w:rPr>
        <w:t xml:space="preserve"> and </w:t>
      </w:r>
      <w:r w:rsidR="005D479E">
        <w:rPr>
          <w:rFonts w:ascii="Times New Roman" w:hAnsi="Times New Roman" w:cs="Times New Roman"/>
          <w:sz w:val="22"/>
          <w:szCs w:val="22"/>
        </w:rPr>
        <w:t>b</w:t>
      </w:r>
      <w:r w:rsidR="004338F2">
        <w:rPr>
          <w:rFonts w:ascii="Times New Roman" w:hAnsi="Times New Roman" w:cs="Times New Roman"/>
          <w:sz w:val="22"/>
          <w:szCs w:val="22"/>
        </w:rPr>
        <w:t xml:space="preserve">lue </w:t>
      </w:r>
      <w:r w:rsidR="005D44D0">
        <w:rPr>
          <w:rFonts w:ascii="Times New Roman" w:hAnsi="Times New Roman" w:cs="Times New Roman"/>
          <w:sz w:val="22"/>
          <w:szCs w:val="22"/>
        </w:rPr>
        <w:t>ba</w:t>
      </w:r>
      <w:r w:rsidR="005D479E">
        <w:rPr>
          <w:rFonts w:ascii="Times New Roman" w:hAnsi="Times New Roman" w:cs="Times New Roman"/>
          <w:sz w:val="22"/>
          <w:szCs w:val="22"/>
        </w:rPr>
        <w:t xml:space="preserve">rs, </w:t>
      </w:r>
      <w:r w:rsidR="004338F2">
        <w:rPr>
          <w:rFonts w:ascii="Times New Roman" w:hAnsi="Times New Roman" w:cs="Times New Roman"/>
          <w:sz w:val="22"/>
          <w:szCs w:val="22"/>
        </w:rPr>
        <w:t>chimer</w:t>
      </w:r>
      <w:r w:rsidR="00166918">
        <w:rPr>
          <w:rFonts w:ascii="Times New Roman" w:hAnsi="Times New Roman" w:cs="Times New Roman"/>
          <w:sz w:val="22"/>
          <w:szCs w:val="22"/>
        </w:rPr>
        <w:t xml:space="preserve">ic. </w:t>
      </w:r>
      <w:r w:rsidR="005A6A48" w:rsidRPr="00C94551">
        <w:rPr>
          <w:rFonts w:ascii="Times New Roman" w:hAnsi="Times New Roman" w:cs="Times New Roman"/>
          <w:sz w:val="22"/>
          <w:szCs w:val="22"/>
        </w:rPr>
        <w:t xml:space="preserve">All </w:t>
      </w:r>
      <w:r w:rsidR="005A6A48">
        <w:rPr>
          <w:rFonts w:ascii="Times New Roman" w:hAnsi="Times New Roman" w:cs="Times New Roman"/>
          <w:sz w:val="22"/>
          <w:szCs w:val="22"/>
        </w:rPr>
        <w:t xml:space="preserve">reporter </w:t>
      </w:r>
      <w:r w:rsidR="005A6A48" w:rsidRPr="00C94551">
        <w:rPr>
          <w:rFonts w:ascii="Times New Roman" w:hAnsi="Times New Roman" w:cs="Times New Roman"/>
          <w:sz w:val="22"/>
          <w:szCs w:val="22"/>
        </w:rPr>
        <w:t xml:space="preserve">sequences are provided in </w:t>
      </w:r>
      <w:r w:rsidR="005A6A48" w:rsidRPr="005A6A48">
        <w:rPr>
          <w:rFonts w:ascii="Times New Roman" w:hAnsi="Times New Roman" w:cs="Times New Roman"/>
          <w:b/>
          <w:bCs/>
          <w:sz w:val="22"/>
          <w:szCs w:val="22"/>
        </w:rPr>
        <w:t>Suppl Tables S</w:t>
      </w:r>
      <w:r w:rsidR="00025213">
        <w:rPr>
          <w:rFonts w:ascii="Times New Roman" w:hAnsi="Times New Roman" w:cs="Times New Roman"/>
          <w:b/>
          <w:bCs/>
          <w:sz w:val="22"/>
          <w:szCs w:val="22"/>
        </w:rPr>
        <w:t xml:space="preserve">9. </w:t>
      </w:r>
      <w:r w:rsidR="00025213" w:rsidRPr="00E42B93">
        <w:rPr>
          <w:rFonts w:ascii="Times New Roman" w:hAnsi="Times New Roman" w:cs="Times New Roman"/>
          <w:sz w:val="22"/>
          <w:szCs w:val="22"/>
        </w:rPr>
        <w:t xml:space="preserve">Sequences for </w:t>
      </w:r>
      <w:r w:rsidR="00637CD9" w:rsidRPr="00E42B93">
        <w:rPr>
          <w:rFonts w:ascii="Times New Roman" w:hAnsi="Times New Roman" w:cs="Times New Roman"/>
          <w:sz w:val="22"/>
          <w:szCs w:val="22"/>
        </w:rPr>
        <w:t>DNA duplex, miniCaR</w:t>
      </w:r>
      <w:r w:rsidR="0032619D" w:rsidRPr="00E42B93">
        <w:rPr>
          <w:rFonts w:ascii="Times New Roman" w:hAnsi="Times New Roman" w:cs="Times New Roman"/>
          <w:sz w:val="22"/>
          <w:szCs w:val="22"/>
        </w:rPr>
        <w:t xml:space="preserve">, and crRNA for miR-21 are found in </w:t>
      </w:r>
      <w:r w:rsidR="0032619D">
        <w:rPr>
          <w:rFonts w:ascii="Times New Roman" w:hAnsi="Times New Roman" w:cs="Times New Roman"/>
          <w:b/>
          <w:bCs/>
          <w:sz w:val="22"/>
          <w:szCs w:val="22"/>
        </w:rPr>
        <w:t>Suppl Table</w:t>
      </w:r>
      <w:r w:rsidR="00E42B93">
        <w:rPr>
          <w:rFonts w:ascii="Times New Roman" w:hAnsi="Times New Roman" w:cs="Times New Roman"/>
          <w:b/>
          <w:bCs/>
          <w:sz w:val="22"/>
          <w:szCs w:val="22"/>
        </w:rPr>
        <w:t>s S</w:t>
      </w:r>
      <w:r w:rsidR="005A6A48" w:rsidRPr="005A6A48">
        <w:rPr>
          <w:rFonts w:ascii="Times New Roman" w:hAnsi="Times New Roman" w:cs="Times New Roman"/>
          <w:b/>
          <w:bCs/>
          <w:sz w:val="22"/>
          <w:szCs w:val="22"/>
        </w:rPr>
        <w:t>1,3,4</w:t>
      </w:r>
      <w:r w:rsidR="005A6A48" w:rsidRPr="00C94551">
        <w:rPr>
          <w:rFonts w:ascii="Times New Roman" w:hAnsi="Times New Roman" w:cs="Times New Roman"/>
          <w:sz w:val="22"/>
          <w:szCs w:val="22"/>
        </w:rPr>
        <w:t>.</w:t>
      </w:r>
    </w:p>
    <w:p w14:paraId="78CAC219" w14:textId="77777777" w:rsidR="00B55CD9" w:rsidRDefault="00B55CD9" w:rsidP="00903F58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</w:p>
    <w:p w14:paraId="08D54993" w14:textId="3DA18727" w:rsidR="00903F58" w:rsidRPr="007B6F95" w:rsidRDefault="00690545" w:rsidP="00903F58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442B2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Extended Data </w:t>
      </w:r>
      <w:r w:rsidR="00903F58" w:rsidRPr="00442B2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Pr="00442B2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1</w:t>
      </w:r>
      <w:r w:rsidRPr="007B6F9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: Cryo-EM data collection, refinement</w:t>
      </w:r>
      <w:r w:rsidR="00487F8D" w:rsidRPr="007B6F9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,</w:t>
      </w:r>
      <w:r w:rsidRPr="007B6F95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and validation statistics.</w:t>
      </w:r>
    </w:p>
    <w:tbl>
      <w:tblPr>
        <w:tblW w:w="10520" w:type="dxa"/>
        <w:jc w:val="center"/>
        <w:tblLook w:val="04A0" w:firstRow="1" w:lastRow="0" w:firstColumn="1" w:lastColumn="0" w:noHBand="0" w:noVBand="1"/>
      </w:tblPr>
      <w:tblGrid>
        <w:gridCol w:w="3140"/>
        <w:gridCol w:w="2280"/>
        <w:gridCol w:w="2420"/>
        <w:gridCol w:w="2680"/>
      </w:tblGrid>
      <w:tr w:rsidR="009D562D" w:rsidRPr="000068BA" w14:paraId="62465A31" w14:textId="77777777" w:rsidTr="000068BA">
        <w:trPr>
          <w:trHeight w:val="300"/>
          <w:jc w:val="center"/>
        </w:trPr>
        <w:tc>
          <w:tcPr>
            <w:tcW w:w="3140" w:type="dxa"/>
            <w:tcBorders>
              <w:bottom w:val="single" w:sz="4" w:space="0" w:color="auto"/>
            </w:tcBorders>
            <w:vAlign w:val="center"/>
            <w:hideMark/>
          </w:tcPr>
          <w:p w14:paraId="7EF55ABB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  <w:hideMark/>
          </w:tcPr>
          <w:p w14:paraId="25A6ADC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COMPANION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  <w:hideMark/>
          </w:tcPr>
          <w:p w14:paraId="06663A5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RAPID-5bp target RNA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vAlign w:val="center"/>
            <w:hideMark/>
          </w:tcPr>
          <w:p w14:paraId="1AD7C25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RAPID-Full target RNA</w:t>
            </w:r>
          </w:p>
        </w:tc>
      </w:tr>
      <w:tr w:rsidR="009D562D" w:rsidRPr="000068BA" w14:paraId="3168E743" w14:textId="77777777" w:rsidTr="000068BA">
        <w:trPr>
          <w:trHeight w:val="109"/>
          <w:jc w:val="center"/>
        </w:trPr>
        <w:tc>
          <w:tcPr>
            <w:tcW w:w="3140" w:type="dxa"/>
            <w:tcBorders>
              <w:top w:val="single" w:sz="4" w:space="0" w:color="auto"/>
            </w:tcBorders>
            <w:vAlign w:val="center"/>
            <w:hideMark/>
          </w:tcPr>
          <w:p w14:paraId="3FFEEF8E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Data collection and processing</w:t>
            </w:r>
          </w:p>
        </w:tc>
        <w:tc>
          <w:tcPr>
            <w:tcW w:w="2280" w:type="dxa"/>
            <w:tcBorders>
              <w:top w:val="single" w:sz="4" w:space="0" w:color="auto"/>
            </w:tcBorders>
            <w:vAlign w:val="center"/>
            <w:hideMark/>
          </w:tcPr>
          <w:p w14:paraId="3238E7B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</w:tcBorders>
            <w:vAlign w:val="center"/>
            <w:hideMark/>
          </w:tcPr>
          <w:p w14:paraId="4C1D214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</w:tcBorders>
            <w:vAlign w:val="center"/>
            <w:hideMark/>
          </w:tcPr>
          <w:p w14:paraId="14919E0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114CDB7F" w14:textId="77777777" w:rsidTr="000068BA">
        <w:trPr>
          <w:trHeight w:val="227"/>
          <w:jc w:val="center"/>
        </w:trPr>
        <w:tc>
          <w:tcPr>
            <w:tcW w:w="3140" w:type="dxa"/>
            <w:vAlign w:val="center"/>
            <w:hideMark/>
          </w:tcPr>
          <w:p w14:paraId="207CB1F6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Magnification</w:t>
            </w:r>
          </w:p>
        </w:tc>
        <w:tc>
          <w:tcPr>
            <w:tcW w:w="2280" w:type="dxa"/>
            <w:vAlign w:val="center"/>
            <w:hideMark/>
          </w:tcPr>
          <w:p w14:paraId="6AC3DBD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105,000</w:t>
            </w:r>
          </w:p>
        </w:tc>
        <w:tc>
          <w:tcPr>
            <w:tcW w:w="2420" w:type="dxa"/>
            <w:vAlign w:val="center"/>
            <w:hideMark/>
          </w:tcPr>
          <w:p w14:paraId="76D4DCA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105,000</w:t>
            </w:r>
          </w:p>
        </w:tc>
        <w:tc>
          <w:tcPr>
            <w:tcW w:w="2680" w:type="dxa"/>
            <w:vAlign w:val="center"/>
            <w:hideMark/>
          </w:tcPr>
          <w:p w14:paraId="5F21086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105,000</w:t>
            </w:r>
          </w:p>
        </w:tc>
      </w:tr>
      <w:tr w:rsidR="009D562D" w:rsidRPr="000068BA" w14:paraId="1D7FD28B" w14:textId="77777777" w:rsidTr="000068BA">
        <w:trPr>
          <w:trHeight w:val="201"/>
          <w:jc w:val="center"/>
        </w:trPr>
        <w:tc>
          <w:tcPr>
            <w:tcW w:w="3140" w:type="dxa"/>
            <w:vAlign w:val="center"/>
            <w:hideMark/>
          </w:tcPr>
          <w:p w14:paraId="4C8D5CD2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Voltage (kV)</w:t>
            </w:r>
          </w:p>
        </w:tc>
        <w:tc>
          <w:tcPr>
            <w:tcW w:w="2280" w:type="dxa"/>
            <w:vAlign w:val="center"/>
            <w:hideMark/>
          </w:tcPr>
          <w:p w14:paraId="662EBB47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300</w:t>
            </w:r>
          </w:p>
        </w:tc>
        <w:tc>
          <w:tcPr>
            <w:tcW w:w="2420" w:type="dxa"/>
            <w:vAlign w:val="center"/>
            <w:hideMark/>
          </w:tcPr>
          <w:p w14:paraId="29D38E9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300</w:t>
            </w:r>
          </w:p>
        </w:tc>
        <w:tc>
          <w:tcPr>
            <w:tcW w:w="2680" w:type="dxa"/>
            <w:vAlign w:val="center"/>
            <w:hideMark/>
          </w:tcPr>
          <w:p w14:paraId="341179F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300</w:t>
            </w:r>
          </w:p>
        </w:tc>
      </w:tr>
      <w:tr w:rsidR="009D562D" w:rsidRPr="000068BA" w14:paraId="1C8B1303" w14:textId="77777777" w:rsidTr="000068BA">
        <w:trPr>
          <w:trHeight w:val="247"/>
          <w:jc w:val="center"/>
        </w:trPr>
        <w:tc>
          <w:tcPr>
            <w:tcW w:w="3140" w:type="dxa"/>
            <w:vAlign w:val="center"/>
            <w:hideMark/>
          </w:tcPr>
          <w:p w14:paraId="4BBCD69E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Electron exposure (e</w:t>
            </w: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CA"/>
                <w14:ligatures w14:val="none"/>
              </w:rPr>
              <w:t>–</w:t>
            </w: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/Å</w:t>
            </w: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CA"/>
                <w14:ligatures w14:val="none"/>
              </w:rPr>
              <w:t>2</w:t>
            </w: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)</w:t>
            </w:r>
          </w:p>
        </w:tc>
        <w:tc>
          <w:tcPr>
            <w:tcW w:w="2280" w:type="dxa"/>
            <w:vAlign w:val="center"/>
            <w:hideMark/>
          </w:tcPr>
          <w:p w14:paraId="2682471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70</w:t>
            </w:r>
          </w:p>
        </w:tc>
        <w:tc>
          <w:tcPr>
            <w:tcW w:w="2420" w:type="dxa"/>
            <w:vAlign w:val="center"/>
            <w:hideMark/>
          </w:tcPr>
          <w:p w14:paraId="6EEEE39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70</w:t>
            </w:r>
          </w:p>
        </w:tc>
        <w:tc>
          <w:tcPr>
            <w:tcW w:w="2680" w:type="dxa"/>
            <w:vAlign w:val="center"/>
            <w:hideMark/>
          </w:tcPr>
          <w:p w14:paraId="5D9E4A0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70</w:t>
            </w:r>
          </w:p>
        </w:tc>
      </w:tr>
      <w:tr w:rsidR="009D562D" w:rsidRPr="000068BA" w14:paraId="7777BE8B" w14:textId="77777777" w:rsidTr="000068BA">
        <w:trPr>
          <w:trHeight w:val="265"/>
          <w:jc w:val="center"/>
        </w:trPr>
        <w:tc>
          <w:tcPr>
            <w:tcW w:w="3140" w:type="dxa"/>
            <w:vAlign w:val="center"/>
            <w:hideMark/>
          </w:tcPr>
          <w:p w14:paraId="1E652878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Defocus range (μm)</w:t>
            </w:r>
          </w:p>
        </w:tc>
        <w:tc>
          <w:tcPr>
            <w:tcW w:w="2280" w:type="dxa"/>
            <w:vAlign w:val="center"/>
            <w:hideMark/>
          </w:tcPr>
          <w:p w14:paraId="29CE36E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–1.5 to –2.5</w:t>
            </w:r>
          </w:p>
        </w:tc>
        <w:tc>
          <w:tcPr>
            <w:tcW w:w="2420" w:type="dxa"/>
            <w:vAlign w:val="center"/>
            <w:hideMark/>
          </w:tcPr>
          <w:p w14:paraId="671DBF7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–1.5 to –2.5</w:t>
            </w:r>
          </w:p>
        </w:tc>
        <w:tc>
          <w:tcPr>
            <w:tcW w:w="2680" w:type="dxa"/>
            <w:vAlign w:val="center"/>
            <w:hideMark/>
          </w:tcPr>
          <w:p w14:paraId="7B47403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–1.5 to –2.5</w:t>
            </w:r>
          </w:p>
        </w:tc>
      </w:tr>
      <w:tr w:rsidR="009D562D" w:rsidRPr="000068BA" w14:paraId="6A4E89D4" w14:textId="77777777" w:rsidTr="000068BA">
        <w:trPr>
          <w:trHeight w:val="283"/>
          <w:jc w:val="center"/>
        </w:trPr>
        <w:tc>
          <w:tcPr>
            <w:tcW w:w="3140" w:type="dxa"/>
            <w:vAlign w:val="center"/>
            <w:hideMark/>
          </w:tcPr>
          <w:p w14:paraId="47D5D3CE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Pixel size (Å)</w:t>
            </w:r>
          </w:p>
        </w:tc>
        <w:tc>
          <w:tcPr>
            <w:tcW w:w="2280" w:type="dxa"/>
            <w:vAlign w:val="center"/>
            <w:hideMark/>
          </w:tcPr>
          <w:p w14:paraId="712B62A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0.8332</w:t>
            </w:r>
          </w:p>
        </w:tc>
        <w:tc>
          <w:tcPr>
            <w:tcW w:w="2420" w:type="dxa"/>
            <w:vAlign w:val="center"/>
            <w:hideMark/>
          </w:tcPr>
          <w:p w14:paraId="28753C5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0.8332</w:t>
            </w:r>
          </w:p>
        </w:tc>
        <w:tc>
          <w:tcPr>
            <w:tcW w:w="2680" w:type="dxa"/>
            <w:vAlign w:val="center"/>
            <w:hideMark/>
          </w:tcPr>
          <w:p w14:paraId="3498F07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0.8332</w:t>
            </w:r>
          </w:p>
        </w:tc>
      </w:tr>
      <w:tr w:rsidR="009D562D" w:rsidRPr="000068BA" w14:paraId="2DDE5073" w14:textId="77777777" w:rsidTr="000068BA">
        <w:trPr>
          <w:trHeight w:val="273"/>
          <w:jc w:val="center"/>
        </w:trPr>
        <w:tc>
          <w:tcPr>
            <w:tcW w:w="3140" w:type="dxa"/>
            <w:vAlign w:val="center"/>
            <w:hideMark/>
          </w:tcPr>
          <w:p w14:paraId="620A807A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Initial particle (no.)</w:t>
            </w:r>
          </w:p>
        </w:tc>
        <w:tc>
          <w:tcPr>
            <w:tcW w:w="2280" w:type="dxa"/>
            <w:vAlign w:val="center"/>
            <w:hideMark/>
          </w:tcPr>
          <w:p w14:paraId="47EFA8D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921,805</w:t>
            </w:r>
          </w:p>
        </w:tc>
        <w:tc>
          <w:tcPr>
            <w:tcW w:w="2420" w:type="dxa"/>
            <w:vAlign w:val="center"/>
            <w:hideMark/>
          </w:tcPr>
          <w:p w14:paraId="502CA50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3,235,710</w:t>
            </w:r>
          </w:p>
        </w:tc>
        <w:tc>
          <w:tcPr>
            <w:tcW w:w="2680" w:type="dxa"/>
            <w:vAlign w:val="center"/>
            <w:hideMark/>
          </w:tcPr>
          <w:p w14:paraId="5BC4F45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3,235,710</w:t>
            </w:r>
          </w:p>
        </w:tc>
      </w:tr>
      <w:tr w:rsidR="009D562D" w:rsidRPr="000068BA" w14:paraId="2C1F3C38" w14:textId="77777777" w:rsidTr="000068BA">
        <w:trPr>
          <w:trHeight w:val="263"/>
          <w:jc w:val="center"/>
        </w:trPr>
        <w:tc>
          <w:tcPr>
            <w:tcW w:w="3140" w:type="dxa"/>
            <w:vAlign w:val="center"/>
            <w:hideMark/>
          </w:tcPr>
          <w:p w14:paraId="44C11103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Final particle (no.)</w:t>
            </w:r>
          </w:p>
        </w:tc>
        <w:tc>
          <w:tcPr>
            <w:tcW w:w="2280" w:type="dxa"/>
            <w:vAlign w:val="center"/>
            <w:hideMark/>
          </w:tcPr>
          <w:p w14:paraId="3DB673A3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462,481</w:t>
            </w:r>
          </w:p>
        </w:tc>
        <w:tc>
          <w:tcPr>
            <w:tcW w:w="2420" w:type="dxa"/>
            <w:vAlign w:val="center"/>
            <w:hideMark/>
          </w:tcPr>
          <w:p w14:paraId="1B7EFC0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67,054</w:t>
            </w:r>
          </w:p>
        </w:tc>
        <w:tc>
          <w:tcPr>
            <w:tcW w:w="2680" w:type="dxa"/>
            <w:vAlign w:val="center"/>
            <w:hideMark/>
          </w:tcPr>
          <w:p w14:paraId="71963FE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181,085</w:t>
            </w:r>
          </w:p>
        </w:tc>
      </w:tr>
      <w:tr w:rsidR="009D562D" w:rsidRPr="000068BA" w14:paraId="6BF0DC16" w14:textId="77777777" w:rsidTr="000068BA">
        <w:trPr>
          <w:trHeight w:val="139"/>
          <w:jc w:val="center"/>
        </w:trPr>
        <w:tc>
          <w:tcPr>
            <w:tcW w:w="3140" w:type="dxa"/>
            <w:vAlign w:val="center"/>
            <w:hideMark/>
          </w:tcPr>
          <w:p w14:paraId="4555F102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Map resolution (Å)</w:t>
            </w:r>
          </w:p>
        </w:tc>
        <w:tc>
          <w:tcPr>
            <w:tcW w:w="2280" w:type="dxa"/>
            <w:vAlign w:val="center"/>
            <w:hideMark/>
          </w:tcPr>
          <w:p w14:paraId="0D0BAA3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3.14</w:t>
            </w:r>
          </w:p>
        </w:tc>
        <w:tc>
          <w:tcPr>
            <w:tcW w:w="2420" w:type="dxa"/>
            <w:vAlign w:val="center"/>
            <w:hideMark/>
          </w:tcPr>
          <w:p w14:paraId="138D438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3.16</w:t>
            </w:r>
          </w:p>
        </w:tc>
        <w:tc>
          <w:tcPr>
            <w:tcW w:w="2680" w:type="dxa"/>
            <w:vAlign w:val="center"/>
            <w:hideMark/>
          </w:tcPr>
          <w:p w14:paraId="2D63E26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</w:t>
            </w:r>
          </w:p>
        </w:tc>
      </w:tr>
      <w:tr w:rsidR="009D562D" w:rsidRPr="000068BA" w14:paraId="1F8E764C" w14:textId="77777777" w:rsidTr="000068BA">
        <w:trPr>
          <w:trHeight w:val="185"/>
          <w:jc w:val="center"/>
        </w:trPr>
        <w:tc>
          <w:tcPr>
            <w:tcW w:w="3140" w:type="dxa"/>
            <w:vAlign w:val="center"/>
            <w:hideMark/>
          </w:tcPr>
          <w:p w14:paraId="123815F5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FSC threshold</w:t>
            </w:r>
          </w:p>
        </w:tc>
        <w:tc>
          <w:tcPr>
            <w:tcW w:w="2280" w:type="dxa"/>
            <w:vAlign w:val="center"/>
            <w:hideMark/>
          </w:tcPr>
          <w:p w14:paraId="0CAF0317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0.143</w:t>
            </w:r>
          </w:p>
        </w:tc>
        <w:tc>
          <w:tcPr>
            <w:tcW w:w="2420" w:type="dxa"/>
            <w:vAlign w:val="center"/>
            <w:hideMark/>
          </w:tcPr>
          <w:p w14:paraId="31164DD7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0.143</w:t>
            </w:r>
          </w:p>
        </w:tc>
        <w:tc>
          <w:tcPr>
            <w:tcW w:w="2680" w:type="dxa"/>
            <w:vAlign w:val="center"/>
            <w:hideMark/>
          </w:tcPr>
          <w:p w14:paraId="3FB50BB2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0.143</w:t>
            </w:r>
          </w:p>
        </w:tc>
      </w:tr>
      <w:tr w:rsidR="009D562D" w:rsidRPr="000068BA" w14:paraId="53EF3B6C" w14:textId="77777777" w:rsidTr="000068BA">
        <w:trPr>
          <w:trHeight w:val="217"/>
          <w:jc w:val="center"/>
        </w:trPr>
        <w:tc>
          <w:tcPr>
            <w:tcW w:w="3140" w:type="dxa"/>
            <w:vAlign w:val="center"/>
            <w:hideMark/>
          </w:tcPr>
          <w:p w14:paraId="375CF1CA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Refinement</w:t>
            </w:r>
          </w:p>
        </w:tc>
        <w:tc>
          <w:tcPr>
            <w:tcW w:w="2280" w:type="dxa"/>
            <w:vAlign w:val="center"/>
            <w:hideMark/>
          </w:tcPr>
          <w:p w14:paraId="03B4A45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vAlign w:val="center"/>
            <w:hideMark/>
          </w:tcPr>
          <w:p w14:paraId="441205F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vAlign w:val="center"/>
            <w:hideMark/>
          </w:tcPr>
          <w:p w14:paraId="027B6C1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713619BF" w14:textId="77777777" w:rsidTr="000068BA">
        <w:trPr>
          <w:trHeight w:val="263"/>
          <w:jc w:val="center"/>
        </w:trPr>
        <w:tc>
          <w:tcPr>
            <w:tcW w:w="3140" w:type="dxa"/>
            <w:vAlign w:val="center"/>
            <w:hideMark/>
          </w:tcPr>
          <w:p w14:paraId="1BC7827E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Initial model used</w:t>
            </w:r>
          </w:p>
        </w:tc>
        <w:tc>
          <w:tcPr>
            <w:tcW w:w="2280" w:type="dxa"/>
            <w:vAlign w:val="center"/>
            <w:hideMark/>
          </w:tcPr>
          <w:p w14:paraId="4FE5E79A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AlphaFold3</w:t>
            </w:r>
          </w:p>
        </w:tc>
        <w:tc>
          <w:tcPr>
            <w:tcW w:w="2420" w:type="dxa"/>
            <w:vAlign w:val="center"/>
            <w:hideMark/>
          </w:tcPr>
          <w:p w14:paraId="41F2D1E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8SFO</w:t>
            </w:r>
          </w:p>
        </w:tc>
        <w:tc>
          <w:tcPr>
            <w:tcW w:w="2680" w:type="dxa"/>
            <w:vAlign w:val="center"/>
            <w:hideMark/>
          </w:tcPr>
          <w:p w14:paraId="1B6AF49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8SFO</w:t>
            </w:r>
          </w:p>
        </w:tc>
      </w:tr>
      <w:tr w:rsidR="009D562D" w:rsidRPr="000068BA" w14:paraId="4F9FD7F8" w14:textId="77777777" w:rsidTr="000068BA">
        <w:trPr>
          <w:trHeight w:val="300"/>
          <w:jc w:val="center"/>
        </w:trPr>
        <w:tc>
          <w:tcPr>
            <w:tcW w:w="3140" w:type="dxa"/>
            <w:vAlign w:val="center"/>
            <w:hideMark/>
          </w:tcPr>
          <w:p w14:paraId="4386ACDF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Model resolution (Å)</w:t>
            </w:r>
          </w:p>
        </w:tc>
        <w:tc>
          <w:tcPr>
            <w:tcW w:w="2280" w:type="dxa"/>
            <w:vAlign w:val="center"/>
            <w:hideMark/>
          </w:tcPr>
          <w:p w14:paraId="20A2C3DA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3.1</w:t>
            </w:r>
          </w:p>
        </w:tc>
        <w:tc>
          <w:tcPr>
            <w:tcW w:w="2420" w:type="dxa"/>
            <w:vAlign w:val="center"/>
            <w:hideMark/>
          </w:tcPr>
          <w:p w14:paraId="1F4037B2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3.2</w:t>
            </w:r>
          </w:p>
        </w:tc>
        <w:tc>
          <w:tcPr>
            <w:tcW w:w="2680" w:type="dxa"/>
            <w:vAlign w:val="center"/>
            <w:hideMark/>
          </w:tcPr>
          <w:p w14:paraId="7DA575A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3</w:t>
            </w:r>
          </w:p>
        </w:tc>
      </w:tr>
      <w:tr w:rsidR="009D562D" w:rsidRPr="000068BA" w14:paraId="076BE571" w14:textId="77777777" w:rsidTr="000068BA">
        <w:trPr>
          <w:trHeight w:val="101"/>
          <w:jc w:val="center"/>
        </w:trPr>
        <w:tc>
          <w:tcPr>
            <w:tcW w:w="3140" w:type="dxa"/>
            <w:vAlign w:val="center"/>
            <w:hideMark/>
          </w:tcPr>
          <w:p w14:paraId="422D1D6F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FSC threshold</w:t>
            </w:r>
          </w:p>
        </w:tc>
        <w:tc>
          <w:tcPr>
            <w:tcW w:w="2280" w:type="dxa"/>
            <w:vAlign w:val="center"/>
            <w:hideMark/>
          </w:tcPr>
          <w:p w14:paraId="57CF0B1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0.143</w:t>
            </w:r>
          </w:p>
        </w:tc>
        <w:tc>
          <w:tcPr>
            <w:tcW w:w="2420" w:type="dxa"/>
            <w:vAlign w:val="center"/>
            <w:hideMark/>
          </w:tcPr>
          <w:p w14:paraId="3CE903B7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0.143</w:t>
            </w:r>
          </w:p>
        </w:tc>
        <w:tc>
          <w:tcPr>
            <w:tcW w:w="2680" w:type="dxa"/>
            <w:vAlign w:val="center"/>
            <w:hideMark/>
          </w:tcPr>
          <w:p w14:paraId="52404A36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0.143</w:t>
            </w:r>
          </w:p>
        </w:tc>
      </w:tr>
      <w:tr w:rsidR="009D562D" w:rsidRPr="000068BA" w14:paraId="39DD5DDE" w14:textId="77777777" w:rsidTr="000068BA">
        <w:trPr>
          <w:trHeight w:val="147"/>
          <w:jc w:val="center"/>
        </w:trPr>
        <w:tc>
          <w:tcPr>
            <w:tcW w:w="3140" w:type="dxa"/>
            <w:vAlign w:val="center"/>
            <w:hideMark/>
          </w:tcPr>
          <w:p w14:paraId="514DE223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Map sharpening B factor (Å</w:t>
            </w: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en-CA"/>
                <w14:ligatures w14:val="none"/>
              </w:rPr>
              <w:t>2</w:t>
            </w: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)</w:t>
            </w:r>
          </w:p>
        </w:tc>
        <w:tc>
          <w:tcPr>
            <w:tcW w:w="2280" w:type="dxa"/>
            <w:vAlign w:val="center"/>
            <w:hideMark/>
          </w:tcPr>
          <w:p w14:paraId="33E93A7F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-168</w:t>
            </w:r>
          </w:p>
        </w:tc>
        <w:tc>
          <w:tcPr>
            <w:tcW w:w="2420" w:type="dxa"/>
            <w:vAlign w:val="center"/>
            <w:hideMark/>
          </w:tcPr>
          <w:p w14:paraId="1575F58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-99.8</w:t>
            </w:r>
          </w:p>
        </w:tc>
        <w:tc>
          <w:tcPr>
            <w:tcW w:w="2680" w:type="dxa"/>
            <w:vAlign w:val="center"/>
            <w:hideMark/>
          </w:tcPr>
          <w:p w14:paraId="6959ECC6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-107</w:t>
            </w:r>
          </w:p>
        </w:tc>
      </w:tr>
      <w:tr w:rsidR="009D562D" w:rsidRPr="000068BA" w14:paraId="3230864D" w14:textId="77777777" w:rsidTr="000068BA">
        <w:trPr>
          <w:trHeight w:val="193"/>
          <w:jc w:val="center"/>
        </w:trPr>
        <w:tc>
          <w:tcPr>
            <w:tcW w:w="3140" w:type="dxa"/>
            <w:vAlign w:val="center"/>
            <w:hideMark/>
          </w:tcPr>
          <w:p w14:paraId="7C66E3BD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Model composition</w:t>
            </w:r>
          </w:p>
        </w:tc>
        <w:tc>
          <w:tcPr>
            <w:tcW w:w="2280" w:type="dxa"/>
            <w:vAlign w:val="center"/>
            <w:hideMark/>
          </w:tcPr>
          <w:p w14:paraId="123BBE8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vAlign w:val="center"/>
            <w:hideMark/>
          </w:tcPr>
          <w:p w14:paraId="1909E87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vAlign w:val="center"/>
            <w:hideMark/>
          </w:tcPr>
          <w:p w14:paraId="2C28BEE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6A00A4F0" w14:textId="77777777" w:rsidTr="000068BA">
        <w:trPr>
          <w:trHeight w:val="98"/>
          <w:jc w:val="center"/>
        </w:trPr>
        <w:tc>
          <w:tcPr>
            <w:tcW w:w="3140" w:type="dxa"/>
            <w:vAlign w:val="center"/>
            <w:hideMark/>
          </w:tcPr>
          <w:p w14:paraId="0A9CFE69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Non-hydrogen atoms</w:t>
            </w:r>
          </w:p>
        </w:tc>
        <w:tc>
          <w:tcPr>
            <w:tcW w:w="2280" w:type="dxa"/>
            <w:vAlign w:val="center"/>
            <w:hideMark/>
          </w:tcPr>
          <w:p w14:paraId="43D8ABB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10,241</w:t>
            </w:r>
          </w:p>
        </w:tc>
        <w:tc>
          <w:tcPr>
            <w:tcW w:w="2420" w:type="dxa"/>
            <w:vAlign w:val="center"/>
            <w:hideMark/>
          </w:tcPr>
          <w:p w14:paraId="6A40F78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9,317</w:t>
            </w:r>
          </w:p>
        </w:tc>
        <w:tc>
          <w:tcPr>
            <w:tcW w:w="2680" w:type="dxa"/>
            <w:vAlign w:val="center"/>
            <w:hideMark/>
          </w:tcPr>
          <w:p w14:paraId="5963F02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9,636</w:t>
            </w:r>
          </w:p>
        </w:tc>
      </w:tr>
      <w:tr w:rsidR="009D562D" w:rsidRPr="000068BA" w14:paraId="47F3A81B" w14:textId="77777777" w:rsidTr="000068BA">
        <w:trPr>
          <w:trHeight w:val="143"/>
          <w:jc w:val="center"/>
        </w:trPr>
        <w:tc>
          <w:tcPr>
            <w:tcW w:w="3140" w:type="dxa"/>
            <w:vAlign w:val="center"/>
            <w:hideMark/>
          </w:tcPr>
          <w:p w14:paraId="35C481CD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Protein residues</w:t>
            </w:r>
          </w:p>
        </w:tc>
        <w:tc>
          <w:tcPr>
            <w:tcW w:w="2280" w:type="dxa"/>
            <w:vAlign w:val="center"/>
            <w:hideMark/>
          </w:tcPr>
          <w:p w14:paraId="4EB45D8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1,143</w:t>
            </w:r>
          </w:p>
        </w:tc>
        <w:tc>
          <w:tcPr>
            <w:tcW w:w="2420" w:type="dxa"/>
            <w:vAlign w:val="center"/>
            <w:hideMark/>
          </w:tcPr>
          <w:p w14:paraId="7875E062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1,058</w:t>
            </w:r>
          </w:p>
        </w:tc>
        <w:tc>
          <w:tcPr>
            <w:tcW w:w="2680" w:type="dxa"/>
            <w:vAlign w:val="center"/>
            <w:hideMark/>
          </w:tcPr>
          <w:p w14:paraId="5D2DFA9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1,242</w:t>
            </w:r>
          </w:p>
        </w:tc>
      </w:tr>
      <w:tr w:rsidR="009D562D" w:rsidRPr="000068BA" w14:paraId="003F87A8" w14:textId="77777777" w:rsidTr="000068BA">
        <w:trPr>
          <w:trHeight w:val="189"/>
          <w:jc w:val="center"/>
        </w:trPr>
        <w:tc>
          <w:tcPr>
            <w:tcW w:w="3140" w:type="dxa"/>
            <w:vAlign w:val="center"/>
            <w:hideMark/>
          </w:tcPr>
          <w:p w14:paraId="6984FC8E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Nucleotides</w:t>
            </w:r>
          </w:p>
        </w:tc>
        <w:tc>
          <w:tcPr>
            <w:tcW w:w="2280" w:type="dxa"/>
            <w:vAlign w:val="center"/>
            <w:hideMark/>
          </w:tcPr>
          <w:p w14:paraId="2DD9D13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45</w:t>
            </w:r>
          </w:p>
        </w:tc>
        <w:tc>
          <w:tcPr>
            <w:tcW w:w="2420" w:type="dxa"/>
            <w:vAlign w:val="center"/>
            <w:hideMark/>
          </w:tcPr>
          <w:p w14:paraId="183D027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65</w:t>
            </w:r>
          </w:p>
        </w:tc>
        <w:tc>
          <w:tcPr>
            <w:tcW w:w="2680" w:type="dxa"/>
            <w:vAlign w:val="center"/>
            <w:hideMark/>
          </w:tcPr>
          <w:p w14:paraId="7793E83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88</w:t>
            </w:r>
          </w:p>
        </w:tc>
      </w:tr>
      <w:tr w:rsidR="009D562D" w:rsidRPr="000068BA" w14:paraId="2BAFFB16" w14:textId="77777777" w:rsidTr="000068BA">
        <w:trPr>
          <w:trHeight w:val="330"/>
          <w:jc w:val="center"/>
        </w:trPr>
        <w:tc>
          <w:tcPr>
            <w:tcW w:w="3140" w:type="dxa"/>
            <w:vAlign w:val="center"/>
            <w:hideMark/>
          </w:tcPr>
          <w:p w14:paraId="2043E238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Mean B factors (Å</w:t>
            </w:r>
            <w:r w:rsidRPr="000068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  <w:lang w:eastAsia="en-CA"/>
                <w14:ligatures w14:val="none"/>
              </w:rPr>
              <w:t>2</w:t>
            </w:r>
            <w:r w:rsidRPr="000068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)</w:t>
            </w:r>
          </w:p>
        </w:tc>
        <w:tc>
          <w:tcPr>
            <w:tcW w:w="2280" w:type="dxa"/>
            <w:vAlign w:val="center"/>
            <w:hideMark/>
          </w:tcPr>
          <w:p w14:paraId="674A3BEF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vAlign w:val="center"/>
            <w:hideMark/>
          </w:tcPr>
          <w:p w14:paraId="25EA33E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vAlign w:val="center"/>
            <w:hideMark/>
          </w:tcPr>
          <w:p w14:paraId="24D5732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627E2983" w14:textId="77777777" w:rsidTr="000068BA">
        <w:trPr>
          <w:trHeight w:val="169"/>
          <w:jc w:val="center"/>
        </w:trPr>
        <w:tc>
          <w:tcPr>
            <w:tcW w:w="3140" w:type="dxa"/>
            <w:vAlign w:val="center"/>
            <w:hideMark/>
          </w:tcPr>
          <w:p w14:paraId="194032E4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Protein</w:t>
            </w:r>
          </w:p>
        </w:tc>
        <w:tc>
          <w:tcPr>
            <w:tcW w:w="2280" w:type="dxa"/>
            <w:vAlign w:val="center"/>
            <w:hideMark/>
          </w:tcPr>
          <w:p w14:paraId="4EED1BA3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115.9</w:t>
            </w:r>
          </w:p>
        </w:tc>
        <w:tc>
          <w:tcPr>
            <w:tcW w:w="2420" w:type="dxa"/>
            <w:vAlign w:val="center"/>
            <w:hideMark/>
          </w:tcPr>
          <w:p w14:paraId="794A08A3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114.06</w:t>
            </w:r>
          </w:p>
        </w:tc>
        <w:tc>
          <w:tcPr>
            <w:tcW w:w="2680" w:type="dxa"/>
            <w:vAlign w:val="center"/>
            <w:hideMark/>
          </w:tcPr>
          <w:p w14:paraId="283A5FE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68.21</w:t>
            </w:r>
          </w:p>
        </w:tc>
      </w:tr>
      <w:tr w:rsidR="009D562D" w:rsidRPr="000068BA" w14:paraId="3B42A84D" w14:textId="77777777" w:rsidTr="000068BA">
        <w:trPr>
          <w:trHeight w:val="215"/>
          <w:jc w:val="center"/>
        </w:trPr>
        <w:tc>
          <w:tcPr>
            <w:tcW w:w="3140" w:type="dxa"/>
            <w:vAlign w:val="center"/>
            <w:hideMark/>
          </w:tcPr>
          <w:p w14:paraId="1D0B6574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Nucleotides</w:t>
            </w:r>
          </w:p>
        </w:tc>
        <w:tc>
          <w:tcPr>
            <w:tcW w:w="2280" w:type="dxa"/>
            <w:vAlign w:val="center"/>
            <w:hideMark/>
          </w:tcPr>
          <w:p w14:paraId="593FC4F7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83.73</w:t>
            </w:r>
          </w:p>
        </w:tc>
        <w:tc>
          <w:tcPr>
            <w:tcW w:w="2420" w:type="dxa"/>
            <w:vAlign w:val="center"/>
            <w:hideMark/>
          </w:tcPr>
          <w:p w14:paraId="7E742FE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107.22</w:t>
            </w:r>
          </w:p>
        </w:tc>
        <w:tc>
          <w:tcPr>
            <w:tcW w:w="2680" w:type="dxa"/>
            <w:vAlign w:val="center"/>
            <w:hideMark/>
          </w:tcPr>
          <w:p w14:paraId="4A5F0B5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51.6</w:t>
            </w:r>
          </w:p>
        </w:tc>
      </w:tr>
      <w:tr w:rsidR="009D562D" w:rsidRPr="000068BA" w14:paraId="3E148125" w14:textId="77777777" w:rsidTr="000068BA">
        <w:trPr>
          <w:trHeight w:val="119"/>
          <w:jc w:val="center"/>
        </w:trPr>
        <w:tc>
          <w:tcPr>
            <w:tcW w:w="3140" w:type="dxa"/>
            <w:vAlign w:val="center"/>
            <w:hideMark/>
          </w:tcPr>
          <w:p w14:paraId="073F6572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R.m.s deviations</w:t>
            </w:r>
          </w:p>
        </w:tc>
        <w:tc>
          <w:tcPr>
            <w:tcW w:w="2280" w:type="dxa"/>
            <w:vAlign w:val="center"/>
            <w:hideMark/>
          </w:tcPr>
          <w:p w14:paraId="2623873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vAlign w:val="center"/>
            <w:hideMark/>
          </w:tcPr>
          <w:p w14:paraId="3C079A7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vAlign w:val="center"/>
            <w:hideMark/>
          </w:tcPr>
          <w:p w14:paraId="0ABE356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460E94D4" w14:textId="77777777" w:rsidTr="000068BA">
        <w:trPr>
          <w:trHeight w:val="237"/>
          <w:jc w:val="center"/>
        </w:trPr>
        <w:tc>
          <w:tcPr>
            <w:tcW w:w="3140" w:type="dxa"/>
            <w:vAlign w:val="center"/>
            <w:hideMark/>
          </w:tcPr>
          <w:p w14:paraId="33AB4D85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Bond lengths (Å)</w:t>
            </w:r>
          </w:p>
        </w:tc>
        <w:tc>
          <w:tcPr>
            <w:tcW w:w="2280" w:type="dxa"/>
            <w:vAlign w:val="center"/>
            <w:hideMark/>
          </w:tcPr>
          <w:p w14:paraId="4DC9C26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0.006</w:t>
            </w:r>
          </w:p>
        </w:tc>
        <w:tc>
          <w:tcPr>
            <w:tcW w:w="2420" w:type="dxa"/>
            <w:vAlign w:val="center"/>
            <w:hideMark/>
          </w:tcPr>
          <w:p w14:paraId="5034CB0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0.004</w:t>
            </w:r>
          </w:p>
        </w:tc>
        <w:tc>
          <w:tcPr>
            <w:tcW w:w="2680" w:type="dxa"/>
            <w:vAlign w:val="center"/>
            <w:hideMark/>
          </w:tcPr>
          <w:p w14:paraId="145CC56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0.005</w:t>
            </w:r>
          </w:p>
        </w:tc>
      </w:tr>
      <w:tr w:rsidR="009D562D" w:rsidRPr="000068BA" w14:paraId="31FA4125" w14:textId="77777777" w:rsidTr="000068BA">
        <w:trPr>
          <w:trHeight w:val="199"/>
          <w:jc w:val="center"/>
        </w:trPr>
        <w:tc>
          <w:tcPr>
            <w:tcW w:w="3140" w:type="dxa"/>
            <w:vAlign w:val="center"/>
            <w:hideMark/>
          </w:tcPr>
          <w:p w14:paraId="387065A1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Bond angles (°)</w:t>
            </w:r>
          </w:p>
        </w:tc>
        <w:tc>
          <w:tcPr>
            <w:tcW w:w="2280" w:type="dxa"/>
            <w:vAlign w:val="center"/>
            <w:hideMark/>
          </w:tcPr>
          <w:p w14:paraId="4AF79872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1.173</w:t>
            </w:r>
          </w:p>
        </w:tc>
        <w:tc>
          <w:tcPr>
            <w:tcW w:w="2420" w:type="dxa"/>
            <w:vAlign w:val="center"/>
            <w:hideMark/>
          </w:tcPr>
          <w:p w14:paraId="17A027C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0.822</w:t>
            </w:r>
          </w:p>
        </w:tc>
        <w:tc>
          <w:tcPr>
            <w:tcW w:w="2680" w:type="dxa"/>
            <w:vAlign w:val="center"/>
            <w:hideMark/>
          </w:tcPr>
          <w:p w14:paraId="7622D96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0.817</w:t>
            </w:r>
          </w:p>
        </w:tc>
      </w:tr>
      <w:tr w:rsidR="009D562D" w:rsidRPr="000068BA" w14:paraId="4D1E2F33" w14:textId="77777777" w:rsidTr="000068BA">
        <w:trPr>
          <w:trHeight w:val="245"/>
          <w:jc w:val="center"/>
        </w:trPr>
        <w:tc>
          <w:tcPr>
            <w:tcW w:w="3140" w:type="dxa"/>
            <w:vAlign w:val="center"/>
            <w:hideMark/>
          </w:tcPr>
          <w:p w14:paraId="68A1F949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Validation</w:t>
            </w:r>
          </w:p>
        </w:tc>
        <w:tc>
          <w:tcPr>
            <w:tcW w:w="2280" w:type="dxa"/>
            <w:vAlign w:val="center"/>
            <w:hideMark/>
          </w:tcPr>
          <w:p w14:paraId="28E56559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vAlign w:val="center"/>
            <w:hideMark/>
          </w:tcPr>
          <w:p w14:paraId="036DDC8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vAlign w:val="center"/>
            <w:hideMark/>
          </w:tcPr>
          <w:p w14:paraId="28B1EEA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7EA458C8" w14:textId="77777777" w:rsidTr="000068BA">
        <w:trPr>
          <w:trHeight w:val="300"/>
          <w:jc w:val="center"/>
        </w:trPr>
        <w:tc>
          <w:tcPr>
            <w:tcW w:w="3140" w:type="dxa"/>
            <w:vAlign w:val="center"/>
            <w:hideMark/>
          </w:tcPr>
          <w:p w14:paraId="1A0594E4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MolProbity score</w:t>
            </w:r>
          </w:p>
        </w:tc>
        <w:tc>
          <w:tcPr>
            <w:tcW w:w="2280" w:type="dxa"/>
            <w:vAlign w:val="center"/>
            <w:hideMark/>
          </w:tcPr>
          <w:p w14:paraId="632DAEB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1.44</w:t>
            </w:r>
          </w:p>
        </w:tc>
        <w:tc>
          <w:tcPr>
            <w:tcW w:w="2420" w:type="dxa"/>
            <w:vAlign w:val="center"/>
            <w:hideMark/>
          </w:tcPr>
          <w:p w14:paraId="6A95868A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1.36</w:t>
            </w:r>
          </w:p>
        </w:tc>
        <w:tc>
          <w:tcPr>
            <w:tcW w:w="2680" w:type="dxa"/>
            <w:vAlign w:val="center"/>
            <w:hideMark/>
          </w:tcPr>
          <w:p w14:paraId="05573BF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1.35</w:t>
            </w:r>
          </w:p>
        </w:tc>
      </w:tr>
      <w:tr w:rsidR="009D562D" w:rsidRPr="000068BA" w14:paraId="00C9726C" w14:textId="77777777" w:rsidTr="000068BA">
        <w:trPr>
          <w:trHeight w:val="96"/>
          <w:jc w:val="center"/>
        </w:trPr>
        <w:tc>
          <w:tcPr>
            <w:tcW w:w="3140" w:type="dxa"/>
            <w:vAlign w:val="center"/>
            <w:hideMark/>
          </w:tcPr>
          <w:p w14:paraId="01EED9A3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Clashscore</w:t>
            </w:r>
          </w:p>
        </w:tc>
        <w:tc>
          <w:tcPr>
            <w:tcW w:w="2280" w:type="dxa"/>
            <w:vAlign w:val="center"/>
            <w:hideMark/>
          </w:tcPr>
          <w:p w14:paraId="431FE1C3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6.91</w:t>
            </w:r>
          </w:p>
        </w:tc>
        <w:tc>
          <w:tcPr>
            <w:tcW w:w="2420" w:type="dxa"/>
            <w:vAlign w:val="center"/>
            <w:hideMark/>
          </w:tcPr>
          <w:p w14:paraId="3924BB6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4.03</w:t>
            </w:r>
          </w:p>
        </w:tc>
        <w:tc>
          <w:tcPr>
            <w:tcW w:w="2680" w:type="dxa"/>
            <w:vAlign w:val="center"/>
            <w:hideMark/>
          </w:tcPr>
          <w:p w14:paraId="513531EF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4.76</w:t>
            </w:r>
          </w:p>
        </w:tc>
      </w:tr>
      <w:tr w:rsidR="009D562D" w:rsidRPr="000068BA" w14:paraId="276B935C" w14:textId="77777777" w:rsidTr="000068BA">
        <w:trPr>
          <w:trHeight w:val="300"/>
          <w:jc w:val="center"/>
        </w:trPr>
        <w:tc>
          <w:tcPr>
            <w:tcW w:w="3140" w:type="dxa"/>
            <w:vAlign w:val="center"/>
            <w:hideMark/>
          </w:tcPr>
          <w:p w14:paraId="4B374F7B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Poor rotamers (%)</w:t>
            </w:r>
          </w:p>
        </w:tc>
        <w:tc>
          <w:tcPr>
            <w:tcW w:w="2280" w:type="dxa"/>
            <w:vAlign w:val="center"/>
            <w:hideMark/>
          </w:tcPr>
          <w:p w14:paraId="23F10F02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1.18</w:t>
            </w:r>
          </w:p>
        </w:tc>
        <w:tc>
          <w:tcPr>
            <w:tcW w:w="2420" w:type="dxa"/>
            <w:vAlign w:val="center"/>
            <w:hideMark/>
          </w:tcPr>
          <w:p w14:paraId="71D97F3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1.17</w:t>
            </w:r>
          </w:p>
        </w:tc>
        <w:tc>
          <w:tcPr>
            <w:tcW w:w="2680" w:type="dxa"/>
            <w:vAlign w:val="center"/>
            <w:hideMark/>
          </w:tcPr>
          <w:p w14:paraId="3FF14EDF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0.79</w:t>
            </w:r>
          </w:p>
        </w:tc>
      </w:tr>
      <w:tr w:rsidR="009D562D" w:rsidRPr="000068BA" w14:paraId="33EC462F" w14:textId="77777777" w:rsidTr="000068BA">
        <w:trPr>
          <w:trHeight w:val="300"/>
          <w:jc w:val="center"/>
        </w:trPr>
        <w:tc>
          <w:tcPr>
            <w:tcW w:w="3140" w:type="dxa"/>
            <w:vAlign w:val="center"/>
            <w:hideMark/>
          </w:tcPr>
          <w:p w14:paraId="6500FBCC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Ramachandran plot</w:t>
            </w:r>
          </w:p>
        </w:tc>
        <w:tc>
          <w:tcPr>
            <w:tcW w:w="2280" w:type="dxa"/>
            <w:vAlign w:val="center"/>
            <w:hideMark/>
          </w:tcPr>
          <w:p w14:paraId="71C8B6F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420" w:type="dxa"/>
            <w:vAlign w:val="center"/>
            <w:hideMark/>
          </w:tcPr>
          <w:p w14:paraId="3C203D9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2680" w:type="dxa"/>
            <w:vAlign w:val="center"/>
            <w:hideMark/>
          </w:tcPr>
          <w:p w14:paraId="3BE74FC6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9D562D" w:rsidRPr="000068BA" w14:paraId="2323F7A3" w14:textId="77777777" w:rsidTr="000068BA">
        <w:trPr>
          <w:trHeight w:val="235"/>
          <w:jc w:val="center"/>
        </w:trPr>
        <w:tc>
          <w:tcPr>
            <w:tcW w:w="3140" w:type="dxa"/>
            <w:vAlign w:val="center"/>
            <w:hideMark/>
          </w:tcPr>
          <w:p w14:paraId="0A4D3818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Favored (%)</w:t>
            </w:r>
          </w:p>
        </w:tc>
        <w:tc>
          <w:tcPr>
            <w:tcW w:w="2280" w:type="dxa"/>
            <w:vAlign w:val="center"/>
            <w:hideMark/>
          </w:tcPr>
          <w:p w14:paraId="4F6D9AFA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98.05</w:t>
            </w:r>
          </w:p>
        </w:tc>
        <w:tc>
          <w:tcPr>
            <w:tcW w:w="2420" w:type="dxa"/>
            <w:vAlign w:val="center"/>
            <w:hideMark/>
          </w:tcPr>
          <w:p w14:paraId="3ADF53B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97.47</w:t>
            </w:r>
          </w:p>
        </w:tc>
        <w:tc>
          <w:tcPr>
            <w:tcW w:w="2680" w:type="dxa"/>
            <w:vAlign w:val="center"/>
            <w:hideMark/>
          </w:tcPr>
          <w:p w14:paraId="249C8195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97.42</w:t>
            </w:r>
          </w:p>
        </w:tc>
      </w:tr>
      <w:tr w:rsidR="009D562D" w:rsidRPr="000068BA" w14:paraId="534E8E7A" w14:textId="77777777" w:rsidTr="000068BA">
        <w:trPr>
          <w:trHeight w:val="212"/>
          <w:jc w:val="center"/>
        </w:trPr>
        <w:tc>
          <w:tcPr>
            <w:tcW w:w="3140" w:type="dxa"/>
            <w:vAlign w:val="center"/>
            <w:hideMark/>
          </w:tcPr>
          <w:p w14:paraId="35DFFF22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Allowed (%)</w:t>
            </w:r>
          </w:p>
        </w:tc>
        <w:tc>
          <w:tcPr>
            <w:tcW w:w="2280" w:type="dxa"/>
            <w:vAlign w:val="center"/>
            <w:hideMark/>
          </w:tcPr>
          <w:p w14:paraId="6D4B89CD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1.95</w:t>
            </w:r>
          </w:p>
        </w:tc>
        <w:tc>
          <w:tcPr>
            <w:tcW w:w="2420" w:type="dxa"/>
            <w:vAlign w:val="center"/>
            <w:hideMark/>
          </w:tcPr>
          <w:p w14:paraId="05F25E22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2.53</w:t>
            </w:r>
          </w:p>
        </w:tc>
        <w:tc>
          <w:tcPr>
            <w:tcW w:w="2680" w:type="dxa"/>
            <w:vAlign w:val="center"/>
            <w:hideMark/>
          </w:tcPr>
          <w:p w14:paraId="3E11FE1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2.58</w:t>
            </w:r>
          </w:p>
        </w:tc>
      </w:tr>
      <w:tr w:rsidR="009D562D" w:rsidRPr="000068BA" w14:paraId="3C81DF27" w14:textId="77777777" w:rsidTr="000068BA">
        <w:trPr>
          <w:trHeight w:val="187"/>
          <w:jc w:val="center"/>
        </w:trPr>
        <w:tc>
          <w:tcPr>
            <w:tcW w:w="3140" w:type="dxa"/>
            <w:vAlign w:val="center"/>
            <w:hideMark/>
          </w:tcPr>
          <w:p w14:paraId="07BCC666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Disallowed (%)</w:t>
            </w:r>
          </w:p>
        </w:tc>
        <w:tc>
          <w:tcPr>
            <w:tcW w:w="2280" w:type="dxa"/>
            <w:vAlign w:val="center"/>
            <w:hideMark/>
          </w:tcPr>
          <w:p w14:paraId="7013F5F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</w:t>
            </w:r>
          </w:p>
        </w:tc>
        <w:tc>
          <w:tcPr>
            <w:tcW w:w="2420" w:type="dxa"/>
            <w:vAlign w:val="center"/>
            <w:hideMark/>
          </w:tcPr>
          <w:p w14:paraId="48D1014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</w:t>
            </w:r>
          </w:p>
        </w:tc>
        <w:tc>
          <w:tcPr>
            <w:tcW w:w="2680" w:type="dxa"/>
            <w:vAlign w:val="center"/>
            <w:hideMark/>
          </w:tcPr>
          <w:p w14:paraId="152B6301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</w:t>
            </w:r>
          </w:p>
        </w:tc>
      </w:tr>
      <w:tr w:rsidR="009D562D" w:rsidRPr="000068BA" w14:paraId="4458FB0C" w14:textId="77777777" w:rsidTr="000068BA">
        <w:trPr>
          <w:trHeight w:val="300"/>
          <w:jc w:val="center"/>
        </w:trPr>
        <w:tc>
          <w:tcPr>
            <w:tcW w:w="3140" w:type="dxa"/>
            <w:vAlign w:val="center"/>
            <w:hideMark/>
          </w:tcPr>
          <w:p w14:paraId="5D5AA113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Map CC (mask)</w:t>
            </w:r>
          </w:p>
        </w:tc>
        <w:tc>
          <w:tcPr>
            <w:tcW w:w="2280" w:type="dxa"/>
            <w:vAlign w:val="center"/>
            <w:hideMark/>
          </w:tcPr>
          <w:p w14:paraId="78E241CC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0.78</w:t>
            </w:r>
          </w:p>
        </w:tc>
        <w:tc>
          <w:tcPr>
            <w:tcW w:w="2420" w:type="dxa"/>
            <w:vAlign w:val="center"/>
            <w:hideMark/>
          </w:tcPr>
          <w:p w14:paraId="1B031E88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0.78</w:t>
            </w:r>
          </w:p>
        </w:tc>
        <w:tc>
          <w:tcPr>
            <w:tcW w:w="2680" w:type="dxa"/>
            <w:vAlign w:val="center"/>
            <w:hideMark/>
          </w:tcPr>
          <w:p w14:paraId="61B6FEC7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0.82</w:t>
            </w:r>
          </w:p>
        </w:tc>
      </w:tr>
      <w:tr w:rsidR="009D562D" w:rsidRPr="000068BA" w14:paraId="522A3059" w14:textId="77777777" w:rsidTr="000068BA">
        <w:trPr>
          <w:trHeight w:val="125"/>
          <w:jc w:val="center"/>
        </w:trPr>
        <w:tc>
          <w:tcPr>
            <w:tcW w:w="3140" w:type="dxa"/>
            <w:vAlign w:val="center"/>
            <w:hideMark/>
          </w:tcPr>
          <w:p w14:paraId="24A3E4A3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PDB</w:t>
            </w:r>
          </w:p>
        </w:tc>
        <w:tc>
          <w:tcPr>
            <w:tcW w:w="2280" w:type="dxa"/>
            <w:vAlign w:val="center"/>
            <w:hideMark/>
          </w:tcPr>
          <w:p w14:paraId="3E86FC8F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12YR</w:t>
            </w:r>
          </w:p>
        </w:tc>
        <w:tc>
          <w:tcPr>
            <w:tcW w:w="2420" w:type="dxa"/>
            <w:vAlign w:val="center"/>
            <w:hideMark/>
          </w:tcPr>
          <w:p w14:paraId="5B93CE64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13CF</w:t>
            </w:r>
          </w:p>
        </w:tc>
        <w:tc>
          <w:tcPr>
            <w:tcW w:w="2680" w:type="dxa"/>
            <w:vAlign w:val="center"/>
            <w:hideMark/>
          </w:tcPr>
          <w:p w14:paraId="5061C75E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13CE</w:t>
            </w:r>
          </w:p>
        </w:tc>
      </w:tr>
      <w:tr w:rsidR="009D562D" w:rsidRPr="000068BA" w14:paraId="1E034084" w14:textId="77777777" w:rsidTr="000068BA">
        <w:trPr>
          <w:trHeight w:val="101"/>
          <w:jc w:val="center"/>
        </w:trPr>
        <w:tc>
          <w:tcPr>
            <w:tcW w:w="3140" w:type="dxa"/>
            <w:vAlign w:val="center"/>
            <w:hideMark/>
          </w:tcPr>
          <w:p w14:paraId="378D9FF2" w14:textId="77777777" w:rsidR="009D562D" w:rsidRPr="000068BA" w:rsidRDefault="009D562D" w:rsidP="009D5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EMDB</w:t>
            </w:r>
          </w:p>
        </w:tc>
        <w:tc>
          <w:tcPr>
            <w:tcW w:w="2280" w:type="dxa"/>
            <w:vAlign w:val="center"/>
            <w:hideMark/>
          </w:tcPr>
          <w:p w14:paraId="4F3DEA0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EMD-76860 </w:t>
            </w:r>
          </w:p>
        </w:tc>
        <w:tc>
          <w:tcPr>
            <w:tcW w:w="2420" w:type="dxa"/>
            <w:vAlign w:val="center"/>
            <w:hideMark/>
          </w:tcPr>
          <w:p w14:paraId="15488DC0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EMD-76961</w:t>
            </w:r>
          </w:p>
        </w:tc>
        <w:tc>
          <w:tcPr>
            <w:tcW w:w="2680" w:type="dxa"/>
            <w:vAlign w:val="center"/>
            <w:hideMark/>
          </w:tcPr>
          <w:p w14:paraId="1B72CBDB" w14:textId="77777777" w:rsidR="009D562D" w:rsidRPr="000068BA" w:rsidRDefault="009D562D" w:rsidP="009D5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0068B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EMD-76960</w:t>
            </w:r>
          </w:p>
        </w:tc>
      </w:tr>
    </w:tbl>
    <w:p w14:paraId="30FAC95A" w14:textId="77777777" w:rsidR="009D562D" w:rsidRDefault="009D562D"/>
    <w:p w14:paraId="64EC2A8A" w14:textId="058D3E99" w:rsidR="006D395C" w:rsidRDefault="0097253D">
      <w:r>
        <w:rPr>
          <w:noProof/>
        </w:rPr>
        <w:lastRenderedPageBreak/>
        <w:drawing>
          <wp:inline distT="0" distB="0" distL="0" distR="0" wp14:anchorId="7DE1F227" wp14:editId="2CB39A55">
            <wp:extent cx="5612081" cy="8007876"/>
            <wp:effectExtent l="0" t="0" r="0" b="0"/>
            <wp:docPr id="20292381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38111" name="Picture 2029238111"/>
                    <pic:cNvPicPr/>
                  </pic:nvPicPr>
                  <pic:blipFill rotWithShape="1">
                    <a:blip r:embed="rId8"/>
                    <a:srcRect l="949" t="1197" r="2534" b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78" cy="80088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9D0F1" w14:textId="2503DA83" w:rsidR="002E27FD" w:rsidRDefault="002E27FD" w:rsidP="00DC248A">
      <w:pPr>
        <w:jc w:val="both"/>
        <w:rPr>
          <w:rFonts w:ascii="Times New Roman" w:hAnsi="Times New Roman" w:cs="Times New Roman"/>
          <w:sz w:val="22"/>
          <w:szCs w:val="22"/>
        </w:rPr>
      </w:pPr>
      <w:r w:rsidRPr="00095EE9">
        <w:rPr>
          <w:rFonts w:ascii="Times New Roman" w:hAnsi="Times New Roman" w:cs="Times New Roman"/>
          <w:b/>
          <w:bCs/>
          <w:sz w:val="22"/>
          <w:szCs w:val="22"/>
        </w:rPr>
        <w:lastRenderedPageBreak/>
        <w:t>Extended data Fig</w:t>
      </w:r>
      <w:r w:rsidR="00095EE9"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1D7800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DC248A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C248A">
        <w:rPr>
          <w:rFonts w:ascii="Times New Roman" w:hAnsi="Times New Roman" w:cs="Times New Roman"/>
          <w:sz w:val="22"/>
          <w:szCs w:val="22"/>
        </w:rPr>
        <w:t>Structural comparison of 5bp and 16bp target bound RAPID complex.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95EE9" w:rsidRPr="00095EE9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095EE9" w:rsidRPr="00095EE9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095EE9">
        <w:rPr>
          <w:rFonts w:ascii="Times New Roman" w:hAnsi="Times New Roman" w:cs="Times New Roman"/>
          <w:sz w:val="22"/>
          <w:szCs w:val="22"/>
        </w:rPr>
        <w:t xml:space="preserve"> Nucleic acid schematic for (left) the 16 bp target bound structure and (right) 5bp target bound structure. </w:t>
      </w:r>
      <w:r w:rsidR="00095EE9">
        <w:rPr>
          <w:rFonts w:ascii="Times New Roman" w:hAnsi="Times New Roman" w:cs="Times New Roman"/>
          <w:sz w:val="22"/>
          <w:szCs w:val="22"/>
        </w:rPr>
        <w:t>(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095EE9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95EE9">
        <w:rPr>
          <w:rFonts w:ascii="Times New Roman" w:hAnsi="Times New Roman" w:cs="Times New Roman"/>
          <w:sz w:val="22"/>
          <w:szCs w:val="22"/>
        </w:rPr>
        <w:t>Models for (left) the 16 bp target bound structure and (right) 5bp target bound structure. The 16bp target bound structure closely resembles a 20bp structure of a fully matched R-loop (PDB: 8SFO) with a few exceptions including a non-resolved NTS and a flexible RuvC lid. The 5bp target bound structure closely resembles the intermediate state between an 8bp and 10bp structures previously reported (PDB: 8SFI and 8SFJ</w:t>
      </w:r>
      <w:r w:rsidR="001B1548">
        <w:rPr>
          <w:rFonts w:ascii="Times New Roman" w:hAnsi="Times New Roman" w:cs="Times New Roman"/>
          <w:sz w:val="22"/>
          <w:szCs w:val="22"/>
        </w:rPr>
        <w:t>,</w:t>
      </w:r>
      <w:r w:rsidRPr="00095EE9">
        <w:rPr>
          <w:rFonts w:ascii="Times New Roman" w:hAnsi="Times New Roman" w:cs="Times New Roman"/>
          <w:sz w:val="22"/>
          <w:szCs w:val="22"/>
        </w:rPr>
        <w:t xml:space="preserve"> respectively). </w:t>
      </w:r>
      <w:r w:rsidR="001B1548">
        <w:rPr>
          <w:rFonts w:ascii="Times New Roman" w:hAnsi="Times New Roman" w:cs="Times New Roman"/>
          <w:sz w:val="22"/>
          <w:szCs w:val="22"/>
        </w:rPr>
        <w:t>(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1B154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95EE9">
        <w:rPr>
          <w:rFonts w:ascii="Times New Roman" w:hAnsi="Times New Roman" w:cs="Times New Roman"/>
          <w:sz w:val="22"/>
          <w:szCs w:val="22"/>
        </w:rPr>
        <w:t xml:space="preserve">Direct visualization of the flexible RuvC lid in the 16bp complex and </w:t>
      </w:r>
      <w:r w:rsidR="001B1548">
        <w:rPr>
          <w:rFonts w:ascii="Times New Roman" w:hAnsi="Times New Roman" w:cs="Times New Roman"/>
          <w:sz w:val="22"/>
          <w:szCs w:val="22"/>
        </w:rPr>
        <w:t>(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1B1548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095EE9">
        <w:rPr>
          <w:rFonts w:ascii="Times New Roman" w:hAnsi="Times New Roman" w:cs="Times New Roman"/>
          <w:sz w:val="22"/>
          <w:szCs w:val="22"/>
        </w:rPr>
        <w:t xml:space="preserve">the 5bp complex, indicating that the RuvC lid does not form in this process likely due </w:t>
      </w:r>
      <w:r w:rsidR="0039345A" w:rsidRPr="00095EE9">
        <w:rPr>
          <w:rFonts w:ascii="Times New Roman" w:hAnsi="Times New Roman" w:cs="Times New Roman"/>
          <w:sz w:val="22"/>
          <w:szCs w:val="22"/>
        </w:rPr>
        <w:t>to the</w:t>
      </w:r>
      <w:r w:rsidRPr="00095EE9">
        <w:rPr>
          <w:rFonts w:ascii="Times New Roman" w:hAnsi="Times New Roman" w:cs="Times New Roman"/>
          <w:sz w:val="22"/>
          <w:szCs w:val="22"/>
        </w:rPr>
        <w:t xml:space="preserve"> increased flexibility of the NTS. </w:t>
      </w:r>
      <w:r w:rsidR="0039345A">
        <w:rPr>
          <w:rFonts w:ascii="Times New Roman" w:hAnsi="Times New Roman" w:cs="Times New Roman"/>
          <w:sz w:val="22"/>
          <w:szCs w:val="22"/>
        </w:rPr>
        <w:t>(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39345A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095EE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95EE9">
        <w:rPr>
          <w:rFonts w:ascii="Times New Roman" w:hAnsi="Times New Roman" w:cs="Times New Roman"/>
          <w:sz w:val="22"/>
          <w:szCs w:val="22"/>
        </w:rPr>
        <w:t>Visualization of the nucleic acid density within the cryo-EM map shows a clear break in density at the DNA:RNA junction for both the 16bp and 5bp target bound</w:t>
      </w:r>
      <w:r w:rsidR="00164A21">
        <w:rPr>
          <w:rFonts w:ascii="Times New Roman" w:hAnsi="Times New Roman" w:cs="Times New Roman"/>
          <w:sz w:val="22"/>
          <w:szCs w:val="22"/>
        </w:rPr>
        <w:t xml:space="preserve"> structure, which is known as</w:t>
      </w:r>
      <w:r w:rsidRPr="00095EE9">
        <w:rPr>
          <w:rFonts w:ascii="Times New Roman" w:hAnsi="Times New Roman" w:cs="Times New Roman"/>
          <w:sz w:val="22"/>
          <w:szCs w:val="22"/>
        </w:rPr>
        <w:t xml:space="preserve"> RAPID</w:t>
      </w:r>
      <w:r w:rsidR="00D8012F">
        <w:rPr>
          <w:rFonts w:ascii="Times New Roman" w:hAnsi="Times New Roman" w:cs="Times New Roman"/>
          <w:sz w:val="22"/>
          <w:szCs w:val="22"/>
        </w:rPr>
        <w:t>.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  <w:highlight w:val="white"/>
          </w:rPr>
          <w:alias w:val="Citation"/>
          <w:tag w:val="{&quot;referencesIds&quot;:[&quot;doc:68a404041b2578603b28c0f6&quot;],&quot;referencesOptions&quot;:{&quot;doc:68a404041b2578603b28c0f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2103864420,&quot;citationText&quot;:&quot;&lt;span style=\&quot;font-family:Times New Roman;font-size:14.666666666666666px;color:#000000\&quot;&gt;&lt;sup&gt;2&lt;/sup&gt;&lt;/span&gt;&quot;}"/>
          <w:id w:val="-2103864420"/>
          <w:placeholder>
            <w:docPart w:val="EF3AA4836BDC4D9A95365895280D3A69"/>
          </w:placeholder>
        </w:sdtPr>
        <w:sdtContent>
          <w:r w:rsidR="00D8012F">
            <w:rPr>
              <w:rFonts w:eastAsia="Times New Roman"/>
              <w:color w:val="000000"/>
              <w:sz w:val="22"/>
              <w:szCs w:val="22"/>
              <w:vertAlign w:val="superscript"/>
            </w:rPr>
            <w:t>2</w:t>
          </w:r>
        </w:sdtContent>
      </w:sdt>
    </w:p>
    <w:p w14:paraId="77EF9292" w14:textId="77777777" w:rsidR="00536FEF" w:rsidRDefault="00536FEF" w:rsidP="003B44CC">
      <w:pPr>
        <w:rPr>
          <w:noProof/>
        </w:rPr>
      </w:pPr>
    </w:p>
    <w:p w14:paraId="4B23FEAD" w14:textId="1309BEF6" w:rsidR="003B44CC" w:rsidRDefault="00063D0B" w:rsidP="003B44CC">
      <w:pPr>
        <w:rPr>
          <w:rFonts w:ascii="Times New Roman" w:hAnsi="Times New Roman" w:cs="Times New Roman"/>
          <w:sz w:val="22"/>
          <w:szCs w:val="22"/>
        </w:rPr>
      </w:pPr>
      <w:r w:rsidRPr="00063D0B">
        <w:rPr>
          <w:noProof/>
        </w:rPr>
        <w:drawing>
          <wp:inline distT="0" distB="0" distL="0" distR="0" wp14:anchorId="7929CAF7" wp14:editId="64B51C40">
            <wp:extent cx="5942904" cy="3077648"/>
            <wp:effectExtent l="0" t="0" r="1270" b="0"/>
            <wp:docPr id="12698787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72" b="28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10378" w14:textId="76B9154F" w:rsidR="00627EC5" w:rsidRPr="00DC248A" w:rsidRDefault="73702CAE" w:rsidP="1DB94FFD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73702CA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Extended Data Fig. 5. </w:t>
      </w:r>
      <w:r w:rsidRPr="73702CAE">
        <w:rPr>
          <w:rFonts w:ascii="Times New Roman" w:eastAsia="Times New Roman" w:hAnsi="Times New Roman" w:cs="Times New Roman"/>
          <w:sz w:val="22"/>
          <w:szCs w:val="22"/>
        </w:rPr>
        <w:t>eCOMPANION biosensor for label-free and ultrasensitive miRNA detection. (</w:t>
      </w:r>
      <w:r w:rsidRPr="73702CAE"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Pr="73702CAE">
        <w:rPr>
          <w:rFonts w:ascii="Times New Roman" w:eastAsia="Times New Roman" w:hAnsi="Times New Roman" w:cs="Times New Roman"/>
          <w:sz w:val="22"/>
          <w:szCs w:val="22"/>
        </w:rPr>
        <w:t xml:space="preserve">) Percentage of Rct reduction as a function of miRNA concentration (100 aM – 1 nM) for (i) miRNA-21; (ii) miRNA-340; (iii) miRNA-187, and miRNA-103a-3p. </w:t>
      </w:r>
      <w:r w:rsidRPr="73702CAE">
        <w:rPr>
          <w:rFonts w:ascii="Times New Roman" w:eastAsia="Times New Roman" w:hAnsi="Times New Roman" w:cs="Times New Roman"/>
          <w:b/>
          <w:bCs/>
          <w:sz w:val="22"/>
          <w:szCs w:val="22"/>
        </w:rPr>
        <w:t>(b)</w:t>
      </w:r>
      <w:r w:rsidRPr="73702CAE">
        <w:rPr>
          <w:rFonts w:ascii="Times New Roman" w:eastAsia="Times New Roman" w:hAnsi="Times New Roman" w:cs="Times New Roman"/>
          <w:sz w:val="22"/>
          <w:szCs w:val="22"/>
        </w:rPr>
        <w:t xml:space="preserve"> Comparison of cleavage efficiency (signal change), calculated from the decrease in charge-transfer resistance (ΔRct/Rct₀ × 100%), indicating minimal background for NTC and non-complementary miRNA and similar performance for eCOMPANION and canonical-crRNA system. Effect of DNA reporter composition for A-rich reporter (</w:t>
      </w:r>
      <w:r w:rsidRPr="73702CAE">
        <w:rPr>
          <w:rFonts w:ascii="Times New Roman" w:eastAsia="Times New Roman" w:hAnsi="Times New Roman" w:cs="Times New Roman"/>
          <w:b/>
          <w:bCs/>
          <w:sz w:val="22"/>
          <w:szCs w:val="22"/>
        </w:rPr>
        <w:t>c</w:t>
      </w:r>
      <w:r w:rsidRPr="73702CAE">
        <w:rPr>
          <w:rFonts w:ascii="Times New Roman" w:eastAsia="Times New Roman" w:hAnsi="Times New Roman" w:cs="Times New Roman"/>
          <w:sz w:val="22"/>
          <w:szCs w:val="22"/>
        </w:rPr>
        <w:t>) and C-rich reporter (</w:t>
      </w:r>
      <w:r w:rsidRPr="73702CAE">
        <w:rPr>
          <w:rFonts w:ascii="Times New Roman" w:eastAsia="Times New Roman" w:hAnsi="Times New Roman" w:cs="Times New Roman"/>
          <w:b/>
          <w:bCs/>
          <w:sz w:val="22"/>
          <w:szCs w:val="22"/>
        </w:rPr>
        <w:t>d</w:t>
      </w:r>
      <w:r w:rsidRPr="73702CAE">
        <w:rPr>
          <w:rFonts w:ascii="Times New Roman" w:eastAsia="Times New Roman" w:hAnsi="Times New Roman" w:cs="Times New Roman"/>
          <w:sz w:val="22"/>
          <w:szCs w:val="22"/>
        </w:rPr>
        <w:t xml:space="preserve">) for representative Cas12a orthologs (AsCas12a, LbCas12a, MbCas12a and Pb2Cas12a) on </w:t>
      </w:r>
      <w:r w:rsidRPr="73702CAE">
        <w:rPr>
          <w:rFonts w:ascii="Times New Roman" w:eastAsia="Times New Roman" w:hAnsi="Times New Roman" w:cs="Times New Roman"/>
          <w:i/>
          <w:iCs/>
          <w:sz w:val="22"/>
          <w:szCs w:val="22"/>
        </w:rPr>
        <w:t>trans-</w:t>
      </w:r>
      <w:r w:rsidRPr="73702CAE">
        <w:rPr>
          <w:rFonts w:ascii="Times New Roman" w:eastAsia="Times New Roman" w:hAnsi="Times New Roman" w:cs="Times New Roman"/>
          <w:sz w:val="22"/>
          <w:szCs w:val="22"/>
        </w:rPr>
        <w:t xml:space="preserve">cleavage efficiency at different miRNA-340 concentrations, ranging from 100 aM to 1 nM. Data are shown as mean ± s.d. (n ≥ 3 independent replicates). Statistical significance was analyzed using ANOVA test: where ns = not significant with ρ &gt; 0.05, and the asterisk (*) denotes significant differences with ρ &lt; 0.05 and (****) denotes significant differences with ρ &lt; 0.0001. </w:t>
      </w:r>
      <w:r w:rsidRPr="73702CAE">
        <w:rPr>
          <w:rFonts w:ascii="Times New Roman" w:hAnsi="Times New Roman" w:cs="Times New Roman"/>
          <w:sz w:val="22"/>
          <w:szCs w:val="22"/>
        </w:rPr>
        <w:t xml:space="preserve">Sequences for DNA </w:t>
      </w:r>
      <w:r w:rsidRPr="73702CAE">
        <w:rPr>
          <w:rFonts w:ascii="Times New Roman" w:hAnsi="Times New Roman" w:cs="Times New Roman"/>
          <w:i/>
          <w:iCs/>
          <w:sz w:val="22"/>
          <w:szCs w:val="22"/>
        </w:rPr>
        <w:t>trans-</w:t>
      </w:r>
      <w:r w:rsidRPr="73702CAE">
        <w:rPr>
          <w:rFonts w:ascii="Times New Roman" w:hAnsi="Times New Roman" w:cs="Times New Roman"/>
          <w:sz w:val="22"/>
          <w:szCs w:val="22"/>
        </w:rPr>
        <w:t xml:space="preserve">cleavage templates are found in </w:t>
      </w:r>
      <w:r w:rsidRPr="73702CAE">
        <w:rPr>
          <w:rFonts w:ascii="Times New Roman" w:hAnsi="Times New Roman" w:cs="Times New Roman"/>
          <w:b/>
          <w:bCs/>
          <w:sz w:val="22"/>
          <w:szCs w:val="22"/>
        </w:rPr>
        <w:t>Suppl Tables S15</w:t>
      </w:r>
      <w:r w:rsidRPr="73702CAE">
        <w:rPr>
          <w:rFonts w:ascii="Times New Roman" w:hAnsi="Times New Roman" w:cs="Times New Roman"/>
          <w:sz w:val="22"/>
          <w:szCs w:val="22"/>
        </w:rPr>
        <w:t>.</w:t>
      </w:r>
    </w:p>
    <w:p w14:paraId="698FCCC4" w14:textId="3AA0E985" w:rsidR="00627EC5" w:rsidRPr="003B44CC" w:rsidRDefault="00627EC5" w:rsidP="003B44CC">
      <w:pPr>
        <w:rPr>
          <w:rFonts w:ascii="Times New Roman" w:hAnsi="Times New Roman" w:cs="Times New Roman"/>
          <w:b/>
          <w:sz w:val="22"/>
          <w:szCs w:val="22"/>
        </w:rPr>
      </w:pPr>
    </w:p>
    <w:p w14:paraId="33433753" w14:textId="22791005" w:rsidR="00AF5F06" w:rsidRPr="00C74122" w:rsidRDefault="00674E73" w:rsidP="00AF5F06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30E434B" wp14:editId="2C887A57">
            <wp:extent cx="5653924" cy="6444079"/>
            <wp:effectExtent l="0" t="0" r="4445" b="0"/>
            <wp:docPr id="12332760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19" cy="645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AE3AE1" w14:textId="17B723F8" w:rsidR="00AF5F06" w:rsidRPr="001F183F" w:rsidRDefault="001F183F" w:rsidP="00AF5F06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Extended Data</w:t>
      </w:r>
      <w:r w:rsidR="00AF5F06" w:rsidRPr="001F183F">
        <w:rPr>
          <w:rFonts w:ascii="Times New Roman" w:hAnsi="Times New Roman" w:cs="Times New Roman"/>
          <w:b/>
          <w:bCs/>
          <w:sz w:val="22"/>
          <w:szCs w:val="22"/>
        </w:rPr>
        <w:t xml:space="preserve"> Fig. </w:t>
      </w:r>
      <w:r w:rsidR="001D7800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AF5F06" w:rsidRPr="001F183F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AF5F06" w:rsidRPr="00DC248A">
        <w:rPr>
          <w:rFonts w:ascii="Times New Roman" w:hAnsi="Times New Roman" w:cs="Times New Roman"/>
          <w:sz w:val="22"/>
          <w:szCs w:val="22"/>
        </w:rPr>
        <w:t>COMPANION-RT-LAMP detection of respiratory viruses.</w:t>
      </w:r>
      <w:r w:rsidR="00AF5F06" w:rsidRPr="001F183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F5F06" w:rsidRPr="001F183F">
        <w:rPr>
          <w:rFonts w:ascii="Times New Roman" w:hAnsi="Times New Roman" w:cs="Times New Roman"/>
          <w:sz w:val="22"/>
          <w:szCs w:val="22"/>
        </w:rPr>
        <w:t>(</w:t>
      </w:r>
      <w:r w:rsidR="00AF5F06" w:rsidRPr="00DC248A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AF5F06" w:rsidRPr="001F183F">
        <w:rPr>
          <w:rFonts w:ascii="Times New Roman" w:hAnsi="Times New Roman" w:cs="Times New Roman"/>
          <w:sz w:val="22"/>
          <w:szCs w:val="22"/>
        </w:rPr>
        <w:t xml:space="preserve">) Schematic illustration of the COMPANION mechanism. </w:t>
      </w:r>
      <w:r w:rsidR="00DA2DCD">
        <w:rPr>
          <w:rFonts w:ascii="Times New Roman" w:hAnsi="Times New Roman" w:cs="Times New Roman"/>
          <w:sz w:val="22"/>
          <w:szCs w:val="22"/>
        </w:rPr>
        <w:t>Here, the As</w:t>
      </w:r>
      <w:r w:rsidR="00AF5F06" w:rsidRPr="001F183F">
        <w:rPr>
          <w:rFonts w:ascii="Times New Roman" w:hAnsi="Times New Roman" w:cs="Times New Roman"/>
          <w:sz w:val="22"/>
          <w:szCs w:val="22"/>
        </w:rPr>
        <w:t>Cas12a protein is combined with a short complementary RNA (</w:t>
      </w:r>
      <w:r w:rsidR="00997458">
        <w:rPr>
          <w:rFonts w:ascii="Times New Roman" w:hAnsi="Times New Roman" w:cs="Times New Roman"/>
          <w:sz w:val="22"/>
          <w:szCs w:val="22"/>
        </w:rPr>
        <w:t>miniCaR</w:t>
      </w:r>
      <w:r w:rsidR="00AF5F06" w:rsidRPr="001F183F">
        <w:rPr>
          <w:rFonts w:ascii="Times New Roman" w:hAnsi="Times New Roman" w:cs="Times New Roman"/>
          <w:sz w:val="22"/>
          <w:szCs w:val="22"/>
        </w:rPr>
        <w:t xml:space="preserve">) that binds to the loop of a dumbbell-shaped DNA amplicon generated by LAMP. This binding activates Cas12a’s </w:t>
      </w:r>
      <w:r w:rsidR="00AF5F06" w:rsidRPr="00DA2DCD">
        <w:rPr>
          <w:rFonts w:ascii="Times New Roman" w:hAnsi="Times New Roman" w:cs="Times New Roman"/>
          <w:i/>
          <w:iCs/>
          <w:sz w:val="22"/>
          <w:szCs w:val="22"/>
        </w:rPr>
        <w:t>trans</w:t>
      </w:r>
      <w:r w:rsidR="00DA2DCD">
        <w:rPr>
          <w:rFonts w:ascii="Times New Roman" w:hAnsi="Times New Roman" w:cs="Times New Roman"/>
          <w:sz w:val="22"/>
          <w:szCs w:val="22"/>
        </w:rPr>
        <w:t xml:space="preserve"> </w:t>
      </w:r>
      <w:r w:rsidR="00AF5F06" w:rsidRPr="001F183F">
        <w:rPr>
          <w:rFonts w:ascii="Times New Roman" w:hAnsi="Times New Roman" w:cs="Times New Roman"/>
          <w:sz w:val="22"/>
          <w:szCs w:val="22"/>
        </w:rPr>
        <w:t>cleavage of a FAM/quencher-labeled DNA reporter. (</w:t>
      </w:r>
      <w:r w:rsidR="00AF5F06" w:rsidRPr="00DC248A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AF5F06" w:rsidRPr="001F183F">
        <w:rPr>
          <w:rFonts w:ascii="Times New Roman" w:hAnsi="Times New Roman" w:cs="Times New Roman"/>
          <w:sz w:val="22"/>
          <w:szCs w:val="22"/>
        </w:rPr>
        <w:t xml:space="preserve">) Limit of detection of the COMPANION-RT-LAMP assay for three target viruses: Influenza A (H1N1), Influenza B, and RSV A. The assay achieved a sensitivity of ~2 copies/μL for Influenza A (H1N1) </w:t>
      </w:r>
      <w:r w:rsidR="00AF5F06" w:rsidRPr="001F183F">
        <w:rPr>
          <w:rFonts w:ascii="Times New Roman" w:hAnsi="Times New Roman" w:cs="Times New Roman"/>
          <w:b/>
          <w:bCs/>
          <w:sz w:val="22"/>
          <w:szCs w:val="22"/>
        </w:rPr>
        <w:t>(i)</w:t>
      </w:r>
      <w:r w:rsidR="00AF5F06" w:rsidRPr="001F183F">
        <w:rPr>
          <w:rFonts w:ascii="Times New Roman" w:hAnsi="Times New Roman" w:cs="Times New Roman"/>
          <w:sz w:val="22"/>
          <w:szCs w:val="22"/>
        </w:rPr>
        <w:t xml:space="preserve">, ~10 copies/μL for Influenza B </w:t>
      </w:r>
      <w:r w:rsidR="00AF5F06" w:rsidRPr="001F183F">
        <w:rPr>
          <w:rFonts w:ascii="Times New Roman" w:hAnsi="Times New Roman" w:cs="Times New Roman"/>
          <w:b/>
          <w:bCs/>
          <w:sz w:val="22"/>
          <w:szCs w:val="22"/>
        </w:rPr>
        <w:t>(ii)</w:t>
      </w:r>
      <w:r w:rsidR="00AF5F06" w:rsidRPr="001F183F">
        <w:rPr>
          <w:rFonts w:ascii="Times New Roman" w:hAnsi="Times New Roman" w:cs="Times New Roman"/>
          <w:sz w:val="22"/>
          <w:szCs w:val="22"/>
        </w:rPr>
        <w:t xml:space="preserve">, and ~20 copies/μL for RSV A </w:t>
      </w:r>
      <w:r w:rsidR="00AF5F06" w:rsidRPr="001F183F">
        <w:rPr>
          <w:rFonts w:ascii="Times New Roman" w:hAnsi="Times New Roman" w:cs="Times New Roman"/>
          <w:b/>
          <w:bCs/>
          <w:sz w:val="22"/>
          <w:szCs w:val="22"/>
        </w:rPr>
        <w:t>(iii)</w:t>
      </w:r>
      <w:r w:rsidR="00AF5F06" w:rsidRPr="001F183F">
        <w:rPr>
          <w:rFonts w:ascii="Times New Roman" w:hAnsi="Times New Roman" w:cs="Times New Roman"/>
          <w:sz w:val="22"/>
          <w:szCs w:val="22"/>
        </w:rPr>
        <w:t>. (</w:t>
      </w:r>
      <w:r w:rsidR="00AF5F06" w:rsidRPr="00DC248A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AF5F06" w:rsidRPr="001F183F">
        <w:rPr>
          <w:rFonts w:ascii="Times New Roman" w:hAnsi="Times New Roman" w:cs="Times New Roman"/>
          <w:sz w:val="22"/>
          <w:szCs w:val="22"/>
        </w:rPr>
        <w:t>) Specificity of the COMPANION-RT-LAMP platform for Influenza A, Influenza B, and RSV A. Each target was tested against six non-target respiratory viruses (MERS-CoV, SARS-CoV, HCoV-OC43, HCoV-NL63, HCoV-229E, and Influenza A (H7N1)). No detectable signal was generated for any non-target virus within 30 min, indicating high specificity. (</w:t>
      </w:r>
      <w:r w:rsidR="00AF5F06" w:rsidRPr="00DC248A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AF5F06" w:rsidRPr="001F183F">
        <w:rPr>
          <w:rFonts w:ascii="Times New Roman" w:hAnsi="Times New Roman" w:cs="Times New Roman"/>
          <w:sz w:val="22"/>
          <w:szCs w:val="22"/>
        </w:rPr>
        <w:t xml:space="preserve">) </w:t>
      </w:r>
      <w:r w:rsidR="00AF5F06" w:rsidRPr="001F183F">
        <w:rPr>
          <w:rFonts w:ascii="Times New Roman" w:hAnsi="Times New Roman" w:cs="Times New Roman"/>
          <w:sz w:val="22"/>
          <w:szCs w:val="22"/>
        </w:rPr>
        <w:lastRenderedPageBreak/>
        <w:t>RNase P internal control results for patient nasopharyngeal samples tested for Influenza A (H1N1), Influenza B, or RSV A. RNase P (a human housekeeping gene) was successfully amplified in all samples, confirming adequate sample quality; the RNase P levels were similar in virus-positive and virus-negative samples. All results shown were obtained from 30 min COMPANION-RT-LAMP reactions at 37 °C. Data are presented as mean ± SD (n = 3 technical replicates). NTC, no-template control.</w:t>
      </w:r>
      <w:r w:rsidR="00A64C5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2BBF2F" w14:textId="607F5A4B" w:rsidR="00F27680" w:rsidRDefault="00F27680">
      <w:r>
        <w:rPr>
          <w:noProof/>
        </w:rPr>
        <w:drawing>
          <wp:inline distT="0" distB="0" distL="0" distR="0" wp14:anchorId="08F3A146" wp14:editId="7C9B4833">
            <wp:extent cx="5943296" cy="4840431"/>
            <wp:effectExtent l="0" t="0" r="0" b="0"/>
            <wp:docPr id="16939777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73" b="1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4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437C4" w14:textId="580DA467" w:rsidR="00913247" w:rsidRDefault="00705AFE" w:rsidP="007D635A">
      <w:pPr>
        <w:spacing w:line="240" w:lineRule="auto"/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>Extended Data F</w:t>
      </w:r>
      <w:r w:rsidRPr="00C94551">
        <w:rPr>
          <w:rFonts w:ascii="Times New Roman" w:hAnsi="Times New Roman" w:cs="Times New Roman"/>
          <w:b/>
          <w:bCs/>
          <w:sz w:val="22"/>
          <w:szCs w:val="22"/>
        </w:rPr>
        <w:t xml:space="preserve">ig. </w:t>
      </w:r>
      <w:r w:rsidR="001D7800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Pr="00C9455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C94551">
        <w:rPr>
          <w:rFonts w:ascii="Times New Roman" w:hAnsi="Times New Roman" w:cs="Times New Roman"/>
          <w:sz w:val="22"/>
          <w:szCs w:val="22"/>
        </w:rPr>
        <w:t>Correlation of COMPANION-RT-LAMP detection with qPCR Ct values</w:t>
      </w:r>
      <w:r w:rsidR="008E0992">
        <w:rPr>
          <w:rFonts w:ascii="Times New Roman" w:hAnsi="Times New Roman" w:cs="Times New Roman"/>
          <w:sz w:val="22"/>
          <w:szCs w:val="22"/>
        </w:rPr>
        <w:t xml:space="preserve">, and </w:t>
      </w:r>
      <w:r w:rsidR="008E0992" w:rsidRPr="00C94551">
        <w:rPr>
          <w:rFonts w:ascii="Times New Roman" w:hAnsi="Times New Roman" w:cs="Times New Roman"/>
          <w:sz w:val="22"/>
          <w:szCs w:val="22"/>
        </w:rPr>
        <w:t>Kinetic performance of different Cas12a orthologs</w:t>
      </w:r>
      <w:r w:rsidRPr="00C94551">
        <w:rPr>
          <w:rFonts w:ascii="Times New Roman" w:hAnsi="Times New Roman" w:cs="Times New Roman"/>
          <w:sz w:val="22"/>
          <w:szCs w:val="22"/>
        </w:rPr>
        <w:t>. Relationship between COMPANION-RT-LAMP fluorescence signal and the RT–qPCR cycle threshold (Ct) of patient samples for Influenza </w:t>
      </w:r>
      <w:r w:rsidRPr="00D427F3">
        <w:rPr>
          <w:rFonts w:ascii="Times New Roman" w:hAnsi="Times New Roman" w:cs="Times New Roman"/>
          <w:sz w:val="22"/>
          <w:szCs w:val="22"/>
        </w:rPr>
        <w:t xml:space="preserve">A </w:t>
      </w:r>
      <w:r w:rsidRPr="00BB3D26">
        <w:rPr>
          <w:rFonts w:ascii="Times New Roman" w:hAnsi="Times New Roman" w:cs="Times New Roman"/>
          <w:sz w:val="22"/>
          <w:szCs w:val="22"/>
        </w:rPr>
        <w:t>(</w:t>
      </w:r>
      <w:r w:rsidR="00BB3D26" w:rsidRPr="00BB3D26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BB3D26">
        <w:rPr>
          <w:rFonts w:ascii="Times New Roman" w:hAnsi="Times New Roman" w:cs="Times New Roman"/>
          <w:sz w:val="22"/>
          <w:szCs w:val="22"/>
        </w:rPr>
        <w:t>)</w:t>
      </w:r>
      <w:r w:rsidRPr="00D427F3">
        <w:rPr>
          <w:rFonts w:ascii="Times New Roman" w:hAnsi="Times New Roman" w:cs="Times New Roman"/>
          <w:sz w:val="22"/>
          <w:szCs w:val="22"/>
        </w:rPr>
        <w:t xml:space="preserve">, Influenza B </w:t>
      </w:r>
      <w:r w:rsidRPr="00BB3D26">
        <w:rPr>
          <w:rFonts w:ascii="Times New Roman" w:hAnsi="Times New Roman" w:cs="Times New Roman"/>
          <w:sz w:val="22"/>
          <w:szCs w:val="22"/>
        </w:rPr>
        <w:t>(</w:t>
      </w:r>
      <w:r w:rsidR="00BB3D26" w:rsidRPr="00BB3D26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BB3D26">
        <w:rPr>
          <w:rFonts w:ascii="Times New Roman" w:hAnsi="Times New Roman" w:cs="Times New Roman"/>
          <w:sz w:val="22"/>
          <w:szCs w:val="22"/>
        </w:rPr>
        <w:t>)</w:t>
      </w:r>
      <w:r w:rsidRPr="00D427F3">
        <w:rPr>
          <w:rFonts w:ascii="Times New Roman" w:hAnsi="Times New Roman" w:cs="Times New Roman"/>
          <w:sz w:val="22"/>
          <w:szCs w:val="22"/>
        </w:rPr>
        <w:t xml:space="preserve">, and RSV A </w:t>
      </w:r>
      <w:r w:rsidRPr="00114CC1">
        <w:rPr>
          <w:rFonts w:ascii="Times New Roman" w:hAnsi="Times New Roman" w:cs="Times New Roman"/>
          <w:sz w:val="22"/>
          <w:szCs w:val="22"/>
        </w:rPr>
        <w:t>(</w:t>
      </w:r>
      <w:r w:rsidR="00114CC1" w:rsidRPr="00114CC1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114CC1">
        <w:rPr>
          <w:rFonts w:ascii="Times New Roman" w:hAnsi="Times New Roman" w:cs="Times New Roman"/>
          <w:sz w:val="22"/>
          <w:szCs w:val="22"/>
        </w:rPr>
        <w:t>)</w:t>
      </w:r>
      <w:r w:rsidRPr="00D427F3">
        <w:rPr>
          <w:rFonts w:ascii="Times New Roman" w:hAnsi="Times New Roman" w:cs="Times New Roman"/>
          <w:sz w:val="22"/>
          <w:szCs w:val="22"/>
        </w:rPr>
        <w:t>. Each</w:t>
      </w:r>
      <w:r w:rsidRPr="00C94551">
        <w:rPr>
          <w:rFonts w:ascii="Times New Roman" w:hAnsi="Times New Roman" w:cs="Times New Roman"/>
          <w:sz w:val="22"/>
          <w:szCs w:val="22"/>
        </w:rPr>
        <w:t xml:space="preserve"> point represents an individual patient sample. Samples with lower Ct values (higher viral loads) yield higher fluorescence signals with COMPANION-RT-LAMP, whereas samples that were negative by RT–qPCR (assigned Ct values ≥ 38) show no detectable fluorescence. This demonstrates that the COMPANION-RT-LAMP assay can reliably detect viral samples with Ct values up to the high 30s, and it produces no false signal for samples beyond the qPCR detection limit.</w:t>
      </w:r>
      <w:r w:rsidR="000215F5">
        <w:rPr>
          <w:rFonts w:ascii="Times New Roman" w:hAnsi="Times New Roman" w:cs="Times New Roman"/>
          <w:sz w:val="22"/>
          <w:szCs w:val="22"/>
        </w:rPr>
        <w:t xml:space="preserve"> (</w:t>
      </w:r>
      <w:r w:rsidR="000215F5" w:rsidRPr="000215F5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0215F5">
        <w:rPr>
          <w:rFonts w:ascii="Times New Roman" w:hAnsi="Times New Roman" w:cs="Times New Roman"/>
          <w:sz w:val="22"/>
          <w:szCs w:val="22"/>
        </w:rPr>
        <w:t xml:space="preserve">) </w:t>
      </w:r>
      <w:r w:rsidR="000215F5" w:rsidRPr="00C94551">
        <w:rPr>
          <w:rFonts w:ascii="Times New Roman" w:hAnsi="Times New Roman" w:cs="Times New Roman"/>
          <w:sz w:val="22"/>
          <w:szCs w:val="22"/>
        </w:rPr>
        <w:t xml:space="preserve">Real-time fluorescence kinetics of the COMPANION-RT-LAMP reaction </w:t>
      </w:r>
      <w:r w:rsidR="00B3521F">
        <w:rPr>
          <w:rFonts w:ascii="Times New Roman" w:hAnsi="Times New Roman" w:cs="Times New Roman"/>
          <w:sz w:val="22"/>
          <w:szCs w:val="22"/>
        </w:rPr>
        <w:t>for</w:t>
      </w:r>
      <w:r w:rsidR="000215F5" w:rsidRPr="00C94551">
        <w:rPr>
          <w:rFonts w:ascii="Times New Roman" w:hAnsi="Times New Roman" w:cs="Times New Roman"/>
          <w:sz w:val="22"/>
          <w:szCs w:val="22"/>
        </w:rPr>
        <w:t xml:space="preserve"> four different Cas12a orthologs (AsCas12a, MbCas12a, LbCas12a, and Pb2Cas12a)</w:t>
      </w:r>
      <w:r w:rsidR="00B3521F">
        <w:rPr>
          <w:rFonts w:ascii="Times New Roman" w:hAnsi="Times New Roman" w:cs="Times New Roman"/>
          <w:sz w:val="22"/>
          <w:szCs w:val="22"/>
        </w:rPr>
        <w:t xml:space="preserve"> using Influenza B target</w:t>
      </w:r>
      <w:r w:rsidR="000215F5" w:rsidRPr="00C94551">
        <w:rPr>
          <w:rFonts w:ascii="Times New Roman" w:hAnsi="Times New Roman" w:cs="Times New Roman"/>
          <w:sz w:val="22"/>
          <w:szCs w:val="22"/>
        </w:rPr>
        <w:t>. AsCas12a displays the fastest detection kinetics (fluorescence signal rises rapidly), whereas the other three orthologs produce fluorescence more slowly over the 2 h observation period. AsCas12a also exhibits a higher background signal in no-target control reactions, in contrast to MbCas12a, LbCas12a and Pb2Cas12a, which maintain a low, flat background fluorescence.</w:t>
      </w:r>
    </w:p>
    <w:sectPr w:rsidR="009132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BF"/>
    <w:rsid w:val="000054B8"/>
    <w:rsid w:val="000068BA"/>
    <w:rsid w:val="000215F5"/>
    <w:rsid w:val="00025213"/>
    <w:rsid w:val="00063D0B"/>
    <w:rsid w:val="000722D2"/>
    <w:rsid w:val="00095EE9"/>
    <w:rsid w:val="000F156A"/>
    <w:rsid w:val="001033FB"/>
    <w:rsid w:val="00114085"/>
    <w:rsid w:val="00114CC1"/>
    <w:rsid w:val="00130267"/>
    <w:rsid w:val="00140AD9"/>
    <w:rsid w:val="001422BF"/>
    <w:rsid w:val="00164A21"/>
    <w:rsid w:val="00166918"/>
    <w:rsid w:val="00183119"/>
    <w:rsid w:val="001969EB"/>
    <w:rsid w:val="001A259F"/>
    <w:rsid w:val="001B1548"/>
    <w:rsid w:val="001D0D82"/>
    <w:rsid w:val="001D7800"/>
    <w:rsid w:val="001E68B6"/>
    <w:rsid w:val="001F121A"/>
    <w:rsid w:val="001F183F"/>
    <w:rsid w:val="001F575A"/>
    <w:rsid w:val="00206ACC"/>
    <w:rsid w:val="002328DD"/>
    <w:rsid w:val="00240BB2"/>
    <w:rsid w:val="00252B75"/>
    <w:rsid w:val="00254433"/>
    <w:rsid w:val="00261BE6"/>
    <w:rsid w:val="00264765"/>
    <w:rsid w:val="0028064C"/>
    <w:rsid w:val="00287C11"/>
    <w:rsid w:val="002A50B9"/>
    <w:rsid w:val="002C0D83"/>
    <w:rsid w:val="002C2017"/>
    <w:rsid w:val="002C202B"/>
    <w:rsid w:val="002C409C"/>
    <w:rsid w:val="002E27FD"/>
    <w:rsid w:val="002E6CFD"/>
    <w:rsid w:val="002F124B"/>
    <w:rsid w:val="00313623"/>
    <w:rsid w:val="00315197"/>
    <w:rsid w:val="0032619D"/>
    <w:rsid w:val="00345365"/>
    <w:rsid w:val="0039345A"/>
    <w:rsid w:val="0039501D"/>
    <w:rsid w:val="003A1CB2"/>
    <w:rsid w:val="003B3EE1"/>
    <w:rsid w:val="003B44CC"/>
    <w:rsid w:val="00401B9E"/>
    <w:rsid w:val="004105C3"/>
    <w:rsid w:val="00412DF7"/>
    <w:rsid w:val="004338F2"/>
    <w:rsid w:val="00437684"/>
    <w:rsid w:val="004402A0"/>
    <w:rsid w:val="00442B24"/>
    <w:rsid w:val="00460821"/>
    <w:rsid w:val="00462898"/>
    <w:rsid w:val="00487F8D"/>
    <w:rsid w:val="004C0A54"/>
    <w:rsid w:val="004C4D74"/>
    <w:rsid w:val="004E6CBA"/>
    <w:rsid w:val="004F014D"/>
    <w:rsid w:val="005057EC"/>
    <w:rsid w:val="00506447"/>
    <w:rsid w:val="005110F9"/>
    <w:rsid w:val="00522D0D"/>
    <w:rsid w:val="005241FC"/>
    <w:rsid w:val="00536FEF"/>
    <w:rsid w:val="005A1631"/>
    <w:rsid w:val="005A6A48"/>
    <w:rsid w:val="005D44D0"/>
    <w:rsid w:val="005D45EB"/>
    <w:rsid w:val="005D479E"/>
    <w:rsid w:val="005E24A6"/>
    <w:rsid w:val="005E371F"/>
    <w:rsid w:val="005F4E9D"/>
    <w:rsid w:val="00620477"/>
    <w:rsid w:val="00623F6E"/>
    <w:rsid w:val="00627EC5"/>
    <w:rsid w:val="00637CD9"/>
    <w:rsid w:val="00646877"/>
    <w:rsid w:val="0067290F"/>
    <w:rsid w:val="00674E73"/>
    <w:rsid w:val="006801A0"/>
    <w:rsid w:val="00690545"/>
    <w:rsid w:val="006C24F7"/>
    <w:rsid w:val="006D395C"/>
    <w:rsid w:val="007038BD"/>
    <w:rsid w:val="00705AFE"/>
    <w:rsid w:val="007437AA"/>
    <w:rsid w:val="00756DBE"/>
    <w:rsid w:val="007B6F95"/>
    <w:rsid w:val="007C3429"/>
    <w:rsid w:val="007C4B80"/>
    <w:rsid w:val="007C7C06"/>
    <w:rsid w:val="007D0057"/>
    <w:rsid w:val="007D635A"/>
    <w:rsid w:val="007F6333"/>
    <w:rsid w:val="008040E2"/>
    <w:rsid w:val="00820B3B"/>
    <w:rsid w:val="00824386"/>
    <w:rsid w:val="008253A8"/>
    <w:rsid w:val="008417E6"/>
    <w:rsid w:val="00853EFC"/>
    <w:rsid w:val="00864269"/>
    <w:rsid w:val="008720E0"/>
    <w:rsid w:val="008867F6"/>
    <w:rsid w:val="008A1F79"/>
    <w:rsid w:val="008C3D8A"/>
    <w:rsid w:val="008E0992"/>
    <w:rsid w:val="00903F58"/>
    <w:rsid w:val="00913247"/>
    <w:rsid w:val="00923B7E"/>
    <w:rsid w:val="00946A5B"/>
    <w:rsid w:val="009577FF"/>
    <w:rsid w:val="00966841"/>
    <w:rsid w:val="0097253D"/>
    <w:rsid w:val="00982211"/>
    <w:rsid w:val="00997458"/>
    <w:rsid w:val="009B6C97"/>
    <w:rsid w:val="009C13FD"/>
    <w:rsid w:val="009C4992"/>
    <w:rsid w:val="009D562D"/>
    <w:rsid w:val="00A102FA"/>
    <w:rsid w:val="00A24F35"/>
    <w:rsid w:val="00A34E00"/>
    <w:rsid w:val="00A441A7"/>
    <w:rsid w:val="00A46370"/>
    <w:rsid w:val="00A53830"/>
    <w:rsid w:val="00A56AAE"/>
    <w:rsid w:val="00A57ACA"/>
    <w:rsid w:val="00A60E39"/>
    <w:rsid w:val="00A64C52"/>
    <w:rsid w:val="00AA483D"/>
    <w:rsid w:val="00AB18A5"/>
    <w:rsid w:val="00AB7087"/>
    <w:rsid w:val="00AC1D30"/>
    <w:rsid w:val="00AD3233"/>
    <w:rsid w:val="00AD7B44"/>
    <w:rsid w:val="00AE02C1"/>
    <w:rsid w:val="00AE4A0E"/>
    <w:rsid w:val="00AF5F06"/>
    <w:rsid w:val="00B06D35"/>
    <w:rsid w:val="00B311A5"/>
    <w:rsid w:val="00B3521F"/>
    <w:rsid w:val="00B460DD"/>
    <w:rsid w:val="00B54A35"/>
    <w:rsid w:val="00B55CD9"/>
    <w:rsid w:val="00B73B5F"/>
    <w:rsid w:val="00B848EA"/>
    <w:rsid w:val="00B9467A"/>
    <w:rsid w:val="00B9480F"/>
    <w:rsid w:val="00BB3D26"/>
    <w:rsid w:val="00BC44AF"/>
    <w:rsid w:val="00BC6159"/>
    <w:rsid w:val="00BD307F"/>
    <w:rsid w:val="00BF685A"/>
    <w:rsid w:val="00C3484B"/>
    <w:rsid w:val="00C91750"/>
    <w:rsid w:val="00C95B1F"/>
    <w:rsid w:val="00C97064"/>
    <w:rsid w:val="00CC146D"/>
    <w:rsid w:val="00CF1D5F"/>
    <w:rsid w:val="00D1730D"/>
    <w:rsid w:val="00D25C8D"/>
    <w:rsid w:val="00D52412"/>
    <w:rsid w:val="00D57F70"/>
    <w:rsid w:val="00D8012F"/>
    <w:rsid w:val="00DA2DCD"/>
    <w:rsid w:val="00DA7224"/>
    <w:rsid w:val="00DB465A"/>
    <w:rsid w:val="00DC248A"/>
    <w:rsid w:val="00E31CDA"/>
    <w:rsid w:val="00E42B93"/>
    <w:rsid w:val="00E57948"/>
    <w:rsid w:val="00E91282"/>
    <w:rsid w:val="00EA6E02"/>
    <w:rsid w:val="00EB230D"/>
    <w:rsid w:val="00ED65E6"/>
    <w:rsid w:val="00EF0B87"/>
    <w:rsid w:val="00F27680"/>
    <w:rsid w:val="00F428A0"/>
    <w:rsid w:val="00F51A4E"/>
    <w:rsid w:val="00F51BD2"/>
    <w:rsid w:val="00F66EED"/>
    <w:rsid w:val="00F76F72"/>
    <w:rsid w:val="00FA6C26"/>
    <w:rsid w:val="00FA6F48"/>
    <w:rsid w:val="00FC4DD3"/>
    <w:rsid w:val="00FF2E66"/>
    <w:rsid w:val="00FF5D3B"/>
    <w:rsid w:val="1A714176"/>
    <w:rsid w:val="1DB94FFD"/>
    <w:rsid w:val="24875EF9"/>
    <w:rsid w:val="358EF068"/>
    <w:rsid w:val="7370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D67CF"/>
  <w15:chartTrackingRefBased/>
  <w15:docId w15:val="{9C23326D-D1D3-4171-928E-0C31250E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2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2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2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2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2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2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2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2BF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03F5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8012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948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48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dtaylor@utexas.edu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9919595CFD4994A0A16AA1B7B21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FD41C-BE5B-47C7-9118-BF5F16468F51}"/>
      </w:docPartPr>
      <w:docPartBody>
        <w:p w:rsidR="002F2EA1" w:rsidRDefault="008C769A" w:rsidP="008C769A">
          <w:pPr>
            <w:pStyle w:val="7A9919595CFD4994A0A16AA1B7B21383"/>
          </w:pPr>
          <w:r w:rsidRPr="006F5ED4">
            <w:rPr>
              <w:rStyle w:val="PlaceholderText"/>
            </w:rPr>
            <w:t>Formatting...</w:t>
          </w:r>
        </w:p>
      </w:docPartBody>
    </w:docPart>
    <w:docPart>
      <w:docPartPr>
        <w:name w:val="EF3AA4836BDC4D9A95365895280D3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B0EFE-0BCA-4AAC-936E-AFC972586802}"/>
      </w:docPartPr>
      <w:docPartBody>
        <w:p w:rsidR="002F2EA1" w:rsidRDefault="008C769A">
          <w:r w:rsidRPr="00A76D8A">
            <w:rPr>
              <w:rStyle w:val="PlaceholderText"/>
            </w:rPr>
            <w:t>Formatting...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9A"/>
    <w:rsid w:val="0004742B"/>
    <w:rsid w:val="001605C3"/>
    <w:rsid w:val="001A259F"/>
    <w:rsid w:val="002F2EA1"/>
    <w:rsid w:val="00313623"/>
    <w:rsid w:val="003734DE"/>
    <w:rsid w:val="00464D52"/>
    <w:rsid w:val="005241FC"/>
    <w:rsid w:val="00534ED3"/>
    <w:rsid w:val="007B3008"/>
    <w:rsid w:val="007B621B"/>
    <w:rsid w:val="008C769A"/>
    <w:rsid w:val="00A94106"/>
    <w:rsid w:val="00BF685A"/>
    <w:rsid w:val="00EF0B87"/>
    <w:rsid w:val="00FA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769A"/>
    <w:rPr>
      <w:color w:val="666666"/>
    </w:rPr>
  </w:style>
  <w:style w:type="paragraph" w:customStyle="1" w:styleId="7A9919595CFD4994A0A16AA1B7B21383">
    <w:name w:val="7A9919595CFD4994A0A16AA1B7B21383"/>
    <w:rsid w:val="008C7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1781</Words>
  <Characters>10157</Characters>
  <Application>Microsoft Office Word</Application>
  <DocSecurity>0</DocSecurity>
  <Lines>84</Lines>
  <Paragraphs>23</Paragraphs>
  <ScaleCrop>false</ScaleCrop>
  <Company/>
  <LinksUpToDate>false</LinksUpToDate>
  <CharactersWithSpaces>11915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idorenyin iwe</dc:creator>
  <cp:keywords/>
  <dc:description/>
  <cp:lastModifiedBy>idorenyin iwe</cp:lastModifiedBy>
  <cp:revision>105</cp:revision>
  <dcterms:created xsi:type="dcterms:W3CDTF">2026-05-05T07:49:00Z</dcterms:created>
  <dcterms:modified xsi:type="dcterms:W3CDTF">2026-06-02T21:35:00Z</dcterms:modified>
</cp:coreProperties>
</file>