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23D06" w14:textId="469F2A9F" w:rsidR="002C3A45" w:rsidRPr="00CF018A" w:rsidRDefault="00000000">
      <w:pPr>
        <w:rPr>
          <w:b/>
          <w:sz w:val="30"/>
          <w:szCs w:val="30"/>
          <w:u w:val="single"/>
        </w:rPr>
      </w:pPr>
      <w:r>
        <w:rPr>
          <w:b/>
          <w:sz w:val="30"/>
          <w:szCs w:val="30"/>
          <w:u w:val="single"/>
        </w:rPr>
        <w:t>Supplemental File</w:t>
      </w:r>
    </w:p>
    <w:p w14:paraId="019BFC48" w14:textId="095B27BB" w:rsidR="002C3A45" w:rsidRDefault="00000000">
      <w:pPr>
        <w:rPr>
          <w:b/>
          <w:sz w:val="20"/>
          <w:szCs w:val="20"/>
        </w:rPr>
      </w:pPr>
      <w:r>
        <w:rPr>
          <w:b/>
          <w:sz w:val="20"/>
          <w:szCs w:val="20"/>
        </w:rPr>
        <w:t>Supplemental Table 1:</w:t>
      </w:r>
      <w:r w:rsidR="00CF018A">
        <w:rPr>
          <w:b/>
          <w:sz w:val="20"/>
          <w:szCs w:val="20"/>
        </w:rPr>
        <w:t xml:space="preserve"> Medline,</w:t>
      </w:r>
      <w:r>
        <w:rPr>
          <w:b/>
          <w:sz w:val="20"/>
          <w:szCs w:val="20"/>
        </w:rPr>
        <w:t xml:space="preserve"> Embase</w:t>
      </w:r>
      <w:r w:rsidR="00CF018A">
        <w:rPr>
          <w:b/>
          <w:sz w:val="20"/>
          <w:szCs w:val="20"/>
        </w:rPr>
        <w:t>,</w:t>
      </w:r>
      <w:r>
        <w:rPr>
          <w:b/>
          <w:sz w:val="20"/>
          <w:szCs w:val="20"/>
        </w:rPr>
        <w:t xml:space="preserve"> and Central </w:t>
      </w:r>
      <w:r w:rsidR="00CF018A">
        <w:rPr>
          <w:b/>
          <w:sz w:val="20"/>
          <w:szCs w:val="20"/>
        </w:rPr>
        <w:t xml:space="preserve">Search </w:t>
      </w:r>
      <w:r>
        <w:rPr>
          <w:b/>
          <w:sz w:val="20"/>
          <w:szCs w:val="20"/>
        </w:rPr>
        <w:t xml:space="preserve">Strategy </w:t>
      </w:r>
    </w:p>
    <w:tbl>
      <w:tblPr>
        <w:tblStyle w:val="a5"/>
        <w:tblW w:w="13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
        <w:gridCol w:w="9390"/>
        <w:gridCol w:w="1134"/>
        <w:gridCol w:w="1276"/>
        <w:gridCol w:w="992"/>
      </w:tblGrid>
      <w:tr w:rsidR="00CF018A" w14:paraId="16F6CEDD" w14:textId="72957AF7" w:rsidTr="005A5232">
        <w:tc>
          <w:tcPr>
            <w:tcW w:w="528" w:type="dxa"/>
          </w:tcPr>
          <w:p w14:paraId="5829F540" w14:textId="77777777" w:rsidR="00CF018A" w:rsidRDefault="00CF018A">
            <w:pPr>
              <w:rPr>
                <w:highlight w:val="green"/>
              </w:rPr>
            </w:pPr>
          </w:p>
        </w:tc>
        <w:tc>
          <w:tcPr>
            <w:tcW w:w="9390" w:type="dxa"/>
          </w:tcPr>
          <w:p w14:paraId="5CB280B3" w14:textId="4A7AE3D3" w:rsidR="00CF018A" w:rsidRDefault="00CF018A">
            <w:r>
              <w:t>Search Strategy</w:t>
            </w:r>
          </w:p>
        </w:tc>
        <w:tc>
          <w:tcPr>
            <w:tcW w:w="1134" w:type="dxa"/>
          </w:tcPr>
          <w:p w14:paraId="47004046" w14:textId="6FB055EA" w:rsidR="00CF018A" w:rsidRPr="00CF018A" w:rsidRDefault="00CF018A">
            <w:r w:rsidRPr="00CF018A">
              <w:t>Medline</w:t>
            </w:r>
          </w:p>
        </w:tc>
        <w:tc>
          <w:tcPr>
            <w:tcW w:w="1276" w:type="dxa"/>
          </w:tcPr>
          <w:p w14:paraId="6FAE90D3" w14:textId="4AF05385" w:rsidR="00CF018A" w:rsidRPr="00CF018A" w:rsidRDefault="00CF018A">
            <w:r w:rsidRPr="00CF018A">
              <w:t>Embase</w:t>
            </w:r>
          </w:p>
        </w:tc>
        <w:tc>
          <w:tcPr>
            <w:tcW w:w="992" w:type="dxa"/>
          </w:tcPr>
          <w:p w14:paraId="6B9B3782" w14:textId="6FA7CC20" w:rsidR="00CF018A" w:rsidRPr="00CF018A" w:rsidRDefault="00CF018A">
            <w:r w:rsidRPr="00CF018A">
              <w:t>Central</w:t>
            </w:r>
          </w:p>
        </w:tc>
      </w:tr>
      <w:tr w:rsidR="00CF018A" w14:paraId="28A850B4" w14:textId="3CAD7814" w:rsidTr="005A5232">
        <w:tc>
          <w:tcPr>
            <w:tcW w:w="528" w:type="dxa"/>
          </w:tcPr>
          <w:p w14:paraId="156AB075" w14:textId="77777777" w:rsidR="00CF018A" w:rsidRDefault="00CF018A" w:rsidP="00CF018A">
            <w:pPr>
              <w:rPr>
                <w:highlight w:val="green"/>
              </w:rPr>
            </w:pPr>
            <w:r>
              <w:t>1</w:t>
            </w:r>
          </w:p>
        </w:tc>
        <w:tc>
          <w:tcPr>
            <w:tcW w:w="9390" w:type="dxa"/>
          </w:tcPr>
          <w:p w14:paraId="39002683" w14:textId="407DB9BA" w:rsidR="00CF018A" w:rsidRDefault="005A5232" w:rsidP="00CF018A">
            <w:pPr>
              <w:rPr>
                <w:highlight w:val="green"/>
              </w:rPr>
            </w:pPr>
            <w:r w:rsidRPr="005A5232">
              <w:t>(dry eye* or "</w:t>
            </w:r>
            <w:proofErr w:type="gramStart"/>
            <w:r w:rsidRPr="005A5232">
              <w:t>dry-eye</w:t>
            </w:r>
            <w:proofErr w:type="gramEnd"/>
            <w:r w:rsidRPr="005A5232">
              <w:t xml:space="preserve">*" or DED or "dry eye disease" or keratoconjunctivitis sicca or KCS or "ocular surface disease" or OSD or </w:t>
            </w:r>
            <w:proofErr w:type="spellStart"/>
            <w:r w:rsidRPr="005A5232">
              <w:t>xerophthalm</w:t>
            </w:r>
            <w:proofErr w:type="spellEnd"/>
            <w:r w:rsidRPr="005A5232">
              <w:t>*).</w:t>
            </w:r>
            <w:proofErr w:type="spellStart"/>
            <w:r w:rsidRPr="005A5232">
              <w:t>mp</w:t>
            </w:r>
            <w:proofErr w:type="spellEnd"/>
            <w:r w:rsidRPr="005A5232">
              <w:t>.</w:t>
            </w:r>
          </w:p>
        </w:tc>
        <w:tc>
          <w:tcPr>
            <w:tcW w:w="1134" w:type="dxa"/>
          </w:tcPr>
          <w:p w14:paraId="55D2374C" w14:textId="57597C1A" w:rsidR="00CF018A" w:rsidRPr="00CF018A" w:rsidRDefault="005A5232" w:rsidP="00CF018A">
            <w:pPr>
              <w:rPr>
                <w:highlight w:val="green"/>
              </w:rPr>
            </w:pPr>
            <w:r w:rsidRPr="005A5232">
              <w:t>23,300</w:t>
            </w:r>
          </w:p>
        </w:tc>
        <w:tc>
          <w:tcPr>
            <w:tcW w:w="1276" w:type="dxa"/>
          </w:tcPr>
          <w:p w14:paraId="7CA031ED" w14:textId="5C20DD2E" w:rsidR="00CF018A" w:rsidRPr="00CF018A" w:rsidRDefault="005A5232" w:rsidP="00CF018A">
            <w:r w:rsidRPr="005A5232">
              <w:rPr>
                <w:shd w:val="clear" w:color="auto" w:fill="F8F8F8"/>
              </w:rPr>
              <w:t>44,294</w:t>
            </w:r>
          </w:p>
        </w:tc>
        <w:tc>
          <w:tcPr>
            <w:tcW w:w="992" w:type="dxa"/>
          </w:tcPr>
          <w:p w14:paraId="65E468DC" w14:textId="28134553" w:rsidR="00CF018A" w:rsidRPr="00CF018A" w:rsidRDefault="005A5232" w:rsidP="00CF018A">
            <w:pPr>
              <w:rPr>
                <w:shd w:val="clear" w:color="auto" w:fill="F8F8F8"/>
              </w:rPr>
            </w:pPr>
            <w:r w:rsidRPr="005A5232">
              <w:rPr>
                <w:shd w:val="clear" w:color="auto" w:fill="F8F8F8"/>
              </w:rPr>
              <w:t>5,001</w:t>
            </w:r>
          </w:p>
        </w:tc>
      </w:tr>
      <w:tr w:rsidR="00CF018A" w14:paraId="2FA88569" w14:textId="0697B8B6" w:rsidTr="005A5232">
        <w:tc>
          <w:tcPr>
            <w:tcW w:w="528" w:type="dxa"/>
          </w:tcPr>
          <w:p w14:paraId="5C2CC9C1" w14:textId="77777777" w:rsidR="00CF018A" w:rsidRDefault="00CF018A" w:rsidP="00CF018A">
            <w:r>
              <w:t>2</w:t>
            </w:r>
          </w:p>
        </w:tc>
        <w:tc>
          <w:tcPr>
            <w:tcW w:w="9390" w:type="dxa"/>
          </w:tcPr>
          <w:p w14:paraId="3D44CC14" w14:textId="6F7562CE" w:rsidR="00CF018A" w:rsidRDefault="005A5232" w:rsidP="00CF01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5A5232">
              <w:t>(</w:t>
            </w:r>
            <w:proofErr w:type="spellStart"/>
            <w:r w:rsidRPr="005A5232">
              <w:t>menopaus</w:t>
            </w:r>
            <w:proofErr w:type="spellEnd"/>
            <w:r w:rsidRPr="005A5232">
              <w:t xml:space="preserve">* or </w:t>
            </w:r>
            <w:proofErr w:type="spellStart"/>
            <w:r w:rsidRPr="005A5232">
              <w:t>postmenopaus</w:t>
            </w:r>
            <w:proofErr w:type="spellEnd"/>
            <w:r w:rsidRPr="005A5232">
              <w:t xml:space="preserve">* or </w:t>
            </w:r>
            <w:proofErr w:type="spellStart"/>
            <w:r w:rsidRPr="005A5232">
              <w:t>perimenopaus</w:t>
            </w:r>
            <w:proofErr w:type="spellEnd"/>
            <w:r w:rsidRPr="005A5232">
              <w:t xml:space="preserve">* or </w:t>
            </w:r>
            <w:proofErr w:type="spellStart"/>
            <w:r w:rsidRPr="005A5232">
              <w:t>premenopaus</w:t>
            </w:r>
            <w:proofErr w:type="spellEnd"/>
            <w:r w:rsidRPr="005A5232">
              <w:t>* or climacteric or climacterium).</w:t>
            </w:r>
            <w:proofErr w:type="spellStart"/>
            <w:r w:rsidRPr="005A5232">
              <w:t>mp</w:t>
            </w:r>
            <w:proofErr w:type="spellEnd"/>
            <w:r w:rsidRPr="005A5232">
              <w:t>.</w:t>
            </w:r>
          </w:p>
        </w:tc>
        <w:tc>
          <w:tcPr>
            <w:tcW w:w="1134" w:type="dxa"/>
          </w:tcPr>
          <w:p w14:paraId="1355E260" w14:textId="378AC720" w:rsidR="00CF018A" w:rsidRPr="00CF018A" w:rsidRDefault="005A5232" w:rsidP="00CF018A">
            <w:pPr>
              <w:rPr>
                <w:highlight w:val="green"/>
              </w:rPr>
            </w:pPr>
            <w:r w:rsidRPr="005A5232">
              <w:t>144,895</w:t>
            </w:r>
          </w:p>
        </w:tc>
        <w:tc>
          <w:tcPr>
            <w:tcW w:w="1276" w:type="dxa"/>
          </w:tcPr>
          <w:p w14:paraId="60DA3ECF" w14:textId="59E2DA98" w:rsidR="00CF018A" w:rsidRPr="00CF018A" w:rsidRDefault="005A5232" w:rsidP="00CF018A">
            <w:r w:rsidRPr="005A5232">
              <w:t>242,688</w:t>
            </w:r>
          </w:p>
        </w:tc>
        <w:tc>
          <w:tcPr>
            <w:tcW w:w="992" w:type="dxa"/>
          </w:tcPr>
          <w:p w14:paraId="0595CA1B" w14:textId="51C1F8BC" w:rsidR="00CF018A" w:rsidRPr="00CF018A" w:rsidRDefault="005A5232" w:rsidP="00CF018A">
            <w:pPr>
              <w:rPr>
                <w:highlight w:val="white"/>
              </w:rPr>
            </w:pPr>
            <w:r w:rsidRPr="005A5232">
              <w:rPr>
                <w:highlight w:val="white"/>
              </w:rPr>
              <w:t>36,838</w:t>
            </w:r>
          </w:p>
        </w:tc>
      </w:tr>
      <w:tr w:rsidR="00CF018A" w14:paraId="51DF9926" w14:textId="5E7712D2" w:rsidTr="005A5232">
        <w:trPr>
          <w:trHeight w:val="319"/>
        </w:trPr>
        <w:tc>
          <w:tcPr>
            <w:tcW w:w="528" w:type="dxa"/>
          </w:tcPr>
          <w:p w14:paraId="6F12CA6F" w14:textId="77777777" w:rsidR="00CF018A" w:rsidRDefault="00CF018A" w:rsidP="00CF018A">
            <w:r>
              <w:t>3</w:t>
            </w:r>
          </w:p>
        </w:tc>
        <w:tc>
          <w:tcPr>
            <w:tcW w:w="9390" w:type="dxa"/>
          </w:tcPr>
          <w:p w14:paraId="236C5C78" w14:textId="3E931CEB" w:rsidR="00CF018A" w:rsidRDefault="005A5232" w:rsidP="00CF01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5A5232">
              <w:t>("risk factor*" or "risk-factor*"</w:t>
            </w:r>
            <w:proofErr w:type="gramStart"/>
            <w:r w:rsidRPr="005A5232">
              <w:t>).</w:t>
            </w:r>
            <w:proofErr w:type="spellStart"/>
            <w:r w:rsidRPr="005A5232">
              <w:t>ti</w:t>
            </w:r>
            <w:proofErr w:type="gramEnd"/>
            <w:r w:rsidRPr="005A5232">
              <w:t>,ab</w:t>
            </w:r>
            <w:proofErr w:type="spellEnd"/>
            <w:r w:rsidRPr="005A5232">
              <w:t>.</w:t>
            </w:r>
          </w:p>
        </w:tc>
        <w:tc>
          <w:tcPr>
            <w:tcW w:w="1134" w:type="dxa"/>
          </w:tcPr>
          <w:p w14:paraId="0F242124" w14:textId="209AB5C3" w:rsidR="00CF018A" w:rsidRPr="00CF018A" w:rsidRDefault="005A5232" w:rsidP="00CF018A">
            <w:pPr>
              <w:rPr>
                <w:highlight w:val="green"/>
              </w:rPr>
            </w:pPr>
            <w:r w:rsidRPr="005A5232">
              <w:t>884,361</w:t>
            </w:r>
          </w:p>
        </w:tc>
        <w:tc>
          <w:tcPr>
            <w:tcW w:w="1276" w:type="dxa"/>
          </w:tcPr>
          <w:p w14:paraId="781828BB" w14:textId="6FC85596" w:rsidR="00CF018A" w:rsidRPr="00CF018A" w:rsidRDefault="005A5232" w:rsidP="00CF018A">
            <w:r w:rsidRPr="005A5232">
              <w:rPr>
                <w:shd w:val="clear" w:color="auto" w:fill="F8F8F8"/>
              </w:rPr>
              <w:t>1,325,057</w:t>
            </w:r>
          </w:p>
        </w:tc>
        <w:tc>
          <w:tcPr>
            <w:tcW w:w="992" w:type="dxa"/>
          </w:tcPr>
          <w:p w14:paraId="1919F827" w14:textId="796F780C" w:rsidR="00CF018A" w:rsidRPr="00CF018A" w:rsidRDefault="005A5232" w:rsidP="00CF018A">
            <w:pPr>
              <w:rPr>
                <w:shd w:val="clear" w:color="auto" w:fill="F8F8F8"/>
              </w:rPr>
            </w:pPr>
            <w:r w:rsidRPr="005A5232">
              <w:rPr>
                <w:shd w:val="clear" w:color="auto" w:fill="F8F8F8"/>
              </w:rPr>
              <w:t>56,322</w:t>
            </w:r>
          </w:p>
        </w:tc>
      </w:tr>
      <w:tr w:rsidR="005A5232" w14:paraId="4E80D1A3" w14:textId="77777777" w:rsidTr="005A5232">
        <w:trPr>
          <w:trHeight w:val="319"/>
        </w:trPr>
        <w:tc>
          <w:tcPr>
            <w:tcW w:w="528" w:type="dxa"/>
          </w:tcPr>
          <w:p w14:paraId="5694B3F1" w14:textId="3EF73DF2" w:rsidR="005A5232" w:rsidRDefault="005A5232" w:rsidP="00CF018A">
            <w:r>
              <w:t>4</w:t>
            </w:r>
          </w:p>
        </w:tc>
        <w:tc>
          <w:tcPr>
            <w:tcW w:w="9390" w:type="dxa"/>
          </w:tcPr>
          <w:p w14:paraId="21C81086" w14:textId="7C1B7900" w:rsidR="005A5232" w:rsidRPr="005A5232" w:rsidRDefault="005A5232" w:rsidP="00CF01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5A5232">
              <w:t>1 and (2 or 3)</w:t>
            </w:r>
          </w:p>
        </w:tc>
        <w:tc>
          <w:tcPr>
            <w:tcW w:w="1134" w:type="dxa"/>
          </w:tcPr>
          <w:p w14:paraId="132EB4B5" w14:textId="0B2EE1CD" w:rsidR="005A5232" w:rsidRPr="00CF018A" w:rsidRDefault="005A5232" w:rsidP="00CF018A">
            <w:r w:rsidRPr="005A5232">
              <w:t>1,227</w:t>
            </w:r>
          </w:p>
        </w:tc>
        <w:tc>
          <w:tcPr>
            <w:tcW w:w="1276" w:type="dxa"/>
          </w:tcPr>
          <w:p w14:paraId="01D736EF" w14:textId="58A95497" w:rsidR="005A5232" w:rsidRPr="00CF018A" w:rsidRDefault="005A5232" w:rsidP="00CF018A">
            <w:pPr>
              <w:rPr>
                <w:shd w:val="clear" w:color="auto" w:fill="F8F8F8"/>
              </w:rPr>
            </w:pPr>
            <w:r w:rsidRPr="005A5232">
              <w:rPr>
                <w:shd w:val="clear" w:color="auto" w:fill="F8F8F8"/>
              </w:rPr>
              <w:t>2,185</w:t>
            </w:r>
          </w:p>
        </w:tc>
        <w:tc>
          <w:tcPr>
            <w:tcW w:w="992" w:type="dxa"/>
          </w:tcPr>
          <w:p w14:paraId="386324A0" w14:textId="79A080FD" w:rsidR="005A5232" w:rsidRPr="00CF018A" w:rsidRDefault="005A5232" w:rsidP="00CF018A">
            <w:pPr>
              <w:rPr>
                <w:shd w:val="clear" w:color="auto" w:fill="F8F8F8"/>
              </w:rPr>
            </w:pPr>
            <w:r w:rsidRPr="005A5232">
              <w:rPr>
                <w:shd w:val="clear" w:color="auto" w:fill="F8F8F8"/>
              </w:rPr>
              <w:t>131</w:t>
            </w:r>
          </w:p>
        </w:tc>
      </w:tr>
    </w:tbl>
    <w:p w14:paraId="3A46BBCB" w14:textId="77777777" w:rsidR="00CF018A" w:rsidRDefault="00CF018A">
      <w:pPr>
        <w:rPr>
          <w:b/>
        </w:rPr>
      </w:pPr>
    </w:p>
    <w:p w14:paraId="6DC21CF1" w14:textId="77777777" w:rsidR="00CF018A" w:rsidRDefault="00CF018A">
      <w:pPr>
        <w:rPr>
          <w:b/>
        </w:rPr>
      </w:pPr>
    </w:p>
    <w:p w14:paraId="23C33C42" w14:textId="77777777" w:rsidR="00BC050B" w:rsidRDefault="00BC050B">
      <w:pPr>
        <w:rPr>
          <w:b/>
        </w:rPr>
      </w:pPr>
    </w:p>
    <w:p w14:paraId="4BCB62DA" w14:textId="77777777" w:rsidR="00BC050B" w:rsidRDefault="00BC050B">
      <w:pPr>
        <w:rPr>
          <w:b/>
        </w:rPr>
      </w:pPr>
    </w:p>
    <w:p w14:paraId="03319B86" w14:textId="77777777" w:rsidR="00BC050B" w:rsidRDefault="00BC050B">
      <w:pPr>
        <w:rPr>
          <w:b/>
        </w:rPr>
      </w:pPr>
    </w:p>
    <w:p w14:paraId="1B96F97E" w14:textId="77777777" w:rsidR="00BC050B" w:rsidRDefault="00BC050B">
      <w:pPr>
        <w:rPr>
          <w:b/>
        </w:rPr>
      </w:pPr>
    </w:p>
    <w:p w14:paraId="0B4E5376" w14:textId="77777777" w:rsidR="00BC050B" w:rsidRDefault="00BC050B">
      <w:pPr>
        <w:rPr>
          <w:b/>
        </w:rPr>
      </w:pPr>
    </w:p>
    <w:p w14:paraId="238363F8" w14:textId="77777777" w:rsidR="00CF018A" w:rsidRDefault="00CF018A">
      <w:pPr>
        <w:rPr>
          <w:b/>
        </w:rPr>
      </w:pPr>
    </w:p>
    <w:p w14:paraId="2627AA5B" w14:textId="77777777" w:rsidR="00CF018A" w:rsidRDefault="00CF018A">
      <w:pPr>
        <w:rPr>
          <w:b/>
        </w:rPr>
      </w:pPr>
    </w:p>
    <w:p w14:paraId="70EEFF00" w14:textId="77777777" w:rsidR="00CF018A" w:rsidRDefault="00CF018A">
      <w:pPr>
        <w:rPr>
          <w:b/>
        </w:rPr>
      </w:pPr>
    </w:p>
    <w:p w14:paraId="51A538B8" w14:textId="77777777" w:rsidR="004770B2" w:rsidRDefault="004770B2">
      <w:pPr>
        <w:rPr>
          <w:b/>
        </w:rPr>
      </w:pPr>
    </w:p>
    <w:p w14:paraId="3CDD45C1" w14:textId="77777777" w:rsidR="00B237B2" w:rsidRDefault="00B237B2">
      <w:pPr>
        <w:rPr>
          <w:b/>
        </w:rPr>
      </w:pPr>
    </w:p>
    <w:p w14:paraId="6532B676" w14:textId="314A14D3" w:rsidR="00F15D54" w:rsidRDefault="00000000" w:rsidP="00F15D54">
      <w:r>
        <w:rPr>
          <w:b/>
        </w:rPr>
        <w:lastRenderedPageBreak/>
        <w:t>Supplemental Table 2</w:t>
      </w:r>
      <w:r>
        <w:t>: Summary of study and participant characteristics.</w:t>
      </w:r>
    </w:p>
    <w:tbl>
      <w:tblPr>
        <w:tblStyle w:val="a6"/>
        <w:tblW w:w="12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1082"/>
        <w:gridCol w:w="640"/>
        <w:gridCol w:w="708"/>
        <w:gridCol w:w="851"/>
        <w:gridCol w:w="1092"/>
        <w:gridCol w:w="1081"/>
        <w:gridCol w:w="804"/>
        <w:gridCol w:w="1243"/>
        <w:gridCol w:w="1025"/>
        <w:gridCol w:w="850"/>
        <w:gridCol w:w="992"/>
        <w:gridCol w:w="995"/>
      </w:tblGrid>
      <w:tr w:rsidR="00C257D2" w14:paraId="600C0415" w14:textId="7102D27F" w:rsidTr="001C3F3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58EADE6" w14:textId="77777777" w:rsidR="00C257D2" w:rsidRPr="00C257D2" w:rsidRDefault="00C257D2" w:rsidP="000F401A">
            <w:pPr>
              <w:jc w:val="center"/>
              <w:rPr>
                <w:rFonts w:asciiTheme="majorHAnsi" w:hAnsiTheme="majorHAnsi"/>
                <w:color w:val="000000"/>
                <w:sz w:val="10"/>
                <w:szCs w:val="10"/>
              </w:rPr>
            </w:pPr>
            <w:r w:rsidRPr="00C257D2">
              <w:rPr>
                <w:rFonts w:asciiTheme="majorHAnsi" w:hAnsiTheme="majorHAnsi"/>
                <w:color w:val="000000"/>
                <w:sz w:val="10"/>
                <w:szCs w:val="10"/>
              </w:rPr>
              <w:t>Study</w:t>
            </w:r>
          </w:p>
        </w:tc>
        <w:tc>
          <w:tcPr>
            <w:tcW w:w="1082" w:type="dxa"/>
            <w:vAlign w:val="center"/>
          </w:tcPr>
          <w:p w14:paraId="2DB23303" w14:textId="77777777"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Journal</w:t>
            </w:r>
          </w:p>
        </w:tc>
        <w:tc>
          <w:tcPr>
            <w:tcW w:w="640" w:type="dxa"/>
            <w:vAlign w:val="center"/>
          </w:tcPr>
          <w:p w14:paraId="285BC77E" w14:textId="77777777"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Country, City</w:t>
            </w:r>
          </w:p>
        </w:tc>
        <w:tc>
          <w:tcPr>
            <w:tcW w:w="708" w:type="dxa"/>
            <w:vAlign w:val="center"/>
          </w:tcPr>
          <w:p w14:paraId="6400F899" w14:textId="77777777"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Study Design</w:t>
            </w:r>
          </w:p>
        </w:tc>
        <w:tc>
          <w:tcPr>
            <w:tcW w:w="851" w:type="dxa"/>
            <w:vAlign w:val="center"/>
          </w:tcPr>
          <w:p w14:paraId="144DFEE5" w14:textId="39F2F6D2"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 xml:space="preserve"># of total women </w:t>
            </w:r>
          </w:p>
        </w:tc>
        <w:tc>
          <w:tcPr>
            <w:tcW w:w="1092" w:type="dxa"/>
            <w:vAlign w:val="center"/>
          </w:tcPr>
          <w:p w14:paraId="648D3F8C" w14:textId="77777777"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p>
          <w:p w14:paraId="65642650" w14:textId="78F122C3"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Population Type and Setting</w:t>
            </w:r>
          </w:p>
        </w:tc>
        <w:tc>
          <w:tcPr>
            <w:tcW w:w="1081" w:type="dxa"/>
            <w:vAlign w:val="center"/>
          </w:tcPr>
          <w:p w14:paraId="2577F89F" w14:textId="38A54705"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Age (mean ± SD or range) per group</w:t>
            </w:r>
          </w:p>
        </w:tc>
        <w:tc>
          <w:tcPr>
            <w:tcW w:w="804" w:type="dxa"/>
            <w:vAlign w:val="center"/>
          </w:tcPr>
          <w:p w14:paraId="2C2D80D9" w14:textId="7145FFEC"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Inclusion Criteria</w:t>
            </w:r>
          </w:p>
        </w:tc>
        <w:tc>
          <w:tcPr>
            <w:tcW w:w="1243" w:type="dxa"/>
            <w:vAlign w:val="center"/>
          </w:tcPr>
          <w:p w14:paraId="68B4E0B1" w14:textId="77777777"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Exclusion Criteria</w:t>
            </w:r>
          </w:p>
        </w:tc>
        <w:tc>
          <w:tcPr>
            <w:tcW w:w="1025" w:type="dxa"/>
            <w:vAlign w:val="center"/>
          </w:tcPr>
          <w:p w14:paraId="7E1CDAA9" w14:textId="637B0F0F"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DED Definition</w:t>
            </w:r>
          </w:p>
        </w:tc>
        <w:tc>
          <w:tcPr>
            <w:tcW w:w="850" w:type="dxa"/>
            <w:vAlign w:val="center"/>
          </w:tcPr>
          <w:p w14:paraId="33FD88F8" w14:textId="3A17A9F8"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Diagnostic Method</w:t>
            </w:r>
          </w:p>
        </w:tc>
        <w:tc>
          <w:tcPr>
            <w:tcW w:w="992" w:type="dxa"/>
            <w:vAlign w:val="center"/>
          </w:tcPr>
          <w:p w14:paraId="207C6A70" w14:textId="2778FFFC"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Definition of Menopausal Status</w:t>
            </w:r>
          </w:p>
        </w:tc>
        <w:tc>
          <w:tcPr>
            <w:tcW w:w="995" w:type="dxa"/>
            <w:vAlign w:val="center"/>
          </w:tcPr>
          <w:p w14:paraId="1452466E" w14:textId="4B6BA187" w:rsidR="00C257D2" w:rsidRPr="00C257D2" w:rsidRDefault="00C257D2" w:rsidP="000F401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000000"/>
                <w:sz w:val="10"/>
                <w:szCs w:val="10"/>
              </w:rPr>
            </w:pPr>
            <w:r w:rsidRPr="00C257D2">
              <w:rPr>
                <w:rFonts w:asciiTheme="majorHAnsi" w:hAnsiTheme="majorHAnsi"/>
                <w:color w:val="000000"/>
                <w:sz w:val="10"/>
                <w:szCs w:val="10"/>
              </w:rPr>
              <w:t xml:space="preserve">Contributed Comparator Groups </w:t>
            </w:r>
          </w:p>
        </w:tc>
      </w:tr>
      <w:tr w:rsidR="00C257D2" w14:paraId="2F3DF0A9" w14:textId="336499D7"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14F4CB37" w14:textId="098DC901" w:rsidR="00C257D2" w:rsidRPr="00C257D2" w:rsidRDefault="00C257D2" w:rsidP="00C257D2">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Bhagyajyoti 2018</w:t>
            </w:r>
          </w:p>
        </w:tc>
        <w:tc>
          <w:tcPr>
            <w:tcW w:w="1082" w:type="dxa"/>
            <w:vAlign w:val="center"/>
          </w:tcPr>
          <w:p w14:paraId="0E24C271" w14:textId="230EFFD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Journal of Evidence-Based Medicine and Healthcare</w:t>
            </w:r>
          </w:p>
        </w:tc>
        <w:tc>
          <w:tcPr>
            <w:tcW w:w="640" w:type="dxa"/>
            <w:vAlign w:val="center"/>
          </w:tcPr>
          <w:p w14:paraId="33442B23" w14:textId="7C89AA49"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highlight w:val="green"/>
              </w:rPr>
            </w:pPr>
            <w:r w:rsidRPr="00C257D2">
              <w:rPr>
                <w:rFonts w:asciiTheme="majorHAnsi" w:hAnsiTheme="majorHAnsi" w:cs="Calibri"/>
                <w:bCs/>
                <w:color w:val="000000"/>
                <w:sz w:val="10"/>
                <w:szCs w:val="10"/>
              </w:rPr>
              <w:t>India - Belgaum, Karnataka</w:t>
            </w:r>
          </w:p>
        </w:tc>
        <w:tc>
          <w:tcPr>
            <w:tcW w:w="708" w:type="dxa"/>
            <w:vAlign w:val="center"/>
          </w:tcPr>
          <w:p w14:paraId="5937BF7F" w14:textId="278A5B8C"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highlight w:val="green"/>
              </w:rPr>
            </w:pPr>
            <w:r w:rsidRPr="00C257D2">
              <w:rPr>
                <w:rFonts w:asciiTheme="majorHAnsi" w:hAnsiTheme="majorHAnsi" w:cs="Calibri"/>
                <w:bCs/>
                <w:color w:val="000000"/>
                <w:sz w:val="10"/>
                <w:szCs w:val="10"/>
              </w:rPr>
              <w:t>Cross-sectional</w:t>
            </w:r>
          </w:p>
        </w:tc>
        <w:tc>
          <w:tcPr>
            <w:tcW w:w="851" w:type="dxa"/>
            <w:vAlign w:val="center"/>
          </w:tcPr>
          <w:p w14:paraId="4ABA468D" w14:textId="08E346D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150 </w:t>
            </w:r>
          </w:p>
        </w:tc>
        <w:tc>
          <w:tcPr>
            <w:tcW w:w="1092" w:type="dxa"/>
            <w:vAlign w:val="center"/>
          </w:tcPr>
          <w:p w14:paraId="0A46F0F8" w14:textId="6F1907AB"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Premenopausal and postmenopausal women attending the Ophthalmology Department, Jawaharlal Nehru Medical College, tertiary care centre</w:t>
            </w:r>
          </w:p>
        </w:tc>
        <w:tc>
          <w:tcPr>
            <w:tcW w:w="1081" w:type="dxa"/>
            <w:vAlign w:val="center"/>
          </w:tcPr>
          <w:p w14:paraId="6C468F72" w14:textId="07CB281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Not explicitly stated, participants ranged from 20-74 years, with most postmenopausal &gt;60 years</w:t>
            </w:r>
          </w:p>
        </w:tc>
        <w:tc>
          <w:tcPr>
            <w:tcW w:w="804" w:type="dxa"/>
            <w:vAlign w:val="center"/>
          </w:tcPr>
          <w:p w14:paraId="2B98DFA0" w14:textId="739170A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Not explicitly stated, participants ranged from 20-74 years, with most postmenopausal &gt;60 years</w:t>
            </w:r>
          </w:p>
        </w:tc>
        <w:tc>
          <w:tcPr>
            <w:tcW w:w="1243" w:type="dxa"/>
            <w:vAlign w:val="center"/>
          </w:tcPr>
          <w:p w14:paraId="22C7C55C" w14:textId="075001E1"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Systemic diseases (RA, DM, thyroid, AIDS, GVHD), use of medications causing dry eye (anticholinergics, NSAIDs, beta-blockers), radiation therapy, ocular surface disease (HSV keratitis, HZO), topical eye drop users, ocular surgery within 3 months, contact lens users</w:t>
            </w:r>
          </w:p>
        </w:tc>
        <w:tc>
          <w:tcPr>
            <w:tcW w:w="1025" w:type="dxa"/>
            <w:vAlign w:val="center"/>
          </w:tcPr>
          <w:p w14:paraId="64EB11CB" w14:textId="1A418DAD"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highlight w:val="green"/>
              </w:rPr>
            </w:pPr>
            <w:r w:rsidRPr="00C257D2">
              <w:rPr>
                <w:rFonts w:asciiTheme="majorHAnsi" w:hAnsiTheme="majorHAnsi" w:cs="Calibri"/>
                <w:bCs/>
                <w:color w:val="000000"/>
                <w:sz w:val="10"/>
                <w:szCs w:val="10"/>
              </w:rPr>
              <w:t>“A multifactorial disease of the tears and ocular surface that results in symptoms of discomfort, visual disturbance, and tear film instability with potential damage to the ocular surface. It is accompanied by increased osmolarity of the tear film and inflammation of the ocular surface.”</w:t>
            </w:r>
          </w:p>
        </w:tc>
        <w:tc>
          <w:tcPr>
            <w:tcW w:w="850" w:type="dxa"/>
            <w:vAlign w:val="center"/>
          </w:tcPr>
          <w:p w14:paraId="29167B81" w14:textId="7CBD0A96"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Ocular Surface Disease Index (OSDI) questionnaire, Schirmer’s test I, Tear Film Break-Up Time (TBUT &lt;10 s = significant), Fluorescein and Rose Bengal staining using NEI grading system</w:t>
            </w:r>
          </w:p>
        </w:tc>
        <w:tc>
          <w:tcPr>
            <w:tcW w:w="992" w:type="dxa"/>
            <w:vAlign w:val="center"/>
          </w:tcPr>
          <w:p w14:paraId="59B27BA3" w14:textId="6B1DFC7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Postmenopausal: natural menopause ≥1 year; Premenopausal: regular monthly menstrual cycles</w:t>
            </w:r>
          </w:p>
        </w:tc>
        <w:tc>
          <w:tcPr>
            <w:tcW w:w="995" w:type="dxa"/>
            <w:vAlign w:val="center"/>
          </w:tcPr>
          <w:p w14:paraId="56314405" w14:textId="77777777" w:rsid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356EA991" w14:textId="4BC4E4FE" w:rsidR="001C3F35" w:rsidRP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MA3</w:t>
            </w:r>
          </w:p>
        </w:tc>
      </w:tr>
      <w:tr w:rsidR="00C257D2" w14:paraId="42F369DA" w14:textId="716BFF0F"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02C74BBE" w14:textId="79CBC689" w:rsidR="00C257D2" w:rsidRPr="00C257D2" w:rsidRDefault="00C257D2" w:rsidP="00C257D2">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Choi 2021</w:t>
            </w:r>
          </w:p>
        </w:tc>
        <w:tc>
          <w:tcPr>
            <w:tcW w:w="1082" w:type="dxa"/>
            <w:vAlign w:val="center"/>
          </w:tcPr>
          <w:p w14:paraId="32B16B5A" w14:textId="2C5815DA"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Ophthalmic Epidemiology</w:t>
            </w:r>
          </w:p>
        </w:tc>
        <w:tc>
          <w:tcPr>
            <w:tcW w:w="640" w:type="dxa"/>
            <w:vAlign w:val="center"/>
          </w:tcPr>
          <w:p w14:paraId="5B701F6E" w14:textId="402A5F81"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South Korea - </w:t>
            </w:r>
            <w:proofErr w:type="spellStart"/>
            <w:r w:rsidRPr="00C257D2">
              <w:rPr>
                <w:rFonts w:asciiTheme="majorHAnsi" w:hAnsiTheme="majorHAnsi" w:cs="Calibri"/>
                <w:bCs/>
                <w:color w:val="000000"/>
                <w:sz w:val="10"/>
                <w:szCs w:val="10"/>
              </w:rPr>
              <w:t>Kanghwa</w:t>
            </w:r>
            <w:proofErr w:type="spellEnd"/>
            <w:r w:rsidRPr="00C257D2">
              <w:rPr>
                <w:rFonts w:asciiTheme="majorHAnsi" w:hAnsiTheme="majorHAnsi" w:cs="Calibri"/>
                <w:bCs/>
                <w:color w:val="000000"/>
                <w:sz w:val="10"/>
                <w:szCs w:val="10"/>
              </w:rPr>
              <w:t xml:space="preserve"> Island</w:t>
            </w:r>
          </w:p>
        </w:tc>
        <w:tc>
          <w:tcPr>
            <w:tcW w:w="708" w:type="dxa"/>
            <w:vAlign w:val="center"/>
          </w:tcPr>
          <w:p w14:paraId="7772B798" w14:textId="0F80F54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Population-based cross-sectional study</w:t>
            </w:r>
          </w:p>
        </w:tc>
        <w:tc>
          <w:tcPr>
            <w:tcW w:w="851" w:type="dxa"/>
            <w:vAlign w:val="center"/>
          </w:tcPr>
          <w:p w14:paraId="06FA2CFF" w14:textId="451F2D2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291</w:t>
            </w:r>
          </w:p>
        </w:tc>
        <w:tc>
          <w:tcPr>
            <w:tcW w:w="1092" w:type="dxa"/>
            <w:vAlign w:val="center"/>
          </w:tcPr>
          <w:p w14:paraId="66ED094F" w14:textId="2E48111A"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Adults aged &gt;40 years from </w:t>
            </w:r>
            <w:proofErr w:type="spellStart"/>
            <w:r w:rsidRPr="00C257D2">
              <w:rPr>
                <w:rFonts w:asciiTheme="majorHAnsi" w:hAnsiTheme="majorHAnsi" w:cs="Calibri"/>
                <w:bCs/>
                <w:color w:val="000000"/>
                <w:sz w:val="10"/>
                <w:szCs w:val="10"/>
              </w:rPr>
              <w:t>Kanghwa</w:t>
            </w:r>
            <w:proofErr w:type="spellEnd"/>
            <w:r w:rsidRPr="00C257D2">
              <w:rPr>
                <w:rFonts w:asciiTheme="majorHAnsi" w:hAnsiTheme="majorHAnsi" w:cs="Calibri"/>
                <w:bCs/>
                <w:color w:val="000000"/>
                <w:sz w:val="10"/>
                <w:szCs w:val="10"/>
              </w:rPr>
              <w:t xml:space="preserve"> Island (community-dwelling population), part of a cohort examining environmental eye disease</w:t>
            </w:r>
          </w:p>
        </w:tc>
        <w:tc>
          <w:tcPr>
            <w:tcW w:w="1081" w:type="dxa"/>
            <w:vAlign w:val="center"/>
          </w:tcPr>
          <w:p w14:paraId="35F040C1" w14:textId="17CEC2F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Overall: 62.7 ± 8.6 years; Men: 65.3 ± 9.0; Women: 61.0 ± 8.0</w:t>
            </w:r>
          </w:p>
        </w:tc>
        <w:tc>
          <w:tcPr>
            <w:tcW w:w="804" w:type="dxa"/>
            <w:vAlign w:val="center"/>
          </w:tcPr>
          <w:p w14:paraId="4279B18A" w14:textId="72A843C0"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Overall: 62.7 ± 8.6 years; Men: 65.3 ± 9.0; Women: 61.0 ± 8.0</w:t>
            </w:r>
          </w:p>
        </w:tc>
        <w:tc>
          <w:tcPr>
            <w:tcW w:w="1243" w:type="dxa"/>
            <w:vAlign w:val="center"/>
          </w:tcPr>
          <w:p w14:paraId="519CDB1D" w14:textId="6EB4BCE1"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None explicitly reported except missing data, participants with complete OSDI and clinical data were included</w:t>
            </w:r>
          </w:p>
        </w:tc>
        <w:tc>
          <w:tcPr>
            <w:tcW w:w="1025" w:type="dxa"/>
            <w:vAlign w:val="center"/>
          </w:tcPr>
          <w:p w14:paraId="098EDB87" w14:textId="6B85DEE6"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Symptomatic dry eye defined as OSDI score ≥13</w:t>
            </w:r>
          </w:p>
        </w:tc>
        <w:tc>
          <w:tcPr>
            <w:tcW w:w="850" w:type="dxa"/>
            <w:vAlign w:val="center"/>
          </w:tcPr>
          <w:p w14:paraId="48888469" w14:textId="2EFBECC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Ocular Surface Disease Index (OSDI) questionnaire only: classified as mild (13–22), moderate (23–32), and severe (33–100)</w:t>
            </w:r>
          </w:p>
        </w:tc>
        <w:tc>
          <w:tcPr>
            <w:tcW w:w="992" w:type="dxa"/>
            <w:vAlign w:val="center"/>
          </w:tcPr>
          <w:p w14:paraId="6E33593D" w14:textId="2B9C352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Based on self-report</w:t>
            </w:r>
          </w:p>
        </w:tc>
        <w:tc>
          <w:tcPr>
            <w:tcW w:w="995" w:type="dxa"/>
            <w:vAlign w:val="center"/>
          </w:tcPr>
          <w:p w14:paraId="0B094666" w14:textId="77777777" w:rsid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5724C50E" w14:textId="523BA0A0" w:rsidR="001C3F35" w:rsidRP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MA3</w:t>
            </w:r>
          </w:p>
        </w:tc>
      </w:tr>
      <w:tr w:rsidR="00C257D2" w14:paraId="4C94E49C" w14:textId="38A8856D"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5A0BE086" w14:textId="3BFB6A30" w:rsidR="00C257D2" w:rsidRPr="00C257D2" w:rsidRDefault="00C257D2" w:rsidP="00C257D2">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Garcia-Alfaro 2020</w:t>
            </w:r>
          </w:p>
        </w:tc>
        <w:tc>
          <w:tcPr>
            <w:tcW w:w="1082" w:type="dxa"/>
            <w:vAlign w:val="center"/>
          </w:tcPr>
          <w:p w14:paraId="14B16872" w14:textId="3EA32897"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Menopause: The Journal of the North American Menopause Society</w:t>
            </w:r>
          </w:p>
        </w:tc>
        <w:tc>
          <w:tcPr>
            <w:tcW w:w="640" w:type="dxa"/>
            <w:vAlign w:val="center"/>
          </w:tcPr>
          <w:p w14:paraId="7500A93D" w14:textId="4761B49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Spain - Barcelona</w:t>
            </w:r>
          </w:p>
        </w:tc>
        <w:tc>
          <w:tcPr>
            <w:tcW w:w="708" w:type="dxa"/>
            <w:vAlign w:val="center"/>
          </w:tcPr>
          <w:p w14:paraId="35698278" w14:textId="451694F4"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Cross-sectional</w:t>
            </w:r>
          </w:p>
        </w:tc>
        <w:tc>
          <w:tcPr>
            <w:tcW w:w="851" w:type="dxa"/>
            <w:vAlign w:val="center"/>
          </w:tcPr>
          <w:p w14:paraId="2BBF126E" w14:textId="43E37570"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1,947</w:t>
            </w:r>
          </w:p>
        </w:tc>
        <w:tc>
          <w:tcPr>
            <w:tcW w:w="1092" w:type="dxa"/>
            <w:vAlign w:val="center"/>
          </w:tcPr>
          <w:p w14:paraId="265BE564" w14:textId="1DC4CE2A"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Women aged 45-79 years who had gynecological consultations at </w:t>
            </w:r>
            <w:proofErr w:type="spellStart"/>
            <w:r w:rsidRPr="00C257D2">
              <w:rPr>
                <w:rFonts w:asciiTheme="majorHAnsi" w:hAnsiTheme="majorHAnsi" w:cs="Calibri"/>
                <w:bCs/>
                <w:color w:val="000000"/>
                <w:sz w:val="10"/>
                <w:szCs w:val="10"/>
              </w:rPr>
              <w:t>Dexeus</w:t>
            </w:r>
            <w:proofErr w:type="spellEnd"/>
            <w:r w:rsidRPr="00C257D2">
              <w:rPr>
                <w:rFonts w:asciiTheme="majorHAnsi" w:hAnsiTheme="majorHAnsi" w:cs="Calibri"/>
                <w:bCs/>
                <w:color w:val="000000"/>
                <w:sz w:val="10"/>
                <w:szCs w:val="10"/>
              </w:rPr>
              <w:t xml:space="preserve"> Women’s Hospital, Barcelona were recruited via e-mail survey</w:t>
            </w:r>
          </w:p>
        </w:tc>
        <w:tc>
          <w:tcPr>
            <w:tcW w:w="1081" w:type="dxa"/>
            <w:vAlign w:val="center"/>
          </w:tcPr>
          <w:p w14:paraId="2245386E" w14:textId="721B57AC"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Overall: 54.2 ± 6.8 years; Perimenopausal 48.5 ± 3.0; Postmenopausal 57.5 ± 6.2 years</w:t>
            </w:r>
          </w:p>
        </w:tc>
        <w:tc>
          <w:tcPr>
            <w:tcW w:w="804" w:type="dxa"/>
            <w:vAlign w:val="center"/>
          </w:tcPr>
          <w:p w14:paraId="4D073814" w14:textId="68D6725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Overall: 54.2 ± 6.8 years; Perimenopausal 48.5 ± 3.0; Postmenopausal 57.5 ± 6.2 years</w:t>
            </w:r>
          </w:p>
        </w:tc>
        <w:tc>
          <w:tcPr>
            <w:tcW w:w="1243" w:type="dxa"/>
            <w:vAlign w:val="center"/>
          </w:tcPr>
          <w:p w14:paraId="28FF3707" w14:textId="0799F6A7"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None explicitly stated, participants self-selected via survey. Limitations noted include lack of data on systemic medications, ocular surgery, autoimmune disease, or contact lens use</w:t>
            </w:r>
          </w:p>
        </w:tc>
        <w:tc>
          <w:tcPr>
            <w:tcW w:w="1025" w:type="dxa"/>
            <w:vAlign w:val="center"/>
          </w:tcPr>
          <w:p w14:paraId="61EEC043" w14:textId="64FD47E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Ocular Surface Disease (OSD) symptoms defined by OSDI &gt; 0 (continuous 0-100 scale). Categorized as: 0-20 = normal/mild, 21-45 = moderate, 46-100 = severe</w:t>
            </w:r>
          </w:p>
        </w:tc>
        <w:tc>
          <w:tcPr>
            <w:tcW w:w="850" w:type="dxa"/>
            <w:vAlign w:val="center"/>
          </w:tcPr>
          <w:p w14:paraId="1F52B770" w14:textId="265B88F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Ocular Surface Disease Index (OSDI) questionnaire in Spanish (12 items; validated translation)</w:t>
            </w:r>
          </w:p>
        </w:tc>
        <w:tc>
          <w:tcPr>
            <w:tcW w:w="992" w:type="dxa"/>
            <w:vAlign w:val="center"/>
          </w:tcPr>
          <w:p w14:paraId="09EFB8E5" w14:textId="7BC71033"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 xml:space="preserve">Perimenopause = ≤ 12 months after last period, </w:t>
            </w:r>
            <w:proofErr w:type="spellStart"/>
            <w:r w:rsidRPr="00C257D2">
              <w:rPr>
                <w:rFonts w:asciiTheme="majorHAnsi" w:hAnsiTheme="majorHAnsi" w:cs="Calibri"/>
                <w:bCs/>
                <w:color w:val="000000"/>
                <w:sz w:val="10"/>
                <w:szCs w:val="10"/>
              </w:rPr>
              <w:t>Postmenopause</w:t>
            </w:r>
            <w:proofErr w:type="spellEnd"/>
            <w:r w:rsidRPr="00C257D2">
              <w:rPr>
                <w:rFonts w:asciiTheme="majorHAnsi" w:hAnsiTheme="majorHAnsi" w:cs="Calibri"/>
                <w:bCs/>
                <w:color w:val="000000"/>
                <w:sz w:val="10"/>
                <w:szCs w:val="10"/>
              </w:rPr>
              <w:t xml:space="preserve"> = ≥ 12 months amenorrhea, defined per STRAW + 10 criteria</w:t>
            </w:r>
          </w:p>
        </w:tc>
        <w:tc>
          <w:tcPr>
            <w:tcW w:w="995" w:type="dxa"/>
            <w:vAlign w:val="center"/>
          </w:tcPr>
          <w:p w14:paraId="18C5A554" w14:textId="7BEAFC62" w:rsidR="001C3F35"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34136A2F" w14:textId="455EBFB9" w:rsidR="00C257D2" w:rsidRP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MA2</w:t>
            </w:r>
          </w:p>
        </w:tc>
      </w:tr>
      <w:tr w:rsidR="00C257D2" w14:paraId="21EB987F" w14:textId="67DD60C4"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07131017" w14:textId="652B40EE" w:rsidR="00C257D2" w:rsidRPr="00C257D2" w:rsidRDefault="00C257D2" w:rsidP="00C257D2">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 xml:space="preserve">Bergamaschi 2019 </w:t>
            </w:r>
          </w:p>
        </w:tc>
        <w:tc>
          <w:tcPr>
            <w:tcW w:w="1082" w:type="dxa"/>
            <w:vAlign w:val="center"/>
          </w:tcPr>
          <w:p w14:paraId="015CE68D" w14:textId="35B5193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proofErr w:type="spellStart"/>
            <w:r w:rsidRPr="00C257D2">
              <w:rPr>
                <w:rFonts w:asciiTheme="majorHAnsi" w:hAnsiTheme="majorHAnsi" w:cs="Calibri"/>
                <w:bCs/>
                <w:color w:val="000000"/>
                <w:sz w:val="10"/>
                <w:szCs w:val="10"/>
              </w:rPr>
              <w:t>Maturitas</w:t>
            </w:r>
            <w:proofErr w:type="spellEnd"/>
            <w:r w:rsidRPr="00C257D2">
              <w:rPr>
                <w:rFonts w:asciiTheme="majorHAnsi" w:hAnsiTheme="majorHAnsi" w:cs="Calibri"/>
                <w:bCs/>
                <w:color w:val="000000"/>
                <w:sz w:val="10"/>
                <w:szCs w:val="10"/>
              </w:rPr>
              <w:t xml:space="preserve"> (abstract)</w:t>
            </w:r>
          </w:p>
        </w:tc>
        <w:tc>
          <w:tcPr>
            <w:tcW w:w="640" w:type="dxa"/>
            <w:vAlign w:val="center"/>
          </w:tcPr>
          <w:p w14:paraId="6405586E" w14:textId="1883C998"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Spain - Barcelona</w:t>
            </w:r>
          </w:p>
        </w:tc>
        <w:tc>
          <w:tcPr>
            <w:tcW w:w="708" w:type="dxa"/>
            <w:vAlign w:val="center"/>
          </w:tcPr>
          <w:p w14:paraId="3C1E706B" w14:textId="255772A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Prospective observational study using e-mail self-reported OSDI survey</w:t>
            </w:r>
          </w:p>
        </w:tc>
        <w:tc>
          <w:tcPr>
            <w:tcW w:w="851" w:type="dxa"/>
            <w:vAlign w:val="center"/>
          </w:tcPr>
          <w:p w14:paraId="76CB92DB" w14:textId="5E1A240B"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1563</w:t>
            </w:r>
          </w:p>
        </w:tc>
        <w:tc>
          <w:tcPr>
            <w:tcW w:w="1092" w:type="dxa"/>
            <w:vAlign w:val="center"/>
          </w:tcPr>
          <w:p w14:paraId="62A84248" w14:textId="2225F22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Women aged 45-60 years from hospital gynecology department database (Hospital </w:t>
            </w:r>
            <w:proofErr w:type="spellStart"/>
            <w:r w:rsidRPr="00C257D2">
              <w:rPr>
                <w:rFonts w:asciiTheme="majorHAnsi" w:hAnsiTheme="majorHAnsi" w:cs="Calibri"/>
                <w:bCs/>
                <w:color w:val="000000"/>
                <w:sz w:val="10"/>
                <w:szCs w:val="10"/>
              </w:rPr>
              <w:t>Universitari</w:t>
            </w:r>
            <w:proofErr w:type="spellEnd"/>
            <w:r w:rsidRPr="00C257D2">
              <w:rPr>
                <w:rFonts w:asciiTheme="majorHAnsi" w:hAnsiTheme="majorHAnsi" w:cs="Calibri"/>
                <w:bCs/>
                <w:color w:val="000000"/>
                <w:sz w:val="10"/>
                <w:szCs w:val="10"/>
              </w:rPr>
              <w:t xml:space="preserve"> </w:t>
            </w:r>
            <w:proofErr w:type="spellStart"/>
            <w:r w:rsidRPr="00C257D2">
              <w:rPr>
                <w:rFonts w:asciiTheme="majorHAnsi" w:hAnsiTheme="majorHAnsi" w:cs="Calibri"/>
                <w:bCs/>
                <w:color w:val="000000"/>
                <w:sz w:val="10"/>
                <w:szCs w:val="10"/>
              </w:rPr>
              <w:t>Dexeus</w:t>
            </w:r>
            <w:proofErr w:type="spellEnd"/>
            <w:r w:rsidRPr="00C257D2">
              <w:rPr>
                <w:rFonts w:asciiTheme="majorHAnsi" w:hAnsiTheme="majorHAnsi" w:cs="Calibri"/>
                <w:bCs/>
                <w:color w:val="000000"/>
                <w:sz w:val="10"/>
                <w:szCs w:val="10"/>
              </w:rPr>
              <w:t>)</w:t>
            </w:r>
          </w:p>
        </w:tc>
        <w:tc>
          <w:tcPr>
            <w:tcW w:w="1081" w:type="dxa"/>
            <w:vAlign w:val="center"/>
          </w:tcPr>
          <w:p w14:paraId="19170F2D" w14:textId="1DFF53AD"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Overall mean 51.4 ± 4.3 years (range 45-60)</w:t>
            </w:r>
          </w:p>
        </w:tc>
        <w:tc>
          <w:tcPr>
            <w:tcW w:w="804" w:type="dxa"/>
            <w:vAlign w:val="center"/>
          </w:tcPr>
          <w:p w14:paraId="5392DDE4" w14:textId="60D6B614"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Overall mean 51.4 ± 4.3 years (range 45-60)</w:t>
            </w:r>
          </w:p>
        </w:tc>
        <w:tc>
          <w:tcPr>
            <w:tcW w:w="1243" w:type="dxa"/>
            <w:vAlign w:val="center"/>
          </w:tcPr>
          <w:p w14:paraId="44575F33" w14:textId="3BC3CD8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Not reported</w:t>
            </w:r>
          </w:p>
        </w:tc>
        <w:tc>
          <w:tcPr>
            <w:tcW w:w="1025" w:type="dxa"/>
            <w:vAlign w:val="center"/>
          </w:tcPr>
          <w:p w14:paraId="66EC0C87" w14:textId="2BAF485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Based on Ocular Surface Disease Index (OSDI) scores: classified as normal, moderate, or severe dry eye</w:t>
            </w:r>
          </w:p>
        </w:tc>
        <w:tc>
          <w:tcPr>
            <w:tcW w:w="850" w:type="dxa"/>
            <w:vAlign w:val="center"/>
          </w:tcPr>
          <w:p w14:paraId="08A9918E" w14:textId="3993FA87"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OSDI questionnaire (self-reported symptoms of DED)</w:t>
            </w:r>
          </w:p>
        </w:tc>
        <w:tc>
          <w:tcPr>
            <w:tcW w:w="992" w:type="dxa"/>
            <w:vAlign w:val="center"/>
          </w:tcPr>
          <w:p w14:paraId="2DBF60A6" w14:textId="199D2A5A"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Self-reported hormonal status (pre- vs post-menopausal)</w:t>
            </w:r>
          </w:p>
        </w:tc>
        <w:tc>
          <w:tcPr>
            <w:tcW w:w="995" w:type="dxa"/>
            <w:vAlign w:val="center"/>
          </w:tcPr>
          <w:p w14:paraId="65ACB2B3" w14:textId="77777777" w:rsid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32D63B49" w14:textId="58DFF506" w:rsidR="001C3F35" w:rsidRP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MA3</w:t>
            </w:r>
          </w:p>
        </w:tc>
      </w:tr>
      <w:tr w:rsidR="00C257D2" w14:paraId="7F753911" w14:textId="5FAD3190"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292BCB55" w14:textId="5454C2F2" w:rsidR="00C257D2" w:rsidRPr="00C257D2" w:rsidRDefault="00C257D2" w:rsidP="00C257D2">
            <w:pPr>
              <w:jc w:val="center"/>
              <w:rPr>
                <w:rFonts w:asciiTheme="majorHAnsi" w:hAnsiTheme="majorHAnsi" w:cs="Calibri"/>
                <w:b w:val="0"/>
                <w:bCs/>
                <w:color w:val="000000"/>
                <w:sz w:val="10"/>
                <w:szCs w:val="10"/>
              </w:rPr>
            </w:pPr>
            <w:proofErr w:type="spellStart"/>
            <w:r w:rsidRPr="00C257D2">
              <w:rPr>
                <w:rFonts w:asciiTheme="majorHAnsi" w:hAnsiTheme="majorHAnsi" w:cs="Calibri"/>
                <w:b w:val="0"/>
                <w:bCs/>
                <w:color w:val="000000"/>
                <w:sz w:val="10"/>
                <w:szCs w:val="10"/>
              </w:rPr>
              <w:t>Vallibhakara</w:t>
            </w:r>
            <w:proofErr w:type="spellEnd"/>
            <w:r w:rsidRPr="00C257D2">
              <w:rPr>
                <w:rFonts w:asciiTheme="majorHAnsi" w:hAnsiTheme="majorHAnsi" w:cs="Calibri"/>
                <w:b w:val="0"/>
                <w:bCs/>
                <w:color w:val="000000"/>
                <w:sz w:val="10"/>
                <w:szCs w:val="10"/>
              </w:rPr>
              <w:t xml:space="preserve"> 2025</w:t>
            </w:r>
          </w:p>
        </w:tc>
        <w:tc>
          <w:tcPr>
            <w:tcW w:w="1082" w:type="dxa"/>
            <w:vAlign w:val="center"/>
          </w:tcPr>
          <w:p w14:paraId="102441DD" w14:textId="3FA527A8"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proofErr w:type="spellStart"/>
            <w:r w:rsidRPr="00C257D2">
              <w:rPr>
                <w:rFonts w:asciiTheme="majorHAnsi" w:hAnsiTheme="majorHAnsi" w:cs="Calibri"/>
                <w:bCs/>
                <w:color w:val="000000"/>
                <w:sz w:val="10"/>
                <w:szCs w:val="10"/>
              </w:rPr>
              <w:t>Maturitas</w:t>
            </w:r>
            <w:proofErr w:type="spellEnd"/>
          </w:p>
        </w:tc>
        <w:tc>
          <w:tcPr>
            <w:tcW w:w="640" w:type="dxa"/>
            <w:vAlign w:val="center"/>
          </w:tcPr>
          <w:p w14:paraId="59FF87C9" w14:textId="3DE7B71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Thailand - Bangkok</w:t>
            </w:r>
          </w:p>
        </w:tc>
        <w:tc>
          <w:tcPr>
            <w:tcW w:w="708" w:type="dxa"/>
            <w:vAlign w:val="center"/>
          </w:tcPr>
          <w:p w14:paraId="3B091551" w14:textId="2B679F99"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Cross-sectional</w:t>
            </w:r>
          </w:p>
        </w:tc>
        <w:tc>
          <w:tcPr>
            <w:tcW w:w="851" w:type="dxa"/>
            <w:vAlign w:val="center"/>
          </w:tcPr>
          <w:p w14:paraId="6683A275" w14:textId="263F128C"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262</w:t>
            </w:r>
          </w:p>
        </w:tc>
        <w:tc>
          <w:tcPr>
            <w:tcW w:w="1092" w:type="dxa"/>
            <w:vAlign w:val="center"/>
          </w:tcPr>
          <w:p w14:paraId="62CE05ED" w14:textId="24C8AF25"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Perimenopausal and postmenopausal Thai women (ages 41-60) attending the Gynaecology and Menopause Clinic, </w:t>
            </w:r>
            <w:proofErr w:type="spellStart"/>
            <w:r w:rsidRPr="00C257D2">
              <w:rPr>
                <w:rFonts w:asciiTheme="majorHAnsi" w:hAnsiTheme="majorHAnsi" w:cs="Calibri"/>
                <w:bCs/>
                <w:color w:val="000000"/>
                <w:sz w:val="10"/>
                <w:szCs w:val="10"/>
              </w:rPr>
              <w:t>Ramathibodi</w:t>
            </w:r>
            <w:proofErr w:type="spellEnd"/>
            <w:r w:rsidRPr="00C257D2">
              <w:rPr>
                <w:rFonts w:asciiTheme="majorHAnsi" w:hAnsiTheme="majorHAnsi" w:cs="Calibri"/>
                <w:bCs/>
                <w:color w:val="000000"/>
                <w:sz w:val="10"/>
                <w:szCs w:val="10"/>
              </w:rPr>
              <w:t xml:space="preserve"> Hospital</w:t>
            </w:r>
          </w:p>
        </w:tc>
        <w:tc>
          <w:tcPr>
            <w:tcW w:w="1081" w:type="dxa"/>
            <w:vAlign w:val="center"/>
          </w:tcPr>
          <w:p w14:paraId="3E10A5BF" w14:textId="6739E6CB"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Median 49 years (IQR 46.0-54.8)</w:t>
            </w:r>
          </w:p>
        </w:tc>
        <w:tc>
          <w:tcPr>
            <w:tcW w:w="804" w:type="dxa"/>
            <w:vAlign w:val="center"/>
          </w:tcPr>
          <w:p w14:paraId="0424FCE2" w14:textId="23BBD8CC"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Median 49 years (IQR 46.0-54.8)</w:t>
            </w:r>
          </w:p>
        </w:tc>
        <w:tc>
          <w:tcPr>
            <w:tcW w:w="1243" w:type="dxa"/>
            <w:vAlign w:val="center"/>
          </w:tcPr>
          <w:p w14:paraId="1A060CB9" w14:textId="772A65F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Contact-lens users, history of ocular disease (e.g., Sjögren’s), systemic disease affecting tears (autoimmune, DM), ocular surgery &lt; 6 </w:t>
            </w:r>
            <w:proofErr w:type="spellStart"/>
            <w:r w:rsidRPr="00C257D2">
              <w:rPr>
                <w:rFonts w:asciiTheme="majorHAnsi" w:hAnsiTheme="majorHAnsi" w:cs="Calibri"/>
                <w:bCs/>
                <w:color w:val="000000"/>
                <w:sz w:val="10"/>
                <w:szCs w:val="10"/>
              </w:rPr>
              <w:t>mo</w:t>
            </w:r>
            <w:proofErr w:type="spellEnd"/>
            <w:r w:rsidRPr="00C257D2">
              <w:rPr>
                <w:rFonts w:asciiTheme="majorHAnsi" w:hAnsiTheme="majorHAnsi" w:cs="Calibri"/>
                <w:bCs/>
                <w:color w:val="000000"/>
                <w:sz w:val="10"/>
                <w:szCs w:val="10"/>
              </w:rPr>
              <w:t>, use of hormonal therapy, antidepressants, or other drugs affecting tear production</w:t>
            </w:r>
          </w:p>
        </w:tc>
        <w:tc>
          <w:tcPr>
            <w:tcW w:w="1025" w:type="dxa"/>
            <w:vAlign w:val="center"/>
          </w:tcPr>
          <w:p w14:paraId="7522C588" w14:textId="16DC43BB"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Dry-eye symptoms defined by Ocular Surface Disease Index (OSDI) &gt; 12: moderate-severe ≥ 23, per TFOS DEWS II thresholds</w:t>
            </w:r>
          </w:p>
        </w:tc>
        <w:tc>
          <w:tcPr>
            <w:tcW w:w="850" w:type="dxa"/>
            <w:vAlign w:val="center"/>
          </w:tcPr>
          <w:p w14:paraId="5200F8AD" w14:textId="5A5F3899"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Thai-validated OSDI (12-item questionnaire: normal 0-12, mild 13-22, moderate 23-32, severe 33-100); quality-of-life measured using MENQOL questionnaire</w:t>
            </w:r>
          </w:p>
        </w:tc>
        <w:tc>
          <w:tcPr>
            <w:tcW w:w="992" w:type="dxa"/>
            <w:vAlign w:val="center"/>
          </w:tcPr>
          <w:p w14:paraId="5E5BB680" w14:textId="55940050"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 xml:space="preserve">STRAW criteria: Perimenopause = irregular cycles or ≥ 60 days amenorrhea, </w:t>
            </w:r>
            <w:proofErr w:type="spellStart"/>
            <w:r w:rsidRPr="00C257D2">
              <w:rPr>
                <w:rFonts w:asciiTheme="majorHAnsi" w:hAnsiTheme="majorHAnsi" w:cs="Calibri"/>
                <w:bCs/>
                <w:color w:val="000000"/>
                <w:sz w:val="10"/>
                <w:szCs w:val="10"/>
              </w:rPr>
              <w:t>Postmenopause</w:t>
            </w:r>
            <w:proofErr w:type="spellEnd"/>
            <w:r w:rsidRPr="00C257D2">
              <w:rPr>
                <w:rFonts w:asciiTheme="majorHAnsi" w:hAnsiTheme="majorHAnsi" w:cs="Calibri"/>
                <w:bCs/>
                <w:color w:val="000000"/>
                <w:sz w:val="10"/>
                <w:szCs w:val="10"/>
              </w:rPr>
              <w:t xml:space="preserve"> = ≥ 12 months amenorrhea (natural or surgical)</w:t>
            </w:r>
          </w:p>
        </w:tc>
        <w:tc>
          <w:tcPr>
            <w:tcW w:w="995" w:type="dxa"/>
            <w:vAlign w:val="center"/>
          </w:tcPr>
          <w:p w14:paraId="5A2B80B3" w14:textId="5DA380F5" w:rsidR="001C3F35"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12535D8C" w14:textId="75C3233B" w:rsidR="00C257D2" w:rsidRP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MA2</w:t>
            </w:r>
          </w:p>
        </w:tc>
      </w:tr>
      <w:tr w:rsidR="00C257D2" w14:paraId="591BF17E" w14:textId="23387D7B"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64CA4AD9" w14:textId="4E23F823" w:rsidR="00C257D2" w:rsidRPr="00C257D2" w:rsidRDefault="00C257D2" w:rsidP="00C257D2">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Castro 2018</w:t>
            </w:r>
          </w:p>
        </w:tc>
        <w:tc>
          <w:tcPr>
            <w:tcW w:w="1082" w:type="dxa"/>
            <w:vAlign w:val="center"/>
          </w:tcPr>
          <w:p w14:paraId="3FA645FE" w14:textId="1DF1375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Scientific Reports</w:t>
            </w:r>
          </w:p>
        </w:tc>
        <w:tc>
          <w:tcPr>
            <w:tcW w:w="640" w:type="dxa"/>
            <w:vAlign w:val="center"/>
          </w:tcPr>
          <w:p w14:paraId="68D7EEF9" w14:textId="3C728A19"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Brazil - multicenter (23 urban locations across all 5 geopolitical regions)</w:t>
            </w:r>
          </w:p>
        </w:tc>
        <w:tc>
          <w:tcPr>
            <w:tcW w:w="708" w:type="dxa"/>
            <w:vAlign w:val="center"/>
          </w:tcPr>
          <w:p w14:paraId="3EF7AE28" w14:textId="7AE1145D"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Population-based cross-sectional survey</w:t>
            </w:r>
          </w:p>
        </w:tc>
        <w:tc>
          <w:tcPr>
            <w:tcW w:w="851" w:type="dxa"/>
            <w:vAlign w:val="center"/>
          </w:tcPr>
          <w:p w14:paraId="3EE11D5B" w14:textId="7F51A65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2032</w:t>
            </w:r>
          </w:p>
        </w:tc>
        <w:tc>
          <w:tcPr>
            <w:tcW w:w="1092" w:type="dxa"/>
            <w:vAlign w:val="center"/>
          </w:tcPr>
          <w:p w14:paraId="151CDB2B" w14:textId="41F3EF84"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3,107 adults (≥18 years) from urban populations across North, Northeast, Central-West, Southeast, and South regions of Brazil</w:t>
            </w:r>
          </w:p>
        </w:tc>
        <w:tc>
          <w:tcPr>
            <w:tcW w:w="1081" w:type="dxa"/>
            <w:vAlign w:val="center"/>
          </w:tcPr>
          <w:p w14:paraId="41F9197E" w14:textId="3357D68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Mean age: 40.5 ± 17.1 years; age categories: 18–39 (50.3%), 40–60 (34.2%), ≥60 (15.3%)</w:t>
            </w:r>
          </w:p>
        </w:tc>
        <w:tc>
          <w:tcPr>
            <w:tcW w:w="804" w:type="dxa"/>
            <w:vAlign w:val="center"/>
          </w:tcPr>
          <w:p w14:paraId="13E1850F" w14:textId="4EE7E8C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Mean age: 40.5 ± 17.1 years; age categories: 18–39 (50.3%), 40–60 (34.2%), ≥60 (15.3%)</w:t>
            </w:r>
          </w:p>
        </w:tc>
        <w:tc>
          <w:tcPr>
            <w:tcW w:w="1243" w:type="dxa"/>
            <w:vAlign w:val="center"/>
          </w:tcPr>
          <w:p w14:paraId="4DBA4C3E" w14:textId="4E8C1617"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Hospitalized or ophthalmic clinic patients (to avoid overrepresentation of ocular disease)</w:t>
            </w:r>
          </w:p>
        </w:tc>
        <w:tc>
          <w:tcPr>
            <w:tcW w:w="1025" w:type="dxa"/>
            <w:vAlign w:val="center"/>
          </w:tcPr>
          <w:p w14:paraId="7F0BBE69" w14:textId="11B9DE56"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Dry eye defined as self-reported prior diagnosis by clinician or presence of severe symptoms (both dryness and irritation reported “often” or “constantly”)</w:t>
            </w:r>
          </w:p>
        </w:tc>
        <w:tc>
          <w:tcPr>
            <w:tcW w:w="850" w:type="dxa"/>
            <w:vAlign w:val="center"/>
          </w:tcPr>
          <w:p w14:paraId="0094C4D3" w14:textId="53C095D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Validated Portuguese short dry-eye symptom questionnaire (3-item version adapted from the Women’s Health Study)</w:t>
            </w:r>
          </w:p>
        </w:tc>
        <w:tc>
          <w:tcPr>
            <w:tcW w:w="992" w:type="dxa"/>
            <w:vAlign w:val="center"/>
          </w:tcPr>
          <w:p w14:paraId="12978026" w14:textId="1A2436F6"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Self-reported (yes/no) under “risk factors” section of questionnaire</w:t>
            </w:r>
          </w:p>
        </w:tc>
        <w:tc>
          <w:tcPr>
            <w:tcW w:w="995" w:type="dxa"/>
            <w:vAlign w:val="center"/>
          </w:tcPr>
          <w:p w14:paraId="664FD6F3" w14:textId="77777777" w:rsid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4932A54F" w14:textId="358B03F0" w:rsidR="001C3F35" w:rsidRP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MA3</w:t>
            </w:r>
          </w:p>
        </w:tc>
      </w:tr>
      <w:tr w:rsidR="00C257D2" w14:paraId="4B23495A" w14:textId="36FCA86F"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148F2696" w14:textId="13328B63" w:rsidR="00C257D2" w:rsidRPr="00C257D2" w:rsidRDefault="00C257D2" w:rsidP="00C257D2">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lastRenderedPageBreak/>
              <w:t>Olaniyan 2016</w:t>
            </w:r>
          </w:p>
        </w:tc>
        <w:tc>
          <w:tcPr>
            <w:tcW w:w="1082" w:type="dxa"/>
            <w:vAlign w:val="center"/>
          </w:tcPr>
          <w:p w14:paraId="52C8070E" w14:textId="4DF0E9B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Contact Lens and Anterior Eye</w:t>
            </w:r>
          </w:p>
        </w:tc>
        <w:tc>
          <w:tcPr>
            <w:tcW w:w="640" w:type="dxa"/>
            <w:vAlign w:val="center"/>
          </w:tcPr>
          <w:p w14:paraId="5EC397A0" w14:textId="5F0B6A46"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Nigeria - </w:t>
            </w:r>
            <w:proofErr w:type="spellStart"/>
            <w:r w:rsidRPr="00C257D2">
              <w:rPr>
                <w:rFonts w:asciiTheme="majorHAnsi" w:hAnsiTheme="majorHAnsi" w:cs="Calibri"/>
                <w:bCs/>
                <w:color w:val="000000"/>
                <w:sz w:val="10"/>
                <w:szCs w:val="10"/>
              </w:rPr>
              <w:t>Iseyin</w:t>
            </w:r>
            <w:proofErr w:type="spellEnd"/>
            <w:r w:rsidRPr="00C257D2">
              <w:rPr>
                <w:rFonts w:asciiTheme="majorHAnsi" w:hAnsiTheme="majorHAnsi" w:cs="Calibri"/>
                <w:bCs/>
                <w:color w:val="000000"/>
                <w:sz w:val="10"/>
                <w:szCs w:val="10"/>
              </w:rPr>
              <w:t xml:space="preserve"> Local Government Area, Oyo State (South-West Nigeria)</w:t>
            </w:r>
          </w:p>
        </w:tc>
        <w:tc>
          <w:tcPr>
            <w:tcW w:w="708" w:type="dxa"/>
            <w:vAlign w:val="center"/>
          </w:tcPr>
          <w:p w14:paraId="109CB26A" w14:textId="0304047D"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Community-based cross-sectional study</w:t>
            </w:r>
          </w:p>
        </w:tc>
        <w:tc>
          <w:tcPr>
            <w:tcW w:w="851" w:type="dxa"/>
            <w:vAlign w:val="center"/>
          </w:tcPr>
          <w:p w14:paraId="66754574" w14:textId="177BE1C8"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188</w:t>
            </w:r>
          </w:p>
        </w:tc>
        <w:tc>
          <w:tcPr>
            <w:tcW w:w="1092" w:type="dxa"/>
            <w:vAlign w:val="center"/>
          </w:tcPr>
          <w:p w14:paraId="10CE1E41" w14:textId="463862F6"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Adults aged ≥40 years from </w:t>
            </w:r>
            <w:proofErr w:type="spellStart"/>
            <w:r w:rsidRPr="00C257D2">
              <w:rPr>
                <w:rFonts w:asciiTheme="majorHAnsi" w:hAnsiTheme="majorHAnsi" w:cs="Calibri"/>
                <w:bCs/>
                <w:color w:val="000000"/>
                <w:sz w:val="10"/>
                <w:szCs w:val="10"/>
              </w:rPr>
              <w:t>Iseyin</w:t>
            </w:r>
            <w:proofErr w:type="spellEnd"/>
            <w:r w:rsidRPr="00C257D2">
              <w:rPr>
                <w:rFonts w:asciiTheme="majorHAnsi" w:hAnsiTheme="majorHAnsi" w:cs="Calibri"/>
                <w:bCs/>
                <w:color w:val="000000"/>
                <w:sz w:val="10"/>
                <w:szCs w:val="10"/>
              </w:rPr>
              <w:t xml:space="preserve"> LGA (rural community), random multistage sampling, home-based clinical assessment</w:t>
            </w:r>
          </w:p>
        </w:tc>
        <w:tc>
          <w:tcPr>
            <w:tcW w:w="1081" w:type="dxa"/>
            <w:vAlign w:val="center"/>
          </w:tcPr>
          <w:p w14:paraId="0468E061" w14:textId="4BCD0E1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Mean 59.1 ± 13.1 years (range 40-100)</w:t>
            </w:r>
          </w:p>
        </w:tc>
        <w:tc>
          <w:tcPr>
            <w:tcW w:w="804" w:type="dxa"/>
            <w:vAlign w:val="center"/>
          </w:tcPr>
          <w:p w14:paraId="74295971" w14:textId="3A8A74F3"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Mean 59.1 ± 13.1 years (range 40-100)</w:t>
            </w:r>
          </w:p>
        </w:tc>
        <w:tc>
          <w:tcPr>
            <w:tcW w:w="1243" w:type="dxa"/>
            <w:vAlign w:val="center"/>
          </w:tcPr>
          <w:p w14:paraId="7159356A" w14:textId="5F57BCC1"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Infective conjunctivitis, ocular surgery &lt;3 months, lagophthalmos, or lid abnormalities causing exposure keratopathy</w:t>
            </w:r>
          </w:p>
        </w:tc>
        <w:tc>
          <w:tcPr>
            <w:tcW w:w="1025" w:type="dxa"/>
            <w:vAlign w:val="center"/>
          </w:tcPr>
          <w:p w14:paraId="06631CF8" w14:textId="07F454D8"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≥1 symptom experienced “often or all the time” and ≥1 sign (Schirmer ≤5 mm or TBUT ≤10 s or corneal fluorescein staining ≥grade 1)</w:t>
            </w:r>
          </w:p>
        </w:tc>
        <w:tc>
          <w:tcPr>
            <w:tcW w:w="850" w:type="dxa"/>
            <w:vAlign w:val="center"/>
          </w:tcPr>
          <w:p w14:paraId="235B1A81" w14:textId="6D14C0E4"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Salisbury Eye Evaluation Questionnaire (6-item), Schirmer I test with anesthetic, Tear Film Break-Up Time (TBUT), and corneal fluorescein staining</w:t>
            </w:r>
          </w:p>
        </w:tc>
        <w:tc>
          <w:tcPr>
            <w:tcW w:w="992" w:type="dxa"/>
            <w:vAlign w:val="center"/>
          </w:tcPr>
          <w:p w14:paraId="267755CC" w14:textId="64F1B998"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Self-reported, amenorrhea used to define postmenopausal</w:t>
            </w:r>
          </w:p>
        </w:tc>
        <w:tc>
          <w:tcPr>
            <w:tcW w:w="995" w:type="dxa"/>
            <w:vAlign w:val="center"/>
          </w:tcPr>
          <w:p w14:paraId="22828DD9" w14:textId="77777777" w:rsid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15D670E9" w14:textId="6E7CEAA4" w:rsidR="001C3F35" w:rsidRP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MA3</w:t>
            </w:r>
          </w:p>
        </w:tc>
      </w:tr>
      <w:tr w:rsidR="00C257D2" w14:paraId="3AA4B812" w14:textId="5EB6522A"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23C1DE29" w14:textId="23C27D37" w:rsidR="00C257D2" w:rsidRPr="00C257D2" w:rsidRDefault="00C257D2" w:rsidP="00C257D2">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Ayaki 2016</w:t>
            </w:r>
          </w:p>
        </w:tc>
        <w:tc>
          <w:tcPr>
            <w:tcW w:w="1082" w:type="dxa"/>
            <w:vAlign w:val="center"/>
          </w:tcPr>
          <w:p w14:paraId="5F7483EA" w14:textId="09B8012C"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Scientific Reports</w:t>
            </w:r>
          </w:p>
        </w:tc>
        <w:tc>
          <w:tcPr>
            <w:tcW w:w="640" w:type="dxa"/>
            <w:vAlign w:val="center"/>
          </w:tcPr>
          <w:p w14:paraId="13F58A9E" w14:textId="0C524224"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Japan - Tokyo</w:t>
            </w:r>
          </w:p>
        </w:tc>
        <w:tc>
          <w:tcPr>
            <w:tcW w:w="708" w:type="dxa"/>
            <w:vAlign w:val="center"/>
          </w:tcPr>
          <w:p w14:paraId="4DD3845F" w14:textId="7344F666"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Multicenter, cross-sectional clinic-based study</w:t>
            </w:r>
          </w:p>
        </w:tc>
        <w:tc>
          <w:tcPr>
            <w:tcW w:w="851" w:type="dxa"/>
            <w:vAlign w:val="center"/>
          </w:tcPr>
          <w:p w14:paraId="468A1A76" w14:textId="16217081"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890</w:t>
            </w:r>
          </w:p>
        </w:tc>
        <w:tc>
          <w:tcPr>
            <w:tcW w:w="1092" w:type="dxa"/>
            <w:vAlign w:val="center"/>
          </w:tcPr>
          <w:p w14:paraId="08ADCB60" w14:textId="7C39403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Female outpatients aged 30-69 years visiting general eye clinics across Japan for ocular evaluation</w:t>
            </w:r>
          </w:p>
        </w:tc>
        <w:tc>
          <w:tcPr>
            <w:tcW w:w="1081" w:type="dxa"/>
            <w:vAlign w:val="center"/>
          </w:tcPr>
          <w:p w14:paraId="00A4A191" w14:textId="14A38D63"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38.2 ± 4.2 (pre), 50.8 ± 2.5 (peri), 63.4 ± 4.2 (post)</w:t>
            </w:r>
          </w:p>
        </w:tc>
        <w:tc>
          <w:tcPr>
            <w:tcW w:w="804" w:type="dxa"/>
            <w:vAlign w:val="center"/>
          </w:tcPr>
          <w:p w14:paraId="3A85D882" w14:textId="06A195FD"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38.2 ± 4.2 (pre), 50.8 ± 2.5 (peri), 63.4 ± 4.2 (post)</w:t>
            </w:r>
          </w:p>
        </w:tc>
        <w:tc>
          <w:tcPr>
            <w:tcW w:w="1243" w:type="dxa"/>
            <w:vAlign w:val="center"/>
          </w:tcPr>
          <w:p w14:paraId="3BCFD336" w14:textId="150DAF80"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Corneal disease, cataract, retinal pathology, glaucoma, psychiatric disease, or use of psychiatric medications</w:t>
            </w:r>
          </w:p>
        </w:tc>
        <w:tc>
          <w:tcPr>
            <w:tcW w:w="1025" w:type="dxa"/>
            <w:vAlign w:val="center"/>
          </w:tcPr>
          <w:p w14:paraId="2EE68C3F" w14:textId="77F03695"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Classified using Japanese Dry Eye Society criteria into definite DED (DDED), probable DED (PDED), or non-DED, based on dry eye symptoms, Schirmer ≤5 mm, TBUT ≤5 s, maximum blink interval ≤9 s, and staining ≥3</w:t>
            </w:r>
          </w:p>
        </w:tc>
        <w:tc>
          <w:tcPr>
            <w:tcW w:w="850" w:type="dxa"/>
            <w:vAlign w:val="center"/>
          </w:tcPr>
          <w:p w14:paraId="5D9F0741" w14:textId="325866C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Schirmer test, TBUT, corneal fluorescein staining, Dry Eye Questionnaire Score (DEQS) symptoms interview; subjective sleep (PSQI) and mood (HADS) questionnaires</w:t>
            </w:r>
          </w:p>
        </w:tc>
        <w:tc>
          <w:tcPr>
            <w:tcW w:w="992" w:type="dxa"/>
            <w:vAlign w:val="center"/>
          </w:tcPr>
          <w:p w14:paraId="72A18CD5" w14:textId="028D295D"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Age-based grouping (Japan’s mean menopause age ≈ 50 years) - not biochemically confirmed</w:t>
            </w:r>
          </w:p>
        </w:tc>
        <w:tc>
          <w:tcPr>
            <w:tcW w:w="995" w:type="dxa"/>
            <w:vAlign w:val="center"/>
          </w:tcPr>
          <w:p w14:paraId="58001DE8" w14:textId="5CE3D11E" w:rsidR="001C3F35"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169C17E5" w14:textId="77777777" w:rsid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MA2</w:t>
            </w:r>
          </w:p>
          <w:p w14:paraId="137B05F4" w14:textId="321EF853" w:rsidR="001C3F35" w:rsidRP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MA3</w:t>
            </w:r>
          </w:p>
        </w:tc>
      </w:tr>
      <w:tr w:rsidR="00C257D2" w14:paraId="5746BF90" w14:textId="71A01C4F"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2EC9A27F" w14:textId="7CF28FDA" w:rsidR="00C257D2" w:rsidRPr="00C257D2" w:rsidRDefault="00C257D2" w:rsidP="00C257D2">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Sahai 2005</w:t>
            </w:r>
          </w:p>
        </w:tc>
        <w:tc>
          <w:tcPr>
            <w:tcW w:w="1082" w:type="dxa"/>
            <w:vAlign w:val="center"/>
          </w:tcPr>
          <w:p w14:paraId="086BAF8B" w14:textId="082500C9"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Indian Journal of Ophthalmology</w:t>
            </w:r>
          </w:p>
        </w:tc>
        <w:tc>
          <w:tcPr>
            <w:tcW w:w="640" w:type="dxa"/>
            <w:vAlign w:val="center"/>
          </w:tcPr>
          <w:p w14:paraId="263A0CF6" w14:textId="4383BB0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India - Jaipur, Rajasthan</w:t>
            </w:r>
          </w:p>
        </w:tc>
        <w:tc>
          <w:tcPr>
            <w:tcW w:w="708" w:type="dxa"/>
            <w:vAlign w:val="center"/>
          </w:tcPr>
          <w:p w14:paraId="1C100C51" w14:textId="1D2CD2C2"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Cross-sectional, hospital-based study</w:t>
            </w:r>
          </w:p>
        </w:tc>
        <w:tc>
          <w:tcPr>
            <w:tcW w:w="851" w:type="dxa"/>
            <w:vAlign w:val="center"/>
          </w:tcPr>
          <w:p w14:paraId="2EB535D3" w14:textId="5A86C91E"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224</w:t>
            </w:r>
          </w:p>
        </w:tc>
        <w:tc>
          <w:tcPr>
            <w:tcW w:w="1092" w:type="dxa"/>
            <w:vAlign w:val="center"/>
          </w:tcPr>
          <w:p w14:paraId="0B9485E0" w14:textId="3B60AD49"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Patients aged &gt;20 years presenting with ophthalmic problems to Sahai Hospital and Research Centre (tertiary eye care centre)</w:t>
            </w:r>
          </w:p>
        </w:tc>
        <w:tc>
          <w:tcPr>
            <w:tcW w:w="1081" w:type="dxa"/>
            <w:vAlign w:val="center"/>
          </w:tcPr>
          <w:p w14:paraId="3AC38E7A" w14:textId="6173C570"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21-70 years (mean not stated)</w:t>
            </w:r>
          </w:p>
        </w:tc>
        <w:tc>
          <w:tcPr>
            <w:tcW w:w="804" w:type="dxa"/>
            <w:vAlign w:val="center"/>
          </w:tcPr>
          <w:p w14:paraId="249E9DAE" w14:textId="29C5B7FC"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21-70 years (mean not stated)</w:t>
            </w:r>
          </w:p>
        </w:tc>
        <w:tc>
          <w:tcPr>
            <w:tcW w:w="1243" w:type="dxa"/>
            <w:vAlign w:val="center"/>
          </w:tcPr>
          <w:p w14:paraId="7413EA35" w14:textId="675A473F"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Acute ocular infection with corneal/conjunctival pathology, contact lens wearers, and ocular surgery within 6 months</w:t>
            </w:r>
          </w:p>
        </w:tc>
        <w:tc>
          <w:tcPr>
            <w:tcW w:w="1025" w:type="dxa"/>
            <w:vAlign w:val="center"/>
          </w:tcPr>
          <w:p w14:paraId="3B0CF6D4" w14:textId="02CE3968"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Diagnosis confirmed when ≥3 of 5 tests positive: symptom score &gt;3, </w:t>
            </w:r>
            <w:proofErr w:type="spellStart"/>
            <w:r w:rsidRPr="00C257D2">
              <w:rPr>
                <w:rFonts w:asciiTheme="majorHAnsi" w:hAnsiTheme="majorHAnsi" w:cs="Calibri"/>
                <w:bCs/>
                <w:color w:val="000000"/>
                <w:sz w:val="10"/>
                <w:szCs w:val="10"/>
              </w:rPr>
              <w:t>Lissamine</w:t>
            </w:r>
            <w:proofErr w:type="spellEnd"/>
            <w:r w:rsidRPr="00C257D2">
              <w:rPr>
                <w:rFonts w:asciiTheme="majorHAnsi" w:hAnsiTheme="majorHAnsi" w:cs="Calibri"/>
                <w:bCs/>
                <w:color w:val="000000"/>
                <w:sz w:val="10"/>
                <w:szCs w:val="10"/>
              </w:rPr>
              <w:t xml:space="preserve"> Green ≥3, Schirmer ≤5 mm/5 min, TBUT &lt;10 s, or filaments present</w:t>
            </w:r>
          </w:p>
        </w:tc>
        <w:tc>
          <w:tcPr>
            <w:tcW w:w="850" w:type="dxa"/>
            <w:vAlign w:val="center"/>
          </w:tcPr>
          <w:p w14:paraId="7B65FB5A" w14:textId="159EF7C9"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13-point questionnaire (symptom-based), </w:t>
            </w:r>
            <w:proofErr w:type="spellStart"/>
            <w:r w:rsidRPr="00C257D2">
              <w:rPr>
                <w:rFonts w:asciiTheme="majorHAnsi" w:hAnsiTheme="majorHAnsi" w:cs="Calibri"/>
                <w:bCs/>
                <w:color w:val="000000"/>
                <w:sz w:val="10"/>
                <w:szCs w:val="10"/>
              </w:rPr>
              <w:t>Lissamine</w:t>
            </w:r>
            <w:proofErr w:type="spellEnd"/>
            <w:r w:rsidRPr="00C257D2">
              <w:rPr>
                <w:rFonts w:asciiTheme="majorHAnsi" w:hAnsiTheme="majorHAnsi" w:cs="Calibri"/>
                <w:bCs/>
                <w:color w:val="000000"/>
                <w:sz w:val="10"/>
                <w:szCs w:val="10"/>
              </w:rPr>
              <w:t xml:space="preserve"> Green staining, Schirmer’s test, Tear Film Break-Up Time (TBUT), and filament/mucus strand observation</w:t>
            </w:r>
          </w:p>
        </w:tc>
        <w:tc>
          <w:tcPr>
            <w:tcW w:w="992" w:type="dxa"/>
            <w:vAlign w:val="center"/>
          </w:tcPr>
          <w:p w14:paraId="557A7E29" w14:textId="34E29D1B" w:rsidR="00C257D2" w:rsidRPr="00C257D2" w:rsidRDefault="00C257D2"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Self-reported cessation of menses (≥12 months amenorrhea) vs non-menopausal females</w:t>
            </w:r>
          </w:p>
        </w:tc>
        <w:tc>
          <w:tcPr>
            <w:tcW w:w="995" w:type="dxa"/>
            <w:vAlign w:val="center"/>
          </w:tcPr>
          <w:p w14:paraId="70B8A070" w14:textId="77777777" w:rsid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266AE528" w14:textId="7B965C4F" w:rsidR="001C3F35" w:rsidRPr="00C257D2" w:rsidRDefault="001C3F35" w:rsidP="00C257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MA3</w:t>
            </w:r>
          </w:p>
        </w:tc>
      </w:tr>
      <w:tr w:rsidR="001C3F35" w14:paraId="6BE2E21F" w14:textId="77777777"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72FD6A69" w14:textId="3A6FB9C9" w:rsidR="001C3F35" w:rsidRPr="00C257D2" w:rsidRDefault="001C3F35" w:rsidP="001C3F35">
            <w:pPr>
              <w:jc w:val="center"/>
              <w:rPr>
                <w:rFonts w:asciiTheme="majorHAnsi" w:hAnsiTheme="majorHAnsi" w:cs="Calibri"/>
                <w:bCs/>
                <w:color w:val="000000"/>
                <w:sz w:val="10"/>
                <w:szCs w:val="10"/>
              </w:rPr>
            </w:pPr>
            <w:r w:rsidRPr="00C257D2">
              <w:rPr>
                <w:rFonts w:asciiTheme="majorHAnsi" w:hAnsiTheme="majorHAnsi" w:cs="Calibri"/>
                <w:b w:val="0"/>
                <w:bCs/>
                <w:color w:val="000000"/>
                <w:sz w:val="10"/>
                <w:szCs w:val="10"/>
              </w:rPr>
              <w:t>Garcia-Marques 2022</w:t>
            </w:r>
          </w:p>
        </w:tc>
        <w:tc>
          <w:tcPr>
            <w:tcW w:w="1082" w:type="dxa"/>
            <w:vAlign w:val="center"/>
          </w:tcPr>
          <w:p w14:paraId="7EE82EAF" w14:textId="6B37240A"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Contact Lens &amp; Anterior Eye</w:t>
            </w:r>
          </w:p>
        </w:tc>
        <w:tc>
          <w:tcPr>
            <w:tcW w:w="640" w:type="dxa"/>
            <w:vAlign w:val="center"/>
          </w:tcPr>
          <w:p w14:paraId="2C53E92F" w14:textId="3D6E9389"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Spain - Valencia</w:t>
            </w:r>
          </w:p>
        </w:tc>
        <w:tc>
          <w:tcPr>
            <w:tcW w:w="708" w:type="dxa"/>
            <w:vAlign w:val="center"/>
          </w:tcPr>
          <w:p w14:paraId="2A25826C" w14:textId="561ECB01"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Cross-sectional study</w:t>
            </w:r>
          </w:p>
        </w:tc>
        <w:tc>
          <w:tcPr>
            <w:tcW w:w="851" w:type="dxa"/>
            <w:vAlign w:val="center"/>
          </w:tcPr>
          <w:p w14:paraId="7C09349C" w14:textId="765ED634"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60</w:t>
            </w:r>
          </w:p>
        </w:tc>
        <w:tc>
          <w:tcPr>
            <w:tcW w:w="1092" w:type="dxa"/>
            <w:vAlign w:val="center"/>
          </w:tcPr>
          <w:p w14:paraId="08343A8A" w14:textId="2F4C77DC"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120 Caucasian participants aged 18-89 (47.0 ± 22.8 yrs) recruited from university and local community advertisements (Nov 2018 - Jan 2019)</w:t>
            </w:r>
          </w:p>
        </w:tc>
        <w:tc>
          <w:tcPr>
            <w:tcW w:w="1081" w:type="dxa"/>
            <w:vAlign w:val="center"/>
          </w:tcPr>
          <w:p w14:paraId="56B668F8" w14:textId="239F0D36"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Total 47.0 ± 22.8 yrs (range 18–89); Healthy 43.2 ± 21.2; DED 49.2 ± 23.5 (p = 0.24)</w:t>
            </w:r>
          </w:p>
        </w:tc>
        <w:tc>
          <w:tcPr>
            <w:tcW w:w="804" w:type="dxa"/>
            <w:vAlign w:val="center"/>
          </w:tcPr>
          <w:p w14:paraId="2EE5CBB6" w14:textId="27CAA5BD"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Total 47.0 ± 22.8 yrs (range 18–89); Healthy 43.2 ± 21.2; DED 49.2 ± 23.5 (p = 0.24)</w:t>
            </w:r>
          </w:p>
        </w:tc>
        <w:tc>
          <w:tcPr>
            <w:tcW w:w="1243" w:type="dxa"/>
            <w:vAlign w:val="center"/>
          </w:tcPr>
          <w:p w14:paraId="40C4C1E2" w14:textId="24450453"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 xml:space="preserve">Ocular surgery ≤3 months, non-resident participants (excluded to minimize environmental differences), no </w:t>
            </w:r>
            <w:proofErr w:type="spellStart"/>
            <w:r w:rsidRPr="00C257D2">
              <w:rPr>
                <w:rFonts w:asciiTheme="majorHAnsi" w:hAnsiTheme="majorHAnsi" w:cs="Calibri"/>
                <w:bCs/>
                <w:color w:val="000000"/>
                <w:sz w:val="10"/>
                <w:szCs w:val="10"/>
              </w:rPr>
              <w:t>Sjӧgren</w:t>
            </w:r>
            <w:proofErr w:type="spellEnd"/>
            <w:r w:rsidRPr="00C257D2">
              <w:rPr>
                <w:rFonts w:asciiTheme="majorHAnsi" w:hAnsiTheme="majorHAnsi" w:cs="Calibri"/>
                <w:bCs/>
                <w:color w:val="000000"/>
                <w:sz w:val="10"/>
                <w:szCs w:val="10"/>
              </w:rPr>
              <w:t xml:space="preserve"> syndrome or systemic inflammatory disease present</w:t>
            </w:r>
          </w:p>
        </w:tc>
        <w:tc>
          <w:tcPr>
            <w:tcW w:w="1025" w:type="dxa"/>
            <w:vAlign w:val="center"/>
          </w:tcPr>
          <w:p w14:paraId="574EE0DA" w14:textId="06C3B4A1"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 xml:space="preserve">TFOS DEWS II criteria: symptoms (OSDI ≥ 13 or DEQ-5 ≥ 6) and ≥ 1 homeostasis marker abnormal (NIKBUT &lt; 10 s; osmolarity ≥ 308 </w:t>
            </w:r>
            <w:proofErr w:type="spellStart"/>
            <w:r w:rsidRPr="00C257D2">
              <w:rPr>
                <w:rFonts w:asciiTheme="majorHAnsi" w:hAnsiTheme="majorHAnsi" w:cs="Calibri"/>
                <w:bCs/>
                <w:color w:val="000000"/>
                <w:sz w:val="10"/>
                <w:szCs w:val="10"/>
              </w:rPr>
              <w:t>mOsm</w:t>
            </w:r>
            <w:proofErr w:type="spellEnd"/>
            <w:r w:rsidRPr="00C257D2">
              <w:rPr>
                <w:rFonts w:asciiTheme="majorHAnsi" w:hAnsiTheme="majorHAnsi" w:cs="Calibri"/>
                <w:bCs/>
                <w:color w:val="000000"/>
                <w:sz w:val="10"/>
                <w:szCs w:val="10"/>
              </w:rPr>
              <w:t xml:space="preserve">/L or change in &gt; 8 </w:t>
            </w:r>
            <w:proofErr w:type="spellStart"/>
            <w:r w:rsidRPr="00C257D2">
              <w:rPr>
                <w:rFonts w:asciiTheme="majorHAnsi" w:hAnsiTheme="majorHAnsi" w:cs="Calibri"/>
                <w:bCs/>
                <w:color w:val="000000"/>
                <w:sz w:val="10"/>
                <w:szCs w:val="10"/>
              </w:rPr>
              <w:t>mOsm</w:t>
            </w:r>
            <w:proofErr w:type="spellEnd"/>
            <w:r w:rsidRPr="00C257D2">
              <w:rPr>
                <w:rFonts w:asciiTheme="majorHAnsi" w:hAnsiTheme="majorHAnsi" w:cs="Calibri"/>
                <w:bCs/>
                <w:color w:val="000000"/>
                <w:sz w:val="10"/>
                <w:szCs w:val="10"/>
              </w:rPr>
              <w:t xml:space="preserve">/L, corneal fluorescein &gt; 5 spots, conjunctival </w:t>
            </w:r>
            <w:proofErr w:type="spellStart"/>
            <w:r w:rsidRPr="00C257D2">
              <w:rPr>
                <w:rFonts w:asciiTheme="majorHAnsi" w:hAnsiTheme="majorHAnsi" w:cs="Calibri"/>
                <w:bCs/>
                <w:color w:val="000000"/>
                <w:sz w:val="10"/>
                <w:szCs w:val="10"/>
              </w:rPr>
              <w:t>lissamine</w:t>
            </w:r>
            <w:proofErr w:type="spellEnd"/>
            <w:r w:rsidRPr="00C257D2">
              <w:rPr>
                <w:rFonts w:asciiTheme="majorHAnsi" w:hAnsiTheme="majorHAnsi" w:cs="Calibri"/>
                <w:bCs/>
                <w:color w:val="000000"/>
                <w:sz w:val="10"/>
                <w:szCs w:val="10"/>
              </w:rPr>
              <w:t xml:space="preserve"> &gt; 9 spots; or lid staining ≥ 2 mm length ≥ 25% width)</w:t>
            </w:r>
          </w:p>
        </w:tc>
        <w:tc>
          <w:tcPr>
            <w:tcW w:w="850" w:type="dxa"/>
            <w:vAlign w:val="center"/>
          </w:tcPr>
          <w:p w14:paraId="0814FEAA" w14:textId="1CF53B1D"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 xml:space="preserve">OSDI and DEQ-5 questionnaires, non-invasive </w:t>
            </w:r>
            <w:proofErr w:type="spellStart"/>
            <w:r w:rsidRPr="00C257D2">
              <w:rPr>
                <w:rFonts w:asciiTheme="majorHAnsi" w:hAnsiTheme="majorHAnsi" w:cs="Calibri"/>
                <w:bCs/>
                <w:color w:val="000000"/>
                <w:sz w:val="10"/>
                <w:szCs w:val="10"/>
              </w:rPr>
              <w:t>Keratograph</w:t>
            </w:r>
            <w:proofErr w:type="spellEnd"/>
            <w:r w:rsidRPr="00C257D2">
              <w:rPr>
                <w:rFonts w:asciiTheme="majorHAnsi" w:hAnsiTheme="majorHAnsi" w:cs="Calibri"/>
                <w:bCs/>
                <w:color w:val="000000"/>
                <w:sz w:val="10"/>
                <w:szCs w:val="10"/>
              </w:rPr>
              <w:t xml:space="preserve"> break-up time (Oculus K5 M), tear osmolarity (</w:t>
            </w:r>
            <w:proofErr w:type="spellStart"/>
            <w:r w:rsidRPr="00C257D2">
              <w:rPr>
                <w:rFonts w:asciiTheme="majorHAnsi" w:hAnsiTheme="majorHAnsi" w:cs="Calibri"/>
                <w:bCs/>
                <w:color w:val="000000"/>
                <w:sz w:val="10"/>
                <w:szCs w:val="10"/>
              </w:rPr>
              <w:t>TearLab</w:t>
            </w:r>
            <w:proofErr w:type="spellEnd"/>
            <w:r w:rsidRPr="00C257D2">
              <w:rPr>
                <w:rFonts w:asciiTheme="majorHAnsi" w:hAnsiTheme="majorHAnsi" w:cs="Calibri"/>
                <w:bCs/>
                <w:color w:val="000000"/>
                <w:sz w:val="10"/>
                <w:szCs w:val="10"/>
              </w:rPr>
              <w:t xml:space="preserve">), fluorescein and </w:t>
            </w:r>
            <w:proofErr w:type="spellStart"/>
            <w:r w:rsidRPr="00C257D2">
              <w:rPr>
                <w:rFonts w:asciiTheme="majorHAnsi" w:hAnsiTheme="majorHAnsi" w:cs="Calibri"/>
                <w:bCs/>
                <w:color w:val="000000"/>
                <w:sz w:val="10"/>
                <w:szCs w:val="10"/>
              </w:rPr>
              <w:t>lissamine</w:t>
            </w:r>
            <w:proofErr w:type="spellEnd"/>
            <w:r w:rsidRPr="00C257D2">
              <w:rPr>
                <w:rFonts w:asciiTheme="majorHAnsi" w:hAnsiTheme="majorHAnsi" w:cs="Calibri"/>
                <w:bCs/>
                <w:color w:val="000000"/>
                <w:sz w:val="10"/>
                <w:szCs w:val="10"/>
              </w:rPr>
              <w:t xml:space="preserve"> staining of cornea/conjunctiva, lid wiper epitheliopathy assessment</w:t>
            </w:r>
          </w:p>
        </w:tc>
        <w:tc>
          <w:tcPr>
            <w:tcW w:w="992" w:type="dxa"/>
            <w:vAlign w:val="center"/>
          </w:tcPr>
          <w:p w14:paraId="287A6FB7" w14:textId="06E98AF9"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Self-reported menopause status (cessation of menses ≥ 12 months) recorded as medical history variable and included in risk factor model</w:t>
            </w:r>
          </w:p>
        </w:tc>
        <w:tc>
          <w:tcPr>
            <w:tcW w:w="995" w:type="dxa"/>
            <w:vAlign w:val="center"/>
          </w:tcPr>
          <w:p w14:paraId="50529C7E" w14:textId="77777777" w:rsidR="001C3F35"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MA1</w:t>
            </w:r>
          </w:p>
          <w:p w14:paraId="7C1C7C8B" w14:textId="59B4823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MA3</w:t>
            </w:r>
          </w:p>
        </w:tc>
      </w:tr>
      <w:tr w:rsidR="001C3F35" w14:paraId="23409110" w14:textId="6DE5FD14"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502FDAE4" w14:textId="1E06E43D" w:rsidR="001C3F35" w:rsidRPr="00C257D2" w:rsidRDefault="001C3F35" w:rsidP="001C3F35">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Anwar 2022</w:t>
            </w:r>
          </w:p>
        </w:tc>
        <w:tc>
          <w:tcPr>
            <w:tcW w:w="1082" w:type="dxa"/>
            <w:vAlign w:val="center"/>
          </w:tcPr>
          <w:p w14:paraId="56ED4607" w14:textId="084C41D1"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Pakistan Biomedical Journal</w:t>
            </w:r>
          </w:p>
        </w:tc>
        <w:tc>
          <w:tcPr>
            <w:tcW w:w="640" w:type="dxa"/>
            <w:vAlign w:val="center"/>
          </w:tcPr>
          <w:p w14:paraId="67A45547" w14:textId="6E9CE31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Pakistan - Lahore</w:t>
            </w:r>
          </w:p>
        </w:tc>
        <w:tc>
          <w:tcPr>
            <w:tcW w:w="708" w:type="dxa"/>
            <w:vAlign w:val="center"/>
          </w:tcPr>
          <w:p w14:paraId="266883B9" w14:textId="5D1B4FAD"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Comparative cross-sectional study</w:t>
            </w:r>
          </w:p>
        </w:tc>
        <w:tc>
          <w:tcPr>
            <w:tcW w:w="851" w:type="dxa"/>
            <w:vAlign w:val="center"/>
          </w:tcPr>
          <w:p w14:paraId="12921E83" w14:textId="1090EF68"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326</w:t>
            </w:r>
          </w:p>
        </w:tc>
        <w:tc>
          <w:tcPr>
            <w:tcW w:w="1092" w:type="dxa"/>
            <w:vAlign w:val="center"/>
          </w:tcPr>
          <w:p w14:paraId="500A3313" w14:textId="06E48B63"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Women aged 40-70 years attending University of Lahore Teaching Hospital Ophthalmology Department</w:t>
            </w:r>
          </w:p>
        </w:tc>
        <w:tc>
          <w:tcPr>
            <w:tcW w:w="1081" w:type="dxa"/>
            <w:vAlign w:val="center"/>
          </w:tcPr>
          <w:p w14:paraId="0733EC93" w14:textId="316A358D"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40-70 years (mean not stated)</w:t>
            </w:r>
          </w:p>
        </w:tc>
        <w:tc>
          <w:tcPr>
            <w:tcW w:w="804" w:type="dxa"/>
            <w:vAlign w:val="center"/>
          </w:tcPr>
          <w:p w14:paraId="0351E7AC" w14:textId="4ABD4923"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40-70 years (mean not stated)</w:t>
            </w:r>
          </w:p>
        </w:tc>
        <w:tc>
          <w:tcPr>
            <w:tcW w:w="1243" w:type="dxa"/>
            <w:vAlign w:val="center"/>
          </w:tcPr>
          <w:p w14:paraId="78317285" w14:textId="06D50EE2"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Corneal disease/ulcer, systemic disease (diabetes, thyroid disorder), smokers, pregnancy, ocular surgery, or any condition affecting tear film</w:t>
            </w:r>
          </w:p>
        </w:tc>
        <w:tc>
          <w:tcPr>
            <w:tcW w:w="1025" w:type="dxa"/>
            <w:vAlign w:val="center"/>
          </w:tcPr>
          <w:p w14:paraId="1C034BA3" w14:textId="2121E7F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Schirmer test ≤10 mm/5 min (moderate), &lt;5 mm (severe) under topical anesthesia; clinical symptoms via standardized questionnaire</w:t>
            </w:r>
          </w:p>
        </w:tc>
        <w:tc>
          <w:tcPr>
            <w:tcW w:w="850" w:type="dxa"/>
            <w:vAlign w:val="center"/>
          </w:tcPr>
          <w:p w14:paraId="4579653C" w14:textId="7321FD06"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Schirmer test II (with anesthesia), structured symptom questionnaire (itching, watering, redness, burning, contact lens intolerance)</w:t>
            </w:r>
          </w:p>
        </w:tc>
        <w:tc>
          <w:tcPr>
            <w:tcW w:w="992" w:type="dxa"/>
            <w:vAlign w:val="center"/>
          </w:tcPr>
          <w:p w14:paraId="382FF7C2" w14:textId="65D5CDBD"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Self-reported based on menstrual history (amenorrhea = postmenopausal)</w:t>
            </w:r>
          </w:p>
        </w:tc>
        <w:tc>
          <w:tcPr>
            <w:tcW w:w="995" w:type="dxa"/>
            <w:vAlign w:val="center"/>
          </w:tcPr>
          <w:p w14:paraId="2B2AE865" w14:textId="30B4F888"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N/A</w:t>
            </w:r>
          </w:p>
        </w:tc>
      </w:tr>
      <w:tr w:rsidR="001C3F35" w14:paraId="6D18CC4B" w14:textId="2822358C"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39DCDEF2" w14:textId="7933A16C" w:rsidR="001C3F35" w:rsidRPr="00C257D2" w:rsidRDefault="001C3F35" w:rsidP="001C3F35">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Ayaki 2024</w:t>
            </w:r>
          </w:p>
        </w:tc>
        <w:tc>
          <w:tcPr>
            <w:tcW w:w="1082" w:type="dxa"/>
            <w:vAlign w:val="center"/>
          </w:tcPr>
          <w:p w14:paraId="6961BBF5" w14:textId="512FE10A"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Clinical Optometry</w:t>
            </w:r>
          </w:p>
        </w:tc>
        <w:tc>
          <w:tcPr>
            <w:tcW w:w="640" w:type="dxa"/>
            <w:vAlign w:val="center"/>
          </w:tcPr>
          <w:p w14:paraId="6574A23C" w14:textId="3FD153C1"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Japan - Tokyo</w:t>
            </w:r>
          </w:p>
        </w:tc>
        <w:tc>
          <w:tcPr>
            <w:tcW w:w="708" w:type="dxa"/>
            <w:vAlign w:val="center"/>
          </w:tcPr>
          <w:p w14:paraId="4680B7C8" w14:textId="7295565E"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Retrospective, cross-sectional clinic-based </w:t>
            </w:r>
            <w:r w:rsidRPr="00C257D2">
              <w:rPr>
                <w:rFonts w:asciiTheme="majorHAnsi" w:hAnsiTheme="majorHAnsi" w:cs="Calibri"/>
                <w:bCs/>
                <w:color w:val="000000"/>
                <w:sz w:val="10"/>
                <w:szCs w:val="10"/>
              </w:rPr>
              <w:lastRenderedPageBreak/>
              <w:t>cohort study</w:t>
            </w:r>
          </w:p>
        </w:tc>
        <w:tc>
          <w:tcPr>
            <w:tcW w:w="851" w:type="dxa"/>
            <w:vAlign w:val="center"/>
          </w:tcPr>
          <w:p w14:paraId="53174148" w14:textId="78C874C9"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lastRenderedPageBreak/>
              <w:t>1500</w:t>
            </w:r>
          </w:p>
        </w:tc>
        <w:tc>
          <w:tcPr>
            <w:tcW w:w="1092" w:type="dxa"/>
            <w:vAlign w:val="center"/>
          </w:tcPr>
          <w:p w14:paraId="346D179B" w14:textId="08C3FB7B"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Middle-aged men and women (36-65 years) attending general ophthalmology clinics in Japan for </w:t>
            </w:r>
            <w:r w:rsidRPr="00C257D2">
              <w:rPr>
                <w:rFonts w:asciiTheme="majorHAnsi" w:hAnsiTheme="majorHAnsi" w:cs="Calibri"/>
                <w:bCs/>
                <w:color w:val="000000"/>
                <w:sz w:val="10"/>
                <w:szCs w:val="10"/>
              </w:rPr>
              <w:lastRenderedPageBreak/>
              <w:t>routine eye evaluation</w:t>
            </w:r>
          </w:p>
        </w:tc>
        <w:tc>
          <w:tcPr>
            <w:tcW w:w="1081" w:type="dxa"/>
            <w:vAlign w:val="center"/>
          </w:tcPr>
          <w:p w14:paraId="2EE9ED1A" w14:textId="52953039"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lastRenderedPageBreak/>
              <w:t>Pre: 42.5 ± 2.0, Peri: 50.4 ± 2.9, Post: 60.0 ± 2.8 years</w:t>
            </w:r>
          </w:p>
        </w:tc>
        <w:tc>
          <w:tcPr>
            <w:tcW w:w="804" w:type="dxa"/>
            <w:vAlign w:val="center"/>
          </w:tcPr>
          <w:p w14:paraId="757F8B3B" w14:textId="04B852F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Pre: 42.5 ± 2.0, Peri: 50.4 ± 2.9, Post: 60.0 ± 2.8 years</w:t>
            </w:r>
          </w:p>
        </w:tc>
        <w:tc>
          <w:tcPr>
            <w:tcW w:w="1243" w:type="dxa"/>
            <w:vAlign w:val="center"/>
          </w:tcPr>
          <w:p w14:paraId="390D5DD4" w14:textId="00511D82"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Glaucoma, retinal disease, ocular surgery within </w:t>
            </w:r>
            <w:proofErr w:type="gramStart"/>
            <w:r w:rsidRPr="00C257D2">
              <w:rPr>
                <w:rFonts w:asciiTheme="majorHAnsi" w:hAnsiTheme="majorHAnsi" w:cs="Calibri"/>
                <w:bCs/>
                <w:color w:val="000000"/>
                <w:sz w:val="10"/>
                <w:szCs w:val="10"/>
              </w:rPr>
              <w:t>1 month</w:t>
            </w:r>
            <w:proofErr w:type="gramEnd"/>
            <w:r w:rsidRPr="00C257D2">
              <w:rPr>
                <w:rFonts w:asciiTheme="majorHAnsi" w:hAnsiTheme="majorHAnsi" w:cs="Calibri"/>
                <w:bCs/>
                <w:color w:val="000000"/>
                <w:sz w:val="10"/>
                <w:szCs w:val="10"/>
              </w:rPr>
              <w:t>, ocular surface pathology, or active inflammation</w:t>
            </w:r>
          </w:p>
        </w:tc>
        <w:tc>
          <w:tcPr>
            <w:tcW w:w="1025" w:type="dxa"/>
            <w:vAlign w:val="center"/>
          </w:tcPr>
          <w:p w14:paraId="50D5708C" w14:textId="1DC877ED"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Diagnosed per Asia Dry Eye Society 2017 criteria: unstable tear film (TBUT ≤5s) with </w:t>
            </w:r>
            <w:r w:rsidRPr="00C257D2">
              <w:rPr>
                <w:rFonts w:asciiTheme="majorHAnsi" w:hAnsiTheme="majorHAnsi" w:cs="Calibri"/>
                <w:bCs/>
                <w:color w:val="000000"/>
                <w:sz w:val="10"/>
                <w:szCs w:val="10"/>
              </w:rPr>
              <w:lastRenderedPageBreak/>
              <w:t>subjective ocular symptoms</w:t>
            </w:r>
          </w:p>
        </w:tc>
        <w:tc>
          <w:tcPr>
            <w:tcW w:w="850" w:type="dxa"/>
            <w:vAlign w:val="center"/>
          </w:tcPr>
          <w:p w14:paraId="274B7F3B" w14:textId="3CBF7736"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lastRenderedPageBreak/>
              <w:t xml:space="preserve">Tear break-up time (TBUT), corneal fluorescein staining, and dry eye </w:t>
            </w:r>
            <w:r w:rsidRPr="00C257D2">
              <w:rPr>
                <w:rFonts w:asciiTheme="majorHAnsi" w:hAnsiTheme="majorHAnsi" w:cs="Calibri"/>
                <w:bCs/>
                <w:color w:val="000000"/>
                <w:sz w:val="10"/>
                <w:szCs w:val="10"/>
              </w:rPr>
              <w:lastRenderedPageBreak/>
              <w:t>questionnaire for subjective symptoms (DEQS)</w:t>
            </w:r>
          </w:p>
        </w:tc>
        <w:tc>
          <w:tcPr>
            <w:tcW w:w="992" w:type="dxa"/>
            <w:vAlign w:val="center"/>
          </w:tcPr>
          <w:p w14:paraId="7F90B265" w14:textId="57E4D96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lastRenderedPageBreak/>
              <w:t>Not directly recorded - inferred from age group (menopausal transition assumed 46–55)</w:t>
            </w:r>
          </w:p>
        </w:tc>
        <w:tc>
          <w:tcPr>
            <w:tcW w:w="995" w:type="dxa"/>
            <w:vAlign w:val="center"/>
          </w:tcPr>
          <w:p w14:paraId="436D00F2" w14:textId="13CDC3B7"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N/A</w:t>
            </w:r>
          </w:p>
        </w:tc>
      </w:tr>
      <w:tr w:rsidR="001C3F35" w14:paraId="0E968AAC" w14:textId="47CA0986"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333D0E7F" w14:textId="4766C75F" w:rsidR="001C3F35" w:rsidRPr="00C257D2" w:rsidRDefault="001C3F35" w:rsidP="001C3F35">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 xml:space="preserve">Chen 2013 </w:t>
            </w:r>
          </w:p>
        </w:tc>
        <w:tc>
          <w:tcPr>
            <w:tcW w:w="1082" w:type="dxa"/>
            <w:vAlign w:val="center"/>
          </w:tcPr>
          <w:p w14:paraId="4861EC49" w14:textId="06D8764A"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Investigative Ophthalmology and Visual Science</w:t>
            </w:r>
          </w:p>
        </w:tc>
        <w:tc>
          <w:tcPr>
            <w:tcW w:w="640" w:type="dxa"/>
            <w:vAlign w:val="center"/>
          </w:tcPr>
          <w:p w14:paraId="6FB297AA" w14:textId="416DA518"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China</w:t>
            </w:r>
          </w:p>
        </w:tc>
        <w:tc>
          <w:tcPr>
            <w:tcW w:w="708" w:type="dxa"/>
            <w:vAlign w:val="center"/>
          </w:tcPr>
          <w:p w14:paraId="31714B38" w14:textId="5A80D79D"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Clinic-based, cross-sectional study</w:t>
            </w:r>
          </w:p>
        </w:tc>
        <w:tc>
          <w:tcPr>
            <w:tcW w:w="851" w:type="dxa"/>
            <w:vAlign w:val="center"/>
          </w:tcPr>
          <w:p w14:paraId="625F83ED" w14:textId="3EB9FAF5"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Not reported</w:t>
            </w:r>
          </w:p>
        </w:tc>
        <w:tc>
          <w:tcPr>
            <w:tcW w:w="1092" w:type="dxa"/>
            <w:vAlign w:val="center"/>
          </w:tcPr>
          <w:p w14:paraId="2CFBEB2C" w14:textId="61935F18"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Consecutive adult outpatients aged &gt;20 years attending ophthalmology department</w:t>
            </w:r>
          </w:p>
        </w:tc>
        <w:tc>
          <w:tcPr>
            <w:tcW w:w="1081" w:type="dxa"/>
            <w:vAlign w:val="center"/>
          </w:tcPr>
          <w:p w14:paraId="478D4CD0" w14:textId="4067D7EB"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≥20 years, prevalence highest in 31–50 years, lowest &gt;70 years</w:t>
            </w:r>
          </w:p>
        </w:tc>
        <w:tc>
          <w:tcPr>
            <w:tcW w:w="804" w:type="dxa"/>
            <w:vAlign w:val="center"/>
          </w:tcPr>
          <w:p w14:paraId="55932247" w14:textId="29615151"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≥20 years, prevalence highest in 31–50 years, lowest &gt;70 years</w:t>
            </w:r>
          </w:p>
        </w:tc>
        <w:tc>
          <w:tcPr>
            <w:tcW w:w="1243" w:type="dxa"/>
            <w:vAlign w:val="center"/>
          </w:tcPr>
          <w:p w14:paraId="0896E31A" w14:textId="032F75C6"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None explicitly stated beyond age and participation. Systemic autoimmune disease reported only for subgroup (Sjögren’s)</w:t>
            </w:r>
          </w:p>
        </w:tc>
        <w:tc>
          <w:tcPr>
            <w:tcW w:w="1025" w:type="dxa"/>
            <w:vAlign w:val="center"/>
          </w:tcPr>
          <w:p w14:paraId="1F92FFBD" w14:textId="51392A3E"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“Clinically defined moderate to severe DED” - required both symptoms and positive objective signs (TBUT &lt;10 s, Schirmer &lt;10 mm, fluorescein staining positive, or MGD)</w:t>
            </w:r>
          </w:p>
        </w:tc>
        <w:tc>
          <w:tcPr>
            <w:tcW w:w="850" w:type="dxa"/>
            <w:vAlign w:val="center"/>
          </w:tcPr>
          <w:p w14:paraId="6569BE57" w14:textId="651F459F"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Symptom questionnaire + objective tests (TBUT, corneal/conjunctival fluorescein staining, Schirmer test, slit-lamp exam of meibomian glands)</w:t>
            </w:r>
          </w:p>
        </w:tc>
        <w:tc>
          <w:tcPr>
            <w:tcW w:w="992" w:type="dxa"/>
            <w:vAlign w:val="center"/>
          </w:tcPr>
          <w:p w14:paraId="3F9D3F6A" w14:textId="5E201C68"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Not explicitly defined. “Hormonal changes” used to categorize subset of female DED patients (likely menopausal or perimenopausal)</w:t>
            </w:r>
          </w:p>
        </w:tc>
        <w:tc>
          <w:tcPr>
            <w:tcW w:w="995" w:type="dxa"/>
            <w:vAlign w:val="center"/>
          </w:tcPr>
          <w:p w14:paraId="2CDC29B4" w14:textId="136FA3DA" w:rsidR="001C3F35" w:rsidRPr="00C257D2" w:rsidRDefault="00D32060"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Pr>
                <w:rFonts w:asciiTheme="majorHAnsi" w:hAnsiTheme="majorHAnsi" w:cs="Calibri"/>
                <w:bCs/>
                <w:color w:val="000000"/>
                <w:sz w:val="10"/>
                <w:szCs w:val="10"/>
              </w:rPr>
              <w:t>N/A</w:t>
            </w:r>
          </w:p>
        </w:tc>
      </w:tr>
      <w:tr w:rsidR="001C3F35" w14:paraId="6EA7FC99" w14:textId="414C1AA3"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30B44741" w14:textId="1DA8EB69" w:rsidR="001C3F35" w:rsidRPr="00C257D2" w:rsidRDefault="001C3F35" w:rsidP="001C3F35">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Li 2015</w:t>
            </w:r>
          </w:p>
        </w:tc>
        <w:tc>
          <w:tcPr>
            <w:tcW w:w="1082" w:type="dxa"/>
            <w:vAlign w:val="center"/>
          </w:tcPr>
          <w:p w14:paraId="0F1E636E" w14:textId="07B33665"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Eye &amp; Contact Lens: Science and Clinical Practice</w:t>
            </w:r>
          </w:p>
        </w:tc>
        <w:tc>
          <w:tcPr>
            <w:tcW w:w="640" w:type="dxa"/>
            <w:vAlign w:val="center"/>
          </w:tcPr>
          <w:p w14:paraId="1BD92C22" w14:textId="440579A7"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China - Wenzhou</w:t>
            </w:r>
          </w:p>
        </w:tc>
        <w:tc>
          <w:tcPr>
            <w:tcW w:w="708" w:type="dxa"/>
            <w:vAlign w:val="center"/>
          </w:tcPr>
          <w:p w14:paraId="757EDE87" w14:textId="5021877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Hospital-based, cross-sectional study</w:t>
            </w:r>
          </w:p>
        </w:tc>
        <w:tc>
          <w:tcPr>
            <w:tcW w:w="851" w:type="dxa"/>
            <w:vAlign w:val="center"/>
          </w:tcPr>
          <w:p w14:paraId="1F2BDA81" w14:textId="6E3F9B7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3,565</w:t>
            </w:r>
          </w:p>
        </w:tc>
        <w:tc>
          <w:tcPr>
            <w:tcW w:w="1092" w:type="dxa"/>
            <w:vAlign w:val="center"/>
          </w:tcPr>
          <w:p w14:paraId="48CFF23B" w14:textId="2F2A7ABB"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Consecutive outpatients aged &gt;20 years attending Wenzhou Eye Hospital between May 1–16, 2010</w:t>
            </w:r>
          </w:p>
        </w:tc>
        <w:tc>
          <w:tcPr>
            <w:tcW w:w="1081" w:type="dxa"/>
            <w:vAlign w:val="center"/>
          </w:tcPr>
          <w:p w14:paraId="51D72A0F" w14:textId="421A67E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21-70 years. Mean age DED = 42.3 ± 14.9 yr.</w:t>
            </w:r>
          </w:p>
        </w:tc>
        <w:tc>
          <w:tcPr>
            <w:tcW w:w="804" w:type="dxa"/>
            <w:vAlign w:val="center"/>
          </w:tcPr>
          <w:p w14:paraId="18E82521" w14:textId="2A4254E7"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21-70 years. Mean age DED = 42.3 ± 14.9 yr.</w:t>
            </w:r>
          </w:p>
        </w:tc>
        <w:tc>
          <w:tcPr>
            <w:tcW w:w="1243" w:type="dxa"/>
            <w:vAlign w:val="center"/>
          </w:tcPr>
          <w:p w14:paraId="1CE5121F" w14:textId="2E4AC416"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Active infection, ocular allergy, lid deformity or movement disorder, pregnancy/lactation, chemical or thermal burn, pterygium on cornea, ocular surgery ≤6 months</w:t>
            </w:r>
          </w:p>
        </w:tc>
        <w:tc>
          <w:tcPr>
            <w:tcW w:w="1025" w:type="dxa"/>
            <w:vAlign w:val="center"/>
          </w:tcPr>
          <w:p w14:paraId="1AF4EC68" w14:textId="73AF2921"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Definite DED required all three: (1) symptoms, (2) TBUT &lt;5 s or Schirmer &lt;5 mm, and (3) corneal/conjunctival staining score ≥3</w:t>
            </w:r>
          </w:p>
        </w:tc>
        <w:tc>
          <w:tcPr>
            <w:tcW w:w="850" w:type="dxa"/>
            <w:vAlign w:val="center"/>
          </w:tcPr>
          <w:p w14:paraId="411E0DA6" w14:textId="291B7D59"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Questionnaire + TBUT, fluorescein and </w:t>
            </w:r>
            <w:proofErr w:type="spellStart"/>
            <w:r w:rsidRPr="00C257D2">
              <w:rPr>
                <w:rFonts w:asciiTheme="majorHAnsi" w:hAnsiTheme="majorHAnsi" w:cs="Calibri"/>
                <w:bCs/>
                <w:color w:val="000000"/>
                <w:sz w:val="10"/>
                <w:szCs w:val="10"/>
              </w:rPr>
              <w:t>lissamine</w:t>
            </w:r>
            <w:proofErr w:type="spellEnd"/>
            <w:r w:rsidRPr="00C257D2">
              <w:rPr>
                <w:rFonts w:asciiTheme="majorHAnsi" w:hAnsiTheme="majorHAnsi" w:cs="Calibri"/>
                <w:bCs/>
                <w:color w:val="000000"/>
                <w:sz w:val="10"/>
                <w:szCs w:val="10"/>
              </w:rPr>
              <w:t xml:space="preserve"> staining, Schirmer (without anesthesia), slit-lamp exam for MGD</w:t>
            </w:r>
          </w:p>
        </w:tc>
        <w:tc>
          <w:tcPr>
            <w:tcW w:w="992" w:type="dxa"/>
            <w:vAlign w:val="center"/>
          </w:tcPr>
          <w:p w14:paraId="1554BB74" w14:textId="19D3D408"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 xml:space="preserve">Self-reported physiological menopause or </w:t>
            </w:r>
            <w:proofErr w:type="spellStart"/>
            <w:r w:rsidRPr="00C257D2">
              <w:rPr>
                <w:rFonts w:asciiTheme="majorHAnsi" w:hAnsiTheme="majorHAnsi" w:cs="Calibri"/>
                <w:bCs/>
                <w:color w:val="000000"/>
                <w:sz w:val="10"/>
                <w:szCs w:val="10"/>
              </w:rPr>
              <w:t>postmenopause</w:t>
            </w:r>
            <w:proofErr w:type="spellEnd"/>
            <w:r w:rsidRPr="00C257D2">
              <w:rPr>
                <w:rFonts w:asciiTheme="majorHAnsi" w:hAnsiTheme="majorHAnsi" w:cs="Calibri"/>
                <w:bCs/>
                <w:color w:val="000000"/>
                <w:sz w:val="10"/>
                <w:szCs w:val="10"/>
              </w:rPr>
              <w:t xml:space="preserve"> (amenorrhea ≥12 months) recorded in questionnaire</w:t>
            </w:r>
          </w:p>
        </w:tc>
        <w:tc>
          <w:tcPr>
            <w:tcW w:w="995" w:type="dxa"/>
            <w:vAlign w:val="center"/>
          </w:tcPr>
          <w:p w14:paraId="1FA6ABF2" w14:textId="26DF80B1"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N/A</w:t>
            </w:r>
          </w:p>
        </w:tc>
      </w:tr>
      <w:tr w:rsidR="001C3F35" w14:paraId="62273DE6" w14:textId="581F1663"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339C90B4" w14:textId="58E1B009" w:rsidR="001C3F35" w:rsidRPr="00C257D2" w:rsidRDefault="001C3F35" w:rsidP="001C3F35">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 xml:space="preserve">Pereira 2017 </w:t>
            </w:r>
          </w:p>
        </w:tc>
        <w:tc>
          <w:tcPr>
            <w:tcW w:w="1082" w:type="dxa"/>
            <w:vAlign w:val="center"/>
          </w:tcPr>
          <w:p w14:paraId="18681CDD" w14:textId="3CFA0B1A"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Investigative Ophthalmology &amp; Visual Science</w:t>
            </w:r>
          </w:p>
        </w:tc>
        <w:tc>
          <w:tcPr>
            <w:tcW w:w="640" w:type="dxa"/>
            <w:vAlign w:val="center"/>
          </w:tcPr>
          <w:p w14:paraId="6D280B18" w14:textId="4F14814C"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Brazil - Cássia dos </w:t>
            </w:r>
            <w:proofErr w:type="spellStart"/>
            <w:r w:rsidRPr="00C257D2">
              <w:rPr>
                <w:rFonts w:asciiTheme="majorHAnsi" w:hAnsiTheme="majorHAnsi" w:cs="Calibri"/>
                <w:bCs/>
                <w:color w:val="000000"/>
                <w:sz w:val="10"/>
                <w:szCs w:val="10"/>
              </w:rPr>
              <w:t>Coqueiros</w:t>
            </w:r>
            <w:proofErr w:type="spellEnd"/>
            <w:r w:rsidRPr="00C257D2">
              <w:rPr>
                <w:rFonts w:asciiTheme="majorHAnsi" w:hAnsiTheme="majorHAnsi" w:cs="Calibri"/>
                <w:bCs/>
                <w:color w:val="000000"/>
                <w:sz w:val="10"/>
                <w:szCs w:val="10"/>
              </w:rPr>
              <w:t>, São Paulo State</w:t>
            </w:r>
          </w:p>
        </w:tc>
        <w:tc>
          <w:tcPr>
            <w:tcW w:w="708" w:type="dxa"/>
            <w:vAlign w:val="center"/>
          </w:tcPr>
          <w:p w14:paraId="343E9C7E" w14:textId="3D2B9A05"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Cross-sectional, population-based study</w:t>
            </w:r>
          </w:p>
        </w:tc>
        <w:tc>
          <w:tcPr>
            <w:tcW w:w="851" w:type="dxa"/>
            <w:vAlign w:val="center"/>
          </w:tcPr>
          <w:p w14:paraId="61066284" w14:textId="09612AFA"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133</w:t>
            </w:r>
          </w:p>
        </w:tc>
        <w:tc>
          <w:tcPr>
            <w:tcW w:w="1092" w:type="dxa"/>
            <w:vAlign w:val="center"/>
          </w:tcPr>
          <w:p w14:paraId="669B5BB7" w14:textId="0BB31F32"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Residents ≥40 years of Cássia dos </w:t>
            </w:r>
            <w:proofErr w:type="spellStart"/>
            <w:r w:rsidRPr="00C257D2">
              <w:rPr>
                <w:rFonts w:asciiTheme="majorHAnsi" w:hAnsiTheme="majorHAnsi" w:cs="Calibri"/>
                <w:bCs/>
                <w:color w:val="000000"/>
                <w:sz w:val="10"/>
                <w:szCs w:val="10"/>
              </w:rPr>
              <w:t>Coqueiros</w:t>
            </w:r>
            <w:proofErr w:type="spellEnd"/>
            <w:r w:rsidRPr="00C257D2">
              <w:rPr>
                <w:rFonts w:asciiTheme="majorHAnsi" w:hAnsiTheme="majorHAnsi" w:cs="Calibri"/>
                <w:bCs/>
                <w:color w:val="000000"/>
                <w:sz w:val="10"/>
                <w:szCs w:val="10"/>
              </w:rPr>
              <w:t>, São Paulo, Brazil; community setting</w:t>
            </w:r>
          </w:p>
        </w:tc>
        <w:tc>
          <w:tcPr>
            <w:tcW w:w="1081" w:type="dxa"/>
            <w:vAlign w:val="center"/>
          </w:tcPr>
          <w:p w14:paraId="2021ED36" w14:textId="0A0FDB9D"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Mean 62.8 ± 13.1 years (range ≥40)</w:t>
            </w:r>
          </w:p>
        </w:tc>
        <w:tc>
          <w:tcPr>
            <w:tcW w:w="804" w:type="dxa"/>
            <w:vAlign w:val="center"/>
          </w:tcPr>
          <w:p w14:paraId="21A5DBC9" w14:textId="55A93B7F"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Mean 62.8 ± 13.1 years (range ≥40)</w:t>
            </w:r>
          </w:p>
        </w:tc>
        <w:tc>
          <w:tcPr>
            <w:tcW w:w="1243" w:type="dxa"/>
            <w:vAlign w:val="center"/>
          </w:tcPr>
          <w:p w14:paraId="72ED67B6" w14:textId="1B6643C5"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Not explicitly stated, implicit exclusions were those unable to complete questionnaire or ocular exam</w:t>
            </w:r>
          </w:p>
        </w:tc>
        <w:tc>
          <w:tcPr>
            <w:tcW w:w="1025" w:type="dxa"/>
            <w:vAlign w:val="center"/>
          </w:tcPr>
          <w:p w14:paraId="18B0AC14" w14:textId="54C7A1C6"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Diagnosis confirmed when any of the following were positive: OSDI &gt; 20, Schirmer &lt;10 mm, or TBUT ≤6 s</w:t>
            </w:r>
          </w:p>
        </w:tc>
        <w:tc>
          <w:tcPr>
            <w:tcW w:w="850" w:type="dxa"/>
            <w:vAlign w:val="center"/>
          </w:tcPr>
          <w:p w14:paraId="4CC63197" w14:textId="2853642A"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Short Questionnaire (SQ; Gulati et al. 2006) for screening, confirmatory tests with OSDI, Schirmer test, TBUT</w:t>
            </w:r>
          </w:p>
        </w:tc>
        <w:tc>
          <w:tcPr>
            <w:tcW w:w="992" w:type="dxa"/>
            <w:vAlign w:val="center"/>
          </w:tcPr>
          <w:p w14:paraId="6A693BC7" w14:textId="5788D31B"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Self-reported menopause (cessation of menses ≥12 months), included as independent variable in regression model</w:t>
            </w:r>
          </w:p>
        </w:tc>
        <w:tc>
          <w:tcPr>
            <w:tcW w:w="995" w:type="dxa"/>
            <w:vAlign w:val="center"/>
          </w:tcPr>
          <w:p w14:paraId="3BAACC00" w14:textId="0D4660AA"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N/A</w:t>
            </w:r>
          </w:p>
        </w:tc>
      </w:tr>
      <w:tr w:rsidR="001C3F35" w14:paraId="0F5EFF1F" w14:textId="2260F564" w:rsidTr="001C3F35">
        <w:trPr>
          <w:trHeight w:val="300"/>
          <w:jc w:val="center"/>
        </w:trPr>
        <w:tc>
          <w:tcPr>
            <w:cnfStyle w:val="001000000000" w:firstRow="0" w:lastRow="0" w:firstColumn="1" w:lastColumn="0" w:oddVBand="0" w:evenVBand="0" w:oddHBand="0" w:evenHBand="0" w:firstRowFirstColumn="0" w:firstRowLastColumn="0" w:lastRowFirstColumn="0" w:lastRowLastColumn="0"/>
            <w:tcW w:w="967" w:type="dxa"/>
            <w:vAlign w:val="center"/>
          </w:tcPr>
          <w:p w14:paraId="0D8EE1D7" w14:textId="16BE2329" w:rsidR="001C3F35" w:rsidRPr="00C257D2" w:rsidRDefault="001C3F35" w:rsidP="001C3F35">
            <w:pPr>
              <w:jc w:val="center"/>
              <w:rPr>
                <w:rFonts w:asciiTheme="majorHAnsi" w:hAnsiTheme="majorHAnsi" w:cs="Calibri"/>
                <w:b w:val="0"/>
                <w:bCs/>
                <w:color w:val="000000"/>
                <w:sz w:val="10"/>
                <w:szCs w:val="10"/>
              </w:rPr>
            </w:pPr>
            <w:r w:rsidRPr="00C257D2">
              <w:rPr>
                <w:rFonts w:asciiTheme="majorHAnsi" w:hAnsiTheme="majorHAnsi" w:cs="Calibri"/>
                <w:b w:val="0"/>
                <w:bCs/>
                <w:color w:val="000000"/>
                <w:sz w:val="10"/>
                <w:szCs w:val="10"/>
              </w:rPr>
              <w:t>Zhao 2024</w:t>
            </w:r>
          </w:p>
        </w:tc>
        <w:tc>
          <w:tcPr>
            <w:tcW w:w="1082" w:type="dxa"/>
            <w:vAlign w:val="center"/>
          </w:tcPr>
          <w:p w14:paraId="3D7AB159" w14:textId="1980701C"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British Journal of Ophthalmology</w:t>
            </w:r>
          </w:p>
        </w:tc>
        <w:tc>
          <w:tcPr>
            <w:tcW w:w="640" w:type="dxa"/>
            <w:vAlign w:val="center"/>
          </w:tcPr>
          <w:p w14:paraId="26F27EAC" w14:textId="05E5F8BA"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USA - multicentre (27 clinical centres across the United States)</w:t>
            </w:r>
          </w:p>
        </w:tc>
        <w:tc>
          <w:tcPr>
            <w:tcW w:w="708" w:type="dxa"/>
            <w:vAlign w:val="center"/>
          </w:tcPr>
          <w:p w14:paraId="3FF25012" w14:textId="54EB8AC9"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 xml:space="preserve">Prospective, multicentre, double-masked randomized clinical trial secondary cross-sectional analysis </w:t>
            </w:r>
          </w:p>
        </w:tc>
        <w:tc>
          <w:tcPr>
            <w:tcW w:w="851" w:type="dxa"/>
            <w:vAlign w:val="center"/>
          </w:tcPr>
          <w:p w14:paraId="4DF6963C" w14:textId="5F7A3E87"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434</w:t>
            </w:r>
          </w:p>
        </w:tc>
        <w:tc>
          <w:tcPr>
            <w:tcW w:w="1092" w:type="dxa"/>
            <w:vAlign w:val="center"/>
          </w:tcPr>
          <w:p w14:paraId="1DAC1568" w14:textId="71C06AAC"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Adults ≥18 years with moderate to severe symptomatic DED enrolled in the DREAM clinical trial (n=535, 434 women, 101 men)</w:t>
            </w:r>
          </w:p>
        </w:tc>
        <w:tc>
          <w:tcPr>
            <w:tcW w:w="1081" w:type="dxa"/>
            <w:vAlign w:val="center"/>
          </w:tcPr>
          <w:p w14:paraId="23A0E445" w14:textId="1D68C458"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Premenopausal: 37.9 ± 9.0 yrs (20-54); Postmenopausal: 61.5 ± 9.6 yrs (30-85)</w:t>
            </w:r>
          </w:p>
        </w:tc>
        <w:tc>
          <w:tcPr>
            <w:tcW w:w="804" w:type="dxa"/>
            <w:vAlign w:val="center"/>
          </w:tcPr>
          <w:p w14:paraId="34B004A2" w14:textId="6B80F72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Premenopausal: 37.9 ± 9.0 yrs (20-54); Postmenopausal: 61.5 ± 9.6 yrs (30-85)</w:t>
            </w:r>
          </w:p>
        </w:tc>
        <w:tc>
          <w:tcPr>
            <w:tcW w:w="1243" w:type="dxa"/>
            <w:vAlign w:val="center"/>
          </w:tcPr>
          <w:p w14:paraId="5FAE887A" w14:textId="41AA78FB"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Active ocular infection/inflammation unrelated to DED, ocular surgery ≤3 months, use of systemic medications known to affect tear function (other than stable use), or contraindication to omega-3 supplements</w:t>
            </w:r>
          </w:p>
        </w:tc>
        <w:tc>
          <w:tcPr>
            <w:tcW w:w="1025" w:type="dxa"/>
            <w:vAlign w:val="center"/>
          </w:tcPr>
          <w:p w14:paraId="45B6910D" w14:textId="5D87539F"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DREAM standardized criteria: OSDI 25-80 plus ≥1 abnormal objective marker (reduced TBUT, Schirmer, staining, MGD, or osmolarity)</w:t>
            </w:r>
          </w:p>
        </w:tc>
        <w:tc>
          <w:tcPr>
            <w:tcW w:w="850" w:type="dxa"/>
            <w:vAlign w:val="center"/>
          </w:tcPr>
          <w:p w14:paraId="07E78CAC" w14:textId="19DFBEA9"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sz w:val="10"/>
                <w:szCs w:val="10"/>
              </w:rPr>
            </w:pPr>
            <w:r w:rsidRPr="00C257D2">
              <w:rPr>
                <w:rFonts w:asciiTheme="majorHAnsi" w:hAnsiTheme="majorHAnsi" w:cs="Calibri"/>
                <w:bCs/>
                <w:color w:val="000000"/>
                <w:sz w:val="10"/>
                <w:szCs w:val="10"/>
              </w:rPr>
              <w:t>OSDI, TBUT, Schirmer’s test with anesthesia, NEI corneal and conjunctival staining, MGD grading, tear osmolarity (</w:t>
            </w:r>
            <w:proofErr w:type="spellStart"/>
            <w:r w:rsidRPr="00C257D2">
              <w:rPr>
                <w:rFonts w:asciiTheme="majorHAnsi" w:hAnsiTheme="majorHAnsi" w:cs="Calibri"/>
                <w:bCs/>
                <w:color w:val="000000"/>
                <w:sz w:val="10"/>
                <w:szCs w:val="10"/>
              </w:rPr>
              <w:t>TearLab</w:t>
            </w:r>
            <w:proofErr w:type="spellEnd"/>
            <w:r w:rsidRPr="00C257D2">
              <w:rPr>
                <w:rFonts w:asciiTheme="majorHAnsi" w:hAnsiTheme="majorHAnsi" w:cs="Calibri"/>
                <w:bCs/>
                <w:color w:val="000000"/>
                <w:sz w:val="10"/>
                <w:szCs w:val="10"/>
              </w:rPr>
              <w:t>), composite DED severity score (0-1 scale)</w:t>
            </w:r>
          </w:p>
        </w:tc>
        <w:tc>
          <w:tcPr>
            <w:tcW w:w="992" w:type="dxa"/>
            <w:vAlign w:val="center"/>
          </w:tcPr>
          <w:p w14:paraId="49E5C90E" w14:textId="20B768BC"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Self-reported cessation of menses ≥12 months, history of hysterectomy, or tubal ligation categorized as postmenopausal</w:t>
            </w:r>
          </w:p>
        </w:tc>
        <w:tc>
          <w:tcPr>
            <w:tcW w:w="995" w:type="dxa"/>
            <w:vAlign w:val="center"/>
          </w:tcPr>
          <w:p w14:paraId="7CB2CB8D" w14:textId="489E3280" w:rsidR="001C3F35" w:rsidRPr="00C257D2" w:rsidRDefault="001C3F35" w:rsidP="001C3F35">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Cs/>
                <w:color w:val="000000"/>
                <w:sz w:val="10"/>
                <w:szCs w:val="10"/>
              </w:rPr>
            </w:pPr>
            <w:r w:rsidRPr="00C257D2">
              <w:rPr>
                <w:rFonts w:asciiTheme="majorHAnsi" w:hAnsiTheme="majorHAnsi" w:cs="Calibri"/>
                <w:bCs/>
                <w:color w:val="000000"/>
                <w:sz w:val="10"/>
                <w:szCs w:val="10"/>
              </w:rPr>
              <w:t>N/A</w:t>
            </w:r>
          </w:p>
        </w:tc>
      </w:tr>
    </w:tbl>
    <w:p w14:paraId="351D60FD" w14:textId="77777777" w:rsidR="00B237B2" w:rsidRDefault="00B237B2">
      <w:pPr>
        <w:rPr>
          <w:b/>
        </w:rPr>
      </w:pPr>
    </w:p>
    <w:p w14:paraId="177996DE" w14:textId="46975FF5" w:rsidR="00B237B2" w:rsidRDefault="00D14792">
      <w:pPr>
        <w:rPr>
          <w:b/>
        </w:rPr>
      </w:pPr>
      <w:r>
        <w:t>MA1, meta-analysis comparing postmenopausal versus pre/perimenopausal women; MA2, meta-analysis comparing postmenopausal versus perimenopausal women; MA3, meta-analysis comparing postmenopausal versus strictly premenopausal women; n, number of participants.</w:t>
      </w:r>
    </w:p>
    <w:p w14:paraId="6E4187D3" w14:textId="77777777" w:rsidR="00B237B2" w:rsidRDefault="00B237B2">
      <w:pPr>
        <w:rPr>
          <w:b/>
        </w:rPr>
      </w:pPr>
    </w:p>
    <w:p w14:paraId="408E3B00" w14:textId="77777777" w:rsidR="00B237B2" w:rsidRDefault="00B237B2">
      <w:pPr>
        <w:rPr>
          <w:b/>
        </w:rPr>
      </w:pPr>
    </w:p>
    <w:p w14:paraId="0EE43F49" w14:textId="77777777" w:rsidR="00B237B2" w:rsidRDefault="00B237B2">
      <w:pPr>
        <w:rPr>
          <w:b/>
        </w:rPr>
      </w:pPr>
    </w:p>
    <w:p w14:paraId="5FD46072" w14:textId="7341BCA9" w:rsidR="002C3A45" w:rsidRDefault="00000000">
      <w:r>
        <w:rPr>
          <w:b/>
        </w:rPr>
        <w:lastRenderedPageBreak/>
        <w:t xml:space="preserve">Supplemental Figure </w:t>
      </w:r>
      <w:r w:rsidR="00E74EB2">
        <w:rPr>
          <w:b/>
        </w:rPr>
        <w:t>1</w:t>
      </w:r>
      <w:r>
        <w:t>: Funnel plot</w:t>
      </w:r>
      <w:r w:rsidR="002058AD">
        <w:t xml:space="preserve"> </w:t>
      </w:r>
      <w:r>
        <w:t xml:space="preserve">assessing publication bias in the pooled analysis of </w:t>
      </w:r>
      <w:r w:rsidR="00C339F4">
        <w:t>dry eye disease and menopausal status (post-menopausal against pre-menopausal, including perimenopausal counts)</w:t>
      </w:r>
      <w:r>
        <w:t xml:space="preserve">. </w:t>
      </w:r>
      <w:r w:rsidR="004770B2">
        <w:t>This panel</w:t>
      </w:r>
      <w:r>
        <w:t xml:space="preserve"> corresponds to the </w:t>
      </w:r>
      <w:r w:rsidR="00C339F4">
        <w:t>first</w:t>
      </w:r>
      <w:r>
        <w:t xml:space="preserve"> analysis</w:t>
      </w:r>
      <w:r w:rsidR="002058AD">
        <w:t xml:space="preserve"> of pooled odds ratios</w:t>
      </w:r>
      <w:r>
        <w:t xml:space="preserve">, where visual inspection </w:t>
      </w:r>
      <w:r w:rsidR="002058AD">
        <w:t>demonstrates</w:t>
      </w:r>
      <w:r>
        <w:t xml:space="preserve"> symmetry with no imputation on trim-and-fill analysis. </w:t>
      </w:r>
    </w:p>
    <w:p w14:paraId="6EFBF989" w14:textId="2C62CD47" w:rsidR="0013607E" w:rsidRPr="009E068A" w:rsidRDefault="0013607E">
      <w:pPr>
        <w:rPr>
          <w:rFonts w:ascii="Times New Roman" w:eastAsia="Times New Roman" w:hAnsi="Times New Roman" w:cs="Times New Roman"/>
          <w:b/>
          <w:sz w:val="20"/>
          <w:szCs w:val="20"/>
        </w:rPr>
      </w:pPr>
    </w:p>
    <w:p w14:paraId="35EA5546" w14:textId="6569F2E2" w:rsidR="0013607E" w:rsidRDefault="00A02DCF">
      <w:pPr>
        <w:rPr>
          <w:b/>
        </w:rPr>
      </w:pPr>
      <w:r>
        <w:rPr>
          <w:noProof/>
        </w:rPr>
        <w:drawing>
          <wp:anchor distT="0" distB="0" distL="114300" distR="114300" simplePos="0" relativeHeight="251673600" behindDoc="1" locked="0" layoutInCell="1" allowOverlap="1" wp14:anchorId="7CD10AEA" wp14:editId="1F1B928A">
            <wp:simplePos x="0" y="0"/>
            <wp:positionH relativeFrom="margin">
              <wp:posOffset>276225</wp:posOffset>
            </wp:positionH>
            <wp:positionV relativeFrom="paragraph">
              <wp:posOffset>10160</wp:posOffset>
            </wp:positionV>
            <wp:extent cx="7593330" cy="4745355"/>
            <wp:effectExtent l="0" t="0" r="7620" b="0"/>
            <wp:wrapTight wrapText="bothSides">
              <wp:wrapPolygon edited="0">
                <wp:start x="0" y="0"/>
                <wp:lineTo x="0" y="21505"/>
                <wp:lineTo x="21567" y="21505"/>
                <wp:lineTo x="21567" y="0"/>
                <wp:lineTo x="0" y="0"/>
              </wp:wrapPolygon>
            </wp:wrapTight>
            <wp:docPr id="2045372065" name="Picture 2" descr="A diagram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72065" name="Picture 2" descr="A diagram of a triang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3330" cy="4745355"/>
                    </a:xfrm>
                    <a:prstGeom prst="rect">
                      <a:avLst/>
                    </a:prstGeom>
                  </pic:spPr>
                </pic:pic>
              </a:graphicData>
            </a:graphic>
          </wp:anchor>
        </w:drawing>
      </w:r>
      <w:r w:rsidR="009E068A" w:rsidRPr="009E068A">
        <w:rPr>
          <w:b/>
          <w:noProof/>
        </w:rPr>
        <mc:AlternateContent>
          <mc:Choice Requires="wps">
            <w:drawing>
              <wp:anchor distT="0" distB="0" distL="114300" distR="114300" simplePos="0" relativeHeight="251670528" behindDoc="0" locked="0" layoutInCell="1" allowOverlap="1" wp14:anchorId="3B9D1AAF" wp14:editId="1BC94CA9">
                <wp:simplePos x="0" y="0"/>
                <wp:positionH relativeFrom="column">
                  <wp:posOffset>4049684</wp:posOffset>
                </wp:positionH>
                <wp:positionV relativeFrom="paragraph">
                  <wp:posOffset>22860</wp:posOffset>
                </wp:positionV>
                <wp:extent cx="501054" cy="504882"/>
                <wp:effectExtent l="0" t="0" r="0" b="0"/>
                <wp:wrapNone/>
                <wp:docPr id="872695321" name="TextBox 25"/>
                <wp:cNvGraphicFramePr/>
                <a:graphic xmlns:a="http://schemas.openxmlformats.org/drawingml/2006/main">
                  <a:graphicData uri="http://schemas.microsoft.com/office/word/2010/wordprocessingShape">
                    <wps:wsp>
                      <wps:cNvSpPr txBox="1"/>
                      <wps:spPr>
                        <a:xfrm>
                          <a:off x="0" y="0"/>
                          <a:ext cx="501054" cy="504882"/>
                        </a:xfrm>
                        <a:prstGeom prst="rect">
                          <a:avLst/>
                        </a:prstGeom>
                        <a:noFill/>
                      </wps:spPr>
                      <wps:txbx>
                        <w:txbxContent>
                          <w:p w14:paraId="1EEEFAD0" w14:textId="111A96BF" w:rsidR="009E068A" w:rsidRPr="009E068A" w:rsidRDefault="009E068A" w:rsidP="009E068A">
                            <w:pPr>
                              <w:rPr>
                                <w:rFonts w:asciiTheme="minorHAnsi" w:cstheme="minorBidi"/>
                                <w:b/>
                                <w:bCs/>
                                <w:color w:val="000000" w:themeColor="text1"/>
                                <w:kern w:val="24"/>
                                <w:sz w:val="28"/>
                                <w:szCs w:val="28"/>
                                <w:lang w:val="en-US"/>
                              </w:rPr>
                            </w:pPr>
                          </w:p>
                          <w:p w14:paraId="66DC153B" w14:textId="77777777" w:rsidR="00B00557" w:rsidRDefault="00B00557"/>
                        </w:txbxContent>
                      </wps:txbx>
                      <wps:bodyPr wrap="square" rtlCol="0">
                        <a:spAutoFit/>
                      </wps:bodyPr>
                    </wps:wsp>
                  </a:graphicData>
                </a:graphic>
              </wp:anchor>
            </w:drawing>
          </mc:Choice>
          <mc:Fallback>
            <w:pict>
              <v:shapetype w14:anchorId="3B9D1AAF" id="_x0000_t202" coordsize="21600,21600" o:spt="202" path="m,l,21600r21600,l21600,xe">
                <v:stroke joinstyle="miter"/>
                <v:path gradientshapeok="t" o:connecttype="rect"/>
              </v:shapetype>
              <v:shape id="TextBox 25" o:spid="_x0000_s1026" type="#_x0000_t202" style="position:absolute;margin-left:318.85pt;margin-top:1.8pt;width:39.45pt;height:39.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" filled="f" stroked="f">
                <v:textbox style="mso-fit-shape-to-text:t">
                  <w:txbxContent>
                    <w:p w14:paraId="1EEEFAD0" w14:textId="111A96BF" w:rsidR="009E068A" w:rsidRPr="009E068A" w:rsidRDefault="009E068A" w:rsidP="009E068A">
                      <w:pPr>
                        <w:rPr>
                          <w:rFonts w:asciiTheme="minorHAnsi" w:cstheme="minorBidi"/>
                          <w:b/>
                          <w:bCs/>
                          <w:color w:val="000000" w:themeColor="text1"/>
                          <w:kern w:val="24"/>
                          <w:sz w:val="28"/>
                          <w:szCs w:val="28"/>
                          <w:lang w:val="en-US"/>
                        </w:rPr>
                      </w:pPr>
                    </w:p>
                    <w:p w14:paraId="66DC153B" w14:textId="77777777" w:rsidR="00B00557" w:rsidRDefault="00B00557"/>
                  </w:txbxContent>
                </v:textbox>
              </v:shape>
            </w:pict>
          </mc:Fallback>
        </mc:AlternateContent>
      </w:r>
    </w:p>
    <w:p w14:paraId="2645C544" w14:textId="7213CBF5" w:rsidR="0013607E" w:rsidRDefault="0013607E">
      <w:pPr>
        <w:rPr>
          <w:b/>
        </w:rPr>
      </w:pPr>
    </w:p>
    <w:p w14:paraId="0167A92D" w14:textId="1EFAE51A" w:rsidR="00B00557" w:rsidRPr="00A02DCF" w:rsidRDefault="00247B97">
      <w:r>
        <w:rPr>
          <w:noProof/>
        </w:rPr>
        <w:lastRenderedPageBreak/>
        <w:drawing>
          <wp:anchor distT="0" distB="0" distL="114300" distR="114300" simplePos="0" relativeHeight="251671552" behindDoc="1" locked="0" layoutInCell="1" allowOverlap="1" wp14:anchorId="18A5A094" wp14:editId="65244A1E">
            <wp:simplePos x="0" y="0"/>
            <wp:positionH relativeFrom="margin">
              <wp:align>center</wp:align>
            </wp:positionH>
            <wp:positionV relativeFrom="paragraph">
              <wp:posOffset>759460</wp:posOffset>
            </wp:positionV>
            <wp:extent cx="7753350" cy="4840872"/>
            <wp:effectExtent l="0" t="0" r="0" b="0"/>
            <wp:wrapTight wrapText="bothSides">
              <wp:wrapPolygon edited="0">
                <wp:start x="0" y="0"/>
                <wp:lineTo x="0" y="21506"/>
                <wp:lineTo x="21547" y="21506"/>
                <wp:lineTo x="21547" y="0"/>
                <wp:lineTo x="0" y="0"/>
              </wp:wrapPolygon>
            </wp:wrapTight>
            <wp:docPr id="941958792" name="Picture 4" descr="A graph with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8792" name="Picture 4" descr="A graph with a triang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3350" cy="4840872"/>
                    </a:xfrm>
                    <a:prstGeom prst="rect">
                      <a:avLst/>
                    </a:prstGeom>
                  </pic:spPr>
                </pic:pic>
              </a:graphicData>
            </a:graphic>
          </wp:anchor>
        </w:drawing>
      </w:r>
      <w:r>
        <w:rPr>
          <w:b/>
        </w:rPr>
        <w:t>Supplemental Figure 2</w:t>
      </w:r>
      <w:r>
        <w:t>: Funnel plot assessing publication bias in the pooled analysis of dry eye disease and menopausal status (post-menopausal against peri-menopausal, strictly). This panel corresponds to the second analysis of pooled odds ratios, where visual inspection demonstrates symmetry with no imputation on trim-and-fill analysis.</w:t>
      </w:r>
    </w:p>
    <w:p w14:paraId="1B83DC48" w14:textId="74D506BA" w:rsidR="00ED270E" w:rsidRPr="00247B97" w:rsidRDefault="00247B97" w:rsidP="00247B97">
      <w:pPr>
        <w:rPr>
          <w:b/>
        </w:rPr>
      </w:pPr>
      <w:r>
        <w:rPr>
          <w:noProof/>
        </w:rPr>
        <w:lastRenderedPageBreak/>
        <w:drawing>
          <wp:anchor distT="0" distB="0" distL="114300" distR="114300" simplePos="0" relativeHeight="251672576" behindDoc="1" locked="0" layoutInCell="1" allowOverlap="1" wp14:anchorId="0ED7F67A" wp14:editId="0849086E">
            <wp:simplePos x="0" y="0"/>
            <wp:positionH relativeFrom="margin">
              <wp:align>center</wp:align>
            </wp:positionH>
            <wp:positionV relativeFrom="paragraph">
              <wp:posOffset>695960</wp:posOffset>
            </wp:positionV>
            <wp:extent cx="7848600" cy="4905375"/>
            <wp:effectExtent l="0" t="0" r="0" b="9525"/>
            <wp:wrapTight wrapText="bothSides">
              <wp:wrapPolygon edited="0">
                <wp:start x="0" y="0"/>
                <wp:lineTo x="0" y="21558"/>
                <wp:lineTo x="21548" y="21558"/>
                <wp:lineTo x="21548" y="0"/>
                <wp:lineTo x="0" y="0"/>
              </wp:wrapPolygon>
            </wp:wrapTight>
            <wp:docPr id="62027479" name="Picture 7" descr="A graph with poin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7479" name="Picture 7" descr="A graph with points and lin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48600" cy="4905375"/>
                    </a:xfrm>
                    <a:prstGeom prst="rect">
                      <a:avLst/>
                    </a:prstGeom>
                  </pic:spPr>
                </pic:pic>
              </a:graphicData>
            </a:graphic>
            <wp14:sizeRelH relativeFrom="margin">
              <wp14:pctWidth>0</wp14:pctWidth>
            </wp14:sizeRelH>
            <wp14:sizeRelV relativeFrom="margin">
              <wp14:pctHeight>0</wp14:pctHeight>
            </wp14:sizeRelV>
          </wp:anchor>
        </w:drawing>
      </w:r>
      <w:r>
        <w:rPr>
          <w:b/>
        </w:rPr>
        <w:t>Supplemental Figure 3</w:t>
      </w:r>
      <w:r>
        <w:t>: Funnel plot assessing publication bias in the pooled analysis of dry eye disease and menopausal status (post-menopausal against pre-menopausal, strictly). This panel corresponds to the third analysis of pooled odds ratios, where visual inspection demonstrates symmetry with no imputation on trim-and-fill analysis.</w:t>
      </w:r>
    </w:p>
    <w:sectPr w:rsidR="00ED270E" w:rsidRPr="00247B97">
      <w:pgSz w:w="15840" w:h="12220"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3CE17" w14:textId="77777777" w:rsidR="00D868AF" w:rsidRDefault="00D868AF" w:rsidP="00D14792">
      <w:pPr>
        <w:spacing w:after="0" w:line="240" w:lineRule="auto"/>
      </w:pPr>
      <w:r>
        <w:separator/>
      </w:r>
    </w:p>
  </w:endnote>
  <w:endnote w:type="continuationSeparator" w:id="0">
    <w:p w14:paraId="7B7235BB" w14:textId="77777777" w:rsidR="00D868AF" w:rsidRDefault="00D868AF" w:rsidP="00D14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A28AB3A-8166-4B43-A97D-DF458FF5D7F6}"/>
    <w:embedBold r:id="rId2" w:fontKey="{BC816AEA-1EFB-3C4F-8DB8-31B474BAEE66}"/>
    <w:embedItalic r:id="rId3" w:fontKey="{ADEFC530-F882-2D4D-8BFE-E80A936C05D2}"/>
  </w:font>
  <w:font w:name="Times New Roman">
    <w:panose1 w:val="02020603050405020304"/>
    <w:charset w:val="00"/>
    <w:family w:val="roman"/>
    <w:pitch w:val="variable"/>
    <w:sig w:usb0="E0002EFF" w:usb1="C000785B" w:usb2="00000009" w:usb3="00000000" w:csb0="000001FF" w:csb1="00000000"/>
    <w:embedRegular r:id="rId4" w:fontKey="{9EE894AF-2FEE-5A41-8FE5-5F20005AD9EF}"/>
    <w:embedBold r:id="rId5" w:fontKey="{E5D4AB2C-326E-9B41-B0F6-0C8320764B94}"/>
    <w:embedItalic r:id="rId6" w:fontKey="{846863D1-F103-6B46-8843-7A84B76EB753}"/>
  </w:font>
  <w:font w:name="Aptos Display">
    <w:panose1 w:val="020B0004020202020204"/>
    <w:charset w:val="00"/>
    <w:family w:val="swiss"/>
    <w:pitch w:val="variable"/>
    <w:sig w:usb0="20000287" w:usb1="00000003" w:usb2="00000000" w:usb3="00000000" w:csb0="0000019F" w:csb1="00000000"/>
    <w:embedRegular r:id="rId7" w:fontKey="{0CBC8270-D413-6E47-B20A-8A8D54DB4E62}"/>
    <w:embedBold r:id="rId8" w:fontKey="{31E34FDE-5BCE-534B-AC4B-E06849E09598}"/>
    <w:embedItalic r:id="rId9" w:fontKey="{A174A5E4-7E23-DD4E-9DFD-E8F7E08ABE32}"/>
  </w:font>
  <w:font w:name="DengXian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embedRegular r:id="rId10" w:fontKey="{777CEDF7-EC6D-5B4B-92C4-B9E9760715BC}"/>
    <w:embedItalic r:id="rId11" w:fontKey="{D3419AA2-52D2-BB4F-9C9B-D5CE4DE5DDD3}"/>
  </w:font>
  <w:font w:name="Calibri">
    <w:panose1 w:val="020F0502020204030204"/>
    <w:charset w:val="00"/>
    <w:family w:val="swiss"/>
    <w:pitch w:val="variable"/>
    <w:sig w:usb0="E0002AFF" w:usb1="C000ACFF" w:usb2="00000009" w:usb3="00000000" w:csb0="000001FF" w:csb1="00000000"/>
    <w:embedBold r:id="rId12" w:fontKey="{669AB2AE-84D4-1B41-BC20-96456475BF02}"/>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12063" w14:textId="77777777" w:rsidR="00D868AF" w:rsidRDefault="00D868AF" w:rsidP="00D14792">
      <w:pPr>
        <w:spacing w:after="0" w:line="240" w:lineRule="auto"/>
      </w:pPr>
      <w:r>
        <w:separator/>
      </w:r>
    </w:p>
  </w:footnote>
  <w:footnote w:type="continuationSeparator" w:id="0">
    <w:p w14:paraId="14AA5718" w14:textId="77777777" w:rsidR="00D868AF" w:rsidRDefault="00D868AF" w:rsidP="00D147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A45"/>
    <w:rsid w:val="00082203"/>
    <w:rsid w:val="000F501E"/>
    <w:rsid w:val="0013607E"/>
    <w:rsid w:val="001C3F35"/>
    <w:rsid w:val="001E4FF3"/>
    <w:rsid w:val="002058AD"/>
    <w:rsid w:val="00225B5A"/>
    <w:rsid w:val="00247B97"/>
    <w:rsid w:val="002C3A45"/>
    <w:rsid w:val="003404E8"/>
    <w:rsid w:val="00367D9A"/>
    <w:rsid w:val="00455078"/>
    <w:rsid w:val="004770B2"/>
    <w:rsid w:val="004C4641"/>
    <w:rsid w:val="00501961"/>
    <w:rsid w:val="005A5232"/>
    <w:rsid w:val="00604C0B"/>
    <w:rsid w:val="00623180"/>
    <w:rsid w:val="00633152"/>
    <w:rsid w:val="0065236C"/>
    <w:rsid w:val="007770F8"/>
    <w:rsid w:val="007B2225"/>
    <w:rsid w:val="00836E7F"/>
    <w:rsid w:val="009E068A"/>
    <w:rsid w:val="00A02DCF"/>
    <w:rsid w:val="00A72E64"/>
    <w:rsid w:val="00B00557"/>
    <w:rsid w:val="00B15E37"/>
    <w:rsid w:val="00B237B2"/>
    <w:rsid w:val="00B42BD8"/>
    <w:rsid w:val="00BC050B"/>
    <w:rsid w:val="00C257D2"/>
    <w:rsid w:val="00C339F4"/>
    <w:rsid w:val="00C35BA4"/>
    <w:rsid w:val="00C35D68"/>
    <w:rsid w:val="00C42155"/>
    <w:rsid w:val="00CC0725"/>
    <w:rsid w:val="00CF018A"/>
    <w:rsid w:val="00D14792"/>
    <w:rsid w:val="00D32060"/>
    <w:rsid w:val="00D363B0"/>
    <w:rsid w:val="00D85C21"/>
    <w:rsid w:val="00D868AF"/>
    <w:rsid w:val="00DB33DF"/>
    <w:rsid w:val="00E04796"/>
    <w:rsid w:val="00E74EB2"/>
    <w:rsid w:val="00ED270E"/>
    <w:rsid w:val="00F00A23"/>
    <w:rsid w:val="00F15D54"/>
    <w:rsid w:val="00F31E8E"/>
    <w:rsid w:val="00F60E98"/>
    <w:rsid w:val="00FB5D72"/>
    <w:rsid w:val="00FB62A5"/>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6B20D"/>
  <w15:docId w15:val="{691C5BA1-1E2A-184C-8B0F-0034D9194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03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00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C11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D7637A"/>
    <w:pPr>
      <w:ind w:left="720"/>
      <w:contextualSpacing/>
    </w:pPr>
  </w:style>
  <w:style w:type="table" w:styleId="PlainTable3">
    <w:name w:val="Plain Table 3"/>
    <w:basedOn w:val="TableNormal"/>
    <w:uiPriority w:val="43"/>
    <w:rsid w:val="0059167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9167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603EE"/>
    <w:rPr>
      <w:color w:val="467886" w:themeColor="hyperlink"/>
      <w:u w:val="single"/>
    </w:rPr>
  </w:style>
  <w:style w:type="paragraph" w:styleId="Caption">
    <w:name w:val="caption"/>
    <w:basedOn w:val="Normal"/>
    <w:next w:val="Normal"/>
    <w:uiPriority w:val="35"/>
    <w:unhideWhenUsed/>
    <w:qFormat/>
    <w:rsid w:val="008E7EBC"/>
    <w:pPr>
      <w:spacing w:after="200" w:line="240" w:lineRule="auto"/>
    </w:pPr>
    <w:rPr>
      <w:i/>
      <w:iCs/>
      <w:color w:val="0E2841" w:themeColor="text2"/>
      <w:sz w:val="18"/>
      <w:szCs w:val="18"/>
    </w:rPr>
  </w:style>
  <w:style w:type="paragraph" w:styleId="NormalWeb">
    <w:name w:val="Normal (Web)"/>
    <w:basedOn w:val="Normal"/>
    <w:uiPriority w:val="99"/>
    <w:semiHidden/>
    <w:unhideWhenUsed/>
    <w:rsid w:val="006146F7"/>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D2961"/>
    <w:rPr>
      <w:sz w:val="16"/>
      <w:szCs w:val="16"/>
    </w:rPr>
  </w:style>
  <w:style w:type="paragraph" w:styleId="CommentText">
    <w:name w:val="annotation text"/>
    <w:basedOn w:val="Normal"/>
    <w:link w:val="CommentTextChar"/>
    <w:uiPriority w:val="99"/>
    <w:unhideWhenUsed/>
    <w:rsid w:val="005D2961"/>
    <w:pPr>
      <w:spacing w:line="240" w:lineRule="auto"/>
    </w:pPr>
    <w:rPr>
      <w:sz w:val="20"/>
      <w:szCs w:val="20"/>
    </w:rPr>
  </w:style>
  <w:style w:type="character" w:customStyle="1" w:styleId="CommentTextChar">
    <w:name w:val="Comment Text Char"/>
    <w:basedOn w:val="DefaultParagraphFont"/>
    <w:link w:val="CommentText"/>
    <w:uiPriority w:val="99"/>
    <w:rsid w:val="005D2961"/>
    <w:rPr>
      <w:sz w:val="20"/>
      <w:szCs w:val="20"/>
    </w:rPr>
  </w:style>
  <w:style w:type="paragraph" w:styleId="CommentSubject">
    <w:name w:val="annotation subject"/>
    <w:basedOn w:val="CommentText"/>
    <w:next w:val="CommentText"/>
    <w:link w:val="CommentSubjectChar"/>
    <w:uiPriority w:val="99"/>
    <w:semiHidden/>
    <w:unhideWhenUsed/>
    <w:rsid w:val="005D2961"/>
    <w:rPr>
      <w:b/>
      <w:bCs/>
    </w:rPr>
  </w:style>
  <w:style w:type="character" w:customStyle="1" w:styleId="CommentSubjectChar">
    <w:name w:val="Comment Subject Char"/>
    <w:basedOn w:val="CommentTextChar"/>
    <w:link w:val="CommentSubject"/>
    <w:uiPriority w:val="99"/>
    <w:semiHidden/>
    <w:rsid w:val="005D2961"/>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paragraph" w:styleId="FootnoteText">
    <w:name w:val="footnote text"/>
    <w:basedOn w:val="Normal"/>
    <w:link w:val="FootnoteTextChar"/>
    <w:uiPriority w:val="99"/>
    <w:semiHidden/>
    <w:unhideWhenUsed/>
    <w:rsid w:val="005E1D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1D2C"/>
    <w:rPr>
      <w:sz w:val="20"/>
      <w:szCs w:val="20"/>
    </w:rPr>
  </w:style>
  <w:style w:type="character" w:styleId="FootnoteReference">
    <w:name w:val="footnote reference"/>
    <w:basedOn w:val="DefaultParagraphFont"/>
    <w:uiPriority w:val="99"/>
    <w:semiHidden/>
    <w:unhideWhenUsed/>
    <w:rsid w:val="005E1D2C"/>
    <w:rPr>
      <w:vertAlign w:val="superscript"/>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character" w:styleId="Emphasis">
    <w:name w:val="Emphasis"/>
    <w:basedOn w:val="DefaultParagraphFont"/>
    <w:uiPriority w:val="20"/>
    <w:qFormat/>
    <w:rsid w:val="004B5D16"/>
    <w:rPr>
      <w:i/>
      <w:iCs/>
    </w:r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7">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D14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4792"/>
  </w:style>
  <w:style w:type="paragraph" w:styleId="Footer">
    <w:name w:val="footer"/>
    <w:basedOn w:val="Normal"/>
    <w:link w:val="FooterChar"/>
    <w:uiPriority w:val="99"/>
    <w:unhideWhenUsed/>
    <w:rsid w:val="00D14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4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90137">
      <w:bodyDiv w:val="1"/>
      <w:marLeft w:val="0"/>
      <w:marRight w:val="0"/>
      <w:marTop w:val="0"/>
      <w:marBottom w:val="0"/>
      <w:divBdr>
        <w:top w:val="none" w:sz="0" w:space="0" w:color="auto"/>
        <w:left w:val="none" w:sz="0" w:space="0" w:color="auto"/>
        <w:bottom w:val="none" w:sz="0" w:space="0" w:color="auto"/>
        <w:right w:val="none" w:sz="0" w:space="0" w:color="auto"/>
      </w:divBdr>
    </w:div>
    <w:div w:id="1367174506">
      <w:bodyDiv w:val="1"/>
      <w:marLeft w:val="0"/>
      <w:marRight w:val="0"/>
      <w:marTop w:val="0"/>
      <w:marBottom w:val="0"/>
      <w:divBdr>
        <w:top w:val="none" w:sz="0" w:space="0" w:color="auto"/>
        <w:left w:val="none" w:sz="0" w:space="0" w:color="auto"/>
        <w:bottom w:val="none" w:sz="0" w:space="0" w:color="auto"/>
        <w:right w:val="none" w:sz="0" w:space="0" w:color="auto"/>
      </w:divBdr>
    </w:div>
    <w:div w:id="1808160926">
      <w:bodyDiv w:val="1"/>
      <w:marLeft w:val="0"/>
      <w:marRight w:val="0"/>
      <w:marTop w:val="0"/>
      <w:marBottom w:val="0"/>
      <w:divBdr>
        <w:top w:val="none" w:sz="0" w:space="0" w:color="auto"/>
        <w:left w:val="none" w:sz="0" w:space="0" w:color="auto"/>
        <w:bottom w:val="none" w:sz="0" w:space="0" w:color="auto"/>
        <w:right w:val="none" w:sz="0" w:space="0" w:color="auto"/>
      </w:divBdr>
    </w:div>
    <w:div w:id="1863274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jR5wqF5VjAuPboYQiF6No0+nYA==">CgMxLjA4AHIhMXBBdmJ3bl9hejJDQ1ctNHpVSVlCSEJ6S29BZnI1Ymw2</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809673-A78B-4E95-A6A4-F9315A881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7</Pages>
  <Words>2411</Words>
  <Characters>13745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Tao</dc:creator>
  <cp:lastModifiedBy>Faizan Naveed</cp:lastModifiedBy>
  <cp:revision>31</cp:revision>
  <dcterms:created xsi:type="dcterms:W3CDTF">2024-06-03T19:02:00Z</dcterms:created>
  <dcterms:modified xsi:type="dcterms:W3CDTF">2026-05-07T16:24:00Z</dcterms:modified>
</cp:coreProperties>
</file>