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Arial" w:hAnsi="Arial"/>
          <w:sz w:val="24"/>
          <w:szCs w:val="24"/>
          <w:u w:color="000000"/>
          <w:rtl w:val="0"/>
          <w:lang w:val="en-US"/>
        </w:rPr>
      </w:pP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Calibri" w:cs="Calibri" w:hAnsi="Calibri" w:eastAsia="Calibri"/>
          <w:sz w:val="24"/>
          <w:szCs w:val="24"/>
          <w:u w:color="000000"/>
          <w:rtl w:val="0"/>
          <w:lang w:val="en-US"/>
        </w:rPr>
      </w:pPr>
      <w:r>
        <w:rPr>
          <w:rFonts w:ascii="Calibri" w:cs="Calibri" w:hAnsi="Calibri" w:eastAsia="Calibri"/>
          <w:sz w:val="24"/>
          <w:szCs w:val="24"/>
          <w:u w:color="000000"/>
          <w:rtl w:val="0"/>
          <w:lang w:val="en-US"/>
        </w:rPr>
        <w:drawing>
          <wp:inline distT="0" distB="0" distL="0" distR="0">
            <wp:extent cx="4953692" cy="3429480"/>
            <wp:effectExtent l="0" t="0" r="0" b="0"/>
            <wp:docPr id="1073741825" name="officeArt object" descr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7.png" descr="image7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692" cy="34294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Calibri" w:cs="Calibri" w:hAnsi="Calibri" w:eastAsia="Calibri"/>
          <w:sz w:val="24"/>
          <w:szCs w:val="24"/>
          <w:u w:color="000000"/>
          <w:rtl w:val="0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u w:color="000000"/>
          <w:rtl w:val="0"/>
          <w:lang w:val="it-IT"/>
        </w:rPr>
        <w:t>Supplemental figure 1</w:t>
      </w:r>
      <w:r>
        <w:rPr>
          <w:rFonts w:ascii="Calibri" w:cs="Calibri" w:hAnsi="Calibri" w:eastAsia="Calibri"/>
          <w:sz w:val="24"/>
          <w:szCs w:val="24"/>
          <w:u w:color="000000"/>
          <w:rtl w:val="0"/>
          <w:lang w:val="en-US"/>
        </w:rPr>
        <w:t>. OPLS-DA scores plot to identify those variables with greatest influence on separation of HCV genotypes 1 and 3 in ESI positive mode.</w:t>
      </w: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br w:type="page"/>
      </w: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Calibri" w:cs="Calibri" w:hAnsi="Calibri" w:eastAsia="Calibri"/>
          <w:sz w:val="24"/>
          <w:szCs w:val="24"/>
          <w:u w:color="000000"/>
          <w:rtl w:val="0"/>
          <w:lang w:val="en-US"/>
        </w:rPr>
      </w:pPr>
      <w:r>
        <w:rPr>
          <w:rFonts w:ascii="Calibri" w:cs="Calibri" w:hAnsi="Calibri" w:eastAsia="Calibri"/>
          <w:sz w:val="24"/>
          <w:szCs w:val="24"/>
          <w:u w:color="000000"/>
          <w:rtl w:val="0"/>
          <w:lang w:val="en-US"/>
        </w:rPr>
        <w:drawing>
          <wp:inline distT="0" distB="0" distL="0" distR="0">
            <wp:extent cx="4953692" cy="3429480"/>
            <wp:effectExtent l="0" t="0" r="0" b="0"/>
            <wp:docPr id="1073741826" name="officeArt object" descr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8.png" descr="image8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692" cy="34294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Calibri" w:cs="Calibri" w:hAnsi="Calibri" w:eastAsia="Calibri"/>
          <w:sz w:val="24"/>
          <w:szCs w:val="24"/>
          <w:u w:color="000000"/>
          <w:rtl w:val="0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u w:color="000000"/>
          <w:rtl w:val="0"/>
          <w:lang w:val="it-IT"/>
        </w:rPr>
        <w:t>Supplemental figure 2</w:t>
      </w:r>
      <w:r>
        <w:rPr>
          <w:rFonts w:ascii="Calibri" w:cs="Calibri" w:hAnsi="Calibri" w:eastAsia="Calibri"/>
          <w:sz w:val="24"/>
          <w:szCs w:val="24"/>
          <w:u w:color="000000"/>
          <w:rtl w:val="0"/>
          <w:lang w:val="en-US"/>
        </w:rPr>
        <w:t>: S-plot to determine variables with the greatest contribution to HCV genotypes 1 and 3 separation in fasting samples.</w:t>
      </w: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br w:type="page"/>
      </w: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Calibri" w:cs="Calibri" w:hAnsi="Calibri" w:eastAsia="Calibri"/>
          <w:sz w:val="24"/>
          <w:szCs w:val="24"/>
          <w:u w:color="000000"/>
          <w:rtl w:val="0"/>
          <w:lang w:val="en-US"/>
        </w:rPr>
      </w:pPr>
      <w:r>
        <w:rPr>
          <w:rFonts w:ascii="Calibri" w:cs="Calibri" w:hAnsi="Calibri" w:eastAsia="Calibri"/>
          <w:sz w:val="24"/>
          <w:szCs w:val="24"/>
          <w:u w:color="000000"/>
          <w:rtl w:val="0"/>
          <w:lang w:val="en-US"/>
        </w:rPr>
        <w:drawing>
          <wp:inline distT="0" distB="0" distL="0" distR="0">
            <wp:extent cx="5086350" cy="3521319"/>
            <wp:effectExtent l="0" t="0" r="0" b="0"/>
            <wp:docPr id="1073741827" name="officeArt object" descr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9.png" descr="image9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352131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Calibri" w:cs="Calibri" w:hAnsi="Calibri" w:eastAsia="Calibri"/>
          <w:sz w:val="24"/>
          <w:szCs w:val="24"/>
          <w:u w:color="000000"/>
          <w:rtl w:val="0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u w:color="000000"/>
          <w:rtl w:val="0"/>
          <w:lang w:val="it-IT"/>
        </w:rPr>
        <w:t>Supplemental figure 3</w:t>
      </w:r>
      <w:r>
        <w:rPr>
          <w:rFonts w:ascii="Calibri" w:cs="Calibri" w:hAnsi="Calibri" w:eastAsia="Calibri"/>
          <w:sz w:val="24"/>
          <w:szCs w:val="24"/>
          <w:u w:color="000000"/>
          <w:rtl w:val="0"/>
          <w:lang w:val="en-US"/>
        </w:rPr>
        <w:t>. Principal components analysis (PCA) of fasting sera in negative electrospray ionisation mode demonstrating separation between HCV genotypes</w:t>
      </w: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br w:type="page"/>
      </w: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Calibri" w:cs="Calibri" w:hAnsi="Calibri" w:eastAsia="Calibri"/>
          <w:sz w:val="24"/>
          <w:szCs w:val="24"/>
          <w:u w:color="000000"/>
          <w:rtl w:val="0"/>
          <w:lang w:val="en-US"/>
        </w:rPr>
      </w:pPr>
      <w:r>
        <w:rPr>
          <w:rFonts w:ascii="Calibri" w:cs="Calibri" w:hAnsi="Calibri" w:eastAsia="Calibri"/>
          <w:sz w:val="24"/>
          <w:szCs w:val="24"/>
          <w:u w:color="000000"/>
          <w:rtl w:val="0"/>
          <w:lang w:val="en-US"/>
        </w:rPr>
        <w:drawing>
          <wp:inline distT="0" distB="0" distL="0" distR="0">
            <wp:extent cx="4572638" cy="3429480"/>
            <wp:effectExtent l="0" t="0" r="0" b="0"/>
            <wp:docPr id="1073741828" name="officeArt object" descr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image10.png" descr="image10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Calibri" w:cs="Calibri" w:hAnsi="Calibri" w:eastAsia="Calibri"/>
          <w:sz w:val="24"/>
          <w:szCs w:val="24"/>
          <w:u w:color="000000"/>
          <w:rtl w:val="0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u w:color="000000"/>
          <w:rtl w:val="0"/>
          <w:lang w:val="it-IT"/>
        </w:rPr>
        <w:t>Supplemental figure 4.</w:t>
      </w:r>
      <w:r>
        <w:rPr>
          <w:rFonts w:ascii="Calibri" w:cs="Calibri" w:hAnsi="Calibri" w:eastAsia="Calibri"/>
          <w:sz w:val="24"/>
          <w:szCs w:val="24"/>
          <w:u w:color="000000"/>
          <w:rtl w:val="0"/>
          <w:lang w:val="en-US"/>
        </w:rPr>
        <w:t xml:space="preserve"> OPLS-DA and S-plot to determine variables with the greatest contribution to HCV genotypes 1 and 3 separation in fasting samples in negative electrospray ionisation mode.</w:t>
      </w: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br w:type="page"/>
      </w: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Calibri" w:cs="Calibri" w:hAnsi="Calibri" w:eastAsia="Calibri"/>
          <w:sz w:val="24"/>
          <w:szCs w:val="24"/>
          <w:u w:color="000000"/>
          <w:rtl w:val="0"/>
          <w:lang w:val="en-US"/>
        </w:rPr>
      </w:pPr>
      <w:r>
        <w:rPr>
          <w:rFonts w:ascii="Calibri" w:cs="Calibri" w:hAnsi="Calibri" w:eastAsia="Calibri"/>
          <w:sz w:val="24"/>
          <w:szCs w:val="24"/>
          <w:u w:color="000000"/>
          <w:rtl w:val="0"/>
          <w:lang w:val="en-US"/>
        </w:rPr>
        <w:drawing>
          <wp:inline distT="0" distB="0" distL="0" distR="0">
            <wp:extent cx="4889500" cy="3152775"/>
            <wp:effectExtent l="0" t="0" r="0" b="0"/>
            <wp:docPr id="1073741829" name="officeArt object" descr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11.png" descr="image11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9500" cy="31527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Calibri" w:cs="Calibri" w:hAnsi="Calibri" w:eastAsia="Calibri"/>
          <w:sz w:val="24"/>
          <w:szCs w:val="24"/>
          <w:u w:color="000000"/>
          <w:rtl w:val="0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u w:color="000000"/>
          <w:rtl w:val="0"/>
          <w:lang w:val="it-IT"/>
        </w:rPr>
        <w:t>Supplemental figure 5</w:t>
      </w:r>
      <w:r>
        <w:rPr>
          <w:rFonts w:ascii="Calibri" w:cs="Calibri" w:hAnsi="Calibri" w:eastAsia="Calibri"/>
          <w:sz w:val="24"/>
          <w:szCs w:val="24"/>
          <w:u w:color="000000"/>
          <w:rtl w:val="0"/>
          <w:lang w:val="en-US"/>
        </w:rPr>
        <w:t>. Principal components analysis (PCA) of non-fasting sera, (cohort 2 HCV RNA positive viraemic) in both positive and negative electrospray ionisation mode demonstrating separation between HCV genotypes 1 and 3.</w:t>
      </w: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  <w:u w:color="000000"/>
          <w:rtl w:val="0"/>
          <w:lang w:val="en-US"/>
        </w:rPr>
        <w:br w:type="page"/>
      </w: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Calibri" w:cs="Calibri" w:hAnsi="Calibri" w:eastAsia="Calibri"/>
          <w:sz w:val="24"/>
          <w:szCs w:val="24"/>
          <w:u w:color="000000"/>
          <w:rtl w:val="0"/>
          <w:lang w:val="en-US"/>
        </w:rPr>
      </w:pPr>
      <w:r>
        <w:rPr>
          <w:rFonts w:ascii="Calibri" w:cs="Calibri" w:hAnsi="Calibri" w:eastAsia="Calibri"/>
          <w:sz w:val="24"/>
          <w:szCs w:val="24"/>
          <w:u w:color="000000"/>
          <w:rtl w:val="0"/>
          <w:lang w:val="en-US"/>
        </w:rPr>
        <w:drawing>
          <wp:inline distT="0" distB="0" distL="0" distR="0">
            <wp:extent cx="4572000" cy="3095625"/>
            <wp:effectExtent l="0" t="0" r="0" b="0"/>
            <wp:docPr id="1073741830" name="officeArt object" descr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image12.png" descr="image12.png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0956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Fonts w:ascii="Arial" w:cs="Arial" w:hAnsi="Arial" w:eastAsia="Arial"/>
          <w:sz w:val="24"/>
          <w:szCs w:val="24"/>
          <w:u w:color="000000"/>
          <w:rtl w:val="0"/>
          <w:lang w:val="en-US"/>
        </w:rPr>
      </w:pPr>
    </w:p>
    <w:p>
      <w:pPr>
        <w:pStyle w:val="Default"/>
        <w:bidi w:val="0"/>
        <w:spacing w:after="200" w:line="360" w:lineRule="auto"/>
        <w:ind w:left="0" w:right="0" w:firstLine="0"/>
        <w:jc w:val="both"/>
        <w:rPr>
          <w:rtl w:val="0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u w:color="000000"/>
          <w:rtl w:val="0"/>
          <w:lang w:val="it-IT"/>
        </w:rPr>
        <w:t>Supplemental figure 6</w:t>
      </w:r>
      <w:r>
        <w:rPr>
          <w:rFonts w:ascii="Calibri" w:cs="Calibri" w:hAnsi="Calibri" w:eastAsia="Calibri"/>
          <w:sz w:val="24"/>
          <w:szCs w:val="24"/>
          <w:u w:color="000000"/>
          <w:rtl w:val="0"/>
          <w:lang w:val="en-US"/>
        </w:rPr>
        <w:t>. Principal components analysis (PCA) of non-fasting sera, (cohort 3 HCV RNA negative, non-viraemic) following sustained virological response to pegylated interferon-alpha and ribavirin in both positive and negative electrospray ionisation mode demonstrating no significant separation between HCV genotypes 1 and 3.</w:t>
      </w:r>
    </w:p>
    <w:sectPr>
      <w:headerReference w:type="default" r:id="rId10"/>
      <w:footerReference w:type="default" r:id="rId11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header" Target="header1.xml"/><Relationship Id="rId11" Type="http://schemas.openxmlformats.org/officeDocument/2006/relationships/footer" Target="footer1.xml"/><Relationship Id="rId12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