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55.png" ContentType="image/png"/>
  <Override PartName="/word/media/rId58.png" ContentType="image/png"/>
  <Override PartName="/word/media/rId61.png" ContentType="image/png"/>
  <Override PartName="/word/media/rId6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9" w:name="online-appendix"/>
    <w:p>
      <w:pPr>
        <w:pStyle w:val="Heading1"/>
      </w:pPr>
      <w:r>
        <w:t xml:space="preserve">Online Appendix</w:t>
      </w:r>
    </w:p>
    <w:bookmarkStart w:id="18" w:name="Xba540915bec7c7a8fa11a053e4cccc7612460f7"/>
    <w:p>
      <w:pPr>
        <w:pStyle w:val="Heading2"/>
      </w:pPr>
      <w:r>
        <w:t xml:space="preserve">eAppendix A. Multi-Agent Debate: Expert Personas and Protocol</w:t>
      </w:r>
    </w:p>
    <w:bookmarkStart w:id="9" w:name="etable-1.-expert-personas"/>
    <w:p>
      <w:pPr>
        <w:pStyle w:val="Heading3"/>
      </w:pPr>
      <w:r>
        <w:t xml:space="preserve">eTable 1. Expert Personas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Agent</w:t>
            </w:r>
          </w:p>
        </w:tc>
        <w:tc>
          <w:tcPr/>
          <w:p>
            <w:pPr>
              <w:pStyle w:val="Compact"/>
            </w:pPr>
            <w:r>
              <w:t xml:space="preserve">Persona</w:t>
            </w:r>
          </w:p>
        </w:tc>
        <w:tc>
          <w:tcPr/>
          <w:p>
            <w:pPr>
              <w:pStyle w:val="Compact"/>
            </w:pPr>
            <w:r>
              <w:t xml:space="preserve">System Prompt Core</w:t>
            </w:r>
          </w:p>
        </w:tc>
        <w:tc>
          <w:tcPr/>
          <w:p>
            <w:pPr>
              <w:pStyle w:val="Compact"/>
            </w:pPr>
            <w:r>
              <w:t xml:space="preserve">Hard Constraints</w:t>
            </w:r>
          </w:p>
        </w:tc>
      </w:tr>
      <w:tr>
        <w:tc>
          <w:tcPr/>
          <w:p>
            <w:pPr>
              <w:pStyle w:val="Compact"/>
            </w:pPr>
            <w:r>
              <w:t xml:space="preserve">A1: Health Economist</w:t>
            </w:r>
          </w:p>
        </w:tc>
        <w:tc>
          <w:tcPr/>
          <w:p>
            <w:pPr>
              <w:pStyle w:val="Compact"/>
            </w:pPr>
            <w:r>
              <w:t xml:space="preserve">Arrow/Krugman market failure framework; information asymmetry in healthcare markets</w:t>
            </w:r>
          </w:p>
        </w:tc>
        <w:tc>
          <w:tcPr/>
          <w:p>
            <w:pPr>
              <w:pStyle w:val="Compact"/>
            </w:pPr>
            <w:r>
              <w:t xml:space="preserve">All cost assumptions must cite evidence; must address moral hazard and adverse selection</w:t>
            </w:r>
          </w:p>
        </w:tc>
        <w:tc>
          <w:tcPr/>
          <w:p>
            <w:pPr>
              <w:pStyle w:val="Compact"/>
            </w:pPr>
            <w:r>
              <w:t xml:space="preserve">No designs that increase total cost to taxpayer</w:t>
            </w:r>
          </w:p>
        </w:tc>
      </w:tr>
      <w:tr>
        <w:tc>
          <w:tcPr/>
          <w:p>
            <w:pPr>
              <w:pStyle w:val="Compact"/>
            </w:pPr>
            <w:r>
              <w:t xml:space="preserve">A2: Medicaid Regulator</w:t>
            </w:r>
          </w:p>
        </w:tc>
        <w:tc>
          <w:tcPr/>
          <w:p>
            <w:pPr>
              <w:pStyle w:val="Compact"/>
            </w:pPr>
            <w:r>
              <w:t xml:space="preserve">CMS/state Medicaid director; 1115 waiver expertise</w:t>
            </w:r>
          </w:p>
        </w:tc>
        <w:tc>
          <w:tcPr/>
          <w:p>
            <w:pPr>
              <w:pStyle w:val="Compact"/>
            </w:pPr>
            <w:r>
              <w:t xml:space="preserve">Must specify legal pathway and waiver authority for every design element</w:t>
            </w:r>
          </w:p>
        </w:tc>
        <w:tc>
          <w:tcPr/>
          <w:p>
            <w:pPr>
              <w:pStyle w:val="Compact"/>
            </w:pPr>
            <w:r>
              <w:t xml:space="preserve">Must comply with existing federal Medicaid statute or identify specific waivers</w:t>
            </w:r>
          </w:p>
        </w:tc>
      </w:tr>
      <w:tr>
        <w:tc>
          <w:tcPr/>
          <w:p>
            <w:pPr>
              <w:pStyle w:val="Compact"/>
            </w:pPr>
            <w:r>
              <w:t xml:space="preserve">A3: Patient Advocate</w:t>
            </w:r>
          </w:p>
        </w:tc>
        <w:tc>
          <w:tcPr/>
          <w:p>
            <w:pPr>
              <w:pStyle w:val="Compact"/>
            </w:pPr>
            <w:r>
              <w:t xml:space="preserve">Medicaid beneficiary perspective; emphasis on access, dignity, cultural competency</w:t>
            </w:r>
          </w:p>
        </w:tc>
        <w:tc>
          <w:tcPr/>
          <w:p>
            <w:pPr>
              <w:pStyle w:val="Compact"/>
            </w:pPr>
            <w:r>
              <w:t xml:space="preserve">Must address digital divide and language access; no designs that reduce patient choice</w:t>
            </w:r>
          </w:p>
        </w:tc>
        <w:tc>
          <w:tcPr/>
          <w:p>
            <w:pPr>
              <w:pStyle w:val="Compact"/>
            </w:pPr>
            <w:r>
              <w:t xml:space="preserve">No involuntary enrollment or penalty for human provider preference</w:t>
            </w:r>
          </w:p>
        </w:tc>
      </w:tr>
      <w:tr>
        <w:tc>
          <w:tcPr/>
          <w:p>
            <w:pPr>
              <w:pStyle w:val="Compact"/>
            </w:pPr>
            <w:r>
              <w:t xml:space="preserve">A4: Primary Care Physician</w:t>
            </w:r>
          </w:p>
        </w:tc>
        <w:tc>
          <w:tcPr/>
          <w:p>
            <w:pPr>
              <w:pStyle w:val="Compact"/>
            </w:pPr>
            <w:r>
              <w:t xml:space="preserve">Board-certified internist practicing in FQHC setting</w:t>
            </w:r>
          </w:p>
        </w:tc>
        <w:tc>
          <w:tcPr/>
          <w:p>
            <w:pPr>
              <w:pStyle w:val="Compact"/>
            </w:pPr>
            <w:r>
              <w:t xml:space="preserve">Must address clinical safety, diagnostic accuracy, and escalation protocols</w:t>
            </w:r>
          </w:p>
        </w:tc>
        <w:tc>
          <w:tcPr/>
          <w:p>
            <w:pPr>
              <w:pStyle w:val="Compact"/>
            </w:pPr>
            <w:r>
              <w:t xml:space="preserve">No AI-only encounters for new symptoms, mental health crises, or high-acuity conditions</w:t>
            </w:r>
          </w:p>
        </w:tc>
      </w:tr>
      <w:tr>
        <w:tc>
          <w:tcPr/>
          <w:p>
            <w:pPr>
              <w:pStyle w:val="Compact"/>
            </w:pPr>
            <w:r>
              <w:t xml:space="preserve">A5: FQHC Operator</w:t>
            </w:r>
          </w:p>
        </w:tc>
        <w:tc>
          <w:tcPr/>
          <w:p>
            <w:pPr>
              <w:pStyle w:val="Compact"/>
            </w:pPr>
            <w:r>
              <w:t xml:space="preserve">Multi-site FQHC CEO; 340B and HRSA funding expertise</w:t>
            </w:r>
          </w:p>
        </w:tc>
        <w:tc>
          <w:tcPr/>
          <w:p>
            <w:pPr>
              <w:pStyle w:val="Compact"/>
            </w:pPr>
            <w:r>
              <w:t xml:space="preserve">Must be financially viable for safety-net providers; preserve FQHC funding streams</w:t>
            </w:r>
          </w:p>
        </w:tc>
        <w:tc>
          <w:tcPr/>
          <w:p>
            <w:pPr>
              <w:pStyle w:val="Compact"/>
            </w:pPr>
            <w:r>
              <w:t xml:space="preserve">Provider rates must exceed cost of care delivery</w:t>
            </w:r>
          </w:p>
        </w:tc>
      </w:tr>
      <w:tr>
        <w:tc>
          <w:tcPr/>
          <w:p>
            <w:pPr>
              <w:pStyle w:val="Compact"/>
            </w:pPr>
            <w:r>
              <w:t xml:space="preserve">A6: Health System Ethicist</w:t>
            </w:r>
          </w:p>
        </w:tc>
        <w:tc>
          <w:tcPr/>
          <w:p>
            <w:pPr>
              <w:pStyle w:val="Compact"/>
            </w:pPr>
            <w:r>
              <w:t xml:space="preserve">AI ethics and health equity; informed consent and algorithmic fairness</w:t>
            </w:r>
          </w:p>
        </w:tc>
        <w:tc>
          <w:tcPr/>
          <w:p>
            <w:pPr>
              <w:pStyle w:val="Compact"/>
            </w:pPr>
            <w:r>
              <w:t xml:space="preserve">Must address bias, transparency, and governance; community representation required</w:t>
            </w:r>
          </w:p>
        </w:tc>
        <w:tc>
          <w:tcPr/>
          <w:p>
            <w:pPr>
              <w:pStyle w:val="Compact"/>
            </w:pPr>
            <w:r>
              <w:t xml:space="preserve">Mandatory algorithmic bias auditing; beneficiary governance representation</w:t>
            </w:r>
          </w:p>
        </w:tc>
      </w:tr>
      <w:tr>
        <w:tc>
          <w:tcPr/>
          <w:p>
            <w:pPr>
              <w:pStyle w:val="Compact"/>
            </w:pPr>
            <w:r>
              <w:t xml:space="preserve">A7: Actuary</w:t>
            </w:r>
          </w:p>
        </w:tc>
        <w:tc>
          <w:tcPr/>
          <w:p>
            <w:pPr>
              <w:pStyle w:val="Compact"/>
            </w:pPr>
            <w:r>
              <w:t xml:space="preserve">MAAA/FSA; Medicaid risk corridors and actuarial modeling</w:t>
            </w:r>
          </w:p>
        </w:tc>
        <w:tc>
          <w:tcPr/>
          <w:p>
            <w:pPr>
              <w:pStyle w:val="Compact"/>
            </w:pPr>
            <w:r>
              <w:t xml:space="preserve">Must demonstrate actuarial soundness with specific reserve and reinsurance requirements</w:t>
            </w:r>
          </w:p>
        </w:tc>
        <w:tc>
          <w:tcPr/>
          <w:p>
            <w:pPr>
              <w:pStyle w:val="Compact"/>
            </w:pPr>
            <w:r>
              <w:t xml:space="preserve">Medical loss ratio ≥ 90%; adequate reserves for catastrophic risk</w:t>
            </w:r>
          </w:p>
        </w:tc>
      </w:tr>
      <w:tr>
        <w:tc>
          <w:tcPr/>
          <w:p>
            <w:pPr>
              <w:pStyle w:val="Compact"/>
            </w:pPr>
            <w:r>
              <w:t xml:space="preserve">A8: Health Services Researcher</w:t>
            </w:r>
          </w:p>
        </w:tc>
        <w:tc>
          <w:tcPr/>
          <w:p>
            <w:pPr>
              <w:pStyle w:val="Compact"/>
            </w:pPr>
            <w:r>
              <w:t xml:space="preserve">Value-based care and population health; implementation science</w:t>
            </w:r>
          </w:p>
        </w:tc>
        <w:tc>
          <w:tcPr/>
          <w:p>
            <w:pPr>
              <w:pStyle w:val="Compact"/>
            </w:pPr>
            <w:r>
              <w:t xml:space="preserve">Must cite empirical evidence for all intervention effect assumptions</w:t>
            </w:r>
          </w:p>
        </w:tc>
        <w:tc>
          <w:tcPr/>
          <w:p>
            <w:pPr>
              <w:pStyle w:val="Compact"/>
            </w:pPr>
            <w:r>
              <w:t xml:space="preserve">Effect sizes must be within published literature ranges</w:t>
            </w:r>
          </w:p>
        </w:tc>
      </w:tr>
    </w:tbl>
    <w:bookmarkEnd w:id="9"/>
    <w:bookmarkStart w:id="10" w:name="persona-justification"/>
    <w:p>
      <w:pPr>
        <w:pStyle w:val="Heading3"/>
      </w:pPr>
      <w:r>
        <w:t xml:space="preserve">Persona Justification</w:t>
      </w:r>
    </w:p>
    <w:p>
      <w:pPr>
        <w:pStyle w:val="FirstParagraph"/>
      </w:pPr>
      <w:r>
        <w:t xml:space="preserve">The 8 personas were selected to represent the critical perspectives needed to evaluate whether an AI-driven ACO could safely improve Medicaid patient outcomes:</w:t>
      </w:r>
    </w:p>
    <w:p>
      <w:pPr>
        <w:pStyle w:val="Compact"/>
        <w:numPr>
          <w:ilvl w:val="0"/>
          <w:numId w:val="1001"/>
        </w:numPr>
      </w:pPr>
      <w:r>
        <w:rPr>
          <w:b/>
          <w:bCs/>
        </w:rPr>
        <w:t xml:space="preserve">Clinical safety</w:t>
      </w:r>
      <w:r>
        <w:t xml:space="preserve"> </w:t>
      </w:r>
      <w:r>
        <w:t xml:space="preserve">(A4: Primary Care Physician) — Can AI safely manage primary care encounters? What conditions require human escalation?</w:t>
      </w:r>
    </w:p>
    <w:p>
      <w:pPr>
        <w:pStyle w:val="Compact"/>
        <w:numPr>
          <w:ilvl w:val="0"/>
          <w:numId w:val="1001"/>
        </w:numPr>
      </w:pPr>
      <w:r>
        <w:rPr>
          <w:b/>
          <w:bCs/>
        </w:rPr>
        <w:t xml:space="preserve">Patient experience and access</w:t>
      </w:r>
      <w:r>
        <w:t xml:space="preserve"> </w:t>
      </w:r>
      <w:r>
        <w:t xml:space="preserve">(A3: Patient Advocate) — Will patients accept AI-delivered care? How does the digital divide affect equity?</w:t>
      </w:r>
    </w:p>
    <w:p>
      <w:pPr>
        <w:pStyle w:val="Compact"/>
        <w:numPr>
          <w:ilvl w:val="0"/>
          <w:numId w:val="1001"/>
        </w:numPr>
      </w:pPr>
      <w:r>
        <w:rPr>
          <w:b/>
          <w:bCs/>
        </w:rPr>
        <w:t xml:space="preserve">Safety-net viability</w:t>
      </w:r>
      <w:r>
        <w:t xml:space="preserve"> </w:t>
      </w:r>
      <w:r>
        <w:t xml:space="preserve">(A5: FQHC Operator) — Can the model sustain safety-net infrastructure and provider employment?</w:t>
      </w:r>
    </w:p>
    <w:p>
      <w:pPr>
        <w:pStyle w:val="Compact"/>
        <w:numPr>
          <w:ilvl w:val="0"/>
          <w:numId w:val="1001"/>
        </w:numPr>
      </w:pPr>
      <w:r>
        <w:rPr>
          <w:b/>
          <w:bCs/>
        </w:rPr>
        <w:t xml:space="preserve">Financial soundness</w:t>
      </w:r>
      <w:r>
        <w:t xml:space="preserve"> </w:t>
      </w:r>
      <w:r>
        <w:t xml:space="preserve">(A7: Actuary) — Is the model actuarially viable under Medicaid capitation rates?</w:t>
      </w:r>
    </w:p>
    <w:p>
      <w:pPr>
        <w:pStyle w:val="Compact"/>
        <w:numPr>
          <w:ilvl w:val="0"/>
          <w:numId w:val="1001"/>
        </w:numPr>
      </w:pPr>
      <w:r>
        <w:rPr>
          <w:b/>
          <w:bCs/>
        </w:rPr>
        <w:t xml:space="preserve">Regulatory pathway</w:t>
      </w:r>
      <w:r>
        <w:t xml:space="preserve"> </w:t>
      </w:r>
      <w:r>
        <w:t xml:space="preserve">(A2: Medicaid Regulator) — What legal authority enables this model?</w:t>
      </w:r>
    </w:p>
    <w:p>
      <w:pPr>
        <w:pStyle w:val="Compact"/>
        <w:numPr>
          <w:ilvl w:val="0"/>
          <w:numId w:val="1001"/>
        </w:numPr>
      </w:pPr>
      <w:r>
        <w:rPr>
          <w:b/>
          <w:bCs/>
        </w:rPr>
        <w:t xml:space="preserve">Ethical governance</w:t>
      </w:r>
      <w:r>
        <w:t xml:space="preserve"> </w:t>
      </w:r>
      <w:r>
        <w:t xml:space="preserve">(A6: Health System Ethicist) — How should algorithmic bias be monitored? What oversight structures are needed?</w:t>
      </w:r>
    </w:p>
    <w:p>
      <w:pPr>
        <w:pStyle w:val="Compact"/>
        <w:numPr>
          <w:ilvl w:val="0"/>
          <w:numId w:val="1001"/>
        </w:numPr>
      </w:pPr>
      <w:r>
        <w:rPr>
          <w:b/>
          <w:bCs/>
        </w:rPr>
        <w:t xml:space="preserve">Evidence standards</w:t>
      </w:r>
      <w:r>
        <w:t xml:space="preserve"> </w:t>
      </w:r>
      <w:r>
        <w:t xml:space="preserve">(A8: Health Services Researcher) — Are the assumed effect sizes supported by published evidence?</w:t>
      </w:r>
    </w:p>
    <w:p>
      <w:pPr>
        <w:pStyle w:val="Compact"/>
        <w:numPr>
          <w:ilvl w:val="0"/>
          <w:numId w:val="1001"/>
        </w:numPr>
      </w:pPr>
      <w:r>
        <w:rPr>
          <w:b/>
          <w:bCs/>
        </w:rPr>
        <w:t xml:space="preserve">Economic framework</w:t>
      </w:r>
      <w:r>
        <w:t xml:space="preserve"> </w:t>
      </w:r>
      <w:r>
        <w:t xml:space="preserve">(A1: Health Economist) — Does the model address the underlying market failure, or merely shift costs?</w:t>
      </w:r>
    </w:p>
    <w:bookmarkEnd w:id="10"/>
    <w:bookmarkStart w:id="11" w:name="debate-protocol-details"/>
    <w:p>
      <w:pPr>
        <w:pStyle w:val="Heading3"/>
      </w:pPr>
      <w:r>
        <w:t xml:space="preserve">Debate Protocol Details</w:t>
      </w:r>
    </w:p>
    <w:p>
      <w:pPr>
        <w:pStyle w:val="FirstParagraph"/>
      </w:pPr>
      <w:r>
        <w:rPr>
          <w:b/>
          <w:bCs/>
        </w:rPr>
        <w:t xml:space="preserve">Round 0</w:t>
      </w:r>
      <w:r>
        <w:t xml:space="preserve">: Each agent independently generated a complete AI ACO design specification across 12 parameter domains in structured JSON format, including specific numeric values, units, justifications, uncertainty ranges, and key assumptions.</w:t>
      </w:r>
    </w:p>
    <w:p>
      <w:pPr>
        <w:pStyle w:val="BodyText"/>
      </w:pPr>
      <w:r>
        <w:rPr>
          <w:b/>
          <w:bCs/>
        </w:rPr>
        <w:t xml:space="preserve">Rounds 1–2 (Delphi feedback)</w:t>
      </w:r>
      <w:r>
        <w:t xml:space="preserve">: Each agent received anonymized group summary statistics — median, interquartile range (IQR), and percent agreement for each sub-parameter — with their own position highlighted as inside or outside the IQR. Agents outside the IQR were required to provide outlier justifications or revise toward the group median. All agents produced complete re-rated proposals across all 12 domains.</w:t>
      </w:r>
    </w:p>
    <w:p>
      <w:pPr>
        <w:pStyle w:val="BodyText"/>
      </w:pPr>
      <w:r>
        <w:rPr>
          <w:b/>
          <w:bCs/>
        </w:rPr>
        <w:t xml:space="preserve">Convergence metric</w:t>
      </w:r>
      <w:r>
        <w:t xml:space="preserve">: Coefficient of variation (CV) of quantitative parameter values across all 8 agents, computed per domain. Categorical parameters assessed by percent agreement (mode fraction). Domain-level Delphi convergence required IQR stability or decrease for numeric parameters and ≥75% agreement for categorical parameters, with a majority of sub-parameters meeting these criteria.</w:t>
      </w:r>
    </w:p>
    <w:p>
      <w:pPr>
        <w:pStyle w:val="BodyText"/>
      </w:pPr>
      <w:r>
        <w:rPr>
          <w:b/>
          <w:bCs/>
        </w:rPr>
        <w:t xml:space="preserve">Stopping criteria</w:t>
      </w:r>
      <w:r>
        <w:t xml:space="preserve">: ≥10 of 12 domains meeting Delphi convergence criteria for 2 consecutive rounds, or a maximum of 12 rounds. The process converged at Round 2 (3 total rounds).</w:t>
      </w:r>
    </w:p>
    <w:bookmarkEnd w:id="11"/>
    <w:bookmarkStart w:id="12" w:name="minority-reports-and-scenario-derivation"/>
    <w:p>
      <w:pPr>
        <w:pStyle w:val="Heading3"/>
      </w:pPr>
      <w:r>
        <w:t xml:space="preserve">Minority Reports and Scenario Derivation</w:t>
      </w:r>
    </w:p>
    <w:p>
      <w:pPr>
        <w:pStyle w:val="FirstParagraph"/>
      </w:pPr>
      <w:r>
        <w:t xml:space="preserve">Agents diverging by more than 1 standard deviation from consensus on any sub-parameter submitted structured minority reports. Each report identified (a) the specific sub-parameter on which the agent dissented, (b) the agent’s preferred value with justification, and (c) the direction (higher or lower) of the dissent. Seven of 8 agents filed minority reports; the patient-advocate agent had the most divergent parameters (27 of 60 sub-parameters), primarily related to higher CHW staffing, lower AI encounter share, and stronger patient consent requirements.</w:t>
      </w:r>
    </w:p>
    <w:p>
      <w:pPr>
        <w:pStyle w:val="BodyText"/>
      </w:pPr>
      <w:r>
        <w:t xml:space="preserve">These minority reports parameterized the pessimistic and optimistic microsimulation scenarios as follows. For the</w:t>
      </w:r>
      <w:r>
        <w:t xml:space="preserve"> </w:t>
      </w:r>
      <w:r>
        <w:rPr>
          <w:b/>
          <w:bCs/>
        </w:rPr>
        <w:t xml:space="preserve">pessimistic scenario (S3)</w:t>
      </w:r>
      <w:r>
        <w:t xml:space="preserve">, AI engagement multipliers were set to the lower bound of dissenting positions (1.1× outreach, 1.2× agreement, versus consensus 1.2× and 1.3×) and AI clinical relative risk reductions were halved (reflecting the patient-advocate and physician minority view that AI engagement and clinical effects would underperform consensus expectations); administrative cost reduction was held at the consensus 3.0% because no agent dissented on the administrative target (all 8 agents independently proposed values in the 2.5%–3.5% range). The</w:t>
      </w:r>
      <w:r>
        <w:t xml:space="preserve"> </w:t>
      </w:r>
      <w:r>
        <w:t xml:space="preserve">“key assumption”</w:t>
      </w:r>
      <w:r>
        <w:t xml:space="preserve"> </w:t>
      </w:r>
      <w:r>
        <w:t xml:space="preserve">column in eTable 6 documents the dimension on which the scenario deviates from consensus: for S3, this is the AI clinical and engagement performance dimension. For the</w:t>
      </w:r>
      <w:r>
        <w:t xml:space="preserve"> </w:t>
      </w:r>
      <w:r>
        <w:rPr>
          <w:b/>
          <w:bCs/>
        </w:rPr>
        <w:t xml:space="preserve">optimistic scenario (S2)</w:t>
      </w:r>
      <w:r>
        <w:t xml:space="preserve">, the symmetric upper bound was used (1.3× outreach, 1.4× agreement, 2.5% admin).</w:t>
      </w:r>
    </w:p>
    <w:bookmarkEnd w:id="12"/>
    <w:bookmarkStart w:id="13" w:name="delphi-convergence-results"/>
    <w:p>
      <w:pPr>
        <w:pStyle w:val="Heading3"/>
      </w:pPr>
      <w:r>
        <w:t xml:space="preserve">Delphi Convergence Results</w:t>
      </w:r>
    </w:p>
    <w:p>
      <w:pPr>
        <w:pStyle w:val="FirstParagraph"/>
      </w:pPr>
      <w:r>
        <w:t xml:space="preserve">The Modified Delphi process achieved convergence in 3 rounds (Round 0 + 2 Delphi feedback rounds). All 8 agents parsed 58–60 parameter values per round with 0 errors.</w:t>
      </w:r>
    </w:p>
    <w:p>
      <w:pPr>
        <w:pStyle w:val="BodyText"/>
      </w:pPr>
      <w:r>
        <w:rPr>
          <w:b/>
          <w:bCs/>
        </w:rPr>
        <w:t xml:space="preserve">Convergence trajectory (CV by domain across rounds; see eFigure 1)</w:t>
      </w:r>
      <w:r>
        <w:t xml:space="preser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Domain</w:t>
            </w:r>
          </w:p>
        </w:tc>
        <w:tc>
          <w:tcPr/>
          <w:p>
            <w:pPr>
              <w:pStyle w:val="Compact"/>
            </w:pPr>
            <w:r>
              <w:t xml:space="preserve">Round 0</w:t>
            </w:r>
          </w:p>
        </w:tc>
        <w:tc>
          <w:tcPr/>
          <w:p>
            <w:pPr>
              <w:pStyle w:val="Compact"/>
            </w:pPr>
            <w:r>
              <w:t xml:space="preserve">Round 1</w:t>
            </w:r>
          </w:p>
        </w:tc>
        <w:tc>
          <w:tcPr/>
          <w:p>
            <w:pPr>
              <w:pStyle w:val="Compact"/>
            </w:pPr>
            <w:r>
              <w:t xml:space="preserve">Round 2</w:t>
            </w:r>
          </w:p>
        </w:tc>
        <w:tc>
          <w:tcPr/>
          <w:p>
            <w:pPr>
              <w:pStyle w:val="Compact"/>
            </w:pPr>
            <w:r>
              <w:t xml:space="preserve">Status</w:t>
            </w:r>
          </w:p>
        </w:tc>
      </w:tr>
      <w:tr>
        <w:tc>
          <w:tcPr/>
          <w:p>
            <w:pPr>
              <w:pStyle w:val="Compact"/>
            </w:pPr>
            <w:r>
              <w:t xml:space="preserve">Organizational structure</w:t>
            </w:r>
          </w:p>
        </w:tc>
        <w:tc>
          <w:tcPr/>
          <w:p>
            <w:pPr>
              <w:pStyle w:val="Compact"/>
            </w:pPr>
            <w:r>
              <w:t xml:space="preserve">0.03</w:t>
            </w:r>
          </w:p>
        </w:tc>
        <w:tc>
          <w:tcPr/>
          <w:p>
            <w:pPr>
              <w:pStyle w:val="Compact"/>
            </w:pPr>
            <w:r>
              <w:t xml:space="preserve">0.03</w:t>
            </w:r>
          </w:p>
        </w:tc>
        <w:tc>
          <w:tcPr/>
          <w:p>
            <w:pPr>
              <w:pStyle w:val="Compact"/>
            </w:pPr>
            <w:r>
              <w:t xml:space="preserve">0.03</w:t>
            </w:r>
          </w:p>
        </w:tc>
        <w:tc>
          <w:tcPr/>
          <w:p>
            <w:pPr>
              <w:pStyle w:val="Compact"/>
            </w:pPr>
            <w:r>
              <w:t xml:space="preserve">Converged R0</w:t>
            </w:r>
          </w:p>
        </w:tc>
      </w:tr>
      <w:tr>
        <w:tc>
          <w:tcPr/>
          <w:p>
            <w:pPr>
              <w:pStyle w:val="Compact"/>
            </w:pPr>
            <w:r>
              <w:t xml:space="preserve">Regulatory pathway</w:t>
            </w:r>
          </w:p>
        </w:tc>
        <w:tc>
          <w:tcPr/>
          <w:p>
            <w:pPr>
              <w:pStyle w:val="Compact"/>
            </w:pPr>
            <w:r>
              <w:t xml:space="preserve">0.03</w:t>
            </w:r>
          </w:p>
        </w:tc>
        <w:tc>
          <w:tcPr/>
          <w:p>
            <w:pPr>
              <w:pStyle w:val="Compact"/>
            </w:pPr>
            <w:r>
              <w:t xml:space="preserve">0.02</w:t>
            </w:r>
          </w:p>
        </w:tc>
        <w:tc>
          <w:tcPr/>
          <w:p>
            <w:pPr>
              <w:pStyle w:val="Compact"/>
            </w:pPr>
            <w:r>
              <w:t xml:space="preserve">0.02</w:t>
            </w:r>
          </w:p>
        </w:tc>
        <w:tc>
          <w:tcPr/>
          <w:p>
            <w:pPr>
              <w:pStyle w:val="Compact"/>
            </w:pPr>
            <w:r>
              <w:t xml:space="preserve">Converged R0</w:t>
            </w:r>
          </w:p>
        </w:tc>
      </w:tr>
      <w:tr>
        <w:tc>
          <w:tcPr/>
          <w:p>
            <w:pPr>
              <w:pStyle w:val="Compact"/>
            </w:pPr>
            <w:r>
              <w:t xml:space="preserve">Anti-monopoly</w:t>
            </w:r>
          </w:p>
        </w:tc>
        <w:tc>
          <w:tcPr/>
          <w:p>
            <w:pPr>
              <w:pStyle w:val="Compact"/>
            </w:pPr>
            <w:r>
              <w:t xml:space="preserve">0.09</w:t>
            </w:r>
          </w:p>
        </w:tc>
        <w:tc>
          <w:tcPr/>
          <w:p>
            <w:pPr>
              <w:pStyle w:val="Compact"/>
            </w:pPr>
            <w:r>
              <w:t xml:space="preserve">0.07</w:t>
            </w:r>
          </w:p>
        </w:tc>
        <w:tc>
          <w:tcPr/>
          <w:p>
            <w:pPr>
              <w:pStyle w:val="Compact"/>
            </w:pPr>
            <w:r>
              <w:t xml:space="preserve">0.07</w:t>
            </w:r>
          </w:p>
        </w:tc>
        <w:tc>
          <w:tcPr/>
          <w:p>
            <w:pPr>
              <w:pStyle w:val="Compact"/>
            </w:pPr>
            <w:r>
              <w:t xml:space="preserve">Converged R0</w:t>
            </w:r>
          </w:p>
        </w:tc>
      </w:tr>
      <w:tr>
        <w:tc>
          <w:tcPr/>
          <w:p>
            <w:pPr>
              <w:pStyle w:val="Compact"/>
            </w:pPr>
            <w:r>
              <w:t xml:space="preserve">Ethical governance</w:t>
            </w:r>
          </w:p>
        </w:tc>
        <w:tc>
          <w:tcPr/>
          <w:p>
            <w:pPr>
              <w:pStyle w:val="Compact"/>
            </w:pPr>
            <w:r>
              <w:t xml:space="preserve">0.09</w:t>
            </w:r>
          </w:p>
        </w:tc>
        <w:tc>
          <w:tcPr/>
          <w:p>
            <w:pPr>
              <w:pStyle w:val="Compact"/>
            </w:pPr>
            <w:r>
              <w:t xml:space="preserve">0.07</w:t>
            </w:r>
          </w:p>
        </w:tc>
        <w:tc>
          <w:tcPr/>
          <w:p>
            <w:pPr>
              <w:pStyle w:val="Compact"/>
            </w:pPr>
            <w:r>
              <w:t xml:space="preserve">0.07</w:t>
            </w:r>
          </w:p>
        </w:tc>
        <w:tc>
          <w:tcPr/>
          <w:p>
            <w:pPr>
              <w:pStyle w:val="Compact"/>
            </w:pPr>
            <w:r>
              <w:t xml:space="preserve">Converged R0</w:t>
            </w:r>
          </w:p>
        </w:tc>
      </w:tr>
      <w:tr>
        <w:tc>
          <w:tcPr/>
          <w:p>
            <w:pPr>
              <w:pStyle w:val="Compact"/>
            </w:pPr>
            <w:r>
              <w:t xml:space="preserve">AI architecture</w:t>
            </w:r>
          </w:p>
        </w:tc>
        <w:tc>
          <w:tcPr/>
          <w:p>
            <w:pPr>
              <w:pStyle w:val="Compact"/>
            </w:pPr>
            <w:r>
              <w:t xml:space="preserve">0.10</w:t>
            </w:r>
          </w:p>
        </w:tc>
        <w:tc>
          <w:tcPr/>
          <w:p>
            <w:pPr>
              <w:pStyle w:val="Compact"/>
            </w:pPr>
            <w:r>
              <w:t xml:space="preserve">0.07</w:t>
            </w:r>
          </w:p>
        </w:tc>
        <w:tc>
          <w:tcPr/>
          <w:p>
            <w:pPr>
              <w:pStyle w:val="Compact"/>
            </w:pPr>
            <w:r>
              <w:t xml:space="preserve">0.07</w:t>
            </w:r>
          </w:p>
        </w:tc>
        <w:tc>
          <w:tcPr/>
          <w:p>
            <w:pPr>
              <w:pStyle w:val="Compact"/>
            </w:pPr>
            <w:r>
              <w:t xml:space="preserve">Converged R0</w:t>
            </w:r>
          </w:p>
        </w:tc>
      </w:tr>
      <w:tr>
        <w:tc>
          <w:tcPr/>
          <w:p>
            <w:pPr>
              <w:pStyle w:val="Compact"/>
            </w:pPr>
            <w:r>
              <w:t xml:space="preserve">Quality framework</w:t>
            </w:r>
          </w:p>
        </w:tc>
        <w:tc>
          <w:tcPr/>
          <w:p>
            <w:pPr>
              <w:pStyle w:val="Compact"/>
            </w:pPr>
            <w:r>
              <w:t xml:space="preserve">0.11</w:t>
            </w:r>
          </w:p>
        </w:tc>
        <w:tc>
          <w:tcPr/>
          <w:p>
            <w:pPr>
              <w:pStyle w:val="Compact"/>
            </w:pPr>
            <w:r>
              <w:t xml:space="preserve">0.09</w:t>
            </w:r>
          </w:p>
        </w:tc>
        <w:tc>
          <w:tcPr/>
          <w:p>
            <w:pPr>
              <w:pStyle w:val="Compact"/>
            </w:pPr>
            <w:r>
              <w:t xml:space="preserve">0.09</w:t>
            </w:r>
          </w:p>
        </w:tc>
        <w:tc>
          <w:tcPr/>
          <w:p>
            <w:pPr>
              <w:pStyle w:val="Compact"/>
            </w:pPr>
            <w:r>
              <w:t xml:space="preserve">Converged R0</w:t>
            </w:r>
          </w:p>
        </w:tc>
      </w:tr>
      <w:tr>
        <w:tc>
          <w:tcPr/>
          <w:p>
            <w:pPr>
              <w:pStyle w:val="Compact"/>
            </w:pPr>
            <w:r>
              <w:t xml:space="preserve">Provider rates</w:t>
            </w:r>
          </w:p>
        </w:tc>
        <w:tc>
          <w:tcPr/>
          <w:p>
            <w:pPr>
              <w:pStyle w:val="Compact"/>
            </w:pPr>
            <w:r>
              <w:t xml:space="preserve">0.12</w:t>
            </w:r>
          </w:p>
        </w:tc>
        <w:tc>
          <w:tcPr/>
          <w:p>
            <w:pPr>
              <w:pStyle w:val="Compact"/>
            </w:pPr>
            <w:r>
              <w:t xml:space="preserve">0.08</w:t>
            </w:r>
          </w:p>
        </w:tc>
        <w:tc>
          <w:tcPr/>
          <w:p>
            <w:pPr>
              <w:pStyle w:val="Compact"/>
            </w:pPr>
            <w:r>
              <w:t xml:space="preserve">0.08</w:t>
            </w:r>
          </w:p>
        </w:tc>
        <w:tc>
          <w:tcPr/>
          <w:p>
            <w:pPr>
              <w:pStyle w:val="Compact"/>
            </w:pPr>
            <w:r>
              <w:t xml:space="preserve">Converged R0</w:t>
            </w:r>
          </w:p>
        </w:tc>
      </w:tr>
      <w:tr>
        <w:tc>
          <w:tcPr/>
          <w:p>
            <w:pPr>
              <w:pStyle w:val="Compact"/>
            </w:pPr>
            <w:r>
              <w:t xml:space="preserve">SDOH integration</w:t>
            </w:r>
          </w:p>
        </w:tc>
        <w:tc>
          <w:tcPr/>
          <w:p>
            <w:pPr>
              <w:pStyle w:val="Compact"/>
            </w:pPr>
            <w:r>
              <w:t xml:space="preserve">0.12</w:t>
            </w:r>
          </w:p>
        </w:tc>
        <w:tc>
          <w:tcPr/>
          <w:p>
            <w:pPr>
              <w:pStyle w:val="Compact"/>
            </w:pPr>
            <w:r>
              <w:t xml:space="preserve">0.10</w:t>
            </w:r>
          </w:p>
        </w:tc>
        <w:tc>
          <w:tcPr/>
          <w:p>
            <w:pPr>
              <w:pStyle w:val="Compact"/>
            </w:pPr>
            <w:r>
              <w:t xml:space="preserve">0.10</w:t>
            </w:r>
          </w:p>
        </w:tc>
        <w:tc>
          <w:tcPr/>
          <w:p>
            <w:pPr>
              <w:pStyle w:val="Compact"/>
            </w:pPr>
            <w:r>
              <w:t xml:space="preserve">Converged R0</w:t>
            </w:r>
          </w:p>
        </w:tc>
      </w:tr>
      <w:tr>
        <w:tc>
          <w:tcPr/>
          <w:p>
            <w:pPr>
              <w:pStyle w:val="Compact"/>
            </w:pPr>
            <w:r>
              <w:t xml:space="preserve">Payment structure</w:t>
            </w:r>
          </w:p>
        </w:tc>
        <w:tc>
          <w:tcPr/>
          <w:p>
            <w:pPr>
              <w:pStyle w:val="Compact"/>
            </w:pPr>
            <w:r>
              <w:t xml:space="preserve">0.13</w:t>
            </w:r>
          </w:p>
        </w:tc>
        <w:tc>
          <w:tcPr/>
          <w:p>
            <w:pPr>
              <w:pStyle w:val="Compact"/>
            </w:pPr>
            <w:r>
              <w:t xml:space="preserve">0.10</w:t>
            </w:r>
          </w:p>
        </w:tc>
        <w:tc>
          <w:tcPr/>
          <w:p>
            <w:pPr>
              <w:pStyle w:val="Compact"/>
            </w:pPr>
            <w:r>
              <w:t xml:space="preserve">0.10</w:t>
            </w:r>
          </w:p>
        </w:tc>
        <w:tc>
          <w:tcPr/>
          <w:p>
            <w:pPr>
              <w:pStyle w:val="Compact"/>
            </w:pPr>
            <w:r>
              <w:t xml:space="preserve">Converged R0</w:t>
            </w:r>
          </w:p>
        </w:tc>
      </w:tr>
      <w:tr>
        <w:tc>
          <w:tcPr/>
          <w:p>
            <w:pPr>
              <w:pStyle w:val="Compact"/>
            </w:pPr>
            <w:r>
              <w:t xml:space="preserve">Rural/urban</w:t>
            </w:r>
          </w:p>
        </w:tc>
        <w:tc>
          <w:tcPr/>
          <w:p>
            <w:pPr>
              <w:pStyle w:val="Compact"/>
            </w:pPr>
            <w:r>
              <w:t xml:space="preserve">0.15</w:t>
            </w:r>
          </w:p>
        </w:tc>
        <w:tc>
          <w:tcPr/>
          <w:p>
            <w:pPr>
              <w:pStyle w:val="Compact"/>
            </w:pPr>
            <w:r>
              <w:t xml:space="preserve">0.11</w:t>
            </w:r>
          </w:p>
        </w:tc>
        <w:tc>
          <w:tcPr/>
          <w:p>
            <w:pPr>
              <w:pStyle w:val="Compact"/>
            </w:pPr>
            <w:r>
              <w:t xml:space="preserve">0.10</w:t>
            </w:r>
          </w:p>
        </w:tc>
        <w:tc>
          <w:tcPr/>
          <w:p>
            <w:pPr>
              <w:pStyle w:val="Compact"/>
            </w:pPr>
            <w:r>
              <w:t xml:space="preserve">Converged R1</w:t>
            </w:r>
          </w:p>
        </w:tc>
      </w:tr>
      <w:tr>
        <w:tc>
          <w:tcPr/>
          <w:p>
            <w:pPr>
              <w:pStyle w:val="Compact"/>
            </w:pPr>
            <w:r>
              <w:t xml:space="preserve">Clinical model</w:t>
            </w:r>
          </w:p>
        </w:tc>
        <w:tc>
          <w:tcPr/>
          <w:p>
            <w:pPr>
              <w:pStyle w:val="Compact"/>
            </w:pPr>
            <w:r>
              <w:t xml:space="preserve">0.21</w:t>
            </w:r>
          </w:p>
        </w:tc>
        <w:tc>
          <w:tcPr/>
          <w:p>
            <w:pPr>
              <w:pStyle w:val="Compact"/>
            </w:pPr>
            <w:r>
              <w:t xml:space="preserve">0.14</w:t>
            </w:r>
          </w:p>
        </w:tc>
        <w:tc>
          <w:tcPr/>
          <w:p>
            <w:pPr>
              <w:pStyle w:val="Compact"/>
            </w:pPr>
            <w:r>
              <w:t xml:space="preserve">0.12</w:t>
            </w:r>
          </w:p>
        </w:tc>
        <w:tc>
          <w:tcPr/>
          <w:p>
            <w:pPr>
              <w:pStyle w:val="Compact"/>
            </w:pPr>
            <w:r>
              <w:t xml:space="preserve">Converged R1</w:t>
            </w:r>
          </w:p>
        </w:tc>
      </w:tr>
      <w:tr>
        <w:tc>
          <w:tcPr/>
          <w:p>
            <w:pPr>
              <w:pStyle w:val="Compact"/>
            </w:pPr>
            <w:r>
              <w:t xml:space="preserve">Human oversight</w:t>
            </w:r>
          </w:p>
        </w:tc>
        <w:tc>
          <w:tcPr/>
          <w:p>
            <w:pPr>
              <w:pStyle w:val="Compact"/>
            </w:pPr>
            <w:r>
              <w:t xml:space="preserve">0.39</w:t>
            </w:r>
          </w:p>
        </w:tc>
        <w:tc>
          <w:tcPr/>
          <w:p>
            <w:pPr>
              <w:pStyle w:val="Compact"/>
            </w:pPr>
            <w:r>
              <w:t xml:space="preserve">0.25</w:t>
            </w:r>
          </w:p>
        </w:tc>
        <w:tc>
          <w:tcPr/>
          <w:p>
            <w:pPr>
              <w:pStyle w:val="Compact"/>
            </w:pPr>
            <w:r>
              <w:t xml:space="preserve">0.23</w:t>
            </w:r>
          </w:p>
        </w:tc>
        <w:tc>
          <w:tcPr/>
          <w:p>
            <w:pPr>
              <w:pStyle w:val="Compact"/>
            </w:pPr>
            <w:r>
              <w:t xml:space="preserve">Not CV-converged*</w:t>
            </w:r>
          </w:p>
        </w:tc>
      </w:tr>
    </w:tbl>
    <w:p>
      <w:pPr>
        <w:pStyle w:val="BodyText"/>
      </w:pPr>
      <w:r>
        <w:t xml:space="preserve">*Human oversight met Delphi convergence criteria (IQR stability) but did not reach the strict CV &lt; 0.15 threshold, reflecting genuine disagreement about physician supervision intensity.</w:t>
      </w:r>
    </w:p>
    <w:p>
      <w:pPr>
        <w:pStyle w:val="BodyText"/>
      </w:pPr>
      <w:r>
        <w:rPr>
          <w:b/>
          <w:bCs/>
        </w:rPr>
        <w:t xml:space="preserve">Final convergence</w:t>
      </w:r>
      <w:r>
        <w:t xml:space="preserve">: 11 of 12 domains met CV &lt; 0.15; all 12 met Delphi IQR-based criteria for 2 consecutive rounds.</w:t>
      </w:r>
    </w:p>
    <w:bookmarkEnd w:id="13"/>
    <w:bookmarkStart w:id="17" w:name="selected-debate-excerpts"/>
    <w:p>
      <w:pPr>
        <w:pStyle w:val="Heading3"/>
      </w:pPr>
      <w:r>
        <w:t xml:space="preserve">Selected Debate Excerpts</w:t>
      </w:r>
    </w:p>
    <w:bookmarkStart w:id="14" w:name="Xdd7ff8ce1bbe36eb59f0f2c6622f4a44f302348"/>
    <w:p>
      <w:pPr>
        <w:pStyle w:val="Heading4"/>
      </w:pPr>
      <w:r>
        <w:t xml:space="preserve">Round 0 — Immediate Convergence on Regulatory Pathway</w:t>
      </w:r>
    </w:p>
    <w:p>
      <w:pPr>
        <w:pStyle w:val="FirstParagraph"/>
      </w:pPr>
      <w:r>
        <w:t xml:space="preserve">All 8 agents independently specified Section 1115 demonstration waiver as the regulatory pathway (CV = 0.03), with 100% agreement. The Regulator noted:</w:t>
      </w:r>
      <w:r>
        <w:t xml:space="preserve"> </w:t>
      </w:r>
      <w:r>
        <w:rPr>
          <w:i/>
          <w:iCs/>
        </w:rPr>
        <w:t xml:space="preserve">“Section 1115 is the only pathway that provides sufficient flexibility for the clinical model innovation while maintaining federal match. 1915(b) waivers cannot accommodate the payment methodology changes required, and a State Plan Amendment lacks the experimental authority needed for an AI-first clinical model.”</w:t>
      </w:r>
    </w:p>
    <w:bookmarkEnd w:id="14"/>
    <w:bookmarkStart w:id="15" w:name="Xf7f186b38c54eef173ff00189e4d900de1113ac"/>
    <w:p>
      <w:pPr>
        <w:pStyle w:val="Heading4"/>
      </w:pPr>
      <w:r>
        <w:t xml:space="preserve">Delphi Round 1 — Supervision Ratio Convergence</w:t>
      </w:r>
    </w:p>
    <w:p>
      <w:pPr>
        <w:pStyle w:val="FirstParagraph"/>
      </w:pPr>
      <w:r>
        <w:t xml:space="preserve">The supervision ratio showed the widest initial disagreement (IQR: 34–50 patients per physician, CV = 0.39). The Primary Care Physician proposed 30:1 citing patient safety evidence; the Actuary demonstrated financial sustainability at 45:1; the FQHC Operator proposed 50:1 based on existing telehealth supervision ratios. After reviewing the group median (45:1) and IQR, agents converged toward 45:1 (CV decreased from 0.39 to 0.25).</w:t>
      </w:r>
    </w:p>
    <w:bookmarkEnd w:id="15"/>
    <w:bookmarkStart w:id="16" w:name="delphi-round-2-chw-staffing-consensus"/>
    <w:p>
      <w:pPr>
        <w:pStyle w:val="Heading4"/>
      </w:pPr>
      <w:r>
        <w:t xml:space="preserve">Delphi Round 2 — CHW Staffing Consensus</w:t>
      </w:r>
    </w:p>
    <w:p>
      <w:pPr>
        <w:pStyle w:val="FirstParagraph"/>
      </w:pPr>
      <w:r>
        <w:t xml:space="preserve">The Patient Advocate’s position on CHW staffing (3.0 per 1,000 members) was initially outside the IQR. After providing outlier justification citing Kangovi et al. evidence that effective CHW programs require ≥2.0–2.5 per 1,000 members, the group median shifted from 2.0 to 2.5, and the Patient Advocate revised to 2.5. Final consensus: 2.5 per 1,000 members (IQR: 2.5–2.6).</w:t>
      </w:r>
    </w:p>
    <w:bookmarkEnd w:id="16"/>
    <w:bookmarkEnd w:id="17"/>
    <w:bookmarkEnd w:id="18"/>
    <w:bookmarkStart w:id="19" w:name="X4705d58bb49f0ef9aba8bc88abd202b218481e7"/>
    <w:p>
      <w:pPr>
        <w:pStyle w:val="Heading2"/>
      </w:pPr>
      <w:r>
        <w:t xml:space="preserve">eAppendix B. Temperature Sensitivity Analysis</w:t>
      </w:r>
    </w:p>
    <w:p>
      <w:pPr>
        <w:pStyle w:val="FirstParagraph"/>
      </w:pPr>
      <w:r>
        <w:t xml:space="preserve">The multi-agent debate used Claude Sonnet with temperature 0.7. Temperature controls the randomness of LLM outputs: lower values (e.g., 0.3) produce more deterministic responses, while higher values (e.g., 1.0) increase diversity but may reduce coherence. Temperature 0.7 balances consistency of reasoning with diversity of perspectives across the 8 agents.</w:t>
      </w:r>
    </w:p>
    <w:p>
      <w:pPr>
        <w:pStyle w:val="BodyText"/>
      </w:pPr>
      <w:r>
        <w:t xml:space="preserve">To assess robustness, the debate was repeated at temperatures 0.3, 0.5, 0.7, and 1.0. Convergence patterns were consistent across temperatures: the same 9 domains that converged in Round 0 at the primary temperature (organizational structure, regulatory pathway, anti-monopoly, ethical governance, AI architecture, quality framework, provider rates, SDOH integration, and payment structure) also converged in Round 0 at all temperatures tested. The most contested domains (human oversight, CV = 0.39; clinical model scope, CV = 0.21; and rural/urban design, CV = 0.15) remained the most contested across all temperatures. Consensus parameter values varied by less than 10% across the temperature range for all domains that converged, indicating that findings are not sensitive to this methodological choice.</w:t>
      </w:r>
    </w:p>
    <w:p>
      <w:pPr>
        <w:pStyle w:val="BodyText"/>
      </w:pPr>
      <w:r>
        <w:t xml:space="preserve">At temperature 0.3, debate transcripts showed less substantive critique (agents tended to agree more readily), while at temperature 1.0, some agents produced less coherent critiques. Temperature 0.7 represented a balance between these extremes.</w:t>
      </w:r>
    </w:p>
    <w:bookmarkEnd w:id="19"/>
    <w:bookmarkStart w:id="20" w:name="Xdb321ba258f50c9d4099715d25c98f7c0d346e2"/>
    <w:p>
      <w:pPr>
        <w:pStyle w:val="Heading2"/>
      </w:pPr>
      <w:r>
        <w:t xml:space="preserve">eTable 2. AI ACO Consensus Design Parameters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Domain</w:t>
            </w:r>
          </w:p>
        </w:tc>
        <w:tc>
          <w:tcPr/>
          <w:p>
            <w:pPr>
              <w:pStyle w:val="Compact"/>
            </w:pPr>
            <w:r>
              <w:t xml:space="preserve">Consensus Value</w:t>
            </w:r>
          </w:p>
        </w:tc>
        <w:tc>
          <w:tcPr/>
          <w:p>
            <w:pPr>
              <w:pStyle w:val="Compact"/>
            </w:pPr>
            <w:r>
              <w:t xml:space="preserve">CV</w:t>
            </w:r>
          </w:p>
        </w:tc>
        <w:tc>
          <w:tcPr/>
          <w:p>
            <w:pPr>
              <w:pStyle w:val="Compact"/>
            </w:pPr>
            <w:r>
              <w:t xml:space="preserve">Agreement</w:t>
            </w:r>
          </w:p>
        </w:tc>
        <w:tc>
          <w:tcPr/>
          <w:p>
            <w:pPr>
              <w:pStyle w:val="Compact"/>
            </w:pPr>
            <w:r>
              <w:t xml:space="preserve">Key Parameters</w:t>
            </w:r>
          </w:p>
        </w:tc>
      </w:tr>
      <w:tr>
        <w:tc>
          <w:tcPr/>
          <w:p>
            <w:pPr>
              <w:pStyle w:val="Compact"/>
            </w:pPr>
            <w:r>
              <w:t xml:space="preserve">Clinical model</w:t>
            </w:r>
          </w:p>
        </w:tc>
        <w:tc>
          <w:tcPr/>
          <w:p>
            <w:pPr>
              <w:pStyle w:val="Compact"/>
            </w:pPr>
            <w:r>
              <w:t xml:space="preserve">58% AI encounters (IQR: 45–65%); high-acuity escalation (88%); FQHC referral for physical exams (100%)</w:t>
            </w:r>
          </w:p>
        </w:tc>
        <w:tc>
          <w:tcPr/>
          <w:p>
            <w:pPr>
              <w:pStyle w:val="Compact"/>
            </w:pPr>
            <w:r>
              <w:t xml:space="preserve">0.12</w:t>
            </w:r>
          </w:p>
        </w:tc>
        <w:tc>
          <w:tcPr/>
          <w:p>
            <w:pPr>
              <w:pStyle w:val="Compact"/>
            </w:pPr>
            <w:r>
              <w:t xml:space="preserve">—</w:t>
            </w:r>
          </w:p>
        </w:tc>
        <w:tc>
          <w:tcPr/>
          <w:p>
            <w:pPr>
              <w:pStyle w:val="Compact"/>
            </w:pPr>
            <w:r>
              <w:t xml:space="preserve">Encounter modality: 33% synchronous; scope: common chronic conditions</w:t>
            </w:r>
          </w:p>
        </w:tc>
      </w:tr>
      <w:tr>
        <w:tc>
          <w:tcPr/>
          <w:p>
            <w:pPr>
              <w:pStyle w:val="Compact"/>
            </w:pPr>
            <w:r>
              <w:t xml:space="preserve">Payment structure</w:t>
            </w:r>
          </w:p>
        </w:tc>
        <w:tc>
          <w:tcPr/>
          <w:p>
            <w:pPr>
              <w:pStyle w:val="Compact"/>
            </w:pPr>
            <w:r>
              <w:t xml:space="preserve">Full capitation, $438 PMPM (IQR: $424–$450); two-sided symmetric risk sharing (88%); 60% shared savings split</w:t>
            </w:r>
          </w:p>
        </w:tc>
        <w:tc>
          <w:tcPr/>
          <w:p>
            <w:pPr>
              <w:pStyle w:val="Compact"/>
            </w:pPr>
            <w:r>
              <w:t xml:space="preserve">0.10</w:t>
            </w:r>
          </w:p>
        </w:tc>
        <w:tc>
          <w:tcPr/>
          <w:p>
            <w:pPr>
              <w:pStyle w:val="Compact"/>
            </w:pPr>
            <w:r>
              <w:t xml:space="preserve">75%</w:t>
            </w:r>
          </w:p>
        </w:tc>
        <w:tc>
          <w:tcPr/>
          <w:p>
            <w:pPr>
              <w:pStyle w:val="Compact"/>
            </w:pPr>
            <w:r>
              <w:t xml:space="preserve">Minimum savings rate: 2%</w:t>
            </w:r>
          </w:p>
        </w:tc>
      </w:tr>
      <w:tr>
        <w:tc>
          <w:tcPr/>
          <w:p>
            <w:pPr>
              <w:pStyle w:val="Compact"/>
            </w:pPr>
            <w:r>
              <w:t xml:space="preserve">Provider rates</w:t>
            </w:r>
          </w:p>
        </w:tc>
        <w:tc>
          <w:tcPr/>
          <w:p>
            <w:pPr>
              <w:pStyle w:val="Compact"/>
            </w:pPr>
            <w:r>
              <w:t xml:space="preserve">PCP: 125% Medicare (IQR: 120–125%); Hospital: 110% Medicare; Specialist: 95% Medicare; Rural: +15%</w:t>
            </w:r>
          </w:p>
        </w:tc>
        <w:tc>
          <w:tcPr/>
          <w:p>
            <w:pPr>
              <w:pStyle w:val="Compact"/>
            </w:pPr>
            <w:r>
              <w:t xml:space="preserve">0.08</w:t>
            </w:r>
          </w:p>
        </w:tc>
        <w:tc>
          <w:tcPr/>
          <w:p>
            <w:pPr>
              <w:pStyle w:val="Compact"/>
            </w:pPr>
            <w:r>
              <w:t xml:space="preserve">88%</w:t>
            </w:r>
          </w:p>
        </w:tc>
        <w:tc>
          <w:tcPr/>
          <w:p>
            <w:pPr>
              <w:pStyle w:val="Compact"/>
            </w:pPr>
            <w:r>
              <w:t xml:space="preserve">FQHC payment: PPS plus bonus</w:t>
            </w:r>
          </w:p>
        </w:tc>
      </w:tr>
      <w:tr>
        <w:tc>
          <w:tcPr/>
          <w:p>
            <w:pPr>
              <w:pStyle w:val="Compact"/>
            </w:pPr>
            <w:r>
              <w:t xml:space="preserve">Organizational structure</w:t>
            </w:r>
          </w:p>
        </w:tc>
        <w:tc>
          <w:tcPr/>
          <w:p>
            <w:pPr>
              <w:pStyle w:val="Compact"/>
            </w:pPr>
            <w:r>
              <w:t xml:space="preserve">501(c)(3) nonprofit (100%); charter lock on for-profit conversion (100%); 40% community board seats</w:t>
            </w:r>
          </w:p>
        </w:tc>
        <w:tc>
          <w:tcPr/>
          <w:p>
            <w:pPr>
              <w:pStyle w:val="Compact"/>
            </w:pPr>
            <w:r>
              <w:t xml:space="preserve">0.03</w:t>
            </w:r>
          </w:p>
        </w:tc>
        <w:tc>
          <w:tcPr/>
          <w:p>
            <w:pPr>
              <w:pStyle w:val="Compact"/>
            </w:pPr>
            <w:r>
              <w:t xml:space="preserve">100%</w:t>
            </w:r>
          </w:p>
        </w:tc>
        <w:tc>
          <w:tcPr/>
          <w:p>
            <w:pPr>
              <w:pStyle w:val="Compact"/>
            </w:pPr>
            <w:r>
              <w:t xml:space="preserve">Executive comp cap: 8× median worker</w:t>
            </w:r>
          </w:p>
        </w:tc>
      </w:tr>
      <w:tr>
        <w:tc>
          <w:tcPr/>
          <w:p>
            <w:pPr>
              <w:pStyle w:val="Compact"/>
            </w:pPr>
            <w:r>
              <w:t xml:space="preserve">Regulatory pathway</w:t>
            </w:r>
          </w:p>
        </w:tc>
        <w:tc>
          <w:tcPr/>
          <w:p>
            <w:pPr>
              <w:pStyle w:val="Compact"/>
            </w:pPr>
            <w:r>
              <w:t xml:space="preserve">Section 1115 waiver (100%); physician-supervised AI licensure (100%); single-metro pilot</w:t>
            </w:r>
          </w:p>
        </w:tc>
        <w:tc>
          <w:tcPr/>
          <w:p>
            <w:pPr>
              <w:pStyle w:val="Compact"/>
            </w:pPr>
            <w:r>
              <w:t xml:space="preserve">0.02</w:t>
            </w:r>
          </w:p>
        </w:tc>
        <w:tc>
          <w:tcPr/>
          <w:p>
            <w:pPr>
              <w:pStyle w:val="Compact"/>
            </w:pPr>
            <w:r>
              <w:t xml:space="preserve">100%</w:t>
            </w:r>
          </w:p>
        </w:tc>
        <w:tc>
          <w:tcPr/>
          <w:p>
            <w:pPr>
              <w:pStyle w:val="Compact"/>
            </w:pPr>
            <w:r>
              <w:t xml:space="preserve">27-month implementation; 5-year sunset</w:t>
            </w:r>
          </w:p>
        </w:tc>
      </w:tr>
      <w:tr>
        <w:tc>
          <w:tcPr/>
          <w:p>
            <w:pPr>
              <w:pStyle w:val="Compact"/>
            </w:pPr>
            <w:r>
              <w:t xml:space="preserve">Quality framework</w:t>
            </w:r>
          </w:p>
        </w:tc>
        <w:tc>
          <w:tcPr/>
          <w:p>
            <w:pPr>
              <w:pStyle w:val="Compact"/>
            </w:pPr>
            <w:r>
              <w:t xml:space="preserve">25 HEDIS measures; mandatory AI safety metrics (100%); mandatory health equity reporting (100%)</w:t>
            </w:r>
          </w:p>
        </w:tc>
        <w:tc>
          <w:tcPr/>
          <w:p>
            <w:pPr>
              <w:pStyle w:val="Compact"/>
            </w:pPr>
            <w:r>
              <w:t xml:space="preserve">0.09</w:t>
            </w:r>
          </w:p>
        </w:tc>
        <w:tc>
          <w:tcPr/>
          <w:p>
            <w:pPr>
              <w:pStyle w:val="Compact"/>
            </w:pPr>
            <w:r>
              <w:t xml:space="preserve">100%</w:t>
            </w:r>
          </w:p>
        </w:tc>
        <w:tc>
          <w:tcPr/>
          <w:p>
            <w:pPr>
              <w:pStyle w:val="Compact"/>
            </w:pPr>
            <w:r>
              <w:t xml:space="preserve">5% quality withhold; annual PROs</w:t>
            </w:r>
          </w:p>
        </w:tc>
      </w:tr>
      <w:tr>
        <w:tc>
          <w:tcPr/>
          <w:p>
            <w:pPr>
              <w:pStyle w:val="Compact"/>
            </w:pPr>
            <w:r>
              <w:t xml:space="preserve">AI architecture</w:t>
            </w:r>
          </w:p>
        </w:tc>
        <w:tc>
          <w:tcPr/>
          <w:p>
            <w:pPr>
              <w:pStyle w:val="Compact"/>
            </w:pPr>
            <w:r>
              <w:t xml:space="preserve">3-model ensemble (100%); multi-layer safety (100%); monthly knowledge update (88%)</w:t>
            </w:r>
          </w:p>
        </w:tc>
        <w:tc>
          <w:tcPr/>
          <w:p>
            <w:pPr>
              <w:pStyle w:val="Compact"/>
            </w:pPr>
            <w:r>
              <w:t xml:space="preserve">0.07</w:t>
            </w:r>
          </w:p>
        </w:tc>
        <w:tc>
          <w:tcPr/>
          <w:p>
            <w:pPr>
              <w:pStyle w:val="Compact"/>
            </w:pPr>
            <w:r>
              <w:t xml:space="preserve">100%</w:t>
            </w:r>
          </w:p>
        </w:tc>
        <w:tc>
          <w:tcPr/>
          <w:p>
            <w:pPr>
              <w:pStyle w:val="Compact"/>
            </w:pPr>
            <w:r>
              <w:t xml:space="preserve">Key-factors-only explainability (75%)</w:t>
            </w:r>
          </w:p>
        </w:tc>
      </w:tr>
      <w:tr>
        <w:tc>
          <w:tcPr/>
          <w:p>
            <w:pPr>
              <w:pStyle w:val="Compact"/>
            </w:pPr>
            <w:r>
              <w:t xml:space="preserve">Human oversight</w:t>
            </w:r>
          </w:p>
        </w:tc>
        <w:tc>
          <w:tcPr/>
          <w:p>
            <w:pPr>
              <w:pStyle w:val="Compact"/>
            </w:pPr>
            <w:r>
              <w:t xml:space="preserve">1:45 supervision ratio (IQR: 34–50); mandatory physician encounters for new + complex (100%)</w:t>
            </w:r>
          </w:p>
        </w:tc>
        <w:tc>
          <w:tcPr/>
          <w:p>
            <w:pPr>
              <w:pStyle w:val="Compact"/>
            </w:pPr>
            <w:r>
              <w:t xml:space="preserve">0.23</w:t>
            </w:r>
          </w:p>
        </w:tc>
        <w:tc>
          <w:tcPr/>
          <w:p>
            <w:pPr>
              <w:pStyle w:val="Compact"/>
            </w:pPr>
            <w:r>
              <w:t xml:space="preserve">75%</w:t>
            </w:r>
          </w:p>
        </w:tc>
        <w:tc>
          <w:tcPr/>
          <w:p>
            <w:pPr>
              <w:pStyle w:val="Compact"/>
            </w:pPr>
            <w:r>
              <w:t xml:space="preserve">15% synchronous review; 23% retrospective audit</w:t>
            </w:r>
          </w:p>
        </w:tc>
      </w:tr>
      <w:tr>
        <w:tc>
          <w:tcPr/>
          <w:p>
            <w:pPr>
              <w:pStyle w:val="Compact"/>
            </w:pPr>
            <w:r>
              <w:t xml:space="preserve">SDOH integration</w:t>
            </w:r>
          </w:p>
        </w:tc>
        <w:tc>
          <w:tcPr/>
          <w:p>
            <w:pPr>
              <w:pStyle w:val="Compact"/>
            </w:pPr>
            <w:r>
              <w:t xml:space="preserve">2.5 CHW per 1,000 (IQR: 2.5–2.6); $25 PMPM social services budget; contracted network (100%)</w:t>
            </w:r>
          </w:p>
        </w:tc>
        <w:tc>
          <w:tcPr/>
          <w:p>
            <w:pPr>
              <w:pStyle w:val="Compact"/>
            </w:pPr>
            <w:r>
              <w:t xml:space="preserve">0.10</w:t>
            </w:r>
          </w:p>
        </w:tc>
        <w:tc>
          <w:tcPr/>
          <w:p>
            <w:pPr>
              <w:pStyle w:val="Compact"/>
            </w:pPr>
            <w:r>
              <w:t xml:space="preserve">100%</w:t>
            </w:r>
          </w:p>
        </w:tc>
        <w:tc>
          <w:tcPr/>
          <w:p>
            <w:pPr>
              <w:pStyle w:val="Compact"/>
            </w:pPr>
            <w:r>
              <w:t xml:space="preserve">Annual SDOH screening; housing/food direct spend</w:t>
            </w:r>
          </w:p>
        </w:tc>
      </w:tr>
      <w:tr>
        <w:tc>
          <w:tcPr/>
          <w:p>
            <w:pPr>
              <w:pStyle w:val="Compact"/>
            </w:pPr>
            <w:r>
              <w:t xml:space="preserve">Rural/urban</w:t>
            </w:r>
          </w:p>
        </w:tc>
        <w:tc>
          <w:tcPr/>
          <w:p>
            <w:pPr>
              <w:pStyle w:val="Compact"/>
            </w:pPr>
            <w:r>
              <w:t xml:space="preserve">Virtual + mobile delivery (75%); subsidized hotspot (100%); enhanced critical access hospital payment (100%)</w:t>
            </w:r>
          </w:p>
        </w:tc>
        <w:tc>
          <w:tcPr/>
          <w:p>
            <w:pPr>
              <w:pStyle w:val="Compact"/>
            </w:pPr>
            <w:r>
              <w:t xml:space="preserve">0.10</w:t>
            </w:r>
          </w:p>
        </w:tc>
        <w:tc>
          <w:tcPr/>
          <w:p>
            <w:pPr>
              <w:pStyle w:val="Compact"/>
            </w:pPr>
            <w:r>
              <w:t xml:space="preserve">88%</w:t>
            </w:r>
          </w:p>
        </w:tc>
        <w:tc>
          <w:tcPr/>
          <w:p>
            <w:pPr>
              <w:pStyle w:val="Compact"/>
            </w:pPr>
            <w:r>
              <w:t xml:space="preserve">$71 per member telehealth investment</w:t>
            </w:r>
          </w:p>
        </w:tc>
      </w:tr>
      <w:tr>
        <w:tc>
          <w:tcPr/>
          <w:p>
            <w:pPr>
              <w:pStyle w:val="Compact"/>
            </w:pPr>
            <w:r>
              <w:t xml:space="preserve">Anti-monopoly</w:t>
            </w:r>
          </w:p>
        </w:tc>
        <w:tc>
          <w:tcPr/>
          <w:p>
            <w:pPr>
              <w:pStyle w:val="Compact"/>
            </w:pPr>
            <w:r>
              <w:t xml:space="preserve">Any-willing-provider with quality floor (100%); Medicare reference pricing (100%)</w:t>
            </w:r>
          </w:p>
        </w:tc>
        <w:tc>
          <w:tcPr/>
          <w:p>
            <w:pPr>
              <w:pStyle w:val="Compact"/>
            </w:pPr>
            <w:r>
              <w:t xml:space="preserve">0.07</w:t>
            </w:r>
          </w:p>
        </w:tc>
        <w:tc>
          <w:tcPr/>
          <w:p>
            <w:pPr>
              <w:pStyle w:val="Compact"/>
            </w:pPr>
            <w:r>
              <w:t xml:space="preserve">100%</w:t>
            </w:r>
          </w:p>
        </w:tc>
        <w:tc>
          <w:tcPr/>
          <w:p>
            <w:pPr>
              <w:pStyle w:val="Compact"/>
            </w:pPr>
            <w:r>
              <w:t xml:space="preserve">Must-contract-at-cap for monopoly providers</w:t>
            </w:r>
          </w:p>
        </w:tc>
      </w:tr>
      <w:tr>
        <w:tc>
          <w:tcPr/>
          <w:p>
            <w:pPr>
              <w:pStyle w:val="Compact"/>
            </w:pPr>
            <w:r>
              <w:t xml:space="preserve">Ethical governance</w:t>
            </w:r>
          </w:p>
        </w:tc>
        <w:tc>
          <w:tcPr/>
          <w:p>
            <w:pPr>
              <w:pStyle w:val="Compact"/>
            </w:pPr>
            <w:r>
              <w:t xml:space="preserve">Quarterly AI bias audit (100%); binding halt authority ethics board (88%); full data portability/deletion (100%)</w:t>
            </w:r>
          </w:p>
        </w:tc>
        <w:tc>
          <w:tcPr/>
          <w:p>
            <w:pPr>
              <w:pStyle w:val="Compact"/>
            </w:pPr>
            <w:r>
              <w:t xml:space="preserve">0.07</w:t>
            </w:r>
          </w:p>
        </w:tc>
        <w:tc>
          <w:tcPr/>
          <w:p>
            <w:pPr>
              <w:pStyle w:val="Compact"/>
            </w:pPr>
            <w:r>
              <w:t xml:space="preserve">100%</w:t>
            </w:r>
          </w:p>
        </w:tc>
        <w:tc>
          <w:tcPr/>
          <w:p>
            <w:pPr>
              <w:pStyle w:val="Compact"/>
            </w:pPr>
            <w:r>
              <w:t xml:space="preserve">Stratification: race, gender, age, disability, language</w:t>
            </w:r>
          </w:p>
        </w:tc>
      </w:tr>
    </w:tbl>
    <w:bookmarkEnd w:id="20"/>
    <w:bookmarkStart w:id="21" w:name="X715e99b34e06c02fce33e1b0011c962f822995b"/>
    <w:p>
      <w:pPr>
        <w:pStyle w:val="Heading2"/>
      </w:pPr>
      <w:r>
        <w:t xml:space="preserve">eTable 3. Characteristics of the Study Population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Characteristic</w:t>
            </w:r>
          </w:p>
        </w:tc>
        <w:tc>
          <w:tcPr/>
          <w:p>
            <w:pPr>
              <w:pStyle w:val="Compact"/>
            </w:pPr>
            <w:r>
              <w:t xml:space="preserve">No. (%) or Mean (SD)</w:t>
            </w:r>
          </w:p>
        </w:tc>
      </w:tr>
      <w:tr>
        <w:tc>
          <w:tcPr/>
          <w:p>
            <w:pPr>
              <w:pStyle w:val="Compact"/>
            </w:pPr>
            <w:r>
              <w:rPr>
                <w:b/>
                <w:bCs/>
              </w:rPr>
              <w:t xml:space="preserve">Individuals, unweighted</w:t>
            </w:r>
          </w:p>
        </w:tc>
        <w:tc>
          <w:tcPr/>
          <w:p>
            <w:pPr>
              <w:pStyle w:val="Compact"/>
            </w:pPr>
            <w:r>
              <w:t xml:space="preserve">75,043</w:t>
            </w:r>
          </w:p>
        </w:tc>
      </w:tr>
      <w:tr>
        <w:tc>
          <w:tcPr/>
          <w:p>
            <w:pPr>
              <w:pStyle w:val="Compact"/>
            </w:pPr>
            <w:r>
              <w:rPr>
                <w:b/>
                <w:bCs/>
              </w:rPr>
              <w:t xml:space="preserve">Individuals, weighted</w:t>
            </w:r>
          </w:p>
        </w:tc>
        <w:tc>
          <w:tcPr/>
          <w:p>
            <w:pPr>
              <w:pStyle w:val="Compact"/>
            </w:pPr>
            <w:r>
              <w:t xml:space="preserve">6,786,322</w:t>
            </w:r>
          </w:p>
        </w:tc>
      </w:tr>
      <w:tr>
        <w:tc>
          <w:tcPr/>
          <w:p>
            <w:pPr>
              <w:pStyle w:val="Compact"/>
            </w:pPr>
            <w:r>
              <w:rPr>
                <w:b/>
                <w:bCs/>
              </w:rPr>
              <w:t xml:space="preserve">Age, yr</w:t>
            </w:r>
          </w:p>
        </w:tc>
        <w:tc>
          <w:tcPr/>
          <w:p>
            <w:pPr>
              <w:pStyle w:val="Compact"/>
            </w:pPr>
            <w:r>
              <w:t xml:space="preserve">52.0 (11.7)</w:t>
            </w:r>
          </w:p>
        </w:tc>
      </w:tr>
      <w:tr>
        <w:tc>
          <w:tcPr/>
          <w:p>
            <w:pPr>
              <w:pStyle w:val="Compact"/>
            </w:pPr>
            <w:r>
              <w:t xml:space="preserve">19–34</w:t>
            </w:r>
          </w:p>
        </w:tc>
        <w:tc>
          <w:tcPr/>
          <w:p>
            <w:pPr>
              <w:pStyle w:val="Compact"/>
            </w:pPr>
            <w:r>
              <w:t xml:space="preserve">776,518 (11.4)</w:t>
            </w:r>
          </w:p>
        </w:tc>
      </w:tr>
      <w:tr>
        <w:tc>
          <w:tcPr/>
          <w:p>
            <w:pPr>
              <w:pStyle w:val="Compact"/>
            </w:pPr>
            <w:r>
              <w:t xml:space="preserve">35–49</w:t>
            </w:r>
          </w:p>
        </w:tc>
        <w:tc>
          <w:tcPr/>
          <w:p>
            <w:pPr>
              <w:pStyle w:val="Compact"/>
            </w:pPr>
            <w:r>
              <w:t xml:space="preserve">1,396,636 (20.6)</w:t>
            </w:r>
          </w:p>
        </w:tc>
      </w:tr>
      <w:tr>
        <w:tc>
          <w:tcPr/>
          <w:p>
            <w:pPr>
              <w:pStyle w:val="Compact"/>
            </w:pPr>
            <w:r>
              <w:t xml:space="preserve">50–64</w:t>
            </w:r>
          </w:p>
        </w:tc>
        <w:tc>
          <w:tcPr/>
          <w:p>
            <w:pPr>
              <w:pStyle w:val="Compact"/>
            </w:pPr>
            <w:r>
              <w:t xml:space="preserve">4,613,168 (68.0)</w:t>
            </w:r>
          </w:p>
        </w:tc>
      </w:tr>
      <w:tr>
        <w:tc>
          <w:tcPr/>
          <w:p>
            <w:pPr>
              <w:pStyle w:val="Compact"/>
            </w:pPr>
            <w:r>
              <w:rPr>
                <w:b/>
                <w:bCs/>
              </w:rPr>
              <w:t xml:space="preserve">Female sex</w:t>
            </w:r>
          </w:p>
        </w:tc>
        <w:tc>
          <w:tcPr/>
          <w:p>
            <w:pPr>
              <w:pStyle w:val="Compact"/>
            </w:pPr>
            <w:r>
              <w:t xml:space="preserve">3,446,470 (50.8)</w:t>
            </w:r>
          </w:p>
        </w:tc>
      </w:tr>
      <w:tr>
        <w:tc>
          <w:tcPr/>
          <w:p>
            <w:pPr>
              <w:pStyle w:val="Compact"/>
            </w:pPr>
            <w:r>
              <w:rPr>
                <w:b/>
                <w:bCs/>
              </w:rPr>
              <w:t xml:space="preserve">Race and ethnicity</w:t>
            </w:r>
          </w:p>
        </w:tc>
        <w:tc>
          <w:tcPr/>
          <w:p>
            <w:pPr>
              <w:pStyle w:val="Compact"/>
            </w:pPr>
          </w:p>
        </w:tc>
      </w:tr>
      <w:tr>
        <w:tc>
          <w:tcPr/>
          <w:p>
            <w:pPr>
              <w:pStyle w:val="Compact"/>
            </w:pPr>
            <w:r>
              <w:t xml:space="preserve">White non-Hispanic</w:t>
            </w:r>
          </w:p>
        </w:tc>
        <w:tc>
          <w:tcPr/>
          <w:p>
            <w:pPr>
              <w:pStyle w:val="Compact"/>
            </w:pPr>
            <w:r>
              <w:t xml:space="preserve">4,064,900 (59.9)</w:t>
            </w:r>
          </w:p>
        </w:tc>
      </w:tr>
      <w:tr>
        <w:tc>
          <w:tcPr/>
          <w:p>
            <w:pPr>
              <w:pStyle w:val="Compact"/>
            </w:pPr>
            <w:r>
              <w:t xml:space="preserve">Black</w:t>
            </w:r>
          </w:p>
        </w:tc>
        <w:tc>
          <w:tcPr/>
          <w:p>
            <w:pPr>
              <w:pStyle w:val="Compact"/>
            </w:pPr>
            <w:r>
              <w:t xml:space="preserve">1,257,722 (18.5)</w:t>
            </w:r>
          </w:p>
        </w:tc>
      </w:tr>
      <w:tr>
        <w:tc>
          <w:tcPr/>
          <w:p>
            <w:pPr>
              <w:pStyle w:val="Compact"/>
            </w:pPr>
            <w:r>
              <w:t xml:space="preserve">Hispanic</w:t>
            </w:r>
          </w:p>
        </w:tc>
        <w:tc>
          <w:tcPr/>
          <w:p>
            <w:pPr>
              <w:pStyle w:val="Compact"/>
            </w:pPr>
            <w:r>
              <w:t xml:space="preserve">883,589 (13.0)</w:t>
            </w:r>
          </w:p>
        </w:tc>
      </w:tr>
      <w:tr>
        <w:tc>
          <w:tcPr/>
          <w:p>
            <w:pPr>
              <w:pStyle w:val="Compact"/>
            </w:pPr>
            <w:r>
              <w:t xml:space="preserve">American Indian/Alaska Native</w:t>
            </w:r>
          </w:p>
        </w:tc>
        <w:tc>
          <w:tcPr/>
          <w:p>
            <w:pPr>
              <w:pStyle w:val="Compact"/>
            </w:pPr>
            <w:r>
              <w:t xml:space="preserve">56,585 (0.8)</w:t>
            </w:r>
          </w:p>
        </w:tc>
      </w:tr>
      <w:tr>
        <w:tc>
          <w:tcPr/>
          <w:p>
            <w:pPr>
              <w:pStyle w:val="Compact"/>
            </w:pPr>
            <w:r>
              <w:t xml:space="preserve">Asian</w:t>
            </w:r>
          </w:p>
        </w:tc>
        <w:tc>
          <w:tcPr/>
          <w:p>
            <w:pPr>
              <w:pStyle w:val="Compact"/>
            </w:pPr>
            <w:r>
              <w:t xml:space="preserve">186,674 (2.8)</w:t>
            </w:r>
          </w:p>
        </w:tc>
      </w:tr>
      <w:tr>
        <w:tc>
          <w:tcPr/>
          <w:p>
            <w:pPr>
              <w:pStyle w:val="Compact"/>
            </w:pPr>
            <w:r>
              <w:t xml:space="preserve">Other or multiracial</w:t>
            </w:r>
          </w:p>
        </w:tc>
        <w:tc>
          <w:tcPr/>
          <w:p>
            <w:pPr>
              <w:pStyle w:val="Compact"/>
            </w:pPr>
            <w:r>
              <w:t xml:space="preserve">327,435 (4.8)</w:t>
            </w:r>
          </w:p>
        </w:tc>
      </w:tr>
      <w:tr>
        <w:tc>
          <w:tcPr/>
          <w:p>
            <w:pPr>
              <w:pStyle w:val="Compact"/>
            </w:pPr>
            <w:r>
              <w:rPr>
                <w:b/>
                <w:bCs/>
              </w:rPr>
              <w:t xml:space="preserve">Metropolitan residence</w:t>
            </w:r>
          </w:p>
        </w:tc>
        <w:tc>
          <w:tcPr/>
          <w:p>
            <w:pPr>
              <w:pStyle w:val="Compact"/>
            </w:pPr>
            <w:r>
              <w:t xml:space="preserve">5,998,156 (88.4)</w:t>
            </w:r>
          </w:p>
        </w:tc>
      </w:tr>
      <w:tr>
        <w:tc>
          <w:tcPr/>
          <w:p>
            <w:pPr>
              <w:pStyle w:val="Compact"/>
            </w:pPr>
            <w:r>
              <w:rPr>
                <w:b/>
                <w:bCs/>
              </w:rPr>
              <w:t xml:space="preserve">Any disability</w:t>
            </w:r>
          </w:p>
        </w:tc>
        <w:tc>
          <w:tcPr/>
          <w:p>
            <w:pPr>
              <w:pStyle w:val="Compact"/>
            </w:pPr>
            <w:r>
              <w:t xml:space="preserve">4,103,911 (60.5)</w:t>
            </w:r>
          </w:p>
        </w:tc>
      </w:tr>
      <w:tr>
        <w:tc>
          <w:tcPr/>
          <w:p>
            <w:pPr>
              <w:pStyle w:val="Compact"/>
            </w:pPr>
            <w:r>
              <w:rPr>
                <w:b/>
                <w:bCs/>
              </w:rPr>
              <w:t xml:space="preserve">ADL or IADL limitation</w:t>
            </w:r>
          </w:p>
        </w:tc>
        <w:tc>
          <w:tcPr/>
          <w:p>
            <w:pPr>
              <w:pStyle w:val="Compact"/>
            </w:pPr>
            <w:r>
              <w:t xml:space="preserve">3,844,080 (56.6)</w:t>
            </w:r>
          </w:p>
        </w:tc>
      </w:tr>
      <w:tr>
        <w:tc>
          <w:tcPr/>
          <w:p>
            <w:pPr>
              <w:pStyle w:val="Compact"/>
            </w:pPr>
            <w:r>
              <w:rPr>
                <w:b/>
                <w:bCs/>
              </w:rPr>
              <w:t xml:space="preserve">Income ≤138% FPL</w:t>
            </w:r>
          </w:p>
        </w:tc>
        <w:tc>
          <w:tcPr/>
          <w:p>
            <w:pPr>
              <w:pStyle w:val="Compact"/>
            </w:pPr>
            <w:r>
              <w:t xml:space="preserve">2,801,819 (41.3)</w:t>
            </w:r>
          </w:p>
        </w:tc>
      </w:tr>
      <w:tr>
        <w:tc>
          <w:tcPr/>
          <w:p>
            <w:pPr>
              <w:pStyle w:val="Compact"/>
            </w:pPr>
            <w:r>
              <w:rPr>
                <w:b/>
                <w:bCs/>
              </w:rPr>
              <w:t xml:space="preserve">College degree or higher</w:t>
            </w:r>
          </w:p>
        </w:tc>
        <w:tc>
          <w:tcPr/>
          <w:p>
            <w:pPr>
              <w:pStyle w:val="Compact"/>
            </w:pPr>
            <w:r>
              <w:t xml:space="preserve">874,216 (12.9)</w:t>
            </w:r>
          </w:p>
        </w:tc>
      </w:tr>
      <w:tr>
        <w:tc>
          <w:tcPr/>
          <w:p>
            <w:pPr>
              <w:pStyle w:val="Compact"/>
            </w:pPr>
            <w:r>
              <w:rPr>
                <w:b/>
                <w:bCs/>
              </w:rPr>
              <w:t xml:space="preserve">Broadband internet access</w:t>
            </w:r>
          </w:p>
        </w:tc>
        <w:tc>
          <w:tcPr/>
          <w:p>
            <w:pPr>
              <w:pStyle w:val="Compact"/>
            </w:pPr>
            <w:r>
              <w:t xml:space="preserve">5,598,945 (82.5)</w:t>
            </w:r>
          </w:p>
        </w:tc>
      </w:tr>
    </w:tbl>
    <w:p>
      <w:pPr>
        <w:pStyle w:val="BodyText"/>
      </w:pPr>
      <w:r>
        <w:t xml:space="preserve">Data are from the American Community Survey Public Use Microdata Sample, 2019–2023. Weighted counts and percentages use ACS person weights (PWGTP). ADL denotes activities of daily living, FPL federal poverty level, and IADL instrumental activities of daily living.</w:t>
      </w:r>
    </w:p>
    <w:bookmarkEnd w:id="21"/>
    <w:bookmarkStart w:id="24" w:name="etable-4.-psa-parameter-distributions"/>
    <w:p>
      <w:pPr>
        <w:pStyle w:val="Heading2"/>
      </w:pPr>
      <w:r>
        <w:t xml:space="preserve">eTable 4. PSA Parameter Distributions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Parameter</w:t>
            </w:r>
          </w:p>
        </w:tc>
        <w:tc>
          <w:tcPr/>
          <w:p>
            <w:pPr>
              <w:pStyle w:val="Compact"/>
            </w:pPr>
            <w:r>
              <w:t xml:space="preserve">Distribution</w:t>
            </w:r>
          </w:p>
        </w:tc>
        <w:tc>
          <w:tcPr/>
          <w:p>
            <w:pPr>
              <w:pStyle w:val="Compact"/>
            </w:pPr>
            <w:r>
              <w:t xml:space="preserve">Mean</w:t>
            </w:r>
          </w:p>
        </w:tc>
        <w:tc>
          <w:tcPr/>
          <w:p>
            <w:pPr>
              <w:pStyle w:val="Compact"/>
            </w:pPr>
            <w:r>
              <w:t xml:space="preserve">95% Interval</w:t>
            </w:r>
          </w:p>
        </w:tc>
        <w:tc>
          <w:tcPr/>
          <w:p>
            <w:pPr>
              <w:pStyle w:val="Compact"/>
            </w:pPr>
            <w:r>
              <w:t xml:space="preserve">Source</w:t>
            </w:r>
          </w:p>
        </w:tc>
      </w:tr>
      <w:tr>
        <w:tc>
          <w:tcPr/>
          <w:p>
            <w:pPr>
              <w:pStyle w:val="Compact"/>
            </w:pPr>
            <w:r>
              <w:rPr>
                <w:b/>
                <w:bCs/>
              </w:rPr>
              <w:t xml:space="preserve">Stage 1: Digital Access</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Digital access (White, metro)</w:t>
            </w:r>
          </w:p>
        </w:tc>
        <w:tc>
          <w:tcPr/>
          <w:p>
            <w:pPr>
              <w:pStyle w:val="Compact"/>
            </w:pPr>
            <w:r>
              <w:t xml:space="preserve">Beta(85, 15)</w:t>
            </w:r>
          </w:p>
        </w:tc>
        <w:tc>
          <w:tcPr/>
          <w:p>
            <w:pPr>
              <w:pStyle w:val="Compact"/>
            </w:pPr>
            <w:r>
              <w:t xml:space="preserve">0.85</w:t>
            </w:r>
          </w:p>
        </w:tc>
        <w:tc>
          <w:tcPr/>
          <w:p>
            <w:pPr>
              <w:pStyle w:val="Compact"/>
            </w:pPr>
            <w:r>
              <w:t xml:space="preserve">0.77–0.92</w:t>
            </w:r>
          </w:p>
        </w:tc>
        <w:tc>
          <w:tcPr/>
          <w:p>
            <w:pPr>
              <w:pStyle w:val="Compact"/>
            </w:pPr>
            <w:r>
              <w:t xml:space="preserve">Pew Research Center 2024[40]; FCC Broadband Maps 2024</w:t>
            </w:r>
          </w:p>
        </w:tc>
      </w:tr>
      <w:tr>
        <w:tc>
          <w:tcPr/>
          <w:p>
            <w:pPr>
              <w:pStyle w:val="Compact"/>
            </w:pPr>
            <w:r>
              <w:t xml:space="preserve">Digital access (Black, metro)</w:t>
            </w:r>
          </w:p>
        </w:tc>
        <w:tc>
          <w:tcPr/>
          <w:p>
            <w:pPr>
              <w:pStyle w:val="Compact"/>
            </w:pPr>
            <w:r>
              <w:t xml:space="preserve">Beta(78, 22)</w:t>
            </w:r>
          </w:p>
        </w:tc>
        <w:tc>
          <w:tcPr/>
          <w:p>
            <w:pPr>
              <w:pStyle w:val="Compact"/>
            </w:pPr>
            <w:r>
              <w:t xml:space="preserve">0.78</w:t>
            </w:r>
          </w:p>
        </w:tc>
        <w:tc>
          <w:tcPr/>
          <w:p>
            <w:pPr>
              <w:pStyle w:val="Compact"/>
            </w:pPr>
            <w:r>
              <w:t xml:space="preserve">0.69–0.86</w:t>
            </w:r>
          </w:p>
        </w:tc>
        <w:tc>
          <w:tcPr/>
          <w:p>
            <w:pPr>
              <w:pStyle w:val="Compact"/>
            </w:pPr>
            <w:r>
              <w:t xml:space="preserve">Pew Research Center 2024[40]; FCC Broadband Maps 2024</w:t>
            </w:r>
          </w:p>
        </w:tc>
      </w:tr>
      <w:tr>
        <w:tc>
          <w:tcPr/>
          <w:p>
            <w:pPr>
              <w:pStyle w:val="Compact"/>
            </w:pPr>
            <w:r>
              <w:t xml:space="preserve">Digital access (Hispanic, metro)</w:t>
            </w:r>
          </w:p>
        </w:tc>
        <w:tc>
          <w:tcPr/>
          <w:p>
            <w:pPr>
              <w:pStyle w:val="Compact"/>
            </w:pPr>
            <w:r>
              <w:t xml:space="preserve">Beta(74, 26)</w:t>
            </w:r>
          </w:p>
        </w:tc>
        <w:tc>
          <w:tcPr/>
          <w:p>
            <w:pPr>
              <w:pStyle w:val="Compact"/>
            </w:pPr>
            <w:r>
              <w:t xml:space="preserve">0.74</w:t>
            </w:r>
          </w:p>
        </w:tc>
        <w:tc>
          <w:tcPr/>
          <w:p>
            <w:pPr>
              <w:pStyle w:val="Compact"/>
            </w:pPr>
            <w:r>
              <w:t xml:space="preserve">0.64–0.83</w:t>
            </w:r>
          </w:p>
        </w:tc>
        <w:tc>
          <w:tcPr/>
          <w:p>
            <w:pPr>
              <w:pStyle w:val="Compact"/>
            </w:pPr>
            <w:r>
              <w:t xml:space="preserve">Pew Research Center 2024[40]; FCC Broadband Maps 2024</w:t>
            </w:r>
          </w:p>
        </w:tc>
      </w:tr>
      <w:tr>
        <w:tc>
          <w:tcPr/>
          <w:p>
            <w:pPr>
              <w:pStyle w:val="Compact"/>
            </w:pPr>
            <w:r>
              <w:t xml:space="preserve">Digital access (AIAN, nonmetro)</w:t>
            </w:r>
          </w:p>
        </w:tc>
        <w:tc>
          <w:tcPr/>
          <w:p>
            <w:pPr>
              <w:pStyle w:val="Compact"/>
            </w:pPr>
            <w:r>
              <w:t xml:space="preserve">Beta(45, 55)</w:t>
            </w:r>
          </w:p>
        </w:tc>
        <w:tc>
          <w:tcPr/>
          <w:p>
            <w:pPr>
              <w:pStyle w:val="Compact"/>
            </w:pPr>
            <w:r>
              <w:t xml:space="preserve">0.45</w:t>
            </w:r>
          </w:p>
        </w:tc>
        <w:tc>
          <w:tcPr/>
          <w:p>
            <w:pPr>
              <w:pStyle w:val="Compact"/>
            </w:pPr>
            <w:r>
              <w:t xml:space="preserve">0.35–0.55</w:t>
            </w:r>
          </w:p>
        </w:tc>
        <w:tc>
          <w:tcPr/>
          <w:p>
            <w:pPr>
              <w:pStyle w:val="Compact"/>
            </w:pPr>
            <w:r>
              <w:t xml:space="preserve">Pew Research Center 2024[40]; FCC Broadband Maps 2024</w:t>
            </w:r>
          </w:p>
        </w:tc>
      </w:tr>
      <w:tr>
        <w:tc>
          <w:tcPr/>
          <w:p>
            <w:pPr>
              <w:pStyle w:val="Compact"/>
            </w:pPr>
            <w:r>
              <w:rPr>
                <w:b/>
                <w:bCs/>
              </w:rPr>
              <w:t xml:space="preserve">Stage 2: Care Engagement</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SQ outreach (high-risk)</w:t>
            </w:r>
          </w:p>
        </w:tc>
        <w:tc>
          <w:tcPr/>
          <w:p>
            <w:pPr>
              <w:pStyle w:val="Compact"/>
            </w:pPr>
            <w:r>
              <w:t xml:space="preserve">Beta(80, 20)</w:t>
            </w:r>
          </w:p>
        </w:tc>
        <w:tc>
          <w:tcPr/>
          <w:p>
            <w:pPr>
              <w:pStyle w:val="Compact"/>
            </w:pPr>
            <w:r>
              <w:t xml:space="preserve">0.80</w:t>
            </w:r>
          </w:p>
        </w:tc>
        <w:tc>
          <w:tcPr/>
          <w:p>
            <w:pPr>
              <w:pStyle w:val="Compact"/>
            </w:pPr>
            <w:r>
              <w:t xml:space="preserve">0.67–0.91</w:t>
            </w:r>
          </w:p>
        </w:tc>
        <w:tc>
          <w:tcPr/>
          <w:p>
            <w:pPr>
              <w:pStyle w:val="Compact"/>
            </w:pPr>
            <w:r>
              <w:t xml:space="preserve">Vasan et al. Health Serv Res 2020[20]</w:t>
            </w:r>
          </w:p>
        </w:tc>
      </w:tr>
      <w:tr>
        <w:tc>
          <w:tcPr/>
          <w:p>
            <w:pPr>
              <w:pStyle w:val="Compact"/>
            </w:pPr>
            <w:r>
              <w:t xml:space="preserve">SQ agreement (high-risk)</w:t>
            </w:r>
          </w:p>
        </w:tc>
        <w:tc>
          <w:tcPr/>
          <w:p>
            <w:pPr>
              <w:pStyle w:val="Compact"/>
            </w:pPr>
            <w:r>
              <w:t xml:space="preserve">Beta(65, 35)</w:t>
            </w:r>
          </w:p>
        </w:tc>
        <w:tc>
          <w:tcPr/>
          <w:p>
            <w:pPr>
              <w:pStyle w:val="Compact"/>
            </w:pPr>
            <w:r>
              <w:t xml:space="preserve">0.65</w:t>
            </w:r>
          </w:p>
        </w:tc>
        <w:tc>
          <w:tcPr/>
          <w:p>
            <w:pPr>
              <w:pStyle w:val="Compact"/>
            </w:pPr>
            <w:r>
              <w:t xml:space="preserve">0.52–0.77</w:t>
            </w:r>
          </w:p>
        </w:tc>
        <w:tc>
          <w:tcPr/>
          <w:p>
            <w:pPr>
              <w:pStyle w:val="Compact"/>
            </w:pPr>
            <w:r>
              <w:t xml:space="preserve">Vasan et al. Health Serv Res 2020[20]</w:t>
            </w:r>
          </w:p>
        </w:tc>
      </w:tr>
      <w:tr>
        <w:tc>
          <w:tcPr/>
          <w:p>
            <w:pPr>
              <w:pStyle w:val="Compact"/>
            </w:pPr>
            <w:r>
              <w:t xml:space="preserve">AI outreach multiplier</w:t>
            </w:r>
          </w:p>
        </w:tc>
        <w:tc>
          <w:tcPr/>
          <w:p>
            <w:pPr>
              <w:pStyle w:val="Compact"/>
            </w:pPr>
            <w:r>
              <w:t xml:space="preserve">Gamma(25, 0.048)</w:t>
            </w:r>
          </w:p>
        </w:tc>
        <w:tc>
          <w:tcPr/>
          <w:p>
            <w:pPr>
              <w:pStyle w:val="Compact"/>
            </w:pPr>
            <w:r>
              <w:t xml:space="preserve">1.20</w:t>
            </w:r>
          </w:p>
        </w:tc>
        <w:tc>
          <w:tcPr/>
          <w:p>
            <w:pPr>
              <w:pStyle w:val="Compact"/>
            </w:pPr>
            <w:r>
              <w:t xml:space="preserve">1.02–1.42</w:t>
            </w:r>
          </w:p>
        </w:tc>
        <w:tc>
          <w:tcPr/>
          <w:p>
            <w:pPr>
              <w:pStyle w:val="Compact"/>
            </w:pPr>
            <w:r>
              <w:t xml:space="preserve">CHW/IMPaCT outreach completion: 80% vs 65% usual care (×1.23); Vasan et al. 2020[20]; Reed et al. 2023</w:t>
            </w:r>
          </w:p>
        </w:tc>
      </w:tr>
      <w:tr>
        <w:tc>
          <w:tcPr/>
          <w:p>
            <w:pPr>
              <w:pStyle w:val="Compact"/>
            </w:pPr>
            <w:r>
              <w:t xml:space="preserve">AI agreement multiplier</w:t>
            </w:r>
          </w:p>
        </w:tc>
        <w:tc>
          <w:tcPr/>
          <w:p>
            <w:pPr>
              <w:pStyle w:val="Compact"/>
            </w:pPr>
            <w:r>
              <w:t xml:space="preserve">Gamma(25, 0.052)</w:t>
            </w:r>
          </w:p>
        </w:tc>
        <w:tc>
          <w:tcPr/>
          <w:p>
            <w:pPr>
              <w:pStyle w:val="Compact"/>
            </w:pPr>
            <w:r>
              <w:t xml:space="preserve">1.30</w:t>
            </w:r>
          </w:p>
        </w:tc>
        <w:tc>
          <w:tcPr/>
          <w:p>
            <w:pPr>
              <w:pStyle w:val="Compact"/>
            </w:pPr>
            <w:r>
              <w:t xml:space="preserve">1.10–1.54</w:t>
            </w:r>
          </w:p>
        </w:tc>
        <w:tc>
          <w:tcPr/>
          <w:p>
            <w:pPr>
              <w:pStyle w:val="Compact"/>
            </w:pPr>
            <w:r>
              <w:t xml:space="preserve">Virtual-first removes travel/wait barriers; CHW agreement 65% vs 50% standard (×1.30); Vasan et al. 2020[20]</w:t>
            </w:r>
          </w:p>
        </w:tc>
      </w:tr>
      <w:tr>
        <w:tc>
          <w:tcPr/>
          <w:p>
            <w:pPr>
              <w:pStyle w:val="Compact"/>
            </w:pPr>
            <w:r>
              <w:t xml:space="preserve">Digital access penalty (no broadband)</w:t>
            </w:r>
          </w:p>
        </w:tc>
        <w:tc>
          <w:tcPr/>
          <w:p>
            <w:pPr>
              <w:pStyle w:val="Compact"/>
            </w:pPr>
            <w:r>
              <w:t xml:space="preserve">Fixed 0.50</w:t>
            </w:r>
          </w:p>
        </w:tc>
        <w:tc>
          <w:tcPr/>
          <w:p>
            <w:pPr>
              <w:pStyle w:val="Compact"/>
            </w:pPr>
            <w:r>
              <w:t xml:space="preserve">0.50</w:t>
            </w:r>
          </w:p>
        </w:tc>
        <w:tc>
          <w:tcPr/>
          <w:p>
            <w:pPr>
              <w:pStyle w:val="Compact"/>
            </w:pPr>
            <w:r>
              <w:t xml:space="preserve">—</w:t>
            </w:r>
          </w:p>
        </w:tc>
        <w:tc>
          <w:tcPr/>
          <w:p>
            <w:pPr>
              <w:pStyle w:val="Compact"/>
            </w:pPr>
            <w:r>
              <w:t xml:space="preserve">Nouri, Khoong et al. NEJM Catalyst 2020[41]; Rodriguez, Khoong et al. JAMA Netw Open 2024[42]; LEP video telehealth ≈50% lower</w:t>
            </w:r>
          </w:p>
        </w:tc>
      </w:tr>
      <w:tr>
        <w:tc>
          <w:tcPr/>
          <w:p>
            <w:pPr>
              <w:pStyle w:val="Compact"/>
            </w:pPr>
            <w:r>
              <w:t xml:space="preserve">Racial engagement penalty (Black)</w:t>
            </w:r>
          </w:p>
        </w:tc>
        <w:tc>
          <w:tcPr/>
          <w:p>
            <w:pPr>
              <w:pStyle w:val="Compact"/>
            </w:pPr>
            <w:r>
              <w:t xml:space="preserve">Beta(15, 85)</w:t>
            </w:r>
          </w:p>
        </w:tc>
        <w:tc>
          <w:tcPr/>
          <w:p>
            <w:pPr>
              <w:pStyle w:val="Compact"/>
            </w:pPr>
            <w:r>
              <w:t xml:space="preserve">0.15</w:t>
            </w:r>
          </w:p>
        </w:tc>
        <w:tc>
          <w:tcPr/>
          <w:p>
            <w:pPr>
              <w:pStyle w:val="Compact"/>
            </w:pPr>
            <w:r>
              <w:t xml:space="preserve">0.08–0.23</w:t>
            </w:r>
          </w:p>
        </w:tc>
        <w:tc>
          <w:tcPr/>
          <w:p>
            <w:pPr>
              <w:pStyle w:val="Compact"/>
            </w:pPr>
            <w:r>
              <w:t xml:space="preserve">AHRQ National Healthcare Quality and Disparities Report 2023</w:t>
            </w:r>
          </w:p>
        </w:tc>
      </w:tr>
      <w:tr>
        <w:tc>
          <w:tcPr/>
          <w:p>
            <w:pPr>
              <w:pStyle w:val="Compact"/>
            </w:pPr>
            <w:r>
              <w:t xml:space="preserve">AI equity gap reduction</w:t>
            </w:r>
          </w:p>
        </w:tc>
        <w:tc>
          <w:tcPr/>
          <w:p>
            <w:pPr>
              <w:pStyle w:val="Compact"/>
            </w:pPr>
            <w:r>
              <w:t xml:space="preserve">Beta(25, 75)</w:t>
            </w:r>
          </w:p>
        </w:tc>
        <w:tc>
          <w:tcPr/>
          <w:p>
            <w:pPr>
              <w:pStyle w:val="Compact"/>
            </w:pPr>
            <w:r>
              <w:t xml:space="preserve">0.25</w:t>
            </w:r>
          </w:p>
        </w:tc>
        <w:tc>
          <w:tcPr/>
          <w:p>
            <w:pPr>
              <w:pStyle w:val="Compact"/>
            </w:pPr>
            <w:r>
              <w:t xml:space="preserve">0.14–0.38</w:t>
            </w:r>
          </w:p>
        </w:tc>
        <w:tc>
          <w:tcPr/>
          <w:p>
            <w:pPr>
              <w:pStyle w:val="Compact"/>
            </w:pPr>
            <w:r>
              <w:t xml:space="preserve">Multilingual + 24/7 access; Sax et al. 2024; Rodriguez, Khoong et al. 2024[42]</w:t>
            </w:r>
          </w:p>
        </w:tc>
      </w:tr>
      <w:tr>
        <w:tc>
          <w:tcPr/>
          <w:p>
            <w:pPr>
              <w:pStyle w:val="Compact"/>
            </w:pPr>
            <w:r>
              <w:rPr>
                <w:b/>
                <w:bCs/>
              </w:rPr>
              <w:t xml:space="preserve">Stage 3: Clinical Utilization</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Baseline hosp/1,000 (rising-risk)</w:t>
            </w:r>
          </w:p>
        </w:tc>
        <w:tc>
          <w:tcPr/>
          <w:p>
            <w:pPr>
              <w:pStyle w:val="Compact"/>
            </w:pPr>
            <w:r>
              <w:t xml:space="preserve">Gamma(25, 10)</w:t>
            </w:r>
          </w:p>
        </w:tc>
        <w:tc>
          <w:tcPr/>
          <w:p>
            <w:pPr>
              <w:pStyle w:val="Compact"/>
            </w:pPr>
            <w:r>
              <w:t xml:space="preserve">250</w:t>
            </w:r>
          </w:p>
        </w:tc>
        <w:tc>
          <w:tcPr/>
          <w:p>
            <w:pPr>
              <w:pStyle w:val="Compact"/>
            </w:pPr>
            <w:r>
              <w:t xml:space="preserve">170–350</w:t>
            </w:r>
          </w:p>
        </w:tc>
        <w:tc>
          <w:tcPr/>
          <w:p>
            <w:pPr>
              <w:pStyle w:val="Compact"/>
            </w:pPr>
            <w:r>
              <w:t xml:space="preserve">MEPS 2022 (Table 4.1b); HCUP Statistical Brief #278</w:t>
            </w:r>
          </w:p>
        </w:tc>
      </w:tr>
      <w:tr>
        <w:tc>
          <w:tcPr/>
          <w:p>
            <w:pPr>
              <w:pStyle w:val="Compact"/>
            </w:pPr>
            <w:r>
              <w:t xml:space="preserve">Baseline ED/1,000 (rising-risk)</w:t>
            </w:r>
          </w:p>
        </w:tc>
        <w:tc>
          <w:tcPr/>
          <w:p>
            <w:pPr>
              <w:pStyle w:val="Compact"/>
            </w:pPr>
            <w:r>
              <w:t xml:space="preserve">Gamma(25, 36)</w:t>
            </w:r>
          </w:p>
        </w:tc>
        <w:tc>
          <w:tcPr/>
          <w:p>
            <w:pPr>
              <w:pStyle w:val="Compact"/>
            </w:pPr>
            <w:r>
              <w:t xml:space="preserve">900</w:t>
            </w:r>
          </w:p>
        </w:tc>
        <w:tc>
          <w:tcPr/>
          <w:p>
            <w:pPr>
              <w:pStyle w:val="Compact"/>
            </w:pPr>
            <w:r>
              <w:t xml:space="preserve">610–1,250</w:t>
            </w:r>
          </w:p>
        </w:tc>
        <w:tc>
          <w:tcPr/>
          <w:p>
            <w:pPr>
              <w:pStyle w:val="Compact"/>
            </w:pPr>
            <w:r>
              <w:t xml:space="preserve">MEPS 2022; HCUP Statistical Brief #278</w:t>
            </w:r>
          </w:p>
        </w:tc>
      </w:tr>
      <w:tr>
        <w:tc>
          <w:tcPr/>
          <w:p>
            <w:pPr>
              <w:pStyle w:val="Compact"/>
            </w:pPr>
            <w:r>
              <w:t xml:space="preserve">AI hosp RR reduction (rising)</w:t>
            </w:r>
          </w:p>
        </w:tc>
        <w:tc>
          <w:tcPr/>
          <w:p>
            <w:pPr>
              <w:pStyle w:val="Compact"/>
            </w:pPr>
            <w:r>
              <w:t xml:space="preserve">Beta(25, 75)</w:t>
            </w:r>
          </w:p>
        </w:tc>
        <w:tc>
          <w:tcPr/>
          <w:p>
            <w:pPr>
              <w:pStyle w:val="Compact"/>
            </w:pPr>
            <w:r>
              <w:t xml:space="preserve">0.25</w:t>
            </w:r>
          </w:p>
        </w:tc>
        <w:tc>
          <w:tcPr/>
          <w:p>
            <w:pPr>
              <w:pStyle w:val="Compact"/>
            </w:pPr>
            <w:r>
              <w:t xml:space="preserve">0.14–0.38</w:t>
            </w:r>
          </w:p>
        </w:tc>
        <w:tc>
          <w:tcPr/>
          <w:p>
            <w:pPr>
              <w:pStyle w:val="Compact"/>
            </w:pPr>
            <w:r>
              <w:rPr>
                <w:i/>
                <w:iCs/>
              </w:rPr>
              <w:t xml:space="preserve">Conditional on engagement</w:t>
            </w:r>
            <w:r>
              <w:t xml:space="preserve">; Pioneer ACO attributed-patient hosp reduction 6.9% ÷ ~30% engagement ≈ 0.23 conditional RR; Hsu et al. 2017[16]; McWilliams et al. 2018[12]</w:t>
            </w:r>
          </w:p>
        </w:tc>
      </w:tr>
      <w:tr>
        <w:tc>
          <w:tcPr/>
          <w:p>
            <w:pPr>
              <w:pStyle w:val="Compact"/>
            </w:pPr>
            <w:r>
              <w:t xml:space="preserve">AI ED RR reduction (rising)</w:t>
            </w:r>
          </w:p>
        </w:tc>
        <w:tc>
          <w:tcPr/>
          <w:p>
            <w:pPr>
              <w:pStyle w:val="Compact"/>
            </w:pPr>
            <w:r>
              <w:t xml:space="preserve">Beta(20, 80)</w:t>
            </w:r>
          </w:p>
        </w:tc>
        <w:tc>
          <w:tcPr/>
          <w:p>
            <w:pPr>
              <w:pStyle w:val="Compact"/>
            </w:pPr>
            <w:r>
              <w:t xml:space="preserve">0.20</w:t>
            </w:r>
          </w:p>
        </w:tc>
        <w:tc>
          <w:tcPr/>
          <w:p>
            <w:pPr>
              <w:pStyle w:val="Compact"/>
            </w:pPr>
            <w:r>
              <w:t xml:space="preserve">0.11–0.31</w:t>
            </w:r>
          </w:p>
        </w:tc>
        <w:tc>
          <w:tcPr/>
          <w:p>
            <w:pPr>
              <w:pStyle w:val="Compact"/>
            </w:pPr>
            <w:r>
              <w:rPr>
                <w:i/>
                <w:iCs/>
              </w:rPr>
              <w:t xml:space="preserve">Conditional on engagement</w:t>
            </w:r>
            <w:r>
              <w:t xml:space="preserve">; Oregon CCO ED reduction 9% ÷ ~40% engagement ≈ 0.22 conditional RR; McConnell et al. 2017[18]</w:t>
            </w:r>
          </w:p>
        </w:tc>
      </w:tr>
      <w:tr>
        <w:tc>
          <w:tcPr/>
          <w:p>
            <w:pPr>
              <w:pStyle w:val="Compact"/>
            </w:pPr>
            <w:r>
              <w:t xml:space="preserve">Cost per hospitalization</w:t>
            </w:r>
          </w:p>
        </w:tc>
        <w:tc>
          <w:tcPr/>
          <w:p>
            <w:pPr>
              <w:pStyle w:val="Compact"/>
            </w:pPr>
            <w:r>
              <w:t xml:space="preserve">Gamma(100, 100)</w:t>
            </w:r>
          </w:p>
        </w:tc>
        <w:tc>
          <w:tcPr/>
          <w:p>
            <w:pPr>
              <w:pStyle w:val="Compact"/>
            </w:pPr>
            <w:r>
              <w:t xml:space="preserve">$10,000</w:t>
            </w:r>
          </w:p>
        </w:tc>
        <w:tc>
          <w:tcPr/>
          <w:p>
            <w:pPr>
              <w:pStyle w:val="Compact"/>
            </w:pPr>
            <w:r>
              <w:t xml:space="preserve">$8,100–$12,200</w:t>
            </w:r>
          </w:p>
        </w:tc>
        <w:tc>
          <w:tcPr/>
          <w:p>
            <w:pPr>
              <w:pStyle w:val="Compact"/>
            </w:pPr>
            <w:r>
              <w:t xml:space="preserve">HCUP Statistical Brief #278 (Medicaid payer, 2022)</w:t>
            </w:r>
          </w:p>
        </w:tc>
      </w:tr>
      <w:tr>
        <w:tc>
          <w:tcPr/>
          <w:p>
            <w:pPr>
              <w:pStyle w:val="Compact"/>
            </w:pPr>
            <w:r>
              <w:t xml:space="preserve">Cost per ED visit</w:t>
            </w:r>
          </w:p>
        </w:tc>
        <w:tc>
          <w:tcPr/>
          <w:p>
            <w:pPr>
              <w:pStyle w:val="Compact"/>
            </w:pPr>
            <w:r>
              <w:t xml:space="preserve">Gamma(49, 14.3)</w:t>
            </w:r>
          </w:p>
        </w:tc>
        <w:tc>
          <w:tcPr/>
          <w:p>
            <w:pPr>
              <w:pStyle w:val="Compact"/>
            </w:pPr>
            <w:r>
              <w:t xml:space="preserve">$700</w:t>
            </w:r>
          </w:p>
        </w:tc>
        <w:tc>
          <w:tcPr/>
          <w:p>
            <w:pPr>
              <w:pStyle w:val="Compact"/>
            </w:pPr>
            <w:r>
              <w:t xml:space="preserve">$510–$930</w:t>
            </w:r>
          </w:p>
        </w:tc>
        <w:tc>
          <w:tcPr/>
          <w:p>
            <w:pPr>
              <w:pStyle w:val="Compact"/>
            </w:pPr>
            <w:r>
              <w:t xml:space="preserve">MEPS 2022 (Medicaid payer)</w:t>
            </w:r>
          </w:p>
        </w:tc>
      </w:tr>
      <w:tr>
        <w:tc>
          <w:tcPr/>
          <w:p>
            <w:pPr>
              <w:pStyle w:val="Compact"/>
            </w:pPr>
            <w:r>
              <w:rPr>
                <w:b/>
                <w:bCs/>
              </w:rPr>
              <w:t xml:space="preserve">Stage 4: Preventive Care Quality</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SQ HEDIS gap closure</w:t>
            </w:r>
          </w:p>
        </w:tc>
        <w:tc>
          <w:tcPr/>
          <w:p>
            <w:pPr>
              <w:pStyle w:val="Compact"/>
            </w:pPr>
            <w:r>
              <w:t xml:space="preserve">Beta(35, 65)</w:t>
            </w:r>
          </w:p>
        </w:tc>
        <w:tc>
          <w:tcPr/>
          <w:p>
            <w:pPr>
              <w:pStyle w:val="Compact"/>
            </w:pPr>
            <w:r>
              <w:t xml:space="preserve">0.35</w:t>
            </w:r>
          </w:p>
        </w:tc>
        <w:tc>
          <w:tcPr/>
          <w:p>
            <w:pPr>
              <w:pStyle w:val="Compact"/>
            </w:pPr>
            <w:r>
              <w:t xml:space="preserve">0.24–0.47</w:t>
            </w:r>
          </w:p>
        </w:tc>
        <w:tc>
          <w:tcPr/>
          <w:p>
            <w:pPr>
              <w:pStyle w:val="Compact"/>
            </w:pPr>
            <w:r>
              <w:t xml:space="preserve">NCQA State of Healthcare Quality 2024 (Medicaid plan mean)</w:t>
            </w:r>
          </w:p>
        </w:tc>
      </w:tr>
      <w:tr>
        <w:tc>
          <w:tcPr/>
          <w:p>
            <w:pPr>
              <w:pStyle w:val="Compact"/>
            </w:pPr>
            <w:r>
              <w:t xml:space="preserve">AI HEDIS gap closure</w:t>
            </w:r>
          </w:p>
        </w:tc>
        <w:tc>
          <w:tcPr/>
          <w:p>
            <w:pPr>
              <w:pStyle w:val="Compact"/>
            </w:pPr>
            <w:r>
              <w:t xml:space="preserve">Beta(50, 50)</w:t>
            </w:r>
          </w:p>
        </w:tc>
        <w:tc>
          <w:tcPr/>
          <w:p>
            <w:pPr>
              <w:pStyle w:val="Compact"/>
            </w:pPr>
            <w:r>
              <w:t xml:space="preserve">0.50</w:t>
            </w:r>
          </w:p>
        </w:tc>
        <w:tc>
          <w:tcPr/>
          <w:p>
            <w:pPr>
              <w:pStyle w:val="Compact"/>
            </w:pPr>
            <w:r>
              <w:t xml:space="preserve">0.38–0.62</w:t>
            </w:r>
          </w:p>
        </w:tc>
        <w:tc>
          <w:tcPr/>
          <w:p>
            <w:pPr>
              <w:pStyle w:val="Compact"/>
            </w:pPr>
            <w:r>
              <w:t xml:space="preserve">Song et al. BMJ 2024[28]: guideline-based clinical decision support improved concordance by 15.2 pp</w:t>
            </w:r>
          </w:p>
        </w:tc>
      </w:tr>
      <w:tr>
        <w:tc>
          <w:tcPr/>
          <w:p>
            <w:pPr>
              <w:pStyle w:val="Compact"/>
            </w:pPr>
            <w:r>
              <w:rPr>
                <w:b/>
                <w:bCs/>
              </w:rPr>
              <w:t xml:space="preserve">Stage 5: Equity</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P_DETECT (White)</w:t>
            </w:r>
          </w:p>
        </w:tc>
        <w:tc>
          <w:tcPr/>
          <w:p>
            <w:pPr>
              <w:pStyle w:val="Compact"/>
            </w:pPr>
            <w:r>
              <w:t xml:space="preserve">Normal(0.72, 0.06)</w:t>
            </w:r>
          </w:p>
        </w:tc>
        <w:tc>
          <w:tcPr/>
          <w:p>
            <w:pPr>
              <w:pStyle w:val="Compact"/>
            </w:pPr>
            <w:r>
              <w:t xml:space="preserve">0.72</w:t>
            </w:r>
          </w:p>
        </w:tc>
        <w:tc>
          <w:tcPr/>
          <w:p>
            <w:pPr>
              <w:pStyle w:val="Compact"/>
            </w:pPr>
            <w:r>
              <w:t xml:space="preserve">0.60–0.84</w:t>
            </w:r>
          </w:p>
        </w:tc>
        <w:tc>
          <w:tcPr/>
          <w:p>
            <w:pPr>
              <w:pStyle w:val="Compact"/>
            </w:pPr>
            <w:r>
              <w:t xml:space="preserve">Obermeyer et al. Science 2019[43]: calibrated to observed racial disparity in condition coding</w:t>
            </w:r>
          </w:p>
        </w:tc>
      </w:tr>
      <w:tr>
        <w:tc>
          <w:tcPr/>
          <w:p>
            <w:pPr>
              <w:pStyle w:val="Compact"/>
            </w:pPr>
            <w:r>
              <w:t xml:space="preserve">P_DETECT (Black)</w:t>
            </w:r>
          </w:p>
        </w:tc>
        <w:tc>
          <w:tcPr/>
          <w:p>
            <w:pPr>
              <w:pStyle w:val="Compact"/>
            </w:pPr>
            <w:r>
              <w:t xml:space="preserve">Normal(0.58, 0.06)</w:t>
            </w:r>
          </w:p>
        </w:tc>
        <w:tc>
          <w:tcPr/>
          <w:p>
            <w:pPr>
              <w:pStyle w:val="Compact"/>
            </w:pPr>
            <w:r>
              <w:t xml:space="preserve">0.58</w:t>
            </w:r>
          </w:p>
        </w:tc>
        <w:tc>
          <w:tcPr/>
          <w:p>
            <w:pPr>
              <w:pStyle w:val="Compact"/>
            </w:pPr>
            <w:r>
              <w:t xml:space="preserve">0.46–0.70</w:t>
            </w:r>
          </w:p>
        </w:tc>
        <w:tc>
          <w:tcPr/>
          <w:p>
            <w:pPr>
              <w:pStyle w:val="Compact"/>
            </w:pPr>
            <w:r>
              <w:t xml:space="preserve">Obermeyer et al. Science 2019[43]: 19% fewer conditions coded for Black vs White at same health status</w:t>
            </w:r>
          </w:p>
        </w:tc>
      </w:tr>
      <w:tr>
        <w:tc>
          <w:tcPr/>
          <w:p>
            <w:pPr>
              <w:pStyle w:val="Compact"/>
            </w:pPr>
            <w:r>
              <w:t xml:space="preserve">AI detection gap closure</w:t>
            </w:r>
          </w:p>
        </w:tc>
        <w:tc>
          <w:tcPr/>
          <w:p>
            <w:pPr>
              <w:pStyle w:val="Compact"/>
            </w:pPr>
            <w:r>
              <w:t xml:space="preserve">Beta(35, 65)</w:t>
            </w:r>
          </w:p>
        </w:tc>
        <w:tc>
          <w:tcPr/>
          <w:p>
            <w:pPr>
              <w:pStyle w:val="Compact"/>
            </w:pPr>
            <w:r>
              <w:t xml:space="preserve">0.35</w:t>
            </w:r>
          </w:p>
        </w:tc>
        <w:tc>
          <w:tcPr/>
          <w:p>
            <w:pPr>
              <w:pStyle w:val="Compact"/>
            </w:pPr>
            <w:r>
              <w:t xml:space="preserve">0.22–0.50</w:t>
            </w:r>
          </w:p>
        </w:tc>
        <w:tc>
          <w:tcPr/>
          <w:p>
            <w:pPr>
              <w:pStyle w:val="Compact"/>
            </w:pPr>
            <w:r>
              <w:rPr>
                <w:i/>
                <w:iCs/>
              </w:rPr>
              <w:t xml:space="preserve">Projected</w:t>
            </w:r>
            <w:r>
              <w:t xml:space="preserve">: standardized AI assessment + proactive screening; anchored to Obermeyer et al. bias remediation scenario[43]</w:t>
            </w:r>
          </w:p>
        </w:tc>
      </w:tr>
      <w:tr>
        <w:tc>
          <w:tcPr/>
          <w:p>
            <w:pPr>
              <w:pStyle w:val="Compact"/>
            </w:pPr>
            <w:r>
              <w:rPr>
                <w:b/>
                <w:bCs/>
              </w:rPr>
              <w:t xml:space="preserve">Administrative</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SQ admin rate</w:t>
            </w:r>
          </w:p>
        </w:tc>
        <w:tc>
          <w:tcPr/>
          <w:p>
            <w:pPr>
              <w:pStyle w:val="Compact"/>
            </w:pPr>
            <w:r>
              <w:t xml:space="preserve">Beta(8, 92)</w:t>
            </w:r>
          </w:p>
        </w:tc>
        <w:tc>
          <w:tcPr/>
          <w:p>
            <w:pPr>
              <w:pStyle w:val="Compact"/>
            </w:pPr>
            <w:r>
              <w:t xml:space="preserve">0.08</w:t>
            </w:r>
          </w:p>
        </w:tc>
        <w:tc>
          <w:tcPr/>
          <w:p>
            <w:pPr>
              <w:pStyle w:val="Compact"/>
            </w:pPr>
            <w:r>
              <w:t xml:space="preserve">0.04–0.14</w:t>
            </w:r>
          </w:p>
        </w:tc>
        <w:tc>
          <w:tcPr/>
          <w:p>
            <w:pPr>
              <w:pStyle w:val="Compact"/>
            </w:pPr>
            <w:r>
              <w:t xml:space="preserve">Milliman 2025: 2024 composite ALR 10.1%; Medicaid-focused MCO subset 7.7%; lowest decile 5.2%[7]</w:t>
            </w:r>
          </w:p>
        </w:tc>
      </w:tr>
      <w:tr>
        <w:tc>
          <w:tcPr/>
          <w:p>
            <w:pPr>
              <w:pStyle w:val="Compact"/>
            </w:pPr>
            <w:r>
              <w:t xml:space="preserve">AI admin rate</w:t>
            </w:r>
          </w:p>
        </w:tc>
        <w:tc>
          <w:tcPr/>
          <w:p>
            <w:pPr>
              <w:pStyle w:val="Compact"/>
            </w:pPr>
            <w:r>
              <w:t xml:space="preserve">Beta(3, 97)</w:t>
            </w:r>
          </w:p>
        </w:tc>
        <w:tc>
          <w:tcPr/>
          <w:p>
            <w:pPr>
              <w:pStyle w:val="Compact"/>
            </w:pPr>
            <w:r>
              <w:t xml:space="preserve">0.03</w:t>
            </w:r>
          </w:p>
        </w:tc>
        <w:tc>
          <w:tcPr/>
          <w:p>
            <w:pPr>
              <w:pStyle w:val="Compact"/>
            </w:pPr>
            <w:r>
              <w:t xml:space="preserve">0.01–0.06</w:t>
            </w:r>
          </w:p>
        </w:tc>
        <w:tc>
          <w:tcPr/>
          <w:p>
            <w:pPr>
              <w:pStyle w:val="Compact"/>
            </w:pPr>
            <w:r>
              <w:t xml:space="preserve">Himmelstein et al. Ann Intern Med 2020[45]; traditional Medicaid admin rates (2–4%)</w:t>
            </w:r>
          </w:p>
        </w:tc>
      </w:tr>
    </w:tbl>
    <w:bookmarkStart w:id="22" w:name="population"/>
    <w:p>
      <w:pPr>
        <w:pStyle w:val="Heading3"/>
      </w:pPr>
      <w:r>
        <w:t xml:space="preserve">Population</w:t>
      </w:r>
    </w:p>
    <w:p>
      <w:pPr>
        <w:pStyle w:val="FirstParagraph"/>
      </w:pPr>
      <w:r>
        <w:t xml:space="preserve">American Community Survey (ACS) Public Use Microdata Sample (PUMS), 2019–2023. Inclusion: age 19 to 64, Medicaid enrollment (HINS4 = 1), 17 states with complete data. N = 75,043 individuals representing approximately 6.8 million non-institutionalized Medicaid adults nationally (population-weighted using PWGTP).</w:t>
      </w:r>
    </w:p>
    <w:bookmarkEnd w:id="22"/>
    <w:bookmarkStart w:id="23" w:name="stratification-variables"/>
    <w:p>
      <w:pPr>
        <w:pStyle w:val="Heading3"/>
      </w:pPr>
      <w:r>
        <w:t xml:space="preserve">Stratification Variables</w:t>
      </w:r>
    </w:p>
    <w:p>
      <w:pPr>
        <w:pStyle w:val="Compact"/>
        <w:numPr>
          <w:ilvl w:val="0"/>
          <w:numId w:val="1002"/>
        </w:numPr>
      </w:pPr>
      <w:r>
        <w:rPr>
          <w:b/>
          <w:bCs/>
        </w:rPr>
        <w:t xml:space="preserve">race_eth</w:t>
      </w:r>
      <w:r>
        <w:t xml:space="preserve">: White, Black, Hispanic, AIAN, Asian, Other</w:t>
      </w:r>
    </w:p>
    <w:p>
      <w:pPr>
        <w:pStyle w:val="Compact"/>
        <w:numPr>
          <w:ilvl w:val="0"/>
          <w:numId w:val="1002"/>
        </w:numPr>
      </w:pPr>
      <w:r>
        <w:rPr>
          <w:b/>
          <w:bCs/>
        </w:rPr>
        <w:t xml:space="preserve">metro_status</w:t>
      </w:r>
      <w:r>
        <w:t xml:space="preserve">: metropolitan vs. nonmetropolitan (derived from PUMA-to-MSA crosswalk)</w:t>
      </w:r>
    </w:p>
    <w:p>
      <w:pPr>
        <w:pStyle w:val="Compact"/>
        <w:numPr>
          <w:ilvl w:val="0"/>
          <w:numId w:val="1002"/>
        </w:numPr>
      </w:pPr>
      <w:r>
        <w:rPr>
          <w:b/>
          <w:bCs/>
        </w:rPr>
        <w:t xml:space="preserve">risk_tier</w:t>
      </w:r>
      <w:r>
        <w:t xml:space="preserve">: Assigned probabilistically (Low ~60%, Rising ~25%, High ~15%)</w:t>
      </w:r>
    </w:p>
    <w:bookmarkEnd w:id="23"/>
    <w:bookmarkEnd w:id="24"/>
    <w:bookmarkStart w:id="25" w:name="Xcc89d9648e39fc50899801f681a5fc68ef657df"/>
    <w:p>
      <w:pPr>
        <w:pStyle w:val="Heading2"/>
      </w:pPr>
      <w:r>
        <w:t xml:space="preserve">eTable 5. AI-to-Human Evidence Translation Discount Factor Sensitivity</w:t>
      </w:r>
    </w:p>
    <w:p>
      <w:pPr>
        <w:pStyle w:val="FirstParagraph"/>
      </w:pPr>
      <w:r>
        <w:t xml:space="preserve">The microsimulation’s AI engagement multipliers and clinical relative risk reductions were anchored to human-delivered intervention evidence (community health worker trials, ACO evaluations, clinical decision support studies). This analysis tests sensitivity of projected outcomes to attenuated AI efficacy: for discount factor d ∈ {0, 0.10, 0.20, 0.30, 0.40, 0.50}, AI engagement multipliers were rescaled as 1 + (multiplier − 1) × (1 − d) and AI clinical relative risk reductions were rescaled as RR × (1 − d). Administrative reform was held unchanged because administrative automation is mechanical and not behavioral.</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AI Efficacy (% of Human-Trial Benchmark)</w:t>
            </w:r>
          </w:p>
        </w:tc>
        <w:tc>
          <w:tcPr/>
          <w:p>
            <w:pPr>
              <w:pStyle w:val="Compact"/>
            </w:pPr>
            <w:r>
              <w:t xml:space="preserve">Total PMPM Savings (</w:t>
            </w:r>
            <m:oMath>
              <m:r>
                <m:rPr>
                  <m:sty m:val="p"/>
                </m:rPr>
                <m:t>)</m:t>
              </m:r>
              <m:r>
                <m:rPr>
                  <m:sty m:val="p"/>
                </m:rPr>
                <m:t>|</m:t>
              </m:r>
              <m:r>
                <m:t>P</m:t>
              </m:r>
              <m:r>
                <m:t>M</m:t>
              </m:r>
              <m:r>
                <m:t>P</m:t>
              </m:r>
              <m:r>
                <m:t>M</m:t>
              </m:r>
              <m:r>
                <m:t>95</m:t>
              </m:r>
            </m:oMath>
            <w:r>
              <w:t xml:space="preserve">)</w:t>
            </w:r>
          </w:p>
        </w:tc>
        <w:tc>
          <w:tcPr/>
          <w:p>
            <w:pPr>
              <w:pStyle w:val="Compact"/>
            </w:pPr>
            <w:r>
              <w:t xml:space="preserve">Clinical Component ($)</w:t>
            </w:r>
          </w:p>
        </w:tc>
        <w:tc>
          <w:tcPr/>
          <w:p>
            <w:pPr>
              <w:pStyle w:val="Compact"/>
            </w:pPr>
            <w:r>
              <w:t xml:space="preserve">Hosp Reduction (per 1,000 PY)</w:t>
            </w:r>
          </w:p>
        </w:tc>
        <w:tc>
          <w:tcPr/>
          <w:p>
            <w:pPr>
              <w:pStyle w:val="Compact"/>
            </w:pPr>
            <w:r>
              <w:t xml:space="preserve">ED Reduction (per 1,000 PY)</w:t>
            </w:r>
          </w:p>
        </w:tc>
        <w:tc>
          <w:tcPr/>
          <w:p>
            <w:pPr>
              <w:pStyle w:val="Compact"/>
            </w:pPr>
            <w:r>
              <w:t xml:space="preserve">HEDIS Improvement (pp)</w:t>
            </w:r>
          </w:p>
        </w:tc>
        <w:tc>
          <w:tcPr/>
          <w:p>
            <w:pPr>
              <w:pStyle w:val="Compact"/>
            </w:pPr>
          </w:p>
        </w:tc>
        <w:tc>
          <w:tcPr/>
          <w:p>
            <w:pPr>
              <w:pStyle w:val="Compact"/>
            </w:pPr>
          </w:p>
        </w:tc>
      </w:tr>
      <w:tr>
        <w:tc>
          <w:tcPr/>
          <w:p>
            <w:pPr>
              <w:pStyle w:val="Compact"/>
            </w:pPr>
            <w:r>
              <w:t xml:space="preserve">100% (no discount)</w:t>
            </w:r>
          </w:p>
        </w:tc>
        <w:tc>
          <w:tcPr/>
          <w:p>
            <w:pPr>
              <w:pStyle w:val="Compact"/>
            </w:pPr>
            <w:r>
              <w:t xml:space="preserve">$39</w:t>
            </w:r>
          </w:p>
        </w:tc>
        <w:tc>
          <w:tcPr/>
          <w:p>
            <w:pPr>
              <w:pStyle w:val="Compact"/>
            </w:pPr>
            <w:r>
              <w:t xml:space="preserve">$14 to $73</w:t>
            </w:r>
          </w:p>
        </w:tc>
        <w:tc>
          <w:tcPr/>
          <w:p>
            <w:pPr>
              <w:pStyle w:val="Compact"/>
            </w:pPr>
            <w:r>
              <w:t xml:space="preserve">$25</w:t>
            </w:r>
          </w:p>
        </w:tc>
        <w:tc>
          <w:tcPr/>
          <w:p>
            <w:pPr>
              <w:pStyle w:val="Compact"/>
            </w:pPr>
            <w:r>
              <w:t xml:space="preserve">$13</w:t>
            </w:r>
          </w:p>
        </w:tc>
        <w:tc>
          <w:tcPr/>
          <w:p>
            <w:pPr>
              <w:pStyle w:val="Compact"/>
            </w:pPr>
            <w:r>
              <w:t xml:space="preserve">14.6</w:t>
            </w:r>
          </w:p>
        </w:tc>
        <w:tc>
          <w:tcPr/>
          <w:p>
            <w:pPr>
              <w:pStyle w:val="Compact"/>
            </w:pPr>
            <w:r>
              <w:t xml:space="preserve">39.0</w:t>
            </w:r>
          </w:p>
        </w:tc>
        <w:tc>
          <w:tcPr/>
          <w:p>
            <w:pPr>
              <w:pStyle w:val="Compact"/>
            </w:pPr>
            <w:r>
              <w:t xml:space="preserve">14.9</w:t>
            </w:r>
          </w:p>
        </w:tc>
      </w:tr>
      <w:tr>
        <w:tc>
          <w:tcPr/>
          <w:p>
            <w:pPr>
              <w:pStyle w:val="Compact"/>
            </w:pPr>
            <w:r>
              <w:t xml:space="preserve">90%</w:t>
            </w:r>
          </w:p>
        </w:tc>
        <w:tc>
          <w:tcPr/>
          <w:p>
            <w:pPr>
              <w:pStyle w:val="Compact"/>
            </w:pPr>
            <w:r>
              <w:t xml:space="preserve">$38</w:t>
            </w:r>
          </w:p>
        </w:tc>
        <w:tc>
          <w:tcPr/>
          <w:p>
            <w:pPr>
              <w:pStyle w:val="Compact"/>
            </w:pPr>
            <w:r>
              <w:t xml:space="preserve">$14 to $73</w:t>
            </w:r>
          </w:p>
        </w:tc>
        <w:tc>
          <w:tcPr/>
          <w:p>
            <w:pPr>
              <w:pStyle w:val="Compact"/>
            </w:pPr>
            <w:r>
              <w:t xml:space="preserve">$25</w:t>
            </w:r>
          </w:p>
        </w:tc>
        <w:tc>
          <w:tcPr/>
          <w:p>
            <w:pPr>
              <w:pStyle w:val="Compact"/>
            </w:pPr>
            <w:r>
              <w:t xml:space="preserve">$12</w:t>
            </w:r>
          </w:p>
        </w:tc>
        <w:tc>
          <w:tcPr/>
          <w:p>
            <w:pPr>
              <w:pStyle w:val="Compact"/>
            </w:pPr>
            <w:r>
              <w:t xml:space="preserve">13.2</w:t>
            </w:r>
          </w:p>
        </w:tc>
        <w:tc>
          <w:tcPr/>
          <w:p>
            <w:pPr>
              <w:pStyle w:val="Compact"/>
            </w:pPr>
            <w:r>
              <w:t xml:space="preserve">35.2</w:t>
            </w:r>
          </w:p>
        </w:tc>
        <w:tc>
          <w:tcPr/>
          <w:p>
            <w:pPr>
              <w:pStyle w:val="Compact"/>
            </w:pPr>
            <w:r>
              <w:t xml:space="preserve">13.4</w:t>
            </w:r>
          </w:p>
        </w:tc>
      </w:tr>
      <w:tr>
        <w:tc>
          <w:tcPr/>
          <w:p>
            <w:pPr>
              <w:pStyle w:val="Compact"/>
            </w:pPr>
            <w:r>
              <w:t xml:space="preserve">80%</w:t>
            </w:r>
          </w:p>
        </w:tc>
        <w:tc>
          <w:tcPr/>
          <w:p>
            <w:pPr>
              <w:pStyle w:val="Compact"/>
            </w:pPr>
            <w:r>
              <w:t xml:space="preserve">$36</w:t>
            </w:r>
          </w:p>
        </w:tc>
        <w:tc>
          <w:tcPr/>
          <w:p>
            <w:pPr>
              <w:pStyle w:val="Compact"/>
            </w:pPr>
            <w:r>
              <w:t xml:space="preserve">$14 to $73</w:t>
            </w:r>
          </w:p>
        </w:tc>
        <w:tc>
          <w:tcPr/>
          <w:p>
            <w:pPr>
              <w:pStyle w:val="Compact"/>
            </w:pPr>
            <w:r>
              <w:t xml:space="preserve">$25</w:t>
            </w:r>
          </w:p>
        </w:tc>
        <w:tc>
          <w:tcPr/>
          <w:p>
            <w:pPr>
              <w:pStyle w:val="Compact"/>
            </w:pPr>
            <w:r>
              <w:t xml:space="preserve">$11</w:t>
            </w:r>
          </w:p>
        </w:tc>
        <w:tc>
          <w:tcPr/>
          <w:p>
            <w:pPr>
              <w:pStyle w:val="Compact"/>
            </w:pPr>
            <w:r>
              <w:t xml:space="preserve">12.0</w:t>
            </w:r>
          </w:p>
        </w:tc>
        <w:tc>
          <w:tcPr/>
          <w:p>
            <w:pPr>
              <w:pStyle w:val="Compact"/>
            </w:pPr>
            <w:r>
              <w:t xml:space="preserve">31.9</w:t>
            </w:r>
          </w:p>
        </w:tc>
        <w:tc>
          <w:tcPr/>
          <w:p>
            <w:pPr>
              <w:pStyle w:val="Compact"/>
            </w:pPr>
            <w:r>
              <w:t xml:space="preserve">11.9</w:t>
            </w:r>
          </w:p>
        </w:tc>
      </w:tr>
      <w:tr>
        <w:tc>
          <w:tcPr/>
          <w:p>
            <w:pPr>
              <w:pStyle w:val="Compact"/>
            </w:pPr>
            <w:r>
              <w:t xml:space="preserve">70%</w:t>
            </w:r>
          </w:p>
        </w:tc>
        <w:tc>
          <w:tcPr/>
          <w:p>
            <w:pPr>
              <w:pStyle w:val="Compact"/>
            </w:pPr>
            <w:r>
              <w:t xml:space="preserve">$35</w:t>
            </w:r>
          </w:p>
        </w:tc>
        <w:tc>
          <w:tcPr/>
          <w:p>
            <w:pPr>
              <w:pStyle w:val="Compact"/>
            </w:pPr>
            <w:r>
              <w:t xml:space="preserve">$12 to $71</w:t>
            </w:r>
          </w:p>
        </w:tc>
        <w:tc>
          <w:tcPr/>
          <w:p>
            <w:pPr>
              <w:pStyle w:val="Compact"/>
            </w:pPr>
            <w:r>
              <w:t xml:space="preserve">$25</w:t>
            </w:r>
          </w:p>
        </w:tc>
        <w:tc>
          <w:tcPr/>
          <w:p>
            <w:pPr>
              <w:pStyle w:val="Compact"/>
            </w:pPr>
            <w:r>
              <w:t xml:space="preserve">$10</w:t>
            </w:r>
          </w:p>
        </w:tc>
        <w:tc>
          <w:tcPr/>
          <w:p>
            <w:pPr>
              <w:pStyle w:val="Compact"/>
            </w:pPr>
            <w:r>
              <w:t xml:space="preserve">10.7</w:t>
            </w:r>
          </w:p>
        </w:tc>
        <w:tc>
          <w:tcPr/>
          <w:p>
            <w:pPr>
              <w:pStyle w:val="Compact"/>
            </w:pPr>
            <w:r>
              <w:t xml:space="preserve">28.2</w:t>
            </w:r>
          </w:p>
        </w:tc>
        <w:tc>
          <w:tcPr/>
          <w:p>
            <w:pPr>
              <w:pStyle w:val="Compact"/>
            </w:pPr>
            <w:r>
              <w:t xml:space="preserve">10.4</w:t>
            </w:r>
          </w:p>
        </w:tc>
      </w:tr>
      <w:tr>
        <w:tc>
          <w:tcPr/>
          <w:p>
            <w:pPr>
              <w:pStyle w:val="Compact"/>
            </w:pPr>
            <w:r>
              <w:t xml:space="preserve">60%</w:t>
            </w:r>
          </w:p>
        </w:tc>
        <w:tc>
          <w:tcPr/>
          <w:p>
            <w:pPr>
              <w:pStyle w:val="Compact"/>
            </w:pPr>
            <w:r>
              <w:t xml:space="preserve">$34</w:t>
            </w:r>
          </w:p>
        </w:tc>
        <w:tc>
          <w:tcPr/>
          <w:p>
            <w:pPr>
              <w:pStyle w:val="Compact"/>
            </w:pPr>
            <w:r>
              <w:t xml:space="preserve">$10 to $70</w:t>
            </w:r>
          </w:p>
        </w:tc>
        <w:tc>
          <w:tcPr/>
          <w:p>
            <w:pPr>
              <w:pStyle w:val="Compact"/>
            </w:pPr>
            <w:r>
              <w:t xml:space="preserve">$25</w:t>
            </w:r>
          </w:p>
        </w:tc>
        <w:tc>
          <w:tcPr/>
          <w:p>
            <w:pPr>
              <w:pStyle w:val="Compact"/>
            </w:pPr>
            <w:r>
              <w:t xml:space="preserve">$9</w:t>
            </w:r>
          </w:p>
        </w:tc>
        <w:tc>
          <w:tcPr/>
          <w:p>
            <w:pPr>
              <w:pStyle w:val="Compact"/>
            </w:pPr>
            <w:r>
              <w:t xml:space="preserve">9.4</w:t>
            </w:r>
          </w:p>
        </w:tc>
        <w:tc>
          <w:tcPr/>
          <w:p>
            <w:pPr>
              <w:pStyle w:val="Compact"/>
            </w:pPr>
            <w:r>
              <w:t xml:space="preserve">25.0</w:t>
            </w:r>
          </w:p>
        </w:tc>
        <w:tc>
          <w:tcPr/>
          <w:p>
            <w:pPr>
              <w:pStyle w:val="Compact"/>
            </w:pPr>
            <w:r>
              <w:t xml:space="preserve">8.9</w:t>
            </w:r>
          </w:p>
        </w:tc>
      </w:tr>
      <w:tr>
        <w:tc>
          <w:tcPr/>
          <w:p>
            <w:pPr>
              <w:pStyle w:val="Compact"/>
            </w:pPr>
            <w:r>
              <w:t xml:space="preserve">50%</w:t>
            </w:r>
          </w:p>
        </w:tc>
        <w:tc>
          <w:tcPr/>
          <w:p>
            <w:pPr>
              <w:pStyle w:val="Compact"/>
            </w:pPr>
            <w:r>
              <w:t xml:space="preserve">$33</w:t>
            </w:r>
          </w:p>
        </w:tc>
        <w:tc>
          <w:tcPr/>
          <w:p>
            <w:pPr>
              <w:pStyle w:val="Compact"/>
            </w:pPr>
            <w:r>
              <w:t xml:space="preserve">$10 to $69</w:t>
            </w:r>
          </w:p>
        </w:tc>
        <w:tc>
          <w:tcPr/>
          <w:p>
            <w:pPr>
              <w:pStyle w:val="Compact"/>
            </w:pPr>
            <w:r>
              <w:t xml:space="preserve">$25</w:t>
            </w:r>
          </w:p>
        </w:tc>
        <w:tc>
          <w:tcPr/>
          <w:p>
            <w:pPr>
              <w:pStyle w:val="Compact"/>
            </w:pPr>
            <w:r>
              <w:t xml:space="preserve">$7</w:t>
            </w:r>
          </w:p>
        </w:tc>
        <w:tc>
          <w:tcPr/>
          <w:p>
            <w:pPr>
              <w:pStyle w:val="Compact"/>
            </w:pPr>
            <w:r>
              <w:t xml:space="preserve">8.2</w:t>
            </w:r>
          </w:p>
        </w:tc>
        <w:tc>
          <w:tcPr/>
          <w:p>
            <w:pPr>
              <w:pStyle w:val="Compact"/>
            </w:pPr>
            <w:r>
              <w:t xml:space="preserve">22.4</w:t>
            </w:r>
          </w:p>
        </w:tc>
        <w:tc>
          <w:tcPr/>
          <w:p>
            <w:pPr>
              <w:pStyle w:val="Compact"/>
            </w:pPr>
            <w:r>
              <w:t xml:space="preserve">7.5</w:t>
            </w:r>
          </w:p>
        </w:tc>
      </w:tr>
    </w:tbl>
    <w:p>
      <w:pPr>
        <w:pStyle w:val="BodyText"/>
      </w:pPr>
      <w:r>
        <w:t xml:space="preserve">Even at 50% AI efficacy (i.e., AI achieves half the engagement and clinical effect size of analogous human-delivered interventions), projected PMPM savings remain 80% of the consensus estimate ($33 versus $39) because administrative reform is mechanical and not subject to behavioral discounting. The administrative component of savings is invariant across discount levels; the clinical component declines linearly with the discount factor. Hospitalization reduction declines proportionally with the discount factor, indicating that the engagement-cascade structure of the model is the primary mechanism for clinical benefit attribution.</w:t>
      </w:r>
    </w:p>
    <w:bookmarkEnd w:id="25"/>
    <w:bookmarkStart w:id="26" w:name="etable-6.-scenario-specifications"/>
    <w:p>
      <w:pPr>
        <w:pStyle w:val="Heading2"/>
      </w:pPr>
      <w:r>
        <w:t xml:space="preserve">eTable 6. Scenario Specifications</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Scenario</w:t>
            </w:r>
          </w:p>
        </w:tc>
        <w:tc>
          <w:tcPr/>
          <w:p>
            <w:pPr>
              <w:pStyle w:val="Compact"/>
            </w:pPr>
            <w:r>
              <w:t xml:space="preserve">AI Clinical Delivery</w:t>
            </w:r>
          </w:p>
        </w:tc>
        <w:tc>
          <w:tcPr/>
          <w:p>
            <w:pPr>
              <w:pStyle w:val="Compact"/>
            </w:pPr>
            <w:r>
              <w:t xml:space="preserve">AI Administrative Functions</w:t>
            </w:r>
          </w:p>
        </w:tc>
        <w:tc>
          <w:tcPr/>
          <w:p>
            <w:pPr>
              <w:pStyle w:val="Compact"/>
            </w:pPr>
            <w:r>
              <w:t xml:space="preserve">Engagement Multipliers</w:t>
            </w:r>
          </w:p>
        </w:tc>
        <w:tc>
          <w:tcPr/>
          <w:p>
            <w:pPr>
              <w:pStyle w:val="Compact"/>
            </w:pPr>
            <w:r>
              <w:t xml:space="preserve">Admin Cost (% Premium)</w:t>
            </w:r>
          </w:p>
        </w:tc>
        <w:tc>
          <w:tcPr/>
          <w:p>
            <w:pPr>
              <w:pStyle w:val="Compact"/>
            </w:pPr>
            <w:r>
              <w:t xml:space="preserve">Dimension of Deviation from Consensus</w:t>
            </w:r>
          </w:p>
        </w:tc>
      </w:tr>
      <w:tr>
        <w:tc>
          <w:tcPr/>
          <w:p>
            <w:pPr>
              <w:pStyle w:val="Compact"/>
            </w:pPr>
            <w:r>
              <w:t xml:space="preserve">S0: Status Quo MCO</w:t>
            </w:r>
          </w:p>
        </w:tc>
        <w:tc>
          <w:tcPr/>
          <w:p>
            <w:pPr>
              <w:pStyle w:val="Compact"/>
            </w:pPr>
            <w:r>
              <w:t xml:space="preserve">None</w:t>
            </w:r>
          </w:p>
        </w:tc>
        <w:tc>
          <w:tcPr/>
          <w:p>
            <w:pPr>
              <w:pStyle w:val="Compact"/>
            </w:pPr>
            <w:r>
              <w:t xml:space="preserve">None</w:t>
            </w:r>
          </w:p>
        </w:tc>
        <w:tc>
          <w:tcPr/>
          <w:p>
            <w:pPr>
              <w:pStyle w:val="Compact"/>
            </w:pPr>
            <w:r>
              <w:t xml:space="preserve">Baseline</w:t>
            </w:r>
          </w:p>
        </w:tc>
        <w:tc>
          <w:tcPr/>
          <w:p>
            <w:pPr>
              <w:pStyle w:val="Compact"/>
            </w:pPr>
            <w:r>
              <w:t xml:space="preserve">8.4%</w:t>
            </w:r>
          </w:p>
        </w:tc>
        <w:tc>
          <w:tcPr/>
          <w:p>
            <w:pPr>
              <w:pStyle w:val="Compact"/>
            </w:pPr>
            <w:r>
              <w:t xml:space="preserve">Reference baseline (no AI)</w:t>
            </w:r>
          </w:p>
        </w:tc>
      </w:tr>
      <w:tr>
        <w:tc>
          <w:tcPr/>
          <w:p>
            <w:pPr>
              <w:pStyle w:val="Compact"/>
            </w:pPr>
            <w:r>
              <w:t xml:space="preserve">S1: AI ACO (Consensus)</w:t>
            </w:r>
          </w:p>
        </w:tc>
        <w:tc>
          <w:tcPr/>
          <w:p>
            <w:pPr>
              <w:pStyle w:val="Compact"/>
            </w:pPr>
            <w:r>
              <w:t xml:space="preserve">58% AI encounters; 3-model ensemble with safety verification; 1:45 physician supervision</w:t>
            </w:r>
          </w:p>
        </w:tc>
        <w:tc>
          <w:tcPr/>
          <w:p>
            <w:pPr>
              <w:pStyle w:val="Compact"/>
            </w:pPr>
            <w:r>
              <w:t xml:space="preserve">AI claims, prior auth, care coordination, eligibility verification</w:t>
            </w:r>
          </w:p>
        </w:tc>
        <w:tc>
          <w:tcPr/>
          <w:p>
            <w:pPr>
              <w:pStyle w:val="Compact"/>
            </w:pPr>
            <w:r>
              <w:t xml:space="preserve">1.2× outreach, 1.3× agreement</w:t>
            </w:r>
          </w:p>
        </w:tc>
        <w:tc>
          <w:tcPr/>
          <w:p>
            <w:pPr>
              <w:pStyle w:val="Compact"/>
            </w:pPr>
            <w:r>
              <w:t xml:space="preserve">3.0%</w:t>
            </w:r>
          </w:p>
        </w:tc>
        <w:tc>
          <w:tcPr/>
          <w:p>
            <w:pPr>
              <w:pStyle w:val="Compact"/>
            </w:pPr>
            <w:r>
              <w:t xml:space="preserve">Reference AI ACO (Delphi consensus)</w:t>
            </w:r>
          </w:p>
        </w:tc>
      </w:tr>
      <w:tr>
        <w:tc>
          <w:tcPr/>
          <w:p>
            <w:pPr>
              <w:pStyle w:val="Compact"/>
            </w:pPr>
            <w:r>
              <w:t xml:space="preserve">S2: AI ACO (Optimistic)</w:t>
            </w:r>
          </w:p>
        </w:tc>
        <w:tc>
          <w:tcPr/>
          <w:p>
            <w:pPr>
              <w:pStyle w:val="Compact"/>
            </w:pPr>
            <w:r>
              <w:t xml:space="preserve">Same as S1</w:t>
            </w:r>
          </w:p>
        </w:tc>
        <w:tc>
          <w:tcPr/>
          <w:p>
            <w:pPr>
              <w:pStyle w:val="Compact"/>
            </w:pPr>
            <w:r>
              <w:t xml:space="preserve">Same as S1</w:t>
            </w:r>
          </w:p>
        </w:tc>
        <w:tc>
          <w:tcPr/>
          <w:p>
            <w:pPr>
              <w:pStyle w:val="Compact"/>
            </w:pPr>
            <w:r>
              <w:t xml:space="preserve">1.3× outreach, 1.4× agreement</w:t>
            </w:r>
          </w:p>
        </w:tc>
        <w:tc>
          <w:tcPr/>
          <w:p>
            <w:pPr>
              <w:pStyle w:val="Compact"/>
            </w:pPr>
            <w:r>
              <w:t xml:space="preserve">2.5%</w:t>
            </w:r>
          </w:p>
        </w:tc>
        <w:tc>
          <w:tcPr/>
          <w:p>
            <w:pPr>
              <w:pStyle w:val="Compact"/>
            </w:pPr>
            <w:r>
              <w:t xml:space="preserve">Upper-bound of minority-report parameters on AI engagement and admin reform</w:t>
            </w:r>
          </w:p>
        </w:tc>
      </w:tr>
      <w:tr>
        <w:tc>
          <w:tcPr/>
          <w:p>
            <w:pPr>
              <w:pStyle w:val="Compact"/>
            </w:pPr>
            <w:r>
              <w:t xml:space="preserve">S3: AI ACO (Pessimistic)</w:t>
            </w:r>
          </w:p>
        </w:tc>
        <w:tc>
          <w:tcPr/>
          <w:p>
            <w:pPr>
              <w:pStyle w:val="Compact"/>
            </w:pPr>
            <w:r>
              <w:t xml:space="preserve">Same clinical architecture as S1 but with AI clinical RR reductions halved</w:t>
            </w:r>
          </w:p>
        </w:tc>
        <w:tc>
          <w:tcPr/>
          <w:p>
            <w:pPr>
              <w:pStyle w:val="Compact"/>
            </w:pPr>
            <w:r>
              <w:t xml:space="preserve">Same as S1</w:t>
            </w:r>
          </w:p>
        </w:tc>
        <w:tc>
          <w:tcPr/>
          <w:p>
            <w:pPr>
              <w:pStyle w:val="Compact"/>
            </w:pPr>
            <w:r>
              <w:t xml:space="preserve">1.1× outreach, 1.2× agreement</w:t>
            </w:r>
          </w:p>
        </w:tc>
        <w:tc>
          <w:tcPr/>
          <w:p>
            <w:pPr>
              <w:pStyle w:val="Compact"/>
            </w:pPr>
            <w:r>
              <w:t xml:space="preserve">3.0%</w:t>
            </w:r>
          </w:p>
        </w:tc>
        <w:tc>
          <w:tcPr/>
          <w:p>
            <w:pPr>
              <w:pStyle w:val="Compact"/>
            </w:pPr>
            <w:r>
              <w:t xml:space="preserve">Lower-bound of minority-report parameters on AI engagement and clinical efficacy (admin reform held at consensus because no agent dissented)</w:t>
            </w:r>
          </w:p>
        </w:tc>
      </w:tr>
      <w:tr>
        <w:tc>
          <w:tcPr/>
          <w:p>
            <w:pPr>
              <w:pStyle w:val="Compact"/>
            </w:pPr>
            <w:r>
              <w:t xml:space="preserve">S4: Care Coordination Only</w:t>
            </w:r>
          </w:p>
        </w:tc>
        <w:tc>
          <w:tcPr/>
          <w:p>
            <w:pPr>
              <w:pStyle w:val="Compact"/>
            </w:pPr>
            <w:r>
              <w:t xml:space="preserve">None</w:t>
            </w:r>
          </w:p>
        </w:tc>
        <w:tc>
          <w:tcPr/>
          <w:p>
            <w:pPr>
              <w:pStyle w:val="Compact"/>
            </w:pPr>
            <w:r>
              <w:t xml:space="preserve">Streamlined claims only (no AI)</w:t>
            </w:r>
          </w:p>
        </w:tc>
        <w:tc>
          <w:tcPr/>
          <w:p>
            <w:pPr>
              <w:pStyle w:val="Compact"/>
            </w:pPr>
            <w:r>
              <w:t xml:space="preserve">1.1× outreach</w:t>
            </w:r>
          </w:p>
        </w:tc>
        <w:tc>
          <w:tcPr/>
          <w:p>
            <w:pPr>
              <w:pStyle w:val="Compact"/>
            </w:pPr>
            <w:r>
              <w:t xml:space="preserve">5.8%</w:t>
            </w:r>
          </w:p>
        </w:tc>
        <w:tc>
          <w:tcPr/>
          <w:p>
            <w:pPr>
              <w:pStyle w:val="Compact"/>
            </w:pPr>
            <w:r>
              <w:t xml:space="preserve">Counterfactual: current MCO with added care managers but no AI</w:t>
            </w:r>
          </w:p>
        </w:tc>
      </w:tr>
      <w:tr>
        <w:tc>
          <w:tcPr/>
          <w:p>
            <w:pPr>
              <w:pStyle w:val="Compact"/>
            </w:pPr>
            <w:r>
              <w:t xml:space="preserve">S5: AI ACO Universal</w:t>
            </w:r>
          </w:p>
        </w:tc>
        <w:tc>
          <w:tcPr/>
          <w:p>
            <w:pPr>
              <w:pStyle w:val="Compact"/>
            </w:pPr>
            <w:r>
              <w:t xml:space="preserve">Same as S1</w:t>
            </w:r>
          </w:p>
        </w:tc>
        <w:tc>
          <w:tcPr/>
          <w:p>
            <w:pPr>
              <w:pStyle w:val="Compact"/>
            </w:pPr>
            <w:r>
              <w:t xml:space="preserve">Same as S1</w:t>
            </w:r>
          </w:p>
        </w:tc>
        <w:tc>
          <w:tcPr/>
          <w:p>
            <w:pPr>
              <w:pStyle w:val="Compact"/>
            </w:pPr>
            <w:r>
              <w:t xml:space="preserve">Same as S1</w:t>
            </w:r>
          </w:p>
        </w:tc>
        <w:tc>
          <w:tcPr/>
          <w:p>
            <w:pPr>
              <w:pStyle w:val="Compact"/>
            </w:pPr>
            <w:r>
              <w:t xml:space="preserve">3.0%</w:t>
            </w:r>
          </w:p>
        </w:tc>
        <w:tc>
          <w:tcPr/>
          <w:p>
            <w:pPr>
              <w:pStyle w:val="Compact"/>
            </w:pPr>
            <w:r>
              <w:t xml:space="preserve">S1 applied to expanded eligibility population</w:t>
            </w:r>
          </w:p>
        </w:tc>
      </w:tr>
      <w:tr>
        <w:tc>
          <w:tcPr/>
          <w:p>
            <w:pPr>
              <w:pStyle w:val="Compact"/>
            </w:pPr>
            <w:r>
              <w:t xml:space="preserve">S6: Admin Reform Only</w:t>
            </w:r>
          </w:p>
        </w:tc>
        <w:tc>
          <w:tcPr/>
          <w:p>
            <w:pPr>
              <w:pStyle w:val="Compact"/>
            </w:pPr>
            <w:r>
              <w:t xml:space="preserve">None (status quo clinical)</w:t>
            </w:r>
          </w:p>
        </w:tc>
        <w:tc>
          <w:tcPr/>
          <w:p>
            <w:pPr>
              <w:pStyle w:val="Compact"/>
            </w:pPr>
            <w:r>
              <w:t xml:space="preserve">AI claims, prior auth, care coordination, eligibility</w:t>
            </w:r>
          </w:p>
        </w:tc>
        <w:tc>
          <w:tcPr/>
          <w:p>
            <w:pPr>
              <w:pStyle w:val="Compact"/>
            </w:pPr>
            <w:r>
              <w:t xml:space="preserve">Baseline</w:t>
            </w:r>
          </w:p>
        </w:tc>
        <w:tc>
          <w:tcPr/>
          <w:p>
            <w:pPr>
              <w:pStyle w:val="Compact"/>
            </w:pPr>
            <w:r>
              <w:t xml:space="preserve">3.0%</w:t>
            </w:r>
          </w:p>
        </w:tc>
        <w:tc>
          <w:tcPr/>
          <w:p>
            <w:pPr>
              <w:pStyle w:val="Compact"/>
            </w:pPr>
            <w:r>
              <w:t xml:space="preserve">Counterfactual: AI administrative reform with zero AI clinical efficacy</w:t>
            </w:r>
          </w:p>
        </w:tc>
      </w:tr>
    </w:tbl>
    <w:p>
      <w:pPr>
        <w:pStyle w:val="BodyText"/>
      </w:pPr>
      <w:r>
        <w:t xml:space="preserve">All scenarios used the same microsimulation engine, population (75,043 ACS PUMS individuals), baseline health parameters, and unit costs. Scenarios differed only in the intervention parameters shown above. The optimistic (S2) and pessimistic (S3) scenarios used parameters drawn from agent minority reports filed by dissenting agents (eAppendix A). The</w:t>
      </w:r>
      <w:r>
        <w:t xml:space="preserve"> </w:t>
      </w:r>
      <w:r>
        <w:t xml:space="preserve">“Dimension of Deviation from Consensus”</w:t>
      </w:r>
      <w:r>
        <w:t xml:space="preserve"> </w:t>
      </w:r>
      <w:r>
        <w:t xml:space="preserve">column documents which design dimension the scenario varies, holding all other dimensions at consensus.</w:t>
      </w:r>
    </w:p>
    <w:bookmarkEnd w:id="26"/>
    <w:bookmarkStart w:id="27" w:name="Xe0824f432776ff60666460bf56f26913c9838f5"/>
    <w:p>
      <w:pPr>
        <w:pStyle w:val="Heading2"/>
      </w:pPr>
      <w:r>
        <w:t xml:space="preserve">eTable 7. Calibration: Status Quo Scenario vs. Published Benchmarks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Simulated (S0)</w:t>
            </w:r>
          </w:p>
        </w:tc>
        <w:tc>
          <w:tcPr/>
          <w:p>
            <w:pPr>
              <w:pStyle w:val="Compact"/>
            </w:pPr>
            <w:r>
              <w:t xml:space="preserve">Published Range</w:t>
            </w:r>
          </w:p>
        </w:tc>
        <w:tc>
          <w:tcPr/>
          <w:p>
            <w:pPr>
              <w:pStyle w:val="Compact"/>
            </w:pPr>
            <w:r>
              <w:t xml:space="preserve">Source</w:t>
            </w:r>
          </w:p>
        </w:tc>
      </w:tr>
      <w:tr>
        <w:tc>
          <w:tcPr/>
          <w:p>
            <w:pPr>
              <w:pStyle w:val="Compact"/>
            </w:pPr>
            <w:r>
              <w:t xml:space="preserve">PMPM</w:t>
            </w:r>
          </w:p>
        </w:tc>
        <w:tc>
          <w:tcPr/>
          <w:p>
            <w:pPr>
              <w:pStyle w:val="Compact"/>
            </w:pPr>
            <w:r>
              <w:t xml:space="preserve">$478</w:t>
            </w:r>
          </w:p>
        </w:tc>
        <w:tc>
          <w:tcPr/>
          <w:p>
            <w:pPr>
              <w:pStyle w:val="Compact"/>
            </w:pPr>
            <w:r>
              <w:t xml:space="preserve">$450–$550</w:t>
            </w:r>
          </w:p>
        </w:tc>
        <w:tc>
          <w:tcPr/>
          <w:p>
            <w:pPr>
              <w:pStyle w:val="Compact"/>
            </w:pPr>
            <w:r>
              <w:t xml:space="preserve">MACPAC MACStats 2024[37]</w:t>
            </w:r>
          </w:p>
        </w:tc>
      </w:tr>
      <w:tr>
        <w:tc>
          <w:tcPr/>
          <w:p>
            <w:pPr>
              <w:pStyle w:val="Compact"/>
            </w:pPr>
            <w:r>
              <w:t xml:space="preserve">Hospitalizations per 1,000 PY</w:t>
            </w:r>
          </w:p>
        </w:tc>
        <w:tc>
          <w:tcPr/>
          <w:p>
            <w:pPr>
              <w:pStyle w:val="Compact"/>
            </w:pPr>
            <w:r>
              <w:t xml:space="preserve">191</w:t>
            </w:r>
          </w:p>
        </w:tc>
        <w:tc>
          <w:tcPr/>
          <w:p>
            <w:pPr>
              <w:pStyle w:val="Compact"/>
            </w:pPr>
            <w:r>
              <w:t xml:space="preserve">150–220</w:t>
            </w:r>
          </w:p>
        </w:tc>
        <w:tc>
          <w:tcPr/>
          <w:p>
            <w:pPr>
              <w:pStyle w:val="Compact"/>
            </w:pPr>
            <w:r>
              <w:t xml:space="preserve">HCUP Statistical Briefs 2022; MEPS 2022</w:t>
            </w:r>
          </w:p>
        </w:tc>
      </w:tr>
      <w:tr>
        <w:tc>
          <w:tcPr/>
          <w:p>
            <w:pPr>
              <w:pStyle w:val="Compact"/>
            </w:pPr>
            <w:r>
              <w:t xml:space="preserve">ED visits per 1,000 PY</w:t>
            </w:r>
          </w:p>
        </w:tc>
        <w:tc>
          <w:tcPr/>
          <w:p>
            <w:pPr>
              <w:pStyle w:val="Compact"/>
            </w:pPr>
            <w:r>
              <w:t xml:space="preserve">702</w:t>
            </w:r>
          </w:p>
        </w:tc>
        <w:tc>
          <w:tcPr/>
          <w:p>
            <w:pPr>
              <w:pStyle w:val="Compact"/>
            </w:pPr>
            <w:r>
              <w:t xml:space="preserve">550–850</w:t>
            </w:r>
          </w:p>
        </w:tc>
        <w:tc>
          <w:tcPr/>
          <w:p>
            <w:pPr>
              <w:pStyle w:val="Compact"/>
            </w:pPr>
            <w:r>
              <w:t xml:space="preserve">MEPS 2022</w:t>
            </w:r>
          </w:p>
        </w:tc>
      </w:tr>
      <w:tr>
        <w:tc>
          <w:tcPr/>
          <w:p>
            <w:pPr>
              <w:pStyle w:val="Compact"/>
            </w:pPr>
            <w:r>
              <w:t xml:space="preserve">HEDIS gap closure</w:t>
            </w:r>
          </w:p>
        </w:tc>
        <w:tc>
          <w:tcPr/>
          <w:p>
            <w:pPr>
              <w:pStyle w:val="Compact"/>
            </w:pPr>
            <w:r>
              <w:t xml:space="preserve">35%</w:t>
            </w:r>
          </w:p>
        </w:tc>
        <w:tc>
          <w:tcPr/>
          <w:p>
            <w:pPr>
              <w:pStyle w:val="Compact"/>
            </w:pPr>
            <w:r>
              <w:t xml:space="preserve">30–45%</w:t>
            </w:r>
          </w:p>
        </w:tc>
        <w:tc>
          <w:tcPr/>
          <w:p>
            <w:pPr>
              <w:pStyle w:val="Compact"/>
            </w:pPr>
            <w:r>
              <w:t xml:space="preserve">NCQA State of Healthcare Quality 2024</w:t>
            </w:r>
          </w:p>
        </w:tc>
      </w:tr>
      <w:tr>
        <w:tc>
          <w:tcPr/>
          <w:p>
            <w:pPr>
              <w:pStyle w:val="Compact"/>
            </w:pPr>
            <w:r>
              <w:t xml:space="preserve">Administrative cost (% of premium)</w:t>
            </w:r>
          </w:p>
        </w:tc>
        <w:tc>
          <w:tcPr/>
          <w:p>
            <w:pPr>
              <w:pStyle w:val="Compact"/>
            </w:pPr>
            <w:r>
              <w:t xml:space="preserve">8.4%</w:t>
            </w:r>
          </w:p>
        </w:tc>
        <w:tc>
          <w:tcPr/>
          <w:p>
            <w:pPr>
              <w:pStyle w:val="Compact"/>
            </w:pPr>
            <w:r>
              <w:t xml:space="preserve">7.9–10.1% (composite); 5.2% (lowest decile); up to 13% (statutory ceiling under federal MLR rule)</w:t>
            </w:r>
          </w:p>
        </w:tc>
        <w:tc>
          <w:tcPr/>
          <w:p>
            <w:pPr>
              <w:pStyle w:val="Compact"/>
            </w:pPr>
            <w:r>
              <w:t xml:space="preserve">Milliman Medicaid MCO Financial Results 2024[7]; CMS-2439-F[8]; CMS MLR Annual Reports[46]</w:t>
            </w:r>
          </w:p>
        </w:tc>
      </w:tr>
    </w:tbl>
    <w:bookmarkEnd w:id="27"/>
    <w:bookmarkStart w:id="31" w:name="X7898d59671fbe9f1de3b09bc6d43652373dec55"/>
    <w:p>
      <w:pPr>
        <w:pStyle w:val="Heading2"/>
      </w:pPr>
      <w:r>
        <w:t xml:space="preserve">eTable 8. Backtesting Validation Against Natural Experiments</w:t>
      </w:r>
    </w:p>
    <w:p>
      <w:pPr>
        <w:pStyle w:val="FirstParagraph"/>
      </w:pPr>
      <w:r>
        <w:t xml:space="preserve">The microsimulation engine was run with parameters matching five independent delivery system reforms spanning diverse reform mechanisms: global budgets (Oregon CCO), shared savings with intensive care management (Medicare Pioneer ACO), intensive community engagement (CHW/IMPaCT), weak shared savings (MSSP), and primary care transformation without payment reform (CPC+).</w:t>
      </w:r>
    </w:p>
    <w:bookmarkStart w:id="28" w:name="parameter-specifications-by-reform"/>
    <w:p>
      <w:pPr>
        <w:pStyle w:val="Heading3"/>
      </w:pPr>
      <w:r>
        <w:t xml:space="preserve">Parameter Specifications by Reform</w:t>
      </w:r>
    </w:p>
    <w:p>
      <w:pPr>
        <w:pStyle w:val="FirstParagraph"/>
      </w:pPr>
      <w:r>
        <w:t xml:space="preserve">For each reform, intervention parameters were set to match the actual reform characteristics, with AI-specific features disabled. Parameter specifications:</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Reform</w:t>
            </w:r>
          </w:p>
        </w:tc>
        <w:tc>
          <w:tcPr/>
          <w:p>
            <w:pPr>
              <w:pStyle w:val="Compact"/>
            </w:pPr>
            <w:r>
              <w:t xml:space="preserve">Engagement multipliers</w:t>
            </w:r>
          </w:p>
        </w:tc>
        <w:tc>
          <w:tcPr/>
          <w:p>
            <w:pPr>
              <w:pStyle w:val="Compact"/>
            </w:pPr>
            <w:r>
              <w:t xml:space="preserve">Hosp RR (rising-risk)</w:t>
            </w:r>
          </w:p>
        </w:tc>
        <w:tc>
          <w:tcPr/>
          <w:p>
            <w:pPr>
              <w:pStyle w:val="Compact"/>
            </w:pPr>
            <w:r>
              <w:t xml:space="preserve">ED RR (rising-risk)</w:t>
            </w:r>
          </w:p>
        </w:tc>
        <w:tc>
          <w:tcPr/>
          <w:p>
            <w:pPr>
              <w:pStyle w:val="Compact"/>
            </w:pPr>
            <w:r>
              <w:t xml:space="preserve">Admin rate</w:t>
            </w:r>
          </w:p>
        </w:tc>
        <w:tc>
          <w:tcPr/>
          <w:p>
            <w:pPr>
              <w:pStyle w:val="Compact"/>
            </w:pPr>
            <w:r>
              <w:t xml:space="preserve">System-wide spillover (non-engaged patients)</w:t>
            </w:r>
          </w:p>
        </w:tc>
        <w:tc>
          <w:tcPr/>
          <w:p>
            <w:pPr>
              <w:pStyle w:val="Compact"/>
            </w:pPr>
            <w:r>
              <w:t xml:space="preserve">Non-utilization cost reduction (engaged patients)</w:t>
            </w:r>
          </w:p>
        </w:tc>
      </w:tr>
      <w:tr>
        <w:tc>
          <w:tcPr/>
          <w:p>
            <w:pPr>
              <w:pStyle w:val="Compact"/>
            </w:pPr>
            <w:r>
              <w:t xml:space="preserve">Oregon CCO (2012–2015)</w:t>
            </w:r>
          </w:p>
        </w:tc>
        <w:tc>
          <w:tcPr/>
          <w:p>
            <w:pPr>
              <w:pStyle w:val="Compact"/>
            </w:pPr>
            <w:r>
              <w:t xml:space="preserve">1.05× outreach, 1.05× agreement</w:t>
            </w:r>
          </w:p>
        </w:tc>
        <w:tc>
          <w:tcPr/>
          <w:p>
            <w:pPr>
              <w:pStyle w:val="Compact"/>
            </w:pPr>
            <w:r>
              <w:t xml:space="preserve">0.05</w:t>
            </w:r>
          </w:p>
        </w:tc>
        <w:tc>
          <w:tcPr/>
          <w:p>
            <w:pPr>
              <w:pStyle w:val="Compact"/>
            </w:pPr>
            <w:r>
              <w:t xml:space="preserve">0.05</w:t>
            </w:r>
          </w:p>
        </w:tc>
        <w:tc>
          <w:tcPr/>
          <w:p>
            <w:pPr>
              <w:pStyle w:val="Compact"/>
            </w:pPr>
            <w:r>
              <w:t xml:space="preserve">7.0% (Medicaid baseline)</w:t>
            </w:r>
          </w:p>
        </w:tc>
        <w:tc>
          <w:tcPr/>
          <w:p>
            <w:pPr>
              <w:pStyle w:val="Compact"/>
            </w:pPr>
            <w:r>
              <w:t xml:space="preserve">5% hosp, 7% ED (global budget incentive)</w:t>
            </w:r>
          </w:p>
        </w:tc>
        <w:tc>
          <w:tcPr/>
          <w:p>
            <w:pPr>
              <w:pStyle w:val="Compact"/>
            </w:pPr>
            <w:r>
              <w:t xml:space="preserve">—</w:t>
            </w:r>
          </w:p>
        </w:tc>
      </w:tr>
      <w:tr>
        <w:tc>
          <w:tcPr/>
          <w:p>
            <w:pPr>
              <w:pStyle w:val="Compact"/>
            </w:pPr>
            <w:r>
              <w:t xml:space="preserve">Medicare Pioneer ACO (2012–2014)</w:t>
            </w:r>
          </w:p>
        </w:tc>
        <w:tc>
          <w:tcPr/>
          <w:p>
            <w:pPr>
              <w:pStyle w:val="Compact"/>
            </w:pPr>
            <w:r>
              <w:t xml:space="preserve">1.10× outreach, 1.15× agreement</w:t>
            </w:r>
          </w:p>
        </w:tc>
        <w:tc>
          <w:tcPr/>
          <w:p>
            <w:pPr>
              <w:pStyle w:val="Compact"/>
            </w:pPr>
            <w:r>
              <w:t xml:space="preserve">0.10</w:t>
            </w:r>
          </w:p>
        </w:tc>
        <w:tc>
          <w:tcPr/>
          <w:p>
            <w:pPr>
              <w:pStyle w:val="Compact"/>
            </w:pPr>
            <w:r>
              <w:t xml:space="preserve">0.07</w:t>
            </w:r>
          </w:p>
        </w:tc>
        <w:tc>
          <w:tcPr/>
          <w:p>
            <w:pPr>
              <w:pStyle w:val="Compact"/>
            </w:pPr>
            <w:r>
              <w:t xml:space="preserve">5.0% (Medicare ACO admin)</w:t>
            </w:r>
          </w:p>
        </w:tc>
        <w:tc>
          <w:tcPr/>
          <w:p>
            <w:pPr>
              <w:pStyle w:val="Compact"/>
            </w:pPr>
            <w:r>
              <w:t xml:space="preserve">1% hosp, 2% ED (limited spillover)</w:t>
            </w:r>
          </w:p>
        </w:tc>
        <w:tc>
          <w:tcPr/>
          <w:p>
            <w:pPr>
              <w:pStyle w:val="Compact"/>
            </w:pPr>
            <w:r>
              <w:t xml:space="preserve">—</w:t>
            </w:r>
          </w:p>
        </w:tc>
      </w:tr>
      <w:tr>
        <w:tc>
          <w:tcPr/>
          <w:p>
            <w:pPr>
              <w:pStyle w:val="Compact"/>
            </w:pPr>
            <w:r>
              <w:t xml:space="preserve">CHW IMPaCT (pooled)</w:t>
            </w:r>
          </w:p>
        </w:tc>
        <w:tc>
          <w:tcPr/>
          <w:p>
            <w:pPr>
              <w:pStyle w:val="Compact"/>
            </w:pPr>
            <w:r>
              <w:t xml:space="preserve">1.30× outreach, 1.40× agreement</w:t>
            </w:r>
          </w:p>
        </w:tc>
        <w:tc>
          <w:tcPr/>
          <w:p>
            <w:pPr>
              <w:pStyle w:val="Compact"/>
            </w:pPr>
            <w:r>
              <w:t xml:space="preserve">0.22</w:t>
            </w:r>
          </w:p>
        </w:tc>
        <w:tc>
          <w:tcPr/>
          <w:p>
            <w:pPr>
              <w:pStyle w:val="Compact"/>
            </w:pPr>
            <w:r>
              <w:t xml:space="preserve">0.15</w:t>
            </w:r>
          </w:p>
        </w:tc>
        <w:tc>
          <w:tcPr/>
          <w:p>
            <w:pPr>
              <w:pStyle w:val="Compact"/>
            </w:pPr>
            <w:r>
              <w:t xml:space="preserve">8.0% (Medicaid MCO with CHW)</w:t>
            </w:r>
          </w:p>
        </w:tc>
        <w:tc>
          <w:tcPr/>
          <w:p>
            <w:pPr>
              <w:pStyle w:val="Compact"/>
            </w:pPr>
            <w:r>
              <w:t xml:space="preserve">—</w:t>
            </w:r>
          </w:p>
        </w:tc>
        <w:tc>
          <w:tcPr/>
          <w:p>
            <w:pPr>
              <w:pStyle w:val="Compact"/>
            </w:pPr>
            <w:r>
              <w:t xml:space="preserve">14% (medication adherence, SDOH stabilization in IMPaCT trials)</w:t>
            </w:r>
          </w:p>
        </w:tc>
      </w:tr>
      <w:tr>
        <w:tc>
          <w:tcPr/>
          <w:p>
            <w:pPr>
              <w:pStyle w:val="Compact"/>
            </w:pPr>
            <w:r>
              <w:t xml:space="preserve">MSSP (2012–2015 physician-group)</w:t>
            </w:r>
          </w:p>
        </w:tc>
        <w:tc>
          <w:tcPr/>
          <w:p>
            <w:pPr>
              <w:pStyle w:val="Compact"/>
            </w:pPr>
            <w:r>
              <w:t xml:space="preserve">1.05× outreach, 1.05× agreement</w:t>
            </w:r>
          </w:p>
        </w:tc>
        <w:tc>
          <w:tcPr/>
          <w:p>
            <w:pPr>
              <w:pStyle w:val="Compact"/>
            </w:pPr>
            <w:r>
              <w:t xml:space="preserve">0.03</w:t>
            </w:r>
          </w:p>
        </w:tc>
        <w:tc>
          <w:tcPr/>
          <w:p>
            <w:pPr>
              <w:pStyle w:val="Compact"/>
            </w:pPr>
            <w:r>
              <w:t xml:space="preserve">0.03</w:t>
            </w:r>
          </w:p>
        </w:tc>
        <w:tc>
          <w:tcPr/>
          <w:p>
            <w:pPr>
              <w:pStyle w:val="Compact"/>
            </w:pPr>
            <w:r>
              <w:t xml:space="preserve">5.0% (Medicare ACO admin)</w:t>
            </w:r>
          </w:p>
        </w:tc>
        <w:tc>
          <w:tcPr/>
          <w:p>
            <w:pPr>
              <w:pStyle w:val="Compact"/>
            </w:pPr>
            <w:r>
              <w:t xml:space="preserve">0% (weak spillover)</w:t>
            </w:r>
          </w:p>
        </w:tc>
        <w:tc>
          <w:tcPr/>
          <w:p>
            <w:pPr>
              <w:pStyle w:val="Compact"/>
            </w:pPr>
            <w:r>
              <w:t xml:space="preserve">—</w:t>
            </w:r>
          </w:p>
        </w:tc>
      </w:tr>
      <w:tr>
        <w:tc>
          <w:tcPr/>
          <w:p>
            <w:pPr>
              <w:pStyle w:val="Compact"/>
            </w:pPr>
            <w:r>
              <w:t xml:space="preserve">CPC+ (5-year evaluation)</w:t>
            </w:r>
          </w:p>
        </w:tc>
        <w:tc>
          <w:tcPr/>
          <w:p>
            <w:pPr>
              <w:pStyle w:val="Compact"/>
            </w:pPr>
            <w:r>
              <w:t xml:space="preserve">1.02× outreach, 1.02× agreement</w:t>
            </w:r>
          </w:p>
        </w:tc>
        <w:tc>
          <w:tcPr/>
          <w:p>
            <w:pPr>
              <w:pStyle w:val="Compact"/>
            </w:pPr>
            <w:r>
              <w:t xml:space="preserve">0.01</w:t>
            </w:r>
          </w:p>
        </w:tc>
        <w:tc>
          <w:tcPr/>
          <w:p>
            <w:pPr>
              <w:pStyle w:val="Compact"/>
            </w:pPr>
            <w:r>
              <w:t xml:space="preserve">0.01</w:t>
            </w:r>
          </w:p>
        </w:tc>
        <w:tc>
          <w:tcPr/>
          <w:p>
            <w:pPr>
              <w:pStyle w:val="Compact"/>
            </w:pPr>
            <w:r>
              <w:t xml:space="preserve">5.0% (Medicare practice transformation)</w:t>
            </w:r>
          </w:p>
        </w:tc>
        <w:tc>
          <w:tcPr/>
          <w:p>
            <w:pPr>
              <w:pStyle w:val="Compact"/>
            </w:pPr>
            <w:r>
              <w:t xml:space="preserve">0% (negative control: no payment reform)</w:t>
            </w:r>
          </w:p>
        </w:tc>
        <w:tc>
          <w:tcPr/>
          <w:p>
            <w:pPr>
              <w:pStyle w:val="Compact"/>
            </w:pPr>
            <w:r>
              <w:t xml:space="preserve">—</w:t>
            </w:r>
          </w:p>
        </w:tc>
      </w:tr>
    </w:tbl>
    <w:p>
      <w:pPr>
        <w:pStyle w:val="BodyText"/>
      </w:pPr>
      <w:r>
        <w:t xml:space="preserve">All AI-specific features (broadband penalty, AI equity gap reduction, AI detection improvement, AI HEDIS closure premium over standard care coordination, AI engagement multipliers in excess of CHW levels) were disabled. The microsimulation was run for 200 PSA iterations per reform with probabilistic parameter sampling.</w:t>
      </w:r>
    </w:p>
    <w:bookmarkEnd w:id="28"/>
    <w:bookmarkStart w:id="29" w:name="validation-results"/>
    <w:p>
      <w:pPr>
        <w:pStyle w:val="Heading3"/>
      </w:pPr>
      <w:r>
        <w:t xml:space="preserve">Validation Results</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Reform</w:t>
            </w:r>
          </w:p>
        </w:tc>
        <w:tc>
          <w:tcPr/>
          <w:p>
            <w:pPr>
              <w:pStyle w:val="Compact"/>
            </w:pPr>
            <w:r>
              <w:t xml:space="preserve">Outcome</w:t>
            </w:r>
          </w:p>
        </w:tc>
        <w:tc>
          <w:tcPr/>
          <w:p>
            <w:pPr>
              <w:pStyle w:val="Compact"/>
            </w:pPr>
            <w:r>
              <w:t xml:space="preserve">Observed</w:t>
            </w:r>
          </w:p>
        </w:tc>
        <w:tc>
          <w:tcPr/>
          <w:p>
            <w:pPr>
              <w:pStyle w:val="Compact"/>
            </w:pPr>
            <w:r>
              <w:t xml:space="preserve">Observed 95% CI</w:t>
            </w:r>
          </w:p>
        </w:tc>
        <w:tc>
          <w:tcPr/>
          <w:p>
            <w:pPr>
              <w:pStyle w:val="Compact"/>
            </w:pPr>
            <w:r>
              <w:t xml:space="preserve">Simulated</w:t>
            </w:r>
          </w:p>
        </w:tc>
        <w:tc>
          <w:tcPr/>
          <w:p>
            <w:pPr>
              <w:pStyle w:val="Compact"/>
            </w:pPr>
            <w:r>
              <w:t xml:space="preserve">Simulated 95% UI</w:t>
            </w:r>
          </w:p>
        </w:tc>
        <w:tc>
          <w:tcPr/>
          <w:p>
            <w:pPr>
              <w:pStyle w:val="Compact"/>
            </w:pPr>
            <w:r>
              <w:t xml:space="preserve">Observed in UI</w:t>
            </w:r>
          </w:p>
        </w:tc>
      </w:tr>
      <w:tr>
        <w:tc>
          <w:tcPr/>
          <w:p>
            <w:pPr>
              <w:pStyle w:val="Compact"/>
            </w:pPr>
            <w:r>
              <w:t xml:space="preserve">Oregon CCO (2012–2015)</w:t>
            </w:r>
          </w:p>
        </w:tc>
        <w:tc>
          <w:tcPr/>
          <w:p>
            <w:pPr>
              <w:pStyle w:val="Compact"/>
            </w:pPr>
            <w:r>
              <w:t xml:space="preserve">Spending</w:t>
            </w:r>
          </w:p>
        </w:tc>
        <w:tc>
          <w:tcPr/>
          <w:p>
            <w:pPr>
              <w:pStyle w:val="Compact"/>
            </w:pPr>
            <w:r>
              <w:t xml:space="preserve">−7.0%</w:t>
            </w:r>
          </w:p>
        </w:tc>
        <w:tc>
          <w:tcPr/>
          <w:p>
            <w:pPr>
              <w:pStyle w:val="Compact"/>
            </w:pPr>
            <w:r>
              <w:t xml:space="preserve">(−12.0%, −2.0%)</w:t>
            </w:r>
          </w:p>
        </w:tc>
        <w:tc>
          <w:tcPr/>
          <w:p>
            <w:pPr>
              <w:pStyle w:val="Compact"/>
            </w:pPr>
            <w:r>
              <w:t xml:space="preserve">−5.4%</w:t>
            </w:r>
          </w:p>
        </w:tc>
        <w:tc>
          <w:tcPr/>
          <w:p>
            <w:pPr>
              <w:pStyle w:val="Compact"/>
            </w:pPr>
            <w:r>
              <w:t xml:space="preserve">(−7.8%, −3.6%)</w:t>
            </w:r>
          </w:p>
        </w:tc>
        <w:tc>
          <w:tcPr/>
          <w:p>
            <w:pPr>
              <w:pStyle w:val="Compact"/>
            </w:pPr>
            <w:r>
              <w:t xml:space="preserve">Yes</w:t>
            </w:r>
          </w:p>
        </w:tc>
      </w:tr>
      <w:tr>
        <w:tc>
          <w:tcPr/>
          <w:p>
            <w:pPr>
              <w:pStyle w:val="Compact"/>
            </w:pPr>
            <w:r>
              <w:t xml:space="preserve">Oregon CCO (2012–2015)</w:t>
            </w:r>
          </w:p>
        </w:tc>
        <w:tc>
          <w:tcPr/>
          <w:p>
            <w:pPr>
              <w:pStyle w:val="Compact"/>
            </w:pPr>
            <w:r>
              <w:t xml:space="preserve">Hospitalizations</w:t>
            </w:r>
          </w:p>
        </w:tc>
        <w:tc>
          <w:tcPr/>
          <w:p>
            <w:pPr>
              <w:pStyle w:val="Compact"/>
            </w:pPr>
            <w:r>
              <w:t xml:space="preserve">−5.0%</w:t>
            </w:r>
          </w:p>
        </w:tc>
        <w:tc>
          <w:tcPr/>
          <w:p>
            <w:pPr>
              <w:pStyle w:val="Compact"/>
            </w:pPr>
            <w:r>
              <w:t xml:space="preserve">(−10.0%, 0.0%)</w:t>
            </w:r>
          </w:p>
        </w:tc>
        <w:tc>
          <w:tcPr/>
          <w:p>
            <w:pPr>
              <w:pStyle w:val="Compact"/>
            </w:pPr>
            <w:r>
              <w:t xml:space="preserve">−5.6%</w:t>
            </w:r>
          </w:p>
        </w:tc>
        <w:tc>
          <w:tcPr/>
          <w:p>
            <w:pPr>
              <w:pStyle w:val="Compact"/>
            </w:pPr>
            <w:r>
              <w:t xml:space="preserve">(−8.8%, −2.0%)</w:t>
            </w:r>
          </w:p>
        </w:tc>
        <w:tc>
          <w:tcPr/>
          <w:p>
            <w:pPr>
              <w:pStyle w:val="Compact"/>
            </w:pPr>
            <w:r>
              <w:t xml:space="preserve">Yes</w:t>
            </w:r>
          </w:p>
        </w:tc>
      </w:tr>
      <w:tr>
        <w:tc>
          <w:tcPr/>
          <w:p>
            <w:pPr>
              <w:pStyle w:val="Compact"/>
            </w:pPr>
            <w:r>
              <w:t xml:space="preserve">Oregon CCO (2012–2015)</w:t>
            </w:r>
          </w:p>
        </w:tc>
        <w:tc>
          <w:tcPr/>
          <w:p>
            <w:pPr>
              <w:pStyle w:val="Compact"/>
            </w:pPr>
            <w:r>
              <w:t xml:space="preserve">ED visits</w:t>
            </w:r>
          </w:p>
        </w:tc>
        <w:tc>
          <w:tcPr/>
          <w:p>
            <w:pPr>
              <w:pStyle w:val="Compact"/>
            </w:pPr>
            <w:r>
              <w:t xml:space="preserve">−9.0%</w:t>
            </w:r>
          </w:p>
        </w:tc>
        <w:tc>
          <w:tcPr/>
          <w:p>
            <w:pPr>
              <w:pStyle w:val="Compact"/>
            </w:pPr>
            <w:r>
              <w:t xml:space="preserve">(−15.0%, −3.0%)</w:t>
            </w:r>
          </w:p>
        </w:tc>
        <w:tc>
          <w:tcPr/>
          <w:p>
            <w:pPr>
              <w:pStyle w:val="Compact"/>
            </w:pPr>
            <w:r>
              <w:t xml:space="preserve">−8.0%</w:t>
            </w:r>
          </w:p>
        </w:tc>
        <w:tc>
          <w:tcPr/>
          <w:p>
            <w:pPr>
              <w:pStyle w:val="Compact"/>
            </w:pPr>
            <w:r>
              <w:t xml:space="preserve">(−9.5%, −5.9%)</w:t>
            </w:r>
          </w:p>
        </w:tc>
        <w:tc>
          <w:tcPr/>
          <w:p>
            <w:pPr>
              <w:pStyle w:val="Compact"/>
            </w:pPr>
            <w:r>
              <w:t xml:space="preserve">Yes</w:t>
            </w:r>
          </w:p>
        </w:tc>
      </w:tr>
      <w:tr>
        <w:tc>
          <w:tcPr/>
          <w:p>
            <w:pPr>
              <w:pStyle w:val="Compact"/>
            </w:pPr>
            <w:r>
              <w:t xml:space="preserve">Medicare Pioneer ACO (2012–2014)</w:t>
            </w:r>
          </w:p>
        </w:tc>
        <w:tc>
          <w:tcPr/>
          <w:p>
            <w:pPr>
              <w:pStyle w:val="Compact"/>
            </w:pPr>
            <w:r>
              <w:t xml:space="preserve">Spending</w:t>
            </w:r>
          </w:p>
        </w:tc>
        <w:tc>
          <w:tcPr/>
          <w:p>
            <w:pPr>
              <w:pStyle w:val="Compact"/>
            </w:pPr>
            <w:r>
              <w:t xml:space="preserve">−3.0%</w:t>
            </w:r>
          </w:p>
        </w:tc>
        <w:tc>
          <w:tcPr/>
          <w:p>
            <w:pPr>
              <w:pStyle w:val="Compact"/>
            </w:pPr>
            <w:r>
              <w:t xml:space="preserve">(−6.0%, 0.0%)</w:t>
            </w:r>
          </w:p>
        </w:tc>
        <w:tc>
          <w:tcPr/>
          <w:p>
            <w:pPr>
              <w:pStyle w:val="Compact"/>
            </w:pPr>
            <w:r>
              <w:t xml:space="preserve">−3.6%</w:t>
            </w:r>
          </w:p>
        </w:tc>
        <w:tc>
          <w:tcPr/>
          <w:p>
            <w:pPr>
              <w:pStyle w:val="Compact"/>
            </w:pPr>
            <w:r>
              <w:t xml:space="preserve">(−5.1%, −2.2%)</w:t>
            </w:r>
          </w:p>
        </w:tc>
        <w:tc>
          <w:tcPr/>
          <w:p>
            <w:pPr>
              <w:pStyle w:val="Compact"/>
            </w:pPr>
            <w:r>
              <w:t xml:space="preserve">Yes</w:t>
            </w:r>
          </w:p>
        </w:tc>
      </w:tr>
      <w:tr>
        <w:tc>
          <w:tcPr/>
          <w:p>
            <w:pPr>
              <w:pStyle w:val="Compact"/>
            </w:pPr>
            <w:r>
              <w:t xml:space="preserve">Medicare Pioneer ACO (2012–2014)</w:t>
            </w:r>
          </w:p>
        </w:tc>
        <w:tc>
          <w:tcPr/>
          <w:p>
            <w:pPr>
              <w:pStyle w:val="Compact"/>
            </w:pPr>
            <w:r>
              <w:t xml:space="preserve">Hospitalizations</w:t>
            </w:r>
          </w:p>
        </w:tc>
        <w:tc>
          <w:tcPr/>
          <w:p>
            <w:pPr>
              <w:pStyle w:val="Compact"/>
            </w:pPr>
            <w:r>
              <w:t xml:space="preserve">−8.0%</w:t>
            </w:r>
          </w:p>
        </w:tc>
        <w:tc>
          <w:tcPr/>
          <w:p>
            <w:pPr>
              <w:pStyle w:val="Compact"/>
            </w:pPr>
            <w:r>
              <w:t xml:space="preserve">(−12.0%, −4.0%)</w:t>
            </w:r>
          </w:p>
        </w:tc>
        <w:tc>
          <w:tcPr/>
          <w:p>
            <w:pPr>
              <w:pStyle w:val="Compact"/>
            </w:pPr>
            <w:r>
              <w:t xml:space="preserve">−5.9%</w:t>
            </w:r>
          </w:p>
        </w:tc>
        <w:tc>
          <w:tcPr/>
          <w:p>
            <w:pPr>
              <w:pStyle w:val="Compact"/>
            </w:pPr>
            <w:r>
              <w:t xml:space="preserve">(−9.2%, −2.9%)</w:t>
            </w:r>
          </w:p>
        </w:tc>
        <w:tc>
          <w:tcPr/>
          <w:p>
            <w:pPr>
              <w:pStyle w:val="Compact"/>
            </w:pPr>
            <w:r>
              <w:t xml:space="preserve">Yes</w:t>
            </w:r>
          </w:p>
        </w:tc>
      </w:tr>
      <w:tr>
        <w:tc>
          <w:tcPr/>
          <w:p>
            <w:pPr>
              <w:pStyle w:val="Compact"/>
            </w:pPr>
            <w:r>
              <w:t xml:space="preserve">Medicare Pioneer ACO (2012–2014)</w:t>
            </w:r>
          </w:p>
        </w:tc>
        <w:tc>
          <w:tcPr/>
          <w:p>
            <w:pPr>
              <w:pStyle w:val="Compact"/>
            </w:pPr>
            <w:r>
              <w:t xml:space="preserve">ED visits</w:t>
            </w:r>
          </w:p>
        </w:tc>
        <w:tc>
          <w:tcPr/>
          <w:p>
            <w:pPr>
              <w:pStyle w:val="Compact"/>
            </w:pPr>
            <w:r>
              <w:t xml:space="preserve">−6.0%</w:t>
            </w:r>
          </w:p>
        </w:tc>
        <w:tc>
          <w:tcPr/>
          <w:p>
            <w:pPr>
              <w:pStyle w:val="Compact"/>
            </w:pPr>
            <w:r>
              <w:t xml:space="preserve">(−10.0%, −2.0%)</w:t>
            </w:r>
          </w:p>
        </w:tc>
        <w:tc>
          <w:tcPr/>
          <w:p>
            <w:pPr>
              <w:pStyle w:val="Compact"/>
            </w:pPr>
            <w:r>
              <w:t xml:space="preserve">−5.1%</w:t>
            </w:r>
          </w:p>
        </w:tc>
        <w:tc>
          <w:tcPr/>
          <w:p>
            <w:pPr>
              <w:pStyle w:val="Compact"/>
            </w:pPr>
            <w:r>
              <w:t xml:space="preserve">(−6.9%, −3.1%)</w:t>
            </w:r>
          </w:p>
        </w:tc>
        <w:tc>
          <w:tcPr/>
          <w:p>
            <w:pPr>
              <w:pStyle w:val="Compact"/>
            </w:pPr>
            <w:r>
              <w:t xml:space="preserve">Yes</w:t>
            </w:r>
          </w:p>
        </w:tc>
      </w:tr>
      <w:tr>
        <w:tc>
          <w:tcPr/>
          <w:p>
            <w:pPr>
              <w:pStyle w:val="Compact"/>
            </w:pPr>
            <w:r>
              <w:t xml:space="preserve">CHW IMPaCT trials (pooled)</w:t>
            </w:r>
          </w:p>
        </w:tc>
        <w:tc>
          <w:tcPr/>
          <w:p>
            <w:pPr>
              <w:pStyle w:val="Compact"/>
            </w:pPr>
            <w:r>
              <w:t xml:space="preserve">Spending</w:t>
            </w:r>
          </w:p>
        </w:tc>
        <w:tc>
          <w:tcPr/>
          <w:p>
            <w:pPr>
              <w:pStyle w:val="Compact"/>
            </w:pPr>
            <w:r>
              <w:t xml:space="preserve">−10.0%</w:t>
            </w:r>
          </w:p>
        </w:tc>
        <w:tc>
          <w:tcPr/>
          <w:p>
            <w:pPr>
              <w:pStyle w:val="Compact"/>
            </w:pPr>
            <w:r>
              <w:t xml:space="preserve">(−18.0%, −2.0%)</w:t>
            </w:r>
          </w:p>
        </w:tc>
        <w:tc>
          <w:tcPr/>
          <w:p>
            <w:pPr>
              <w:pStyle w:val="Compact"/>
            </w:pPr>
            <w:r>
              <w:t xml:space="preserve">−8.3%</w:t>
            </w:r>
          </w:p>
        </w:tc>
        <w:tc>
          <w:tcPr/>
          <w:p>
            <w:pPr>
              <w:pStyle w:val="Compact"/>
            </w:pPr>
            <w:r>
              <w:t xml:space="preserve">(−10.5%, −6.4%)</w:t>
            </w:r>
          </w:p>
        </w:tc>
        <w:tc>
          <w:tcPr/>
          <w:p>
            <w:pPr>
              <w:pStyle w:val="Compact"/>
            </w:pPr>
            <w:r>
              <w:t xml:space="preserve">Yes</w:t>
            </w:r>
          </w:p>
        </w:tc>
      </w:tr>
      <w:tr>
        <w:tc>
          <w:tcPr/>
          <w:p>
            <w:pPr>
              <w:pStyle w:val="Compact"/>
            </w:pPr>
            <w:r>
              <w:t xml:space="preserve">CHW IMPaCT trials (pooled)</w:t>
            </w:r>
          </w:p>
        </w:tc>
        <w:tc>
          <w:tcPr/>
          <w:p>
            <w:pPr>
              <w:pStyle w:val="Compact"/>
            </w:pPr>
            <w:r>
              <w:t xml:space="preserve">Hospitalizations</w:t>
            </w:r>
          </w:p>
        </w:tc>
        <w:tc>
          <w:tcPr/>
          <w:p>
            <w:pPr>
              <w:pStyle w:val="Compact"/>
            </w:pPr>
            <w:r>
              <w:t xml:space="preserve">−9.0%</w:t>
            </w:r>
          </w:p>
        </w:tc>
        <w:tc>
          <w:tcPr/>
          <w:p>
            <w:pPr>
              <w:pStyle w:val="Compact"/>
            </w:pPr>
            <w:r>
              <w:t xml:space="preserve">(−16.0%, −2.0%)</w:t>
            </w:r>
          </w:p>
        </w:tc>
        <w:tc>
          <w:tcPr/>
          <w:p>
            <w:pPr>
              <w:pStyle w:val="Compact"/>
            </w:pPr>
            <w:r>
              <w:t xml:space="preserve">−10.1%</w:t>
            </w:r>
          </w:p>
        </w:tc>
        <w:tc>
          <w:tcPr/>
          <w:p>
            <w:pPr>
              <w:pStyle w:val="Compact"/>
            </w:pPr>
            <w:r>
              <w:t xml:space="preserve">(−13.6%, −6.8%)</w:t>
            </w:r>
          </w:p>
        </w:tc>
        <w:tc>
          <w:tcPr/>
          <w:p>
            <w:pPr>
              <w:pStyle w:val="Compact"/>
            </w:pPr>
            <w:r>
              <w:t xml:space="preserve">Yes</w:t>
            </w:r>
          </w:p>
        </w:tc>
      </w:tr>
      <w:tr>
        <w:tc>
          <w:tcPr/>
          <w:p>
            <w:pPr>
              <w:pStyle w:val="Compact"/>
            </w:pPr>
            <w:r>
              <w:t xml:space="preserve">CHW IMPaCT trials (pooled)</w:t>
            </w:r>
          </w:p>
        </w:tc>
        <w:tc>
          <w:tcPr/>
          <w:p>
            <w:pPr>
              <w:pStyle w:val="Compact"/>
            </w:pPr>
            <w:r>
              <w:t xml:space="preserve">ED visits</w:t>
            </w:r>
          </w:p>
        </w:tc>
        <w:tc>
          <w:tcPr/>
          <w:p>
            <w:pPr>
              <w:pStyle w:val="Compact"/>
            </w:pPr>
            <w:r>
              <w:t xml:space="preserve">−5.0%</w:t>
            </w:r>
          </w:p>
        </w:tc>
        <w:tc>
          <w:tcPr/>
          <w:p>
            <w:pPr>
              <w:pStyle w:val="Compact"/>
            </w:pPr>
            <w:r>
              <w:t xml:space="preserve">(−12.0%, 2.0%)</w:t>
            </w:r>
          </w:p>
        </w:tc>
        <w:tc>
          <w:tcPr/>
          <w:p>
            <w:pPr>
              <w:pStyle w:val="Compact"/>
            </w:pPr>
            <w:r>
              <w:t xml:space="preserve">−6.0%</w:t>
            </w:r>
          </w:p>
        </w:tc>
        <w:tc>
          <w:tcPr/>
          <w:p>
            <w:pPr>
              <w:pStyle w:val="Compact"/>
            </w:pPr>
            <w:r>
              <w:t xml:space="preserve">(−7.9%, −3.8%)</w:t>
            </w:r>
          </w:p>
        </w:tc>
        <w:tc>
          <w:tcPr/>
          <w:p>
            <w:pPr>
              <w:pStyle w:val="Compact"/>
            </w:pPr>
            <w:r>
              <w:t xml:space="preserve">Yes</w:t>
            </w:r>
          </w:p>
        </w:tc>
      </w:tr>
      <w:tr>
        <w:tc>
          <w:tcPr/>
          <w:p>
            <w:pPr>
              <w:pStyle w:val="Compact"/>
            </w:pPr>
            <w:r>
              <w:t xml:space="preserve">MSSP (2012–2015 physician-group)</w:t>
            </w:r>
          </w:p>
        </w:tc>
        <w:tc>
          <w:tcPr/>
          <w:p>
            <w:pPr>
              <w:pStyle w:val="Compact"/>
            </w:pPr>
            <w:r>
              <w:t xml:space="preserve">Spending</w:t>
            </w:r>
          </w:p>
        </w:tc>
        <w:tc>
          <w:tcPr/>
          <w:p>
            <w:pPr>
              <w:pStyle w:val="Compact"/>
            </w:pPr>
            <w:r>
              <w:t xml:space="preserve">−2.0%</w:t>
            </w:r>
          </w:p>
        </w:tc>
        <w:tc>
          <w:tcPr/>
          <w:p>
            <w:pPr>
              <w:pStyle w:val="Compact"/>
            </w:pPr>
            <w:r>
              <w:t xml:space="preserve">(−4.0%, 0.0%)</w:t>
            </w:r>
          </w:p>
        </w:tc>
        <w:tc>
          <w:tcPr/>
          <w:p>
            <w:pPr>
              <w:pStyle w:val="Compact"/>
            </w:pPr>
            <w:r>
              <w:t xml:space="preserve">−1.8%</w:t>
            </w:r>
          </w:p>
        </w:tc>
        <w:tc>
          <w:tcPr/>
          <w:p>
            <w:pPr>
              <w:pStyle w:val="Compact"/>
            </w:pPr>
            <w:r>
              <w:t xml:space="preserve">(−3.1%, −0.3%)</w:t>
            </w:r>
          </w:p>
        </w:tc>
        <w:tc>
          <w:tcPr/>
          <w:p>
            <w:pPr>
              <w:pStyle w:val="Compact"/>
            </w:pPr>
            <w:r>
              <w:t xml:space="preserve">Yes</w:t>
            </w:r>
          </w:p>
        </w:tc>
      </w:tr>
      <w:tr>
        <w:tc>
          <w:tcPr/>
          <w:p>
            <w:pPr>
              <w:pStyle w:val="Compact"/>
            </w:pPr>
            <w:r>
              <w:t xml:space="preserve">MSSP (2012–2015 physician-group)</w:t>
            </w:r>
          </w:p>
        </w:tc>
        <w:tc>
          <w:tcPr/>
          <w:p>
            <w:pPr>
              <w:pStyle w:val="Compact"/>
            </w:pPr>
            <w:r>
              <w:t xml:space="preserve">Hospitalizations</w:t>
            </w:r>
          </w:p>
        </w:tc>
        <w:tc>
          <w:tcPr/>
          <w:p>
            <w:pPr>
              <w:pStyle w:val="Compact"/>
            </w:pPr>
            <w:r>
              <w:t xml:space="preserve">−1.0%</w:t>
            </w:r>
          </w:p>
        </w:tc>
        <w:tc>
          <w:tcPr/>
          <w:p>
            <w:pPr>
              <w:pStyle w:val="Compact"/>
            </w:pPr>
            <w:r>
              <w:t xml:space="preserve">(−3.0%, 1.0%)</w:t>
            </w:r>
          </w:p>
        </w:tc>
        <w:tc>
          <w:tcPr/>
          <w:p>
            <w:pPr>
              <w:pStyle w:val="Compact"/>
            </w:pPr>
            <w:r>
              <w:t xml:space="preserve">−2.4%</w:t>
            </w:r>
          </w:p>
        </w:tc>
        <w:tc>
          <w:tcPr/>
          <w:p>
            <w:pPr>
              <w:pStyle w:val="Compact"/>
            </w:pPr>
            <w:r>
              <w:t xml:space="preserve">(−5.7%, 1.2%)</w:t>
            </w:r>
          </w:p>
        </w:tc>
        <w:tc>
          <w:tcPr/>
          <w:p>
            <w:pPr>
              <w:pStyle w:val="Compact"/>
            </w:pPr>
            <w:r>
              <w:t xml:space="preserve">Yes</w:t>
            </w:r>
          </w:p>
        </w:tc>
      </w:tr>
      <w:tr>
        <w:tc>
          <w:tcPr/>
          <w:p>
            <w:pPr>
              <w:pStyle w:val="Compact"/>
            </w:pPr>
            <w:r>
              <w:t xml:space="preserve">MSSP (2012–2015 physician-group)</w:t>
            </w:r>
          </w:p>
        </w:tc>
        <w:tc>
          <w:tcPr/>
          <w:p>
            <w:pPr>
              <w:pStyle w:val="Compact"/>
            </w:pPr>
            <w:r>
              <w:t xml:space="preserve">ED visits</w:t>
            </w:r>
          </w:p>
        </w:tc>
        <w:tc>
          <w:tcPr/>
          <w:p>
            <w:pPr>
              <w:pStyle w:val="Compact"/>
            </w:pPr>
            <w:r>
              <w:t xml:space="preserve">−2.0%</w:t>
            </w:r>
          </w:p>
        </w:tc>
        <w:tc>
          <w:tcPr/>
          <w:p>
            <w:pPr>
              <w:pStyle w:val="Compact"/>
            </w:pPr>
            <w:r>
              <w:t xml:space="preserve">(−4.0%, 0.0%)</w:t>
            </w:r>
          </w:p>
        </w:tc>
        <w:tc>
          <w:tcPr/>
          <w:p>
            <w:pPr>
              <w:pStyle w:val="Compact"/>
            </w:pPr>
            <w:r>
              <w:t xml:space="preserve">−2.2%</w:t>
            </w:r>
          </w:p>
        </w:tc>
        <w:tc>
          <w:tcPr/>
          <w:p>
            <w:pPr>
              <w:pStyle w:val="Compact"/>
            </w:pPr>
            <w:r>
              <w:t xml:space="preserve">(−3.9%, −0.4%)</w:t>
            </w:r>
          </w:p>
        </w:tc>
        <w:tc>
          <w:tcPr/>
          <w:p>
            <w:pPr>
              <w:pStyle w:val="Compact"/>
            </w:pPr>
            <w:r>
              <w:t xml:space="preserve">Yes</w:t>
            </w:r>
          </w:p>
        </w:tc>
      </w:tr>
      <w:tr>
        <w:tc>
          <w:tcPr/>
          <w:p>
            <w:pPr>
              <w:pStyle w:val="Compact"/>
            </w:pPr>
            <w:r>
              <w:t xml:space="preserve">CPC+ (5-year evaluation)</w:t>
            </w:r>
          </w:p>
        </w:tc>
        <w:tc>
          <w:tcPr/>
          <w:p>
            <w:pPr>
              <w:pStyle w:val="Compact"/>
            </w:pPr>
            <w:r>
              <w:t xml:space="preserve">Spending</w:t>
            </w:r>
          </w:p>
        </w:tc>
        <w:tc>
          <w:tcPr/>
          <w:p>
            <w:pPr>
              <w:pStyle w:val="Compact"/>
            </w:pPr>
            <w:r>
              <w:t xml:space="preserve">0.0%</w:t>
            </w:r>
          </w:p>
        </w:tc>
        <w:tc>
          <w:tcPr/>
          <w:p>
            <w:pPr>
              <w:pStyle w:val="Compact"/>
            </w:pPr>
            <w:r>
              <w:t xml:space="preserve">(−1.0%, 1.0%)</w:t>
            </w:r>
          </w:p>
        </w:tc>
        <w:tc>
          <w:tcPr/>
          <w:p>
            <w:pPr>
              <w:pStyle w:val="Compact"/>
            </w:pPr>
            <w:r>
              <w:t xml:space="preserve">−0.2%</w:t>
            </w:r>
          </w:p>
        </w:tc>
        <w:tc>
          <w:tcPr/>
          <w:p>
            <w:pPr>
              <w:pStyle w:val="Compact"/>
            </w:pPr>
            <w:r>
              <w:t xml:space="preserve">(−1.6%, 1.1%)</w:t>
            </w:r>
          </w:p>
        </w:tc>
        <w:tc>
          <w:tcPr/>
          <w:p>
            <w:pPr>
              <w:pStyle w:val="Compact"/>
            </w:pPr>
            <w:r>
              <w:t xml:space="preserve">Yes</w:t>
            </w:r>
          </w:p>
        </w:tc>
      </w:tr>
      <w:tr>
        <w:tc>
          <w:tcPr/>
          <w:p>
            <w:pPr>
              <w:pStyle w:val="Compact"/>
            </w:pPr>
            <w:r>
              <w:t xml:space="preserve">CPC+ (5-year evaluation)</w:t>
            </w:r>
          </w:p>
        </w:tc>
        <w:tc>
          <w:tcPr/>
          <w:p>
            <w:pPr>
              <w:pStyle w:val="Compact"/>
            </w:pPr>
            <w:r>
              <w:t xml:space="preserve">Hospitalizations</w:t>
            </w:r>
          </w:p>
        </w:tc>
        <w:tc>
          <w:tcPr/>
          <w:p>
            <w:pPr>
              <w:pStyle w:val="Compact"/>
            </w:pPr>
            <w:r>
              <w:t xml:space="preserve">−1.0%</w:t>
            </w:r>
          </w:p>
        </w:tc>
        <w:tc>
          <w:tcPr/>
          <w:p>
            <w:pPr>
              <w:pStyle w:val="Compact"/>
            </w:pPr>
            <w:r>
              <w:t xml:space="preserve">(−2.0%, 0.1%)</w:t>
            </w:r>
          </w:p>
        </w:tc>
        <w:tc>
          <w:tcPr/>
          <w:p>
            <w:pPr>
              <w:pStyle w:val="Compact"/>
            </w:pPr>
            <w:r>
              <w:t xml:space="preserve">−0.5%</w:t>
            </w:r>
          </w:p>
        </w:tc>
        <w:tc>
          <w:tcPr/>
          <w:p>
            <w:pPr>
              <w:pStyle w:val="Compact"/>
            </w:pPr>
            <w:r>
              <w:t xml:space="preserve">(−3.7%, 2.7%)</w:t>
            </w:r>
          </w:p>
        </w:tc>
        <w:tc>
          <w:tcPr/>
          <w:p>
            <w:pPr>
              <w:pStyle w:val="Compact"/>
            </w:pPr>
            <w:r>
              <w:t xml:space="preserve">Yes</w:t>
            </w:r>
          </w:p>
        </w:tc>
      </w:tr>
      <w:tr>
        <w:tc>
          <w:tcPr/>
          <w:p>
            <w:pPr>
              <w:pStyle w:val="Compact"/>
            </w:pPr>
            <w:r>
              <w:t xml:space="preserve">CPC+ (5-year evaluation)</w:t>
            </w:r>
          </w:p>
        </w:tc>
        <w:tc>
          <w:tcPr/>
          <w:p>
            <w:pPr>
              <w:pStyle w:val="Compact"/>
            </w:pPr>
            <w:r>
              <w:t xml:space="preserve">ED visits</w:t>
            </w:r>
          </w:p>
        </w:tc>
        <w:tc>
          <w:tcPr/>
          <w:p>
            <w:pPr>
              <w:pStyle w:val="Compact"/>
            </w:pPr>
            <w:r>
              <w:t xml:space="preserve">−2.0%</w:t>
            </w:r>
          </w:p>
        </w:tc>
        <w:tc>
          <w:tcPr/>
          <w:p>
            <w:pPr>
              <w:pStyle w:val="Compact"/>
            </w:pPr>
            <w:r>
              <w:t xml:space="preserve">(−3.0%, −0.5%)</w:t>
            </w:r>
          </w:p>
        </w:tc>
        <w:tc>
          <w:tcPr/>
          <w:p>
            <w:pPr>
              <w:pStyle w:val="Compact"/>
            </w:pPr>
            <w:r>
              <w:t xml:space="preserve">−0.6%</w:t>
            </w:r>
          </w:p>
        </w:tc>
        <w:tc>
          <w:tcPr/>
          <w:p>
            <w:pPr>
              <w:pStyle w:val="Compact"/>
            </w:pPr>
            <w:r>
              <w:t xml:space="preserve">(−2.3%, 1.2%)</w:t>
            </w:r>
          </w:p>
        </w:tc>
        <w:tc>
          <w:tcPr/>
          <w:p>
            <w:pPr>
              <w:pStyle w:val="Compact"/>
            </w:pPr>
            <w:r>
              <w:t xml:space="preserve">Yes</w:t>
            </w:r>
          </w:p>
        </w:tc>
      </w:tr>
    </w:tbl>
    <w:p>
      <w:pPr>
        <w:pStyle w:val="BodyText"/>
      </w:pPr>
      <w:r>
        <w:rPr>
          <w:b/>
          <w:bCs/>
        </w:rPr>
        <w:t xml:space="preserve">Aggregate validation metrics</w:t>
      </w:r>
      <w:r>
        <w:t xml:space="preserve">: Coverage 100% (15 of 15 observed values within simulated 95% UI), mean absolute prediction error 1.1 percentage points, mean calibration ratio 0.99.</w:t>
      </w:r>
    </w:p>
    <w:bookmarkEnd w:id="29"/>
    <w:bookmarkStart w:id="30" w:name="interpretation"/>
    <w:p>
      <w:pPr>
        <w:pStyle w:val="Heading3"/>
      </w:pPr>
      <w:r>
        <w:t xml:space="preserve">Interpretation</w:t>
      </w:r>
    </w:p>
    <w:p>
      <w:pPr>
        <w:pStyle w:val="FirstParagraph"/>
      </w:pPr>
      <w:r>
        <w:t xml:space="preserve">The microsimulation engine is parameterized entirely from published distributions and public survey data, with no access to historical reform outcomes; the backtests therefore constitute independent out-of-sample validation. The model was directionally correct in all 15 comparisons. The five reforms span diverse delivery reform mechanisms: global budgets with system-wide incentives (Oregon CCO, Medicaid), shared savings with intensive care management (Pioneer ACO, Medicare), community-based engagement and SDOH navigation (CHW/IMPaCT, Medicaid), weak financial incentives with modest care coordination (MSSP, Medicare), and primary care transformation without payment reform (CPC+, Medicare). Three backtests (Pioneer ACO, MSSP, CPC+) draw on Medicare populations; since backtesting evaluates relative percent changes through shared reform mechanisms rather than absolute population-level rates, and since these programs included dual-eligible patients, this cross-program validation tests the generalizability of the microsimulation’s causal structure. Critically, the model correctly reproduced both large reform effects (Oregon CCO spending: observed −7.0%, simulated −5.4%; CHW hospitalization: observed −9.0%, simulated −10.1%) and near-null effects (CPC+ spending: observed 0.0%, simulated −0.2%), demonstrating calibration across the full range of delivery reform intensity.</w:t>
      </w:r>
    </w:p>
    <w:p>
      <w:pPr>
        <w:pStyle w:val="BodyText"/>
      </w:pPr>
      <w:r>
        <w:t xml:space="preserve">The CHW backtest includes a non-utilization cost reduction (14% for engaged patients) capturing medication adherence and SDOH stabilization effects documented in the IMPaCT trials but not directly represented in the hospitalization/ED/PCP cost channels. The Oregon CCO backtest uses larger system-wide spillover effects (7% for ED, 5% for hospitalizations among non-engaged patients) to model the global budget incentives that affected all patients, not just those individually engaged. The MSSP and CPC+ backtests set spillover to zero, reflecting the weak system-wide incentives of those programs.</w:t>
      </w:r>
    </w:p>
    <w:p>
      <w:pPr>
        <w:pStyle w:val="BodyText"/>
      </w:pPr>
      <w:r>
        <w:t xml:space="preserve">Sources: McConnell et al. Health Aff 2017;36:451-9 [18]. Hsu J, Price M, Vogeli C, et al. Bending the spending curve by altering care delivery patterns: the role of care management within a Pioneer ACO. Health Aff 2017;36:876-84 [16]. Vasan et al. Health Serv Res 2020;55:894-901 [20]. McWilliams et al. N Engl J Med 2018;379:1139-49 [12]. Singh et al. JAMA 2024;331:132-46 [48].</w:t>
      </w:r>
    </w:p>
    <w:bookmarkEnd w:id="30"/>
    <w:bookmarkEnd w:id="31"/>
    <w:bookmarkStart w:id="32" w:name="Xdd33ea1d7a134079da2521efe61616b8d0feb59"/>
    <w:p>
      <w:pPr>
        <w:pStyle w:val="Heading2"/>
      </w:pPr>
      <w:r>
        <w:t xml:space="preserve">eTable 9. Willingness-to-Pay Threshold Sensitivity</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Scenario</w:t>
            </w:r>
          </w:p>
        </w:tc>
        <w:tc>
          <w:tcPr/>
          <w:p>
            <w:pPr>
              <w:pStyle w:val="Compact"/>
            </w:pPr>
            <w:r>
              <w:t xml:space="preserve">WTP=$50K</w:t>
            </w:r>
          </w:p>
        </w:tc>
        <w:tc>
          <w:tcPr/>
          <w:p>
            <w:pPr>
              <w:pStyle w:val="Compact"/>
            </w:pPr>
            <w:r>
              <w:t xml:space="preserve">WTP=$100K</w:t>
            </w:r>
          </w:p>
        </w:tc>
        <w:tc>
          <w:tcPr/>
          <w:p>
            <w:pPr>
              <w:pStyle w:val="Compact"/>
            </w:pPr>
            <w:r>
              <w:t xml:space="preserve">WTP=$150K</w:t>
            </w:r>
          </w:p>
        </w:tc>
        <w:tc>
          <w:tcPr/>
          <w:p>
            <w:pPr>
              <w:pStyle w:val="Compact"/>
            </w:pPr>
            <w:r>
              <w:t xml:space="preserve">WTP=$200K</w:t>
            </w:r>
          </w:p>
        </w:tc>
      </w:tr>
      <w:tr>
        <w:tc>
          <w:tcPr/>
          <w:p>
            <w:pPr>
              <w:pStyle w:val="Compact"/>
            </w:pPr>
            <w:r>
              <w:t xml:space="preserve">AI ACO net surplus per member per yr</w:t>
            </w:r>
          </w:p>
        </w:tc>
        <w:tc>
          <w:tcPr/>
          <w:p>
            <w:pPr>
              <w:pStyle w:val="Compact"/>
            </w:pPr>
            <w:r>
              <w:t xml:space="preserve">$570</w:t>
            </w:r>
          </w:p>
        </w:tc>
        <w:tc>
          <w:tcPr/>
          <w:p>
            <w:pPr>
              <w:pStyle w:val="Compact"/>
            </w:pPr>
            <w:r>
              <w:t xml:space="preserve">$646</w:t>
            </w:r>
          </w:p>
        </w:tc>
        <w:tc>
          <w:tcPr/>
          <w:p>
            <w:pPr>
              <w:pStyle w:val="Compact"/>
            </w:pPr>
            <w:r>
              <w:t xml:space="preserve">$721</w:t>
            </w:r>
          </w:p>
        </w:tc>
        <w:tc>
          <w:tcPr/>
          <w:p>
            <w:pPr>
              <w:pStyle w:val="Compact"/>
            </w:pPr>
            <w:r>
              <w:t xml:space="preserve">$797</w:t>
            </w:r>
          </w:p>
        </w:tc>
      </w:tr>
      <w:tr>
        <w:tc>
          <w:tcPr/>
          <w:p>
            <w:pPr>
              <w:pStyle w:val="Compact"/>
            </w:pPr>
            <w:r>
              <w:t xml:space="preserve">AI ACO pessimistic</w:t>
            </w:r>
          </w:p>
        </w:tc>
        <w:tc>
          <w:tcPr/>
          <w:p>
            <w:pPr>
              <w:pStyle w:val="Compact"/>
            </w:pPr>
            <w:r>
              <w:t xml:space="preserve">$481</w:t>
            </w:r>
          </w:p>
        </w:tc>
        <w:tc>
          <w:tcPr/>
          <w:p>
            <w:pPr>
              <w:pStyle w:val="Compact"/>
            </w:pPr>
            <w:r>
              <w:t xml:space="preserve">$532</w:t>
            </w:r>
          </w:p>
        </w:tc>
        <w:tc>
          <w:tcPr/>
          <w:p>
            <w:pPr>
              <w:pStyle w:val="Compact"/>
            </w:pPr>
            <w:r>
              <w:t xml:space="preserve">$583</w:t>
            </w:r>
          </w:p>
        </w:tc>
        <w:tc>
          <w:tcPr/>
          <w:p>
            <w:pPr>
              <w:pStyle w:val="Compact"/>
            </w:pPr>
            <w:r>
              <w:t xml:space="preserve">$635</w:t>
            </w:r>
          </w:p>
        </w:tc>
      </w:tr>
      <w:tr>
        <w:tc>
          <w:tcPr/>
          <w:p>
            <w:pPr>
              <w:pStyle w:val="Compact"/>
            </w:pPr>
            <w:r>
              <w:t xml:space="preserve">Care Coord. Only</w:t>
            </w:r>
          </w:p>
        </w:tc>
        <w:tc>
          <w:tcPr/>
          <w:p>
            <w:pPr>
              <w:pStyle w:val="Compact"/>
            </w:pPr>
            <w:r>
              <w:t xml:space="preserve">$307</w:t>
            </w:r>
          </w:p>
        </w:tc>
        <w:tc>
          <w:tcPr/>
          <w:p>
            <w:pPr>
              <w:pStyle w:val="Compact"/>
            </w:pPr>
            <w:r>
              <w:t xml:space="preserve">$359</w:t>
            </w:r>
          </w:p>
        </w:tc>
        <w:tc>
          <w:tcPr/>
          <w:p>
            <w:pPr>
              <w:pStyle w:val="Compact"/>
            </w:pPr>
            <w:r>
              <w:t xml:space="preserve">$411</w:t>
            </w:r>
          </w:p>
        </w:tc>
        <w:tc>
          <w:tcPr/>
          <w:p>
            <w:pPr>
              <w:pStyle w:val="Compact"/>
            </w:pPr>
            <w:r>
              <w:t xml:space="preserve">$463</w:t>
            </w:r>
          </w:p>
        </w:tc>
      </w:tr>
      <w:tr>
        <w:tc>
          <w:tcPr/>
          <w:p>
            <w:pPr>
              <w:pStyle w:val="Compact"/>
            </w:pPr>
            <w:r>
              <w:t xml:space="preserve">Admin reform only</w:t>
            </w:r>
          </w:p>
        </w:tc>
        <w:tc>
          <w:tcPr/>
          <w:p>
            <w:pPr>
              <w:pStyle w:val="Compact"/>
            </w:pPr>
            <w:r>
              <w:t xml:space="preserve">$326</w:t>
            </w:r>
          </w:p>
        </w:tc>
        <w:tc>
          <w:tcPr/>
          <w:p>
            <w:pPr>
              <w:pStyle w:val="Compact"/>
            </w:pPr>
            <w:r>
              <w:t xml:space="preserve">$326</w:t>
            </w:r>
          </w:p>
        </w:tc>
        <w:tc>
          <w:tcPr/>
          <w:p>
            <w:pPr>
              <w:pStyle w:val="Compact"/>
            </w:pPr>
            <w:r>
              <w:t xml:space="preserve">$326</w:t>
            </w:r>
          </w:p>
        </w:tc>
        <w:tc>
          <w:tcPr/>
          <w:p>
            <w:pPr>
              <w:pStyle w:val="Compact"/>
            </w:pPr>
            <w:r>
              <w:t xml:space="preserve">$327</w:t>
            </w:r>
          </w:p>
        </w:tc>
      </w:tr>
    </w:tbl>
    <w:p>
      <w:pPr>
        <w:pStyle w:val="BodyText"/>
      </w:pPr>
      <w:r>
        <w:t xml:space="preserve">The AI ACO generates positive net social surplus at all WTP thresholds tested. The administrative-reform-only scenario is insensitive to WTP threshold because its surplus derives entirely from cost savings rather than health gains.</w:t>
      </w:r>
    </w:p>
    <w:bookmarkEnd w:id="32"/>
    <w:bookmarkStart w:id="33" w:name="Xcb9b107b673f381242732ef7ba9311d4587bd04"/>
    <w:p>
      <w:pPr>
        <w:pStyle w:val="Heading2"/>
      </w:pPr>
      <w:r>
        <w:t xml:space="preserve">eTable 12. Administrative Cost Threshold Sensitivity</w:t>
      </w:r>
    </w:p>
    <w:p>
      <w:pPr>
        <w:pStyle w:val="FirstParagraph"/>
      </w:pPr>
      <w:r>
        <w:t xml:space="preserve">Microsimulation results varying the AI ACO administrative cost rate from 3.0% to 10.0% of premium, holding all other AI ACO parameters at consensus levels (200-iteration PSA with paired status-quo comparisons).</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AI ACO Admin Rate</w:t>
            </w:r>
          </w:p>
        </w:tc>
        <w:tc>
          <w:tcPr/>
          <w:p>
            <w:pPr>
              <w:pStyle w:val="Compact"/>
            </w:pPr>
            <w:r>
              <w:t xml:space="preserve">Mean PMPM Savings</w:t>
            </w:r>
          </w:p>
        </w:tc>
        <w:tc>
          <w:tcPr/>
          <w:p>
            <w:pPr>
              <w:pStyle w:val="Compact"/>
            </w:pPr>
            <w:r>
              <w:t xml:space="preserve">PMPM 95% UI</w:t>
            </w:r>
          </w:p>
        </w:tc>
        <w:tc>
          <w:tcPr/>
          <w:p>
            <w:pPr>
              <w:pStyle w:val="Compact"/>
            </w:pPr>
            <w:r>
              <w:t xml:space="preserve">Hosp Reduction (per 1,000 PY)</w:t>
            </w:r>
          </w:p>
        </w:tc>
        <w:tc>
          <w:tcPr/>
          <w:p>
            <w:pPr>
              <w:pStyle w:val="Compact"/>
            </w:pPr>
            <w:r>
              <w:t xml:space="preserve">ED Reduction (per 1,000 PY)</w:t>
            </w:r>
          </w:p>
        </w:tc>
        <w:tc>
          <w:tcPr/>
          <w:p>
            <w:pPr>
              <w:pStyle w:val="Compact"/>
            </w:pPr>
            <w:r>
              <w:t xml:space="preserve">Probability of Net Savings</w:t>
            </w:r>
          </w:p>
        </w:tc>
      </w:tr>
      <w:tr>
        <w:tc>
          <w:tcPr/>
          <w:p>
            <w:pPr>
              <w:pStyle w:val="Compact"/>
            </w:pPr>
            <w:r>
              <w:t xml:space="preserve">3.0% (consensus)</w:t>
            </w:r>
          </w:p>
        </w:tc>
        <w:tc>
          <w:tcPr/>
          <w:p>
            <w:pPr>
              <w:pStyle w:val="Compact"/>
            </w:pPr>
            <w:r>
              <w:t xml:space="preserve">$37</w:t>
            </w:r>
          </w:p>
        </w:tc>
        <w:tc>
          <w:tcPr/>
          <w:p>
            <w:pPr>
              <w:pStyle w:val="Compact"/>
            </w:pPr>
            <w:r>
              <w:t xml:space="preserve">$22 to $67</w:t>
            </w:r>
          </w:p>
        </w:tc>
        <w:tc>
          <w:tcPr/>
          <w:p>
            <w:pPr>
              <w:pStyle w:val="Compact"/>
            </w:pPr>
            <w:r>
              <w:t xml:space="preserve">14.7</w:t>
            </w:r>
          </w:p>
        </w:tc>
        <w:tc>
          <w:tcPr/>
          <w:p>
            <w:pPr>
              <w:pStyle w:val="Compact"/>
            </w:pPr>
            <w:r>
              <w:t xml:space="preserve">36.9</w:t>
            </w:r>
          </w:p>
        </w:tc>
        <w:tc>
          <w:tcPr/>
          <w:p>
            <w:pPr>
              <w:pStyle w:val="Compact"/>
            </w:pPr>
            <w:r>
              <w:t xml:space="preserve">100%</w:t>
            </w:r>
          </w:p>
        </w:tc>
      </w:tr>
      <w:tr>
        <w:tc>
          <w:tcPr/>
          <w:p>
            <w:pPr>
              <w:pStyle w:val="Compact"/>
            </w:pPr>
            <w:r>
              <w:t xml:space="preserve">3.5%</w:t>
            </w:r>
          </w:p>
        </w:tc>
        <w:tc>
          <w:tcPr/>
          <w:p>
            <w:pPr>
              <w:pStyle w:val="Compact"/>
            </w:pPr>
            <w:r>
              <w:t xml:space="preserve">$35</w:t>
            </w:r>
          </w:p>
        </w:tc>
        <w:tc>
          <w:tcPr/>
          <w:p>
            <w:pPr>
              <w:pStyle w:val="Compact"/>
            </w:pPr>
            <w:r>
              <w:t xml:space="preserve">$20 to $64</w:t>
            </w:r>
          </w:p>
        </w:tc>
        <w:tc>
          <w:tcPr/>
          <w:p>
            <w:pPr>
              <w:pStyle w:val="Compact"/>
            </w:pPr>
            <w:r>
              <w:t xml:space="preserve">14.7</w:t>
            </w:r>
          </w:p>
        </w:tc>
        <w:tc>
          <w:tcPr/>
          <w:p>
            <w:pPr>
              <w:pStyle w:val="Compact"/>
            </w:pPr>
            <w:r>
              <w:t xml:space="preserve">36.9</w:t>
            </w:r>
          </w:p>
        </w:tc>
        <w:tc>
          <w:tcPr/>
          <w:p>
            <w:pPr>
              <w:pStyle w:val="Compact"/>
            </w:pPr>
            <w:r>
              <w:t xml:space="preserve">100%</w:t>
            </w:r>
          </w:p>
        </w:tc>
      </w:tr>
      <w:tr>
        <w:tc>
          <w:tcPr/>
          <w:p>
            <w:pPr>
              <w:pStyle w:val="Compact"/>
            </w:pPr>
            <w:r>
              <w:t xml:space="preserve">4.0%</w:t>
            </w:r>
          </w:p>
        </w:tc>
        <w:tc>
          <w:tcPr/>
          <w:p>
            <w:pPr>
              <w:pStyle w:val="Compact"/>
            </w:pPr>
            <w:r>
              <w:t xml:space="preserve">$33</w:t>
            </w:r>
          </w:p>
        </w:tc>
        <w:tc>
          <w:tcPr/>
          <w:p>
            <w:pPr>
              <w:pStyle w:val="Compact"/>
            </w:pPr>
            <w:r>
              <w:t xml:space="preserve">$18 to $61</w:t>
            </w:r>
          </w:p>
        </w:tc>
        <w:tc>
          <w:tcPr/>
          <w:p>
            <w:pPr>
              <w:pStyle w:val="Compact"/>
            </w:pPr>
            <w:r>
              <w:t xml:space="preserve">14.7</w:t>
            </w:r>
          </w:p>
        </w:tc>
        <w:tc>
          <w:tcPr/>
          <w:p>
            <w:pPr>
              <w:pStyle w:val="Compact"/>
            </w:pPr>
            <w:r>
              <w:t xml:space="preserve">36.9</w:t>
            </w:r>
          </w:p>
        </w:tc>
        <w:tc>
          <w:tcPr/>
          <w:p>
            <w:pPr>
              <w:pStyle w:val="Compact"/>
            </w:pPr>
            <w:r>
              <w:t xml:space="preserve">100%</w:t>
            </w:r>
          </w:p>
        </w:tc>
      </w:tr>
      <w:tr>
        <w:tc>
          <w:tcPr/>
          <w:p>
            <w:pPr>
              <w:pStyle w:val="Compact"/>
            </w:pPr>
            <w:r>
              <w:t xml:space="preserve">4.5%</w:t>
            </w:r>
          </w:p>
        </w:tc>
        <w:tc>
          <w:tcPr/>
          <w:p>
            <w:pPr>
              <w:pStyle w:val="Compact"/>
            </w:pPr>
            <w:r>
              <w:t xml:space="preserve">$30</w:t>
            </w:r>
          </w:p>
        </w:tc>
        <w:tc>
          <w:tcPr/>
          <w:p>
            <w:pPr>
              <w:pStyle w:val="Compact"/>
            </w:pPr>
            <w:r>
              <w:t xml:space="preserve">$16 to $59</w:t>
            </w:r>
          </w:p>
        </w:tc>
        <w:tc>
          <w:tcPr/>
          <w:p>
            <w:pPr>
              <w:pStyle w:val="Compact"/>
            </w:pPr>
            <w:r>
              <w:t xml:space="preserve">14.7</w:t>
            </w:r>
          </w:p>
        </w:tc>
        <w:tc>
          <w:tcPr/>
          <w:p>
            <w:pPr>
              <w:pStyle w:val="Compact"/>
            </w:pPr>
            <w:r>
              <w:t xml:space="preserve">36.9</w:t>
            </w:r>
          </w:p>
        </w:tc>
        <w:tc>
          <w:tcPr/>
          <w:p>
            <w:pPr>
              <w:pStyle w:val="Compact"/>
            </w:pPr>
            <w:r>
              <w:t xml:space="preserve">100%</w:t>
            </w:r>
          </w:p>
        </w:tc>
      </w:tr>
      <w:tr>
        <w:tc>
          <w:tcPr/>
          <w:p>
            <w:pPr>
              <w:pStyle w:val="Compact"/>
            </w:pPr>
            <w:r>
              <w:t xml:space="preserve">5.0%</w:t>
            </w:r>
          </w:p>
        </w:tc>
        <w:tc>
          <w:tcPr/>
          <w:p>
            <w:pPr>
              <w:pStyle w:val="Compact"/>
            </w:pPr>
            <w:r>
              <w:t xml:space="preserve">$28</w:t>
            </w:r>
          </w:p>
        </w:tc>
        <w:tc>
          <w:tcPr/>
          <w:p>
            <w:pPr>
              <w:pStyle w:val="Compact"/>
            </w:pPr>
            <w:r>
              <w:t xml:space="preserve">$14 to $56</w:t>
            </w:r>
          </w:p>
        </w:tc>
        <w:tc>
          <w:tcPr/>
          <w:p>
            <w:pPr>
              <w:pStyle w:val="Compact"/>
            </w:pPr>
            <w:r>
              <w:t xml:space="preserve">14.7</w:t>
            </w:r>
          </w:p>
        </w:tc>
        <w:tc>
          <w:tcPr/>
          <w:p>
            <w:pPr>
              <w:pStyle w:val="Compact"/>
            </w:pPr>
            <w:r>
              <w:t xml:space="preserve">36.9</w:t>
            </w:r>
          </w:p>
        </w:tc>
        <w:tc>
          <w:tcPr/>
          <w:p>
            <w:pPr>
              <w:pStyle w:val="Compact"/>
            </w:pPr>
            <w:r>
              <w:t xml:space="preserve">100%</w:t>
            </w:r>
          </w:p>
        </w:tc>
      </w:tr>
      <w:tr>
        <w:tc>
          <w:tcPr/>
          <w:p>
            <w:pPr>
              <w:pStyle w:val="Compact"/>
            </w:pPr>
            <w:r>
              <w:t xml:space="preserve">5.5%</w:t>
            </w:r>
          </w:p>
        </w:tc>
        <w:tc>
          <w:tcPr/>
          <w:p>
            <w:pPr>
              <w:pStyle w:val="Compact"/>
            </w:pPr>
            <w:r>
              <w:t xml:space="preserve">$26</w:t>
            </w:r>
          </w:p>
        </w:tc>
        <w:tc>
          <w:tcPr/>
          <w:p>
            <w:pPr>
              <w:pStyle w:val="Compact"/>
            </w:pPr>
            <w:r>
              <w:t xml:space="preserve">$11 to $54</w:t>
            </w:r>
          </w:p>
        </w:tc>
        <w:tc>
          <w:tcPr/>
          <w:p>
            <w:pPr>
              <w:pStyle w:val="Compact"/>
            </w:pPr>
            <w:r>
              <w:t xml:space="preserve">14.7</w:t>
            </w:r>
          </w:p>
        </w:tc>
        <w:tc>
          <w:tcPr/>
          <w:p>
            <w:pPr>
              <w:pStyle w:val="Compact"/>
            </w:pPr>
            <w:r>
              <w:t xml:space="preserve">36.9</w:t>
            </w:r>
          </w:p>
        </w:tc>
        <w:tc>
          <w:tcPr/>
          <w:p>
            <w:pPr>
              <w:pStyle w:val="Compact"/>
            </w:pPr>
            <w:r>
              <w:t xml:space="preserve">100%</w:t>
            </w:r>
          </w:p>
        </w:tc>
      </w:tr>
      <w:tr>
        <w:tc>
          <w:tcPr/>
          <w:p>
            <w:pPr>
              <w:pStyle w:val="Compact"/>
            </w:pPr>
            <w:r>
              <w:t xml:space="preserve">6.0%</w:t>
            </w:r>
          </w:p>
        </w:tc>
        <w:tc>
          <w:tcPr/>
          <w:p>
            <w:pPr>
              <w:pStyle w:val="Compact"/>
            </w:pPr>
            <w:r>
              <w:t xml:space="preserve">$23</w:t>
            </w:r>
          </w:p>
        </w:tc>
        <w:tc>
          <w:tcPr/>
          <w:p>
            <w:pPr>
              <w:pStyle w:val="Compact"/>
            </w:pPr>
            <w:r>
              <w:t xml:space="preserve">$9 to $51</w:t>
            </w:r>
          </w:p>
        </w:tc>
        <w:tc>
          <w:tcPr/>
          <w:p>
            <w:pPr>
              <w:pStyle w:val="Compact"/>
            </w:pPr>
            <w:r>
              <w:t xml:space="preserve">14.7</w:t>
            </w:r>
          </w:p>
        </w:tc>
        <w:tc>
          <w:tcPr/>
          <w:p>
            <w:pPr>
              <w:pStyle w:val="Compact"/>
            </w:pPr>
            <w:r>
              <w:t xml:space="preserve">36.9</w:t>
            </w:r>
          </w:p>
        </w:tc>
        <w:tc>
          <w:tcPr/>
          <w:p>
            <w:pPr>
              <w:pStyle w:val="Compact"/>
            </w:pPr>
            <w:r>
              <w:t xml:space="preserve">100%</w:t>
            </w:r>
          </w:p>
        </w:tc>
      </w:tr>
      <w:tr>
        <w:tc>
          <w:tcPr/>
          <w:p>
            <w:pPr>
              <w:pStyle w:val="Compact"/>
            </w:pPr>
            <w:r>
              <w:t xml:space="preserve">6.5%</w:t>
            </w:r>
          </w:p>
        </w:tc>
        <w:tc>
          <w:tcPr/>
          <w:p>
            <w:pPr>
              <w:pStyle w:val="Compact"/>
            </w:pPr>
            <w:r>
              <w:t xml:space="preserve">$21</w:t>
            </w:r>
          </w:p>
        </w:tc>
        <w:tc>
          <w:tcPr/>
          <w:p>
            <w:pPr>
              <w:pStyle w:val="Compact"/>
            </w:pPr>
            <w:r>
              <w:t xml:space="preserve">$7 to $48</w:t>
            </w:r>
          </w:p>
        </w:tc>
        <w:tc>
          <w:tcPr/>
          <w:p>
            <w:pPr>
              <w:pStyle w:val="Compact"/>
            </w:pPr>
            <w:r>
              <w:t xml:space="preserve">14.7</w:t>
            </w:r>
          </w:p>
        </w:tc>
        <w:tc>
          <w:tcPr/>
          <w:p>
            <w:pPr>
              <w:pStyle w:val="Compact"/>
            </w:pPr>
            <w:r>
              <w:t xml:space="preserve">36.9</w:t>
            </w:r>
          </w:p>
        </w:tc>
        <w:tc>
          <w:tcPr/>
          <w:p>
            <w:pPr>
              <w:pStyle w:val="Compact"/>
            </w:pPr>
            <w:r>
              <w:t xml:space="preserve">100%</w:t>
            </w:r>
          </w:p>
        </w:tc>
      </w:tr>
      <w:tr>
        <w:tc>
          <w:tcPr/>
          <w:p>
            <w:pPr>
              <w:pStyle w:val="Compact"/>
            </w:pPr>
            <w:r>
              <w:t xml:space="preserve">7.0% (lowest decile of MCOs, ~5.2–6.5%)</w:t>
            </w:r>
          </w:p>
        </w:tc>
        <w:tc>
          <w:tcPr/>
          <w:p>
            <w:pPr>
              <w:pStyle w:val="Compact"/>
            </w:pPr>
            <w:r>
              <w:t xml:space="preserve">$18</w:t>
            </w:r>
          </w:p>
        </w:tc>
        <w:tc>
          <w:tcPr/>
          <w:p>
            <w:pPr>
              <w:pStyle w:val="Compact"/>
            </w:pPr>
            <w:r>
              <w:t xml:space="preserve">$4 to $46</w:t>
            </w:r>
          </w:p>
        </w:tc>
        <w:tc>
          <w:tcPr/>
          <w:p>
            <w:pPr>
              <w:pStyle w:val="Compact"/>
            </w:pPr>
            <w:r>
              <w:t xml:space="preserve">14.7</w:t>
            </w:r>
          </w:p>
        </w:tc>
        <w:tc>
          <w:tcPr/>
          <w:p>
            <w:pPr>
              <w:pStyle w:val="Compact"/>
            </w:pPr>
            <w:r>
              <w:t xml:space="preserve">36.9</w:t>
            </w:r>
          </w:p>
        </w:tc>
        <w:tc>
          <w:tcPr/>
          <w:p>
            <w:pPr>
              <w:pStyle w:val="Compact"/>
            </w:pPr>
            <w:r>
              <w:t xml:space="preserve">100%</w:t>
            </w:r>
          </w:p>
        </w:tc>
      </w:tr>
      <w:tr>
        <w:tc>
          <w:tcPr/>
          <w:p>
            <w:pPr>
              <w:pStyle w:val="Compact"/>
            </w:pPr>
            <w:r>
              <w:t xml:space="preserve">8.0% (current MCO baseline)</w:t>
            </w:r>
          </w:p>
        </w:tc>
        <w:tc>
          <w:tcPr/>
          <w:p>
            <w:pPr>
              <w:pStyle w:val="Compact"/>
            </w:pPr>
            <w:r>
              <w:t xml:space="preserve">$14</w:t>
            </w:r>
          </w:p>
        </w:tc>
        <w:tc>
          <w:tcPr/>
          <w:p>
            <w:pPr>
              <w:pStyle w:val="Compact"/>
            </w:pPr>
            <w:r>
              <w:t xml:space="preserve">−$0.4 to $41</w:t>
            </w:r>
          </w:p>
        </w:tc>
        <w:tc>
          <w:tcPr/>
          <w:p>
            <w:pPr>
              <w:pStyle w:val="Compact"/>
            </w:pPr>
            <w:r>
              <w:t xml:space="preserve">14.7</w:t>
            </w:r>
          </w:p>
        </w:tc>
        <w:tc>
          <w:tcPr/>
          <w:p>
            <w:pPr>
              <w:pStyle w:val="Compact"/>
            </w:pPr>
            <w:r>
              <w:t xml:space="preserve">36.9</w:t>
            </w:r>
          </w:p>
        </w:tc>
        <w:tc>
          <w:tcPr/>
          <w:p>
            <w:pPr>
              <w:pStyle w:val="Compact"/>
            </w:pPr>
            <w:r>
              <w:t xml:space="preserve">96.5%</w:t>
            </w:r>
          </w:p>
        </w:tc>
      </w:tr>
      <w:tr>
        <w:tc>
          <w:tcPr/>
          <w:p>
            <w:pPr>
              <w:pStyle w:val="Compact"/>
            </w:pPr>
            <w:r>
              <w:t xml:space="preserve">9.0%</w:t>
            </w:r>
          </w:p>
        </w:tc>
        <w:tc>
          <w:tcPr/>
          <w:p>
            <w:pPr>
              <w:pStyle w:val="Compact"/>
            </w:pPr>
            <w:r>
              <w:t xml:space="preserve">$8</w:t>
            </w:r>
          </w:p>
        </w:tc>
        <w:tc>
          <w:tcPr/>
          <w:p>
            <w:pPr>
              <w:pStyle w:val="Compact"/>
            </w:pPr>
            <w:r>
              <w:t xml:space="preserve">−$5 to $37</w:t>
            </w:r>
          </w:p>
        </w:tc>
        <w:tc>
          <w:tcPr/>
          <w:p>
            <w:pPr>
              <w:pStyle w:val="Compact"/>
            </w:pPr>
            <w:r>
              <w:t xml:space="preserve">14.7</w:t>
            </w:r>
          </w:p>
        </w:tc>
        <w:tc>
          <w:tcPr/>
          <w:p>
            <w:pPr>
              <w:pStyle w:val="Compact"/>
            </w:pPr>
            <w:r>
              <w:t xml:space="preserve">36.9</w:t>
            </w:r>
          </w:p>
        </w:tc>
        <w:tc>
          <w:tcPr/>
          <w:p>
            <w:pPr>
              <w:pStyle w:val="Compact"/>
            </w:pPr>
            <w:r>
              <w:t xml:space="preserve">73.5%</w:t>
            </w:r>
          </w:p>
        </w:tc>
      </w:tr>
      <w:tr>
        <w:tc>
          <w:tcPr/>
          <w:p>
            <w:pPr>
              <w:pStyle w:val="Compact"/>
            </w:pPr>
            <w:r>
              <w:t xml:space="preserve">10.0%</w:t>
            </w:r>
          </w:p>
        </w:tc>
        <w:tc>
          <w:tcPr/>
          <w:p>
            <w:pPr>
              <w:pStyle w:val="Compact"/>
            </w:pPr>
            <w:r>
              <w:t xml:space="preserve">$3</w:t>
            </w:r>
          </w:p>
        </w:tc>
        <w:tc>
          <w:tcPr/>
          <w:p>
            <w:pPr>
              <w:pStyle w:val="Compact"/>
            </w:pPr>
            <w:r>
              <w:t xml:space="preserve">−$11 to $32</w:t>
            </w:r>
          </w:p>
        </w:tc>
        <w:tc>
          <w:tcPr/>
          <w:p>
            <w:pPr>
              <w:pStyle w:val="Compact"/>
            </w:pPr>
            <w:r>
              <w:t xml:space="preserve">14.7</w:t>
            </w:r>
          </w:p>
        </w:tc>
        <w:tc>
          <w:tcPr/>
          <w:p>
            <w:pPr>
              <w:pStyle w:val="Compact"/>
            </w:pPr>
            <w:r>
              <w:t xml:space="preserve">36.9</w:t>
            </w:r>
          </w:p>
        </w:tc>
        <w:tc>
          <w:tcPr/>
          <w:p>
            <w:pPr>
              <w:pStyle w:val="Compact"/>
            </w:pPr>
            <w:r>
              <w:t xml:space="preserve">51.5%</w:t>
            </w:r>
          </w:p>
        </w:tc>
      </w:tr>
    </w:tbl>
    <w:p>
      <w:pPr>
        <w:pStyle w:val="BodyText"/>
      </w:pPr>
      <w:r>
        <w:t xml:space="preserve">Hospitalization and ED reductions are constant across rows because this analysis varies only administrative overhead while holding AI clinical parameters at consensus; PMPM savings vary because they integrate both administrative and clinical contributions. The administrative-reform-only scenario (eTable 14) uses status quo clinical parameters with 2.9% administrative overhead and yields $27 PMPM savings under zero AI clinical efficacy. The dominant parameter driving PMPM savings is the administrative cost rate difference (Spearman ρ = 0.82), followed by baseline utilization levels (ρ = 0.44) and engagement rate (ρ = 0.18).</w:t>
      </w:r>
    </w:p>
    <w:bookmarkEnd w:id="33"/>
    <w:bookmarkStart w:id="34" w:name="X4239103b2575d2abaa5903aa04e5b5009a6509d"/>
    <w:p>
      <w:pPr>
        <w:pStyle w:val="Heading2"/>
      </w:pPr>
      <w:r>
        <w:t xml:space="preserve">eTable 13. Outcomes Stratified by Race × Metropolitan Status (Digital-Divide Stratification)</w:t>
      </w:r>
    </w:p>
    <w:p>
      <w:pPr>
        <w:pStyle w:val="FirstParagraph"/>
      </w:pPr>
      <w:r>
        <w:t xml:space="preserve">Hospitalization rates per 1,000 person-years and engagement rates from the 1,000-iteration PSA, stratified by the 8 race × metropolitan status subgroups that drive the digital-divide equity analysis.</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Race × Metro</w:t>
            </w:r>
          </w:p>
        </w:tc>
        <w:tc>
          <w:tcPr/>
          <w:p>
            <w:pPr>
              <w:pStyle w:val="Compact"/>
            </w:pPr>
            <w:r>
              <w:t xml:space="preserve">SQ MCO Hosp</w:t>
            </w:r>
          </w:p>
        </w:tc>
        <w:tc>
          <w:tcPr/>
          <w:p>
            <w:pPr>
              <w:pStyle w:val="Compact"/>
            </w:pPr>
            <w:r>
              <w:t xml:space="preserve">AI ACO Hosp</w:t>
            </w:r>
          </w:p>
        </w:tc>
        <w:tc>
          <w:tcPr/>
          <w:p>
            <w:pPr>
              <w:pStyle w:val="Compact"/>
            </w:pPr>
            <w:r>
              <w:t xml:space="preserve">Δ Hosp</w:t>
            </w:r>
          </w:p>
        </w:tc>
        <w:tc>
          <w:tcPr/>
          <w:p>
            <w:pPr>
              <w:pStyle w:val="Compact"/>
            </w:pPr>
            <w:r>
              <w:t xml:space="preserve">SQ MCO Engagement</w:t>
            </w:r>
          </w:p>
        </w:tc>
        <w:tc>
          <w:tcPr/>
          <w:p>
            <w:pPr>
              <w:pStyle w:val="Compact"/>
            </w:pPr>
            <w:r>
              <w:t xml:space="preserve">AI ACO Engagement</w:t>
            </w:r>
          </w:p>
        </w:tc>
        <w:tc>
          <w:tcPr/>
          <w:p>
            <w:pPr>
              <w:pStyle w:val="Compact"/>
            </w:pPr>
            <w:r>
              <w:t xml:space="preserve">Δ Engagement (pp)</w:t>
            </w:r>
          </w:p>
        </w:tc>
      </w:tr>
      <w:tr>
        <w:tc>
          <w:tcPr/>
          <w:p>
            <w:pPr>
              <w:pStyle w:val="Compact"/>
            </w:pPr>
            <w:r>
              <w:t xml:space="preserve">White, metro</w:t>
            </w:r>
          </w:p>
        </w:tc>
        <w:tc>
          <w:tcPr/>
          <w:p>
            <w:pPr>
              <w:pStyle w:val="Compact"/>
            </w:pPr>
            <w:r>
              <w:t xml:space="preserve">180</w:t>
            </w:r>
          </w:p>
        </w:tc>
        <w:tc>
          <w:tcPr/>
          <w:p>
            <w:pPr>
              <w:pStyle w:val="Compact"/>
            </w:pPr>
            <w:r>
              <w:t xml:space="preserve">166</w:t>
            </w:r>
          </w:p>
        </w:tc>
        <w:tc>
          <w:tcPr/>
          <w:p>
            <w:pPr>
              <w:pStyle w:val="Compact"/>
            </w:pPr>
            <w:r>
              <w:t xml:space="preserve">−14</w:t>
            </w:r>
          </w:p>
        </w:tc>
        <w:tc>
          <w:tcPr/>
          <w:p>
            <w:pPr>
              <w:pStyle w:val="Compact"/>
            </w:pPr>
            <w:r>
              <w:t xml:space="preserve">11.8%</w:t>
            </w:r>
          </w:p>
        </w:tc>
        <w:tc>
          <w:tcPr/>
          <w:p>
            <w:pPr>
              <w:pStyle w:val="Compact"/>
            </w:pPr>
            <w:r>
              <w:t xml:space="preserve">20.7%</w:t>
            </w:r>
          </w:p>
        </w:tc>
        <w:tc>
          <w:tcPr/>
          <w:p>
            <w:pPr>
              <w:pStyle w:val="Compact"/>
            </w:pPr>
            <w:r>
              <w:t xml:space="preserve">+8.9</w:t>
            </w:r>
          </w:p>
        </w:tc>
      </w:tr>
      <w:tr>
        <w:tc>
          <w:tcPr/>
          <w:p>
            <w:pPr>
              <w:pStyle w:val="Compact"/>
            </w:pPr>
            <w:r>
              <w:t xml:space="preserve">White, nonmetro</w:t>
            </w:r>
          </w:p>
        </w:tc>
        <w:tc>
          <w:tcPr/>
          <w:p>
            <w:pPr>
              <w:pStyle w:val="Compact"/>
            </w:pPr>
            <w:r>
              <w:t xml:space="preserve">180</w:t>
            </w:r>
          </w:p>
        </w:tc>
        <w:tc>
          <w:tcPr/>
          <w:p>
            <w:pPr>
              <w:pStyle w:val="Compact"/>
            </w:pPr>
            <w:r>
              <w:t xml:space="preserve">167</w:t>
            </w:r>
          </w:p>
        </w:tc>
        <w:tc>
          <w:tcPr/>
          <w:p>
            <w:pPr>
              <w:pStyle w:val="Compact"/>
            </w:pPr>
            <w:r>
              <w:t xml:space="preserve">−13</w:t>
            </w:r>
          </w:p>
        </w:tc>
        <w:tc>
          <w:tcPr/>
          <w:p>
            <w:pPr>
              <w:pStyle w:val="Compact"/>
            </w:pPr>
            <w:r>
              <w:t xml:space="preserve">11.8%</w:t>
            </w:r>
          </w:p>
        </w:tc>
        <w:tc>
          <w:tcPr/>
          <w:p>
            <w:pPr>
              <w:pStyle w:val="Compact"/>
            </w:pPr>
            <w:r>
              <w:t xml:space="preserve">19.3%</w:t>
            </w:r>
          </w:p>
        </w:tc>
        <w:tc>
          <w:tcPr/>
          <w:p>
            <w:pPr>
              <w:pStyle w:val="Compact"/>
            </w:pPr>
            <w:r>
              <w:t xml:space="preserve">+7.5</w:t>
            </w:r>
          </w:p>
        </w:tc>
      </w:tr>
      <w:tr>
        <w:tc>
          <w:tcPr/>
          <w:p>
            <w:pPr>
              <w:pStyle w:val="Compact"/>
            </w:pPr>
            <w:r>
              <w:t xml:space="preserve">Black, metro</w:t>
            </w:r>
          </w:p>
        </w:tc>
        <w:tc>
          <w:tcPr/>
          <w:p>
            <w:pPr>
              <w:pStyle w:val="Compact"/>
            </w:pPr>
            <w:r>
              <w:t xml:space="preserve">221</w:t>
            </w:r>
          </w:p>
        </w:tc>
        <w:tc>
          <w:tcPr/>
          <w:p>
            <w:pPr>
              <w:pStyle w:val="Compact"/>
            </w:pPr>
            <w:r>
              <w:t xml:space="preserve">203</w:t>
            </w:r>
          </w:p>
        </w:tc>
        <w:tc>
          <w:tcPr/>
          <w:p>
            <w:pPr>
              <w:pStyle w:val="Compact"/>
            </w:pPr>
            <w:r>
              <w:t xml:space="preserve">−18</w:t>
            </w:r>
          </w:p>
        </w:tc>
        <w:tc>
          <w:tcPr/>
          <w:p>
            <w:pPr>
              <w:pStyle w:val="Compact"/>
            </w:pPr>
            <w:r>
              <w:t xml:space="preserve">13.2%</w:t>
            </w:r>
          </w:p>
        </w:tc>
        <w:tc>
          <w:tcPr/>
          <w:p>
            <w:pPr>
              <w:pStyle w:val="Compact"/>
            </w:pPr>
            <w:r>
              <w:t xml:space="preserve">21.9%</w:t>
            </w:r>
          </w:p>
        </w:tc>
        <w:tc>
          <w:tcPr/>
          <w:p>
            <w:pPr>
              <w:pStyle w:val="Compact"/>
            </w:pPr>
            <w:r>
              <w:t xml:space="preserve">+8.7</w:t>
            </w:r>
          </w:p>
        </w:tc>
      </w:tr>
      <w:tr>
        <w:tc>
          <w:tcPr/>
          <w:p>
            <w:pPr>
              <w:pStyle w:val="Compact"/>
            </w:pPr>
            <w:r>
              <w:t xml:space="preserve">Black, nonmetro</w:t>
            </w:r>
          </w:p>
        </w:tc>
        <w:tc>
          <w:tcPr/>
          <w:p>
            <w:pPr>
              <w:pStyle w:val="Compact"/>
            </w:pPr>
            <w:r>
              <w:t xml:space="preserve">220</w:t>
            </w:r>
          </w:p>
        </w:tc>
        <w:tc>
          <w:tcPr/>
          <w:p>
            <w:pPr>
              <w:pStyle w:val="Compact"/>
            </w:pPr>
            <w:r>
              <w:t xml:space="preserve">203</w:t>
            </w:r>
          </w:p>
        </w:tc>
        <w:tc>
          <w:tcPr/>
          <w:p>
            <w:pPr>
              <w:pStyle w:val="Compact"/>
            </w:pPr>
            <w:r>
              <w:t xml:space="preserve">−17</w:t>
            </w:r>
          </w:p>
        </w:tc>
        <w:tc>
          <w:tcPr/>
          <w:p>
            <w:pPr>
              <w:pStyle w:val="Compact"/>
            </w:pPr>
            <w:r>
              <w:t xml:space="preserve">13.2%</w:t>
            </w:r>
          </w:p>
        </w:tc>
        <w:tc>
          <w:tcPr/>
          <w:p>
            <w:pPr>
              <w:pStyle w:val="Compact"/>
            </w:pPr>
            <w:r>
              <w:t xml:space="preserve">19.9%</w:t>
            </w:r>
          </w:p>
        </w:tc>
        <w:tc>
          <w:tcPr/>
          <w:p>
            <w:pPr>
              <w:pStyle w:val="Compact"/>
            </w:pPr>
            <w:r>
              <w:t xml:space="preserve">+6.7</w:t>
            </w:r>
          </w:p>
        </w:tc>
      </w:tr>
      <w:tr>
        <w:tc>
          <w:tcPr/>
          <w:p>
            <w:pPr>
              <w:pStyle w:val="Compact"/>
            </w:pPr>
            <w:r>
              <w:t xml:space="preserve">Hispanic, metro</w:t>
            </w:r>
          </w:p>
        </w:tc>
        <w:tc>
          <w:tcPr/>
          <w:p>
            <w:pPr>
              <w:pStyle w:val="Compact"/>
            </w:pPr>
            <w:r>
              <w:t xml:space="preserve">196</w:t>
            </w:r>
          </w:p>
        </w:tc>
        <w:tc>
          <w:tcPr/>
          <w:p>
            <w:pPr>
              <w:pStyle w:val="Compact"/>
            </w:pPr>
            <w:r>
              <w:t xml:space="preserve">182</w:t>
            </w:r>
          </w:p>
        </w:tc>
        <w:tc>
          <w:tcPr/>
          <w:p>
            <w:pPr>
              <w:pStyle w:val="Compact"/>
            </w:pPr>
            <w:r>
              <w:t xml:space="preserve">−14</w:t>
            </w:r>
          </w:p>
        </w:tc>
        <w:tc>
          <w:tcPr/>
          <w:p>
            <w:pPr>
              <w:pStyle w:val="Compact"/>
            </w:pPr>
            <w:r>
              <w:t xml:space="preserve">12.4%</w:t>
            </w:r>
          </w:p>
        </w:tc>
        <w:tc>
          <w:tcPr/>
          <w:p>
            <w:pPr>
              <w:pStyle w:val="Compact"/>
            </w:pPr>
            <w:r>
              <w:t xml:space="preserve">20.2%</w:t>
            </w:r>
          </w:p>
        </w:tc>
        <w:tc>
          <w:tcPr/>
          <w:p>
            <w:pPr>
              <w:pStyle w:val="Compact"/>
            </w:pPr>
            <w:r>
              <w:t xml:space="preserve">+7.8</w:t>
            </w:r>
          </w:p>
        </w:tc>
      </w:tr>
      <w:tr>
        <w:tc>
          <w:tcPr/>
          <w:p>
            <w:pPr>
              <w:pStyle w:val="Compact"/>
            </w:pPr>
            <w:r>
              <w:t xml:space="preserve">Hispanic, nonmetro</w:t>
            </w:r>
          </w:p>
        </w:tc>
        <w:tc>
          <w:tcPr/>
          <w:p>
            <w:pPr>
              <w:pStyle w:val="Compact"/>
            </w:pPr>
            <w:r>
              <w:t xml:space="preserve">195</w:t>
            </w:r>
          </w:p>
        </w:tc>
        <w:tc>
          <w:tcPr/>
          <w:p>
            <w:pPr>
              <w:pStyle w:val="Compact"/>
            </w:pPr>
            <w:r>
              <w:t xml:space="preserve">181</w:t>
            </w:r>
          </w:p>
        </w:tc>
        <w:tc>
          <w:tcPr/>
          <w:p>
            <w:pPr>
              <w:pStyle w:val="Compact"/>
            </w:pPr>
            <w:r>
              <w:t xml:space="preserve">−14</w:t>
            </w:r>
          </w:p>
        </w:tc>
        <w:tc>
          <w:tcPr/>
          <w:p>
            <w:pPr>
              <w:pStyle w:val="Compact"/>
            </w:pPr>
            <w:r>
              <w:t xml:space="preserve">12.4%</w:t>
            </w:r>
          </w:p>
        </w:tc>
        <w:tc>
          <w:tcPr/>
          <w:p>
            <w:pPr>
              <w:pStyle w:val="Compact"/>
            </w:pPr>
            <w:r>
              <w:t xml:space="preserve">18.4%</w:t>
            </w:r>
          </w:p>
        </w:tc>
        <w:tc>
          <w:tcPr/>
          <w:p>
            <w:pPr>
              <w:pStyle w:val="Compact"/>
            </w:pPr>
            <w:r>
              <w:t xml:space="preserve">+6.0</w:t>
            </w:r>
          </w:p>
        </w:tc>
      </w:tr>
      <w:tr>
        <w:tc>
          <w:tcPr/>
          <w:p>
            <w:pPr>
              <w:pStyle w:val="Compact"/>
            </w:pPr>
            <w:r>
              <w:t xml:space="preserve">AIAN, metro</w:t>
            </w:r>
          </w:p>
        </w:tc>
        <w:tc>
          <w:tcPr/>
          <w:p>
            <w:pPr>
              <w:pStyle w:val="Compact"/>
            </w:pPr>
            <w:r>
              <w:t xml:space="preserve">230</w:t>
            </w:r>
          </w:p>
        </w:tc>
        <w:tc>
          <w:tcPr/>
          <w:p>
            <w:pPr>
              <w:pStyle w:val="Compact"/>
            </w:pPr>
            <w:r>
              <w:t xml:space="preserve">215</w:t>
            </w:r>
          </w:p>
        </w:tc>
        <w:tc>
          <w:tcPr/>
          <w:p>
            <w:pPr>
              <w:pStyle w:val="Compact"/>
            </w:pPr>
            <w:r>
              <w:t xml:space="preserve">−15</w:t>
            </w:r>
          </w:p>
        </w:tc>
        <w:tc>
          <w:tcPr/>
          <w:p>
            <w:pPr>
              <w:pStyle w:val="Compact"/>
            </w:pPr>
            <w:r>
              <w:t xml:space="preserve">13.5%</w:t>
            </w:r>
          </w:p>
        </w:tc>
        <w:tc>
          <w:tcPr/>
          <w:p>
            <w:pPr>
              <w:pStyle w:val="Compact"/>
            </w:pPr>
            <w:r>
              <w:t xml:space="preserve">21.1%</w:t>
            </w:r>
          </w:p>
        </w:tc>
        <w:tc>
          <w:tcPr/>
          <w:p>
            <w:pPr>
              <w:pStyle w:val="Compact"/>
            </w:pPr>
            <w:r>
              <w:t xml:space="preserve">+7.6</w:t>
            </w:r>
          </w:p>
        </w:tc>
      </w:tr>
      <w:tr>
        <w:tc>
          <w:tcPr/>
          <w:p>
            <w:pPr>
              <w:pStyle w:val="Compact"/>
            </w:pPr>
            <w:r>
              <w:t xml:space="preserve">AIAN, nonmetro</w:t>
            </w:r>
          </w:p>
        </w:tc>
        <w:tc>
          <w:tcPr/>
          <w:p>
            <w:pPr>
              <w:pStyle w:val="Compact"/>
            </w:pPr>
            <w:r>
              <w:t xml:space="preserve">231</w:t>
            </w:r>
          </w:p>
        </w:tc>
        <w:tc>
          <w:tcPr/>
          <w:p>
            <w:pPr>
              <w:pStyle w:val="Compact"/>
            </w:pPr>
            <w:r>
              <w:t xml:space="preserve">215</w:t>
            </w:r>
          </w:p>
        </w:tc>
        <w:tc>
          <w:tcPr/>
          <w:p>
            <w:pPr>
              <w:pStyle w:val="Compact"/>
            </w:pPr>
            <w:r>
              <w:t xml:space="preserve">−16</w:t>
            </w:r>
          </w:p>
        </w:tc>
        <w:tc>
          <w:tcPr/>
          <w:p>
            <w:pPr>
              <w:pStyle w:val="Compact"/>
            </w:pPr>
            <w:r>
              <w:t xml:space="preserve">13.6%</w:t>
            </w:r>
          </w:p>
        </w:tc>
        <w:tc>
          <w:tcPr/>
          <w:p>
            <w:pPr>
              <w:pStyle w:val="Compact"/>
            </w:pPr>
            <w:r>
              <w:t xml:space="preserve">18.5%</w:t>
            </w:r>
          </w:p>
        </w:tc>
        <w:tc>
          <w:tcPr/>
          <w:p>
            <w:pPr>
              <w:pStyle w:val="Compact"/>
            </w:pPr>
            <w:r>
              <w:t xml:space="preserve">+4.9</w:t>
            </w:r>
          </w:p>
        </w:tc>
      </w:tr>
    </w:tbl>
    <w:p>
      <w:pPr>
        <w:pStyle w:val="BodyText"/>
      </w:pPr>
      <w:r>
        <w:t xml:space="preserve">Engagement increases are systematically smaller in nonmetropolitan strata across all racial groups (mean nonmetro Δ engagement +6.3 pp versus metro +8.3 pp), driven by the 50% engagement penalty applied to the ~22% of the population without broadband access. The penalty’s effect is greatest among AIAN beneficiaries in nonmetropolitan areas (broadband penetration 45%; Δ engagement +4.9 pp) and smallest among White and Black beneficiaries in metropolitan areas (broadband 78–87%; Δ engagement +8.7–8.9 pp). Hospitalization reductions are nevertheless realized in all 8 strata, because the clinical-utilization channel operates through both engaged and non-engaged populations (engaged patients receive the full intervention effect, non-engaged retain status-quo utilization). However, the magnitude of clinical benefit is concentrated among the digitally connected, meaning equity-weighted welfare analysis (Atkinson, eAppendix D) gives lower marginal value to AI ACO gains for populations with limited broadband access. The cross-stratum range of Δ engagement (4.9 to 8.9 pp) illustrates the digital-divide equity constraint quantitatively and motivates the policy recommendation that AI-first demonstrations be paired with broadband subsidies, mobile-unit coverage, and a parity-compliant phone-based clinical pathway.</w:t>
      </w:r>
    </w:p>
    <w:bookmarkEnd w:id="34"/>
    <w:bookmarkStart w:id="35" w:name="Xa53166b3f3c97605f7506285b11ba9f62b00d19"/>
    <w:p>
      <w:pPr>
        <w:pStyle w:val="Heading2"/>
      </w:pPr>
      <w:r>
        <w:t xml:space="preserve">eTable 14. Full Microsimulation Results by Scenario (1,000-Iteration PSA)</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Outcome</w:t>
            </w:r>
          </w:p>
        </w:tc>
        <w:tc>
          <w:tcPr/>
          <w:p>
            <w:pPr>
              <w:pStyle w:val="Compact"/>
            </w:pPr>
            <w:r>
              <w:t xml:space="preserve">SQ MCO</w:t>
            </w:r>
          </w:p>
        </w:tc>
        <w:tc>
          <w:tcPr/>
          <w:p>
            <w:pPr>
              <w:pStyle w:val="Compact"/>
            </w:pPr>
            <w:r>
              <w:t xml:space="preserve">AI ACO</w:t>
            </w:r>
          </w:p>
        </w:tc>
        <w:tc>
          <w:tcPr/>
          <w:p>
            <w:pPr>
              <w:pStyle w:val="Compact"/>
            </w:pPr>
            <w:r>
              <w:t xml:space="preserve">AI ACO Optimistic</w:t>
            </w:r>
          </w:p>
        </w:tc>
        <w:tc>
          <w:tcPr/>
          <w:p>
            <w:pPr>
              <w:pStyle w:val="Compact"/>
            </w:pPr>
            <w:r>
              <w:t xml:space="preserve">AI ACO Pessimistic</w:t>
            </w:r>
          </w:p>
        </w:tc>
        <w:tc>
          <w:tcPr/>
          <w:p>
            <w:pPr>
              <w:pStyle w:val="Compact"/>
            </w:pPr>
            <w:r>
              <w:t xml:space="preserve">Care Coord. Only</w:t>
            </w:r>
          </w:p>
        </w:tc>
        <w:tc>
          <w:tcPr/>
          <w:p>
            <w:pPr>
              <w:pStyle w:val="Compact"/>
            </w:pPr>
            <w:r>
              <w:t xml:space="preserve">AI ACO Universal</w:t>
            </w:r>
          </w:p>
        </w:tc>
        <w:tc>
          <w:tcPr/>
          <w:p>
            <w:pPr>
              <w:pStyle w:val="Compact"/>
            </w:pPr>
            <w:r>
              <w:t xml:space="preserve">Admin Only</w:t>
            </w:r>
          </w:p>
        </w:tc>
      </w:tr>
      <w:tr>
        <w:tc>
          <w:tcPr/>
          <w:p>
            <w:pPr>
              <w:pStyle w:val="Compact"/>
            </w:pPr>
            <w:r>
              <w:t xml:space="preserve">PMPM mean (95% UI)</w:t>
            </w:r>
          </w:p>
        </w:tc>
        <w:tc>
          <w:tcPr/>
          <w:p>
            <w:pPr>
              <w:pStyle w:val="Compact"/>
            </w:pPr>
            <w:r>
              <w:t xml:space="preserve">$478 ($377–$593)</w:t>
            </w:r>
          </w:p>
        </w:tc>
        <w:tc>
          <w:tcPr/>
          <w:p>
            <w:pPr>
              <w:pStyle w:val="Compact"/>
            </w:pPr>
            <w:r>
              <w:t xml:space="preserve">$437 ($344–$543)</w:t>
            </w:r>
          </w:p>
        </w:tc>
        <w:tc>
          <w:tcPr/>
          <w:p>
            <w:pPr>
              <w:pStyle w:val="Compact"/>
            </w:pPr>
            <w:r>
              <w:t xml:space="preserve">$434 ($344–$536)</w:t>
            </w:r>
          </w:p>
        </w:tc>
        <w:tc>
          <w:tcPr/>
          <w:p>
            <w:pPr>
              <w:pStyle w:val="Compact"/>
            </w:pPr>
            <w:r>
              <w:t xml:space="preserve">$443 ($348–$548)</w:t>
            </w:r>
          </w:p>
        </w:tc>
        <w:tc>
          <w:tcPr/>
          <w:p>
            <w:pPr>
              <w:pStyle w:val="Compact"/>
            </w:pPr>
            <w:r>
              <w:t xml:space="preserve">$458 ($360–$567)</w:t>
            </w:r>
          </w:p>
        </w:tc>
        <w:tc>
          <w:tcPr/>
          <w:p>
            <w:pPr>
              <w:pStyle w:val="Compact"/>
            </w:pPr>
            <w:r>
              <w:t xml:space="preserve">$437 ($346–$540)</w:t>
            </w:r>
          </w:p>
        </w:tc>
        <w:tc>
          <w:tcPr/>
          <w:p>
            <w:pPr>
              <w:pStyle w:val="Compact"/>
            </w:pPr>
            <w:r>
              <w:t xml:space="preserve">$451 ($356–$559)</w:t>
            </w:r>
          </w:p>
        </w:tc>
      </w:tr>
      <w:tr>
        <w:tc>
          <w:tcPr/>
          <w:p>
            <w:pPr>
              <w:pStyle w:val="Compact"/>
            </w:pPr>
            <w:r>
              <w:t xml:space="preserve">Hosp per 1,000 PY</w:t>
            </w:r>
          </w:p>
        </w:tc>
        <w:tc>
          <w:tcPr/>
          <w:p>
            <w:pPr>
              <w:pStyle w:val="Compact"/>
            </w:pPr>
            <w:r>
              <w:t xml:space="preserve">191</w:t>
            </w:r>
          </w:p>
        </w:tc>
        <w:tc>
          <w:tcPr/>
          <w:p>
            <w:pPr>
              <w:pStyle w:val="Compact"/>
            </w:pPr>
            <w:r>
              <w:t xml:space="preserve">176</w:t>
            </w:r>
          </w:p>
        </w:tc>
        <w:tc>
          <w:tcPr/>
          <w:p>
            <w:pPr>
              <w:pStyle w:val="Compact"/>
            </w:pPr>
            <w:r>
              <w:t xml:space="preserve">173</w:t>
            </w:r>
          </w:p>
        </w:tc>
        <w:tc>
          <w:tcPr/>
          <w:p>
            <w:pPr>
              <w:pStyle w:val="Compact"/>
            </w:pPr>
            <w:r>
              <w:t xml:space="preserve">181</w:t>
            </w:r>
          </w:p>
        </w:tc>
        <w:tc>
          <w:tcPr/>
          <w:p>
            <w:pPr>
              <w:pStyle w:val="Compact"/>
            </w:pPr>
            <w:r>
              <w:t xml:space="preserve">181</w:t>
            </w:r>
          </w:p>
        </w:tc>
        <w:tc>
          <w:tcPr/>
          <w:p>
            <w:pPr>
              <w:pStyle w:val="Compact"/>
            </w:pPr>
            <w:r>
              <w:t xml:space="preserve">176</w:t>
            </w:r>
          </w:p>
        </w:tc>
        <w:tc>
          <w:tcPr/>
          <w:p>
            <w:pPr>
              <w:pStyle w:val="Compact"/>
            </w:pPr>
            <w:r>
              <w:t xml:space="preserve">191</w:t>
            </w:r>
          </w:p>
        </w:tc>
      </w:tr>
      <w:tr>
        <w:tc>
          <w:tcPr/>
          <w:p>
            <w:pPr>
              <w:pStyle w:val="Compact"/>
            </w:pPr>
            <w:r>
              <w:t xml:space="preserve">ED per 1,000 PY</w:t>
            </w:r>
          </w:p>
        </w:tc>
        <w:tc>
          <w:tcPr/>
          <w:p>
            <w:pPr>
              <w:pStyle w:val="Compact"/>
            </w:pPr>
            <w:r>
              <w:t xml:space="preserve">702</w:t>
            </w:r>
          </w:p>
        </w:tc>
        <w:tc>
          <w:tcPr/>
          <w:p>
            <w:pPr>
              <w:pStyle w:val="Compact"/>
            </w:pPr>
            <w:r>
              <w:t xml:space="preserve">663</w:t>
            </w:r>
          </w:p>
        </w:tc>
        <w:tc>
          <w:tcPr/>
          <w:p>
            <w:pPr>
              <w:pStyle w:val="Compact"/>
            </w:pPr>
            <w:r>
              <w:t xml:space="preserve">655</w:t>
            </w:r>
          </w:p>
        </w:tc>
        <w:tc>
          <w:tcPr/>
          <w:p>
            <w:pPr>
              <w:pStyle w:val="Compact"/>
            </w:pPr>
            <w:r>
              <w:t xml:space="preserve">678</w:t>
            </w:r>
          </w:p>
        </w:tc>
        <w:tc>
          <w:tcPr/>
          <w:p>
            <w:pPr>
              <w:pStyle w:val="Compact"/>
            </w:pPr>
            <w:r>
              <w:t xml:space="preserve">681</w:t>
            </w:r>
          </w:p>
        </w:tc>
        <w:tc>
          <w:tcPr/>
          <w:p>
            <w:pPr>
              <w:pStyle w:val="Compact"/>
            </w:pPr>
            <w:r>
              <w:t xml:space="preserve">663</w:t>
            </w:r>
          </w:p>
        </w:tc>
        <w:tc>
          <w:tcPr/>
          <w:p>
            <w:pPr>
              <w:pStyle w:val="Compact"/>
            </w:pPr>
            <w:r>
              <w:t xml:space="preserve">702</w:t>
            </w:r>
          </w:p>
        </w:tc>
      </w:tr>
      <w:tr>
        <w:tc>
          <w:tcPr/>
          <w:p>
            <w:pPr>
              <w:pStyle w:val="Compact"/>
            </w:pPr>
            <w:r>
              <w:t xml:space="preserve">PCP per 1,000 PY</w:t>
            </w:r>
          </w:p>
        </w:tc>
        <w:tc>
          <w:tcPr/>
          <w:p>
            <w:pPr>
              <w:pStyle w:val="Compact"/>
            </w:pPr>
            <w:r>
              <w:t xml:space="preserve">3,429</w:t>
            </w:r>
          </w:p>
        </w:tc>
        <w:tc>
          <w:tcPr/>
          <w:p>
            <w:pPr>
              <w:pStyle w:val="Compact"/>
            </w:pPr>
            <w:r>
              <w:t xml:space="preserve">3,549</w:t>
            </w:r>
          </w:p>
        </w:tc>
        <w:tc>
          <w:tcPr/>
          <w:p>
            <w:pPr>
              <w:pStyle w:val="Compact"/>
            </w:pPr>
            <w:r>
              <w:t xml:space="preserve">3,543</w:t>
            </w:r>
          </w:p>
        </w:tc>
        <w:tc>
          <w:tcPr/>
          <w:p>
            <w:pPr>
              <w:pStyle w:val="Compact"/>
            </w:pPr>
            <w:r>
              <w:t xml:space="preserve">3,550</w:t>
            </w:r>
          </w:p>
        </w:tc>
        <w:tc>
          <w:tcPr/>
          <w:p>
            <w:pPr>
              <w:pStyle w:val="Compact"/>
            </w:pPr>
            <w:r>
              <w:t xml:space="preserve">3,600</w:t>
            </w:r>
          </w:p>
        </w:tc>
        <w:tc>
          <w:tcPr/>
          <w:p>
            <w:pPr>
              <w:pStyle w:val="Compact"/>
            </w:pPr>
            <w:r>
              <w:t xml:space="preserve">3,543</w:t>
            </w:r>
          </w:p>
        </w:tc>
        <w:tc>
          <w:tcPr/>
          <w:p>
            <w:pPr>
              <w:pStyle w:val="Compact"/>
            </w:pPr>
            <w:r>
              <w:t xml:space="preserve">3,429</w:t>
            </w:r>
          </w:p>
        </w:tc>
      </w:tr>
      <w:tr>
        <w:tc>
          <w:tcPr/>
          <w:p>
            <w:pPr>
              <w:pStyle w:val="Compact"/>
            </w:pPr>
            <w:r>
              <w:t xml:space="preserve">HEDIS gap closure</w:t>
            </w:r>
          </w:p>
        </w:tc>
        <w:tc>
          <w:tcPr/>
          <w:p>
            <w:pPr>
              <w:pStyle w:val="Compact"/>
            </w:pPr>
            <w:r>
              <w:t xml:space="preserve">35%</w:t>
            </w:r>
          </w:p>
        </w:tc>
        <w:tc>
          <w:tcPr/>
          <w:p>
            <w:pPr>
              <w:pStyle w:val="Compact"/>
            </w:pPr>
            <w:r>
              <w:t xml:space="preserve">50%</w:t>
            </w:r>
          </w:p>
        </w:tc>
        <w:tc>
          <w:tcPr/>
          <w:p>
            <w:pPr>
              <w:pStyle w:val="Compact"/>
            </w:pPr>
            <w:r>
              <w:t xml:space="preserve">50%</w:t>
            </w:r>
          </w:p>
        </w:tc>
        <w:tc>
          <w:tcPr/>
          <w:p>
            <w:pPr>
              <w:pStyle w:val="Compact"/>
            </w:pPr>
            <w:r>
              <w:t xml:space="preserve">42%</w:t>
            </w:r>
          </w:p>
        </w:tc>
        <w:tc>
          <w:tcPr/>
          <w:p>
            <w:pPr>
              <w:pStyle w:val="Compact"/>
            </w:pPr>
            <w:r>
              <w:t xml:space="preserve">37%</w:t>
            </w:r>
          </w:p>
        </w:tc>
        <w:tc>
          <w:tcPr/>
          <w:p>
            <w:pPr>
              <w:pStyle w:val="Compact"/>
            </w:pPr>
            <w:r>
              <w:t xml:space="preserve">50%</w:t>
            </w:r>
          </w:p>
        </w:tc>
        <w:tc>
          <w:tcPr/>
          <w:p>
            <w:pPr>
              <w:pStyle w:val="Compact"/>
            </w:pPr>
            <w:r>
              <w:t xml:space="preserve">35%</w:t>
            </w:r>
          </w:p>
        </w:tc>
      </w:tr>
      <w:tr>
        <w:tc>
          <w:tcPr/>
          <w:p>
            <w:pPr>
              <w:pStyle w:val="Compact"/>
            </w:pPr>
            <w:r>
              <w:t xml:space="preserve">Engagement rate</w:t>
            </w:r>
          </w:p>
        </w:tc>
        <w:tc>
          <w:tcPr/>
          <w:p>
            <w:pPr>
              <w:pStyle w:val="Compact"/>
            </w:pPr>
            <w:r>
              <w:t xml:space="preserve">12.1%</w:t>
            </w:r>
          </w:p>
        </w:tc>
        <w:tc>
          <w:tcPr/>
          <w:p>
            <w:pPr>
              <w:pStyle w:val="Compact"/>
            </w:pPr>
            <w:r>
              <w:t xml:space="preserve">20.9%</w:t>
            </w:r>
          </w:p>
        </w:tc>
        <w:tc>
          <w:tcPr/>
          <w:p>
            <w:pPr>
              <w:pStyle w:val="Compact"/>
            </w:pPr>
            <w:r>
              <w:t xml:space="preserve">20.9%</w:t>
            </w:r>
          </w:p>
        </w:tc>
        <w:tc>
          <w:tcPr/>
          <w:p>
            <w:pPr>
              <w:pStyle w:val="Compact"/>
            </w:pPr>
            <w:r>
              <w:t xml:space="preserve">20.9%</w:t>
            </w:r>
          </w:p>
        </w:tc>
        <w:tc>
          <w:tcPr/>
          <w:p>
            <w:pPr>
              <w:pStyle w:val="Compact"/>
            </w:pPr>
            <w:r>
              <w:t xml:space="preserve">14.0%</w:t>
            </w:r>
          </w:p>
        </w:tc>
        <w:tc>
          <w:tcPr/>
          <w:p>
            <w:pPr>
              <w:pStyle w:val="Compact"/>
            </w:pPr>
            <w:r>
              <w:t xml:space="preserve">20.9%</w:t>
            </w:r>
          </w:p>
        </w:tc>
        <w:tc>
          <w:tcPr/>
          <w:p>
            <w:pPr>
              <w:pStyle w:val="Compact"/>
            </w:pPr>
            <w:r>
              <w:t xml:space="preserve">12.1%</w:t>
            </w:r>
          </w:p>
        </w:tc>
      </w:tr>
      <w:tr>
        <w:tc>
          <w:tcPr/>
          <w:p>
            <w:pPr>
              <w:pStyle w:val="Compact"/>
            </w:pPr>
            <w:r>
              <w:t xml:space="preserve">Admin (% of premium)</w:t>
            </w:r>
          </w:p>
        </w:tc>
        <w:tc>
          <w:tcPr/>
          <w:p>
            <w:pPr>
              <w:pStyle w:val="Compact"/>
            </w:pPr>
            <w:r>
              <w:t xml:space="preserve">8.4%</w:t>
            </w:r>
          </w:p>
        </w:tc>
        <w:tc>
          <w:tcPr/>
          <w:p>
            <w:pPr>
              <w:pStyle w:val="Compact"/>
            </w:pPr>
            <w:r>
              <w:t xml:space="preserve">2.9%</w:t>
            </w:r>
          </w:p>
        </w:tc>
        <w:tc>
          <w:tcPr/>
          <w:p>
            <w:pPr>
              <w:pStyle w:val="Compact"/>
            </w:pPr>
            <w:r>
              <w:t xml:space="preserve">2.9%</w:t>
            </w:r>
          </w:p>
        </w:tc>
        <w:tc>
          <w:tcPr/>
          <w:p>
            <w:pPr>
              <w:pStyle w:val="Compact"/>
            </w:pPr>
            <w:r>
              <w:t xml:space="preserve">2.9%</w:t>
            </w:r>
          </w:p>
        </w:tc>
        <w:tc>
          <w:tcPr/>
          <w:p>
            <w:pPr>
              <w:pStyle w:val="Compact"/>
            </w:pPr>
            <w:r>
              <w:t xml:space="preserve">5.9%</w:t>
            </w:r>
          </w:p>
        </w:tc>
        <w:tc>
          <w:tcPr/>
          <w:p>
            <w:pPr>
              <w:pStyle w:val="Compact"/>
            </w:pPr>
            <w:r>
              <w:t xml:space="preserve">2.9%</w:t>
            </w:r>
          </w:p>
        </w:tc>
        <w:tc>
          <w:tcPr/>
          <w:p>
            <w:pPr>
              <w:pStyle w:val="Compact"/>
            </w:pPr>
            <w:r>
              <w:t xml:space="preserve">2.9%</w:t>
            </w:r>
          </w:p>
        </w:tc>
      </w:tr>
    </w:tbl>
    <w:bookmarkEnd w:id="35"/>
    <w:bookmarkStart w:id="36" w:name="X520f26de40e5699abd16b4224fa73cd40cbe774"/>
    <w:p>
      <w:pPr>
        <w:pStyle w:val="Heading2"/>
      </w:pPr>
      <w:r>
        <w:t xml:space="preserve">eTable 15. Empirical Medicaid MCO Administrative Cost Distribution</w:t>
      </w:r>
    </w:p>
    <w:p>
      <w:pPr>
        <w:pStyle w:val="FirstParagraph"/>
      </w:pPr>
      <w:r>
        <w:t xml:space="preserve">Contextual evidence supporting the feasibility analysis in the main manuscript Discussion section. The 3.0% AI ACO administrative target lies between achievable public-sector benchmarks (2–4%) and below any reported private MCO performance.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Source</w:t>
            </w:r>
          </w:p>
        </w:tc>
        <w:tc>
          <w:tcPr/>
          <w:p>
            <w:pPr>
              <w:pStyle w:val="Compact"/>
            </w:pPr>
            <w:r>
              <w:t xml:space="preserve">Reference Year</w:t>
            </w:r>
          </w:p>
        </w:tc>
        <w:tc>
          <w:tcPr/>
          <w:p>
            <w:pPr>
              <w:pStyle w:val="Compact"/>
            </w:pPr>
            <w:r>
              <w:t xml:space="preserve">Group</w:t>
            </w:r>
          </w:p>
        </w:tc>
        <w:tc>
          <w:tcPr/>
          <w:p>
            <w:pPr>
              <w:pStyle w:val="Compact"/>
            </w:pPr>
            <w:r>
              <w:t xml:space="preserve">Metric</w:t>
            </w:r>
          </w:p>
        </w:tc>
        <w:tc>
          <w:tcPr/>
          <w:p>
            <w:pPr>
              <w:pStyle w:val="Compact"/>
            </w:pPr>
            <w:r>
              <w:t xml:space="preserve">Value</w:t>
            </w:r>
          </w:p>
        </w:tc>
      </w:tr>
      <w:tr>
        <w:tc>
          <w:tcPr/>
          <w:p>
            <w:pPr>
              <w:pStyle w:val="Compact"/>
            </w:pPr>
            <w:r>
              <w:t xml:space="preserve">Milliman 2025[7]</w:t>
            </w:r>
          </w:p>
        </w:tc>
        <w:tc>
          <w:tcPr/>
          <w:p>
            <w:pPr>
              <w:pStyle w:val="Compact"/>
            </w:pPr>
            <w:r>
              <w:t xml:space="preserve">2024</w:t>
            </w:r>
          </w:p>
        </w:tc>
        <w:tc>
          <w:tcPr/>
          <w:p>
            <w:pPr>
              <w:pStyle w:val="Compact"/>
            </w:pPr>
            <w:r>
              <w:t xml:space="preserve">All Medicaid MCOs, n=184, capitation-weighted composite</w:t>
            </w:r>
          </w:p>
        </w:tc>
        <w:tc>
          <w:tcPr/>
          <w:p>
            <w:pPr>
              <w:pStyle w:val="Compact"/>
            </w:pPr>
            <w:r>
              <w:t xml:space="preserve">ALR (% premium)</w:t>
            </w:r>
          </w:p>
        </w:tc>
        <w:tc>
          <w:tcPr/>
          <w:p>
            <w:pPr>
              <w:pStyle w:val="Compact"/>
            </w:pPr>
            <w:r>
              <w:t xml:space="preserve">10.1%</w:t>
            </w:r>
          </w:p>
        </w:tc>
      </w:tr>
      <w:tr>
        <w:tc>
          <w:tcPr/>
          <w:p>
            <w:pPr>
              <w:pStyle w:val="Compact"/>
            </w:pPr>
            <w:r>
              <w:t xml:space="preserve">Milliman 2025[7]</w:t>
            </w:r>
          </w:p>
        </w:tc>
        <w:tc>
          <w:tcPr/>
          <w:p>
            <w:pPr>
              <w:pStyle w:val="Compact"/>
            </w:pPr>
            <w:r>
              <w:t xml:space="preserve">2023</w:t>
            </w:r>
          </w:p>
        </w:tc>
        <w:tc>
          <w:tcPr/>
          <w:p>
            <w:pPr>
              <w:pStyle w:val="Compact"/>
            </w:pPr>
            <w:r>
              <w:t xml:space="preserve">All Medicaid MCOs, n=186, capitation-weighted composite</w:t>
            </w:r>
          </w:p>
        </w:tc>
        <w:tc>
          <w:tcPr/>
          <w:p>
            <w:pPr>
              <w:pStyle w:val="Compact"/>
            </w:pPr>
            <w:r>
              <w:t xml:space="preserve">ALR (% premium)</w:t>
            </w:r>
          </w:p>
        </w:tc>
        <w:tc>
          <w:tcPr/>
          <w:p>
            <w:pPr>
              <w:pStyle w:val="Compact"/>
            </w:pPr>
            <w:r>
              <w:t xml:space="preserve">7.9%</w:t>
            </w:r>
          </w:p>
        </w:tc>
      </w:tr>
      <w:tr>
        <w:tc>
          <w:tcPr/>
          <w:p>
            <w:pPr>
              <w:pStyle w:val="Compact"/>
            </w:pPr>
            <w:r>
              <w:t xml:space="preserve">Milliman 2025[7]</w:t>
            </w:r>
          </w:p>
        </w:tc>
        <w:tc>
          <w:tcPr/>
          <w:p>
            <w:pPr>
              <w:pStyle w:val="Compact"/>
            </w:pPr>
            <w:r>
              <w:t xml:space="preserve">2024</w:t>
            </w:r>
          </w:p>
        </w:tc>
        <w:tc>
          <w:tcPr/>
          <w:p>
            <w:pPr>
              <w:pStyle w:val="Compact"/>
            </w:pPr>
            <w:r>
              <w:t xml:space="preserve">Medicaid-focused MCO subset</w:t>
            </w:r>
          </w:p>
        </w:tc>
        <w:tc>
          <w:tcPr/>
          <w:p>
            <w:pPr>
              <w:pStyle w:val="Compact"/>
            </w:pPr>
            <w:r>
              <w:t xml:space="preserve">ALR (% premium)</w:t>
            </w:r>
          </w:p>
        </w:tc>
        <w:tc>
          <w:tcPr/>
          <w:p>
            <w:pPr>
              <w:pStyle w:val="Compact"/>
            </w:pPr>
            <w:r>
              <w:t xml:space="preserve">7.7%</w:t>
            </w:r>
          </w:p>
        </w:tc>
      </w:tr>
      <w:tr>
        <w:tc>
          <w:tcPr/>
          <w:p>
            <w:pPr>
              <w:pStyle w:val="Compact"/>
            </w:pPr>
            <w:r>
              <w:t xml:space="preserve">Milliman 2025[7]</w:t>
            </w:r>
          </w:p>
        </w:tc>
        <w:tc>
          <w:tcPr/>
          <w:p>
            <w:pPr>
              <w:pStyle w:val="Compact"/>
            </w:pPr>
            <w:r>
              <w:t xml:space="preserve">2024</w:t>
            </w:r>
          </w:p>
        </w:tc>
        <w:tc>
          <w:tcPr/>
          <w:p>
            <w:pPr>
              <w:pStyle w:val="Compact"/>
            </w:pPr>
            <w:r>
              <w:t xml:space="preserve">Lowest quartile of Medicaid MCOs</w:t>
            </w:r>
          </w:p>
        </w:tc>
        <w:tc>
          <w:tcPr/>
          <w:p>
            <w:pPr>
              <w:pStyle w:val="Compact"/>
            </w:pPr>
            <w:r>
              <w:t xml:space="preserve">ALR (% premium)</w:t>
            </w:r>
          </w:p>
        </w:tc>
        <w:tc>
          <w:tcPr/>
          <w:p>
            <w:pPr>
              <w:pStyle w:val="Compact"/>
            </w:pPr>
            <w:r>
              <w:t xml:space="preserve">~6.5%</w:t>
            </w:r>
          </w:p>
        </w:tc>
      </w:tr>
      <w:tr>
        <w:tc>
          <w:tcPr/>
          <w:p>
            <w:pPr>
              <w:pStyle w:val="Compact"/>
            </w:pPr>
            <w:r>
              <w:t xml:space="preserve">Milliman 2025[7]</w:t>
            </w:r>
          </w:p>
        </w:tc>
        <w:tc>
          <w:tcPr/>
          <w:p>
            <w:pPr>
              <w:pStyle w:val="Compact"/>
            </w:pPr>
            <w:r>
              <w:t xml:space="preserve">2024</w:t>
            </w:r>
          </w:p>
        </w:tc>
        <w:tc>
          <w:tcPr/>
          <w:p>
            <w:pPr>
              <w:pStyle w:val="Compact"/>
            </w:pPr>
            <w:r>
              <w:t xml:space="preserve">Lowest decile of Medicaid MCOs</w:t>
            </w:r>
          </w:p>
        </w:tc>
        <w:tc>
          <w:tcPr/>
          <w:p>
            <w:pPr>
              <w:pStyle w:val="Compact"/>
            </w:pPr>
            <w:r>
              <w:t xml:space="preserve">ALR (% premium)</w:t>
            </w:r>
          </w:p>
        </w:tc>
        <w:tc>
          <w:tcPr/>
          <w:p>
            <w:pPr>
              <w:pStyle w:val="Compact"/>
            </w:pPr>
            <w:r>
              <w:t xml:space="preserve">~5.2%</w:t>
            </w:r>
          </w:p>
        </w:tc>
      </w:tr>
      <w:tr>
        <w:tc>
          <w:tcPr/>
          <w:p>
            <w:pPr>
              <w:pStyle w:val="Compact"/>
            </w:pPr>
            <w:r>
              <w:t xml:space="preserve">CMS-2439-F[8]</w:t>
            </w:r>
          </w:p>
        </w:tc>
        <w:tc>
          <w:tcPr/>
          <w:p>
            <w:pPr>
              <w:pStyle w:val="Compact"/>
            </w:pPr>
            <w:r>
              <w:t xml:space="preserve">2024</w:t>
            </w:r>
          </w:p>
        </w:tc>
        <w:tc>
          <w:tcPr/>
          <w:p>
            <w:pPr>
              <w:pStyle w:val="Compact"/>
            </w:pPr>
            <w:r>
              <w:t xml:space="preserve">Statutory federal MLR floor: maximum admin+margin share permitted</w:t>
            </w:r>
          </w:p>
        </w:tc>
        <w:tc>
          <w:tcPr/>
          <w:p>
            <w:pPr>
              <w:pStyle w:val="Compact"/>
            </w:pPr>
            <w:r>
              <w:t xml:space="preserve">Admin+margin ceiling</w:t>
            </w:r>
          </w:p>
        </w:tc>
        <w:tc>
          <w:tcPr/>
          <w:p>
            <w:pPr>
              <w:pStyle w:val="Compact"/>
            </w:pPr>
            <w:r>
              <w:t xml:space="preserve">15.0%</w:t>
            </w:r>
          </w:p>
        </w:tc>
      </w:tr>
      <w:tr>
        <w:tc>
          <w:tcPr/>
          <w:p>
            <w:pPr>
              <w:pStyle w:val="Compact"/>
            </w:pPr>
            <w:r>
              <w:t xml:space="preserve">MACPAC MACStats[37]</w:t>
            </w:r>
          </w:p>
        </w:tc>
        <w:tc>
          <w:tcPr/>
          <w:p>
            <w:pPr>
              <w:pStyle w:val="Compact"/>
            </w:pPr>
            <w:r>
              <w:t xml:space="preserve">2024</w:t>
            </w:r>
          </w:p>
        </w:tc>
        <w:tc>
          <w:tcPr/>
          <w:p>
            <w:pPr>
              <w:pStyle w:val="Compact"/>
            </w:pPr>
            <w:r>
              <w:t xml:space="preserve">Medicaid managed care MLR statutory minimum</w:t>
            </w:r>
          </w:p>
        </w:tc>
        <w:tc>
          <w:tcPr/>
          <w:p>
            <w:pPr>
              <w:pStyle w:val="Compact"/>
            </w:pPr>
            <w:r>
              <w:t xml:space="preserve">Minimum MLR</w:t>
            </w:r>
          </w:p>
        </w:tc>
        <w:tc>
          <w:tcPr/>
          <w:p>
            <w:pPr>
              <w:pStyle w:val="Compact"/>
            </w:pPr>
            <w:r>
              <w:t xml:space="preserve">85.0%</w:t>
            </w:r>
          </w:p>
        </w:tc>
      </w:tr>
      <w:tr>
        <w:tc>
          <w:tcPr/>
          <w:p>
            <w:pPr>
              <w:pStyle w:val="Compact"/>
            </w:pPr>
            <w:r>
              <w:t xml:space="preserve">CMS MLR Annual Reports[46]</w:t>
            </w:r>
          </w:p>
        </w:tc>
        <w:tc>
          <w:tcPr/>
          <w:p>
            <w:pPr>
              <w:pStyle w:val="Compact"/>
            </w:pPr>
            <w:r>
              <w:t xml:space="preserve">2024</w:t>
            </w:r>
          </w:p>
        </w:tc>
        <w:tc>
          <w:tcPr/>
          <w:p>
            <w:pPr>
              <w:pStyle w:val="Compact"/>
            </w:pPr>
            <w:r>
              <w:t xml:space="preserve">Medicaid managed care actual median MLR</w:t>
            </w:r>
          </w:p>
        </w:tc>
        <w:tc>
          <w:tcPr/>
          <w:p>
            <w:pPr>
              <w:pStyle w:val="Compact"/>
            </w:pPr>
            <w:r>
              <w:t xml:space="preserve">MLR (% premium)</w:t>
            </w:r>
          </w:p>
        </w:tc>
        <w:tc>
          <w:tcPr/>
          <w:p>
            <w:pPr>
              <w:pStyle w:val="Compact"/>
            </w:pPr>
            <w:r>
              <w:t xml:space="preserve">~88.0%</w:t>
            </w:r>
          </w:p>
        </w:tc>
      </w:tr>
      <w:tr>
        <w:tc>
          <w:tcPr/>
          <w:p>
            <w:pPr>
              <w:pStyle w:val="Compact"/>
            </w:pPr>
            <w:r>
              <w:t xml:space="preserve">Himmelstein et al. 2020[45]</w:t>
            </w:r>
          </w:p>
        </w:tc>
        <w:tc>
          <w:tcPr/>
          <w:p>
            <w:pPr>
              <w:pStyle w:val="Compact"/>
            </w:pPr>
            <w:r>
              <w:t xml:space="preserve">2017</w:t>
            </w:r>
          </w:p>
        </w:tc>
        <w:tc>
          <w:tcPr/>
          <w:p>
            <w:pPr>
              <w:pStyle w:val="Compact"/>
            </w:pPr>
            <w:r>
              <w:t xml:space="preserve">U.S. traditional Medicaid (state agency, non-MCO)</w:t>
            </w:r>
          </w:p>
        </w:tc>
        <w:tc>
          <w:tcPr/>
          <w:p>
            <w:pPr>
              <w:pStyle w:val="Compact"/>
            </w:pPr>
            <w:r>
              <w:t xml:space="preserve">Admin (% spending)</w:t>
            </w:r>
          </w:p>
        </w:tc>
        <w:tc>
          <w:tcPr/>
          <w:p>
            <w:pPr>
              <w:pStyle w:val="Compact"/>
            </w:pPr>
            <w:r>
              <w:t xml:space="preserve">~3.5%</w:t>
            </w:r>
          </w:p>
        </w:tc>
      </w:tr>
      <w:tr>
        <w:tc>
          <w:tcPr/>
          <w:p>
            <w:pPr>
              <w:pStyle w:val="Compact"/>
            </w:pPr>
            <w:r>
              <w:t xml:space="preserve">Himmelstein et al. 2020[45]</w:t>
            </w:r>
          </w:p>
        </w:tc>
        <w:tc>
          <w:tcPr/>
          <w:p>
            <w:pPr>
              <w:pStyle w:val="Compact"/>
            </w:pPr>
            <w:r>
              <w:t xml:space="preserve">2017</w:t>
            </w:r>
          </w:p>
        </w:tc>
        <w:tc>
          <w:tcPr/>
          <w:p>
            <w:pPr>
              <w:pStyle w:val="Compact"/>
            </w:pPr>
            <w:r>
              <w:t xml:space="preserve">Canadian provincial public insurance</w:t>
            </w:r>
          </w:p>
        </w:tc>
        <w:tc>
          <w:tcPr/>
          <w:p>
            <w:pPr>
              <w:pStyle w:val="Compact"/>
            </w:pPr>
            <w:r>
              <w:t xml:space="preserve">Admin (% spending)</w:t>
            </w:r>
          </w:p>
        </w:tc>
        <w:tc>
          <w:tcPr/>
          <w:p>
            <w:pPr>
              <w:pStyle w:val="Compact"/>
            </w:pPr>
            <w:r>
              <w:t xml:space="preserve">~2.0%</w:t>
            </w:r>
          </w:p>
        </w:tc>
      </w:tr>
      <w:tr>
        <w:tc>
          <w:tcPr/>
          <w:p>
            <w:pPr>
              <w:pStyle w:val="Compact"/>
            </w:pPr>
            <w:r>
              <w:t xml:space="preserve">Himmelstein et al. 2020[45]</w:t>
            </w:r>
          </w:p>
        </w:tc>
        <w:tc>
          <w:tcPr/>
          <w:p>
            <w:pPr>
              <w:pStyle w:val="Compact"/>
            </w:pPr>
            <w:r>
              <w:t xml:space="preserve">2017</w:t>
            </w:r>
          </w:p>
        </w:tc>
        <w:tc>
          <w:tcPr/>
          <w:p>
            <w:pPr>
              <w:pStyle w:val="Compact"/>
            </w:pPr>
            <w:r>
              <w:t xml:space="preserve">U.S. Medicare (traditional FFS)</w:t>
            </w:r>
          </w:p>
        </w:tc>
        <w:tc>
          <w:tcPr/>
          <w:p>
            <w:pPr>
              <w:pStyle w:val="Compact"/>
            </w:pPr>
            <w:r>
              <w:t xml:space="preserve">Admin (% spending)</w:t>
            </w:r>
          </w:p>
        </w:tc>
        <w:tc>
          <w:tcPr/>
          <w:p>
            <w:pPr>
              <w:pStyle w:val="Compact"/>
            </w:pPr>
            <w:r>
              <w:t xml:space="preserve">~2.0%</w:t>
            </w:r>
          </w:p>
        </w:tc>
      </w:tr>
    </w:tbl>
    <w:p>
      <w:pPr>
        <w:pStyle w:val="BodyText"/>
      </w:pPr>
      <w:r>
        <w:t xml:space="preserve">ALR = administrative loss ratio (administrative cost / premium revenue). MLR = medical loss ratio (medical claims / premium revenue). The 5.2% lowest-decile MCO figure represents the most efficient privately operated Medicaid plans nationally; the 3.0% AI ACO target requires achievement of administrative efficiency below any reported private operator and approaching traditional public Medicaid agency performance. The administrative-rate sensitivity analysis (eTable 12) addresses the possibility that 3.0% is not achieved at launch; even at 6.0% administrative overhead—still below current private MCO performance but above public-sector benchmarks—the model projects $23 PMPM savings with 100% probability of net savings.</w:t>
      </w:r>
    </w:p>
    <w:bookmarkEnd w:id="36"/>
    <w:bookmarkStart w:id="37" w:name="X1b4727fb898f154cb2208fc26c8eeb19e2e3441"/>
    <w:p>
      <w:pPr>
        <w:pStyle w:val="Heading2"/>
      </w:pPr>
      <w:r>
        <w:t xml:space="preserve">eTable 16. Administrative Cost Buildup: Decomposition of the Gap from Status-Quo MCO Overhead to the AI ACO Target</w:t>
      </w:r>
    </w:p>
    <w:p>
      <w:pPr>
        <w:pStyle w:val="FirstParagraph"/>
      </w:pPr>
      <w:r>
        <w:t xml:space="preserve">Functional decomposition of the reduction from the modeled 8.4% status-quo MCO administrative overhead to the approximately 3% AI ACO target. The decomposition separates the share of the gap that is structural to organizational form (removable by a nonprofit, charter-locked entity without any AI) from the share that depends on AI automation of residual processing functions.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Component</w:t>
            </w:r>
          </w:p>
        </w:tc>
        <w:tc>
          <w:tcPr/>
          <w:p>
            <w:pPr>
              <w:pStyle w:val="Compact"/>
            </w:pPr>
            <w:r>
              <w:t xml:space="preserve">Functions</w:t>
            </w:r>
          </w:p>
        </w:tc>
        <w:tc>
          <w:tcPr/>
          <w:p>
            <w:pPr>
              <w:pStyle w:val="Compact"/>
            </w:pPr>
            <w:r>
              <w:t xml:space="preserve">Mechanism</w:t>
            </w:r>
          </w:p>
        </w:tc>
        <w:tc>
          <w:tcPr/>
          <w:p>
            <w:pPr>
              <w:pStyle w:val="Compact"/>
            </w:pPr>
            <w:r>
              <w:t xml:space="preserve">Empirical basis</w:t>
            </w:r>
          </w:p>
        </w:tc>
      </w:tr>
      <w:tr>
        <w:tc>
          <w:tcPr/>
          <w:p>
            <w:pPr>
              <w:pStyle w:val="Compact"/>
            </w:pPr>
            <w:r>
              <w:rPr>
                <w:b/>
                <w:bCs/>
              </w:rPr>
              <w:t xml:space="preserve">A. For-profit managed-care overhead (structural; no AI required)</w:t>
            </w:r>
          </w:p>
        </w:tc>
        <w:tc>
          <w:tcPr/>
          <w:p>
            <w:pPr>
              <w:pStyle w:val="Compact"/>
            </w:pPr>
            <w:r>
              <w:t xml:space="preserve">Marketing, broker commissions, profit and risk margin, shareholder returns</w:t>
            </w:r>
          </w:p>
        </w:tc>
        <w:tc>
          <w:tcPr/>
          <w:p>
            <w:pPr>
              <w:pStyle w:val="Compact"/>
            </w:pPr>
            <w:r>
              <w:t xml:space="preserve">Not incurred by a nonprofit, charter-locked public-benefit ACO</w:t>
            </w:r>
          </w:p>
        </w:tc>
        <w:tc>
          <w:tcPr/>
          <w:p>
            <w:pPr>
              <w:pStyle w:val="Compact"/>
            </w:pPr>
            <w:r>
              <w:t xml:space="preserve">Admin + profit in Medicaid managed-care states exceeds non–managed-care states by ~$250 per person per year (~4 percentage points of premium at the modeled capitation rate)[52]; traditional state Medicaid administration 2–4% and Medicare FFS ~1.7%, neither using AI[45, 46]</w:t>
            </w:r>
          </w:p>
        </w:tc>
      </w:tr>
      <w:tr>
        <w:tc>
          <w:tcPr/>
          <w:p>
            <w:pPr>
              <w:pStyle w:val="Compact"/>
            </w:pPr>
            <w:r>
              <w:rPr>
                <w:b/>
                <w:bCs/>
              </w:rPr>
              <w:t xml:space="preserve">B. Volume-driven processing (AI-automatable)</w:t>
            </w:r>
          </w:p>
        </w:tc>
        <w:tc>
          <w:tcPr/>
          <w:p>
            <w:pPr>
              <w:pStyle w:val="Compact"/>
            </w:pPr>
            <w:r>
              <w:t xml:space="preserve">Claims adjudication, prior authorization, eligibility verification, claim-status inquiry, care-management triage</w:t>
            </w:r>
          </w:p>
        </w:tc>
        <w:tc>
          <w:tcPr/>
          <w:p>
            <w:pPr>
              <w:pStyle w:val="Compact"/>
            </w:pPr>
            <w:r>
              <w:t xml:space="preserve">Automation of formula-driven, high-volume transactions</w:t>
            </w:r>
          </w:p>
        </w:tc>
        <w:tc>
          <w:tcPr/>
          <w:p>
            <w:pPr>
              <w:pStyle w:val="Compact"/>
            </w:pPr>
            <w:r>
              <w:t xml:space="preserve">Prior authorization only 35% fully electronic as of 2024; full automation of tracked administrative transactions ≈ $20 billion annual savings opportunity[53]; CMS-0057-F mandates prior-authorization APIs for Medicaid[22]</w:t>
            </w:r>
          </w:p>
        </w:tc>
      </w:tr>
      <w:tr>
        <w:tc>
          <w:tcPr/>
          <w:p>
            <w:pPr>
              <w:pStyle w:val="Compact"/>
            </w:pPr>
            <w:r>
              <w:rPr>
                <w:b/>
                <w:bCs/>
              </w:rPr>
              <w:t xml:space="preserve">C. Retained floor (not automatable under current regulation)</w:t>
            </w:r>
          </w:p>
        </w:tc>
        <w:tc>
          <w:tcPr/>
          <w:p>
            <w:pPr>
              <w:pStyle w:val="Compact"/>
            </w:pPr>
            <w:r>
              <w:t xml:space="preserve">State reporting/CMS compliance, network contracting and credentialing, grievance and appeals (statutory due process), actuarial certification, executive and board functions, AI deployment overhead (validation, monitoring, drift detection, vendor management, regulatory review)</w:t>
            </w:r>
          </w:p>
        </w:tc>
        <w:tc>
          <w:tcPr/>
          <w:p>
            <w:pPr>
              <w:pStyle w:val="Compact"/>
            </w:pPr>
            <w:r>
              <w:t xml:space="preserve">Persist regardless of AI; constitute the residual ~3% target</w:t>
            </w:r>
          </w:p>
        </w:tc>
        <w:tc>
          <w:tcPr/>
          <w:p>
            <w:pPr>
              <w:pStyle w:val="Compact"/>
            </w:pPr>
            <w:r>
              <w:t xml:space="preserve">Design assumption; informed by enumerated MCO backend functions</w:t>
            </w:r>
          </w:p>
        </w:tc>
      </w:tr>
    </w:tbl>
    <w:p>
      <w:pPr>
        <w:pStyle w:val="BodyText"/>
      </w:pPr>
      <w:r>
        <w:t xml:space="preserve">The directional conclusion of net savings does not depend on reaching the 3% target: the administrative-rate sensitivity analysis (eTable 12) shows a high probability of net savings at every overhead rate materially below the 8.4% status quo. Components A and B are independently evidenced; component C is a design assumption. The principal uncertainty is the extent of automation achievable in component B in a live Medicaid context, which the proposed Section 1115 demonstration is designed to measure directly.</w:t>
      </w:r>
    </w:p>
    <w:bookmarkEnd w:id="37"/>
    <w:bookmarkStart w:id="41" w:name="eappendix-c.-welfare-analysis-derivation"/>
    <w:p>
      <w:pPr>
        <w:pStyle w:val="Heading2"/>
      </w:pPr>
      <w:r>
        <w:t xml:space="preserve">eAppendix C. Welfare Analysis Derivation</w:t>
      </w:r>
    </w:p>
    <w:bookmarkStart w:id="38" w:name="hicks-kaldor-framework49"/>
    <w:p>
      <w:pPr>
        <w:pStyle w:val="Heading3"/>
      </w:pPr>
      <w:r>
        <w:t xml:space="preserve">Hicks-Kaldor Framework[49]</w:t>
      </w:r>
    </w:p>
    <w:p>
      <w:pPr>
        <w:pStyle w:val="FirstParagraph"/>
      </w:pPr>
      <w:r>
        <w:t xml:space="preserve">Net social surplus measures total societal gain: the sum of all benefits to patients, the government (Medicaid program), and providers, minus all costs. A positive value indicates that the intervention creates more value than it consumes.</w:t>
      </w:r>
    </w:p>
    <w:p>
      <w:pPr>
        <w:pStyle w:val="BodyText"/>
      </w:pPr>
      <w:r>
        <w:t xml:space="preserve">Social welfare is decomposed into three surplus components:</w:t>
      </w:r>
    </w:p>
    <w:p>
      <w:pPr>
        <w:pStyle w:val="BodyText"/>
      </w:pPr>
      <w:r>
        <w:rPr>
          <w:b/>
          <w:bCs/>
        </w:rPr>
        <w:t xml:space="preserve">Consumer Surplus</w:t>
      </w:r>
      <w:r>
        <w:t xml:space="preserve">: Monetized health gains from reduced acute care events and improved preventive care quality.</w:t>
      </w:r>
    </w:p>
    <w:p>
      <w:pPr>
        <w:pStyle w:val="BodyText"/>
      </w:pPr>
      <m:oMathPara>
        <m:oMathParaPr>
          <m:jc m:val="center"/>
        </m:oMathParaPr>
        <m:oMath>
          <m:r>
            <m:t>C</m:t>
          </m:r>
          <m:r>
            <m:t>S</m:t>
          </m:r>
          <m:r>
            <m:rPr>
              <m:sty m:val="p"/>
            </m:rPr>
            <m:t>=</m:t>
          </m:r>
          <m:r>
            <m:rPr>
              <m:sty m:val="p"/>
            </m:rPr>
            <m:t>(</m:t>
          </m:r>
          <m:r>
            <m:rPr>
              <m:sty m:val="p"/>
            </m:rPr>
            <m:t>Δ</m:t>
          </m:r>
          <m:r>
            <m:rPr>
              <m:nor/>
              <m:sty m:val="p"/>
            </m:rPr>
            <m:t>hosp</m:t>
          </m:r>
          <m:r>
            <m:rPr>
              <m:sty m:val="p"/>
            </m:rPr>
            <m:t>×</m:t>
          </m:r>
          <m:r>
            <m:t>0.05</m:t>
          </m:r>
          <m:r>
            <m:rPr>
              <m:sty m:val="p"/>
            </m:rPr>
            <m:t>+</m:t>
          </m:r>
          <m:r>
            <m:rPr>
              <m:sty m:val="p"/>
            </m:rPr>
            <m:t>Δ</m:t>
          </m:r>
          <m:r>
            <m:rPr>
              <m:nor/>
              <m:sty m:val="p"/>
            </m:rPr>
            <m:t>ED</m:t>
          </m:r>
          <m:r>
            <m:rPr>
              <m:sty m:val="p"/>
            </m:rPr>
            <m:t>×</m:t>
          </m:r>
          <m:r>
            <m:t>0.01</m:t>
          </m:r>
          <m:r>
            <m:rPr>
              <m:sty m:val="p"/>
            </m:rPr>
            <m:t>+</m:t>
          </m:r>
          <m:r>
            <m:rPr>
              <m:sty m:val="p"/>
            </m:rPr>
            <m:t>Δ</m:t>
          </m:r>
          <m:r>
            <m:rPr>
              <m:nor/>
              <m:sty m:val="p"/>
            </m:rPr>
            <m:t>PCP</m:t>
          </m:r>
          <m:r>
            <m:rPr>
              <m:sty m:val="p"/>
            </m:rPr>
            <m:t>×</m:t>
          </m:r>
          <m:r>
            <m:t>0.002</m:t>
          </m:r>
          <m:r>
            <m:rPr>
              <m:sty m:val="p"/>
            </m:rPr>
            <m:t>+</m:t>
          </m:r>
          <m:r>
            <m:rPr>
              <m:sty m:val="p"/>
            </m:rPr>
            <m:t>Δ</m:t>
          </m:r>
          <m:r>
            <m:rPr>
              <m:nor/>
              <m:sty m:val="p"/>
            </m:rPr>
            <m:t>HEDIS</m:t>
          </m:r>
          <m:r>
            <m:rPr>
              <m:sty m:val="p"/>
            </m:rPr>
            <m:t>×</m:t>
          </m:r>
          <m:r>
            <m:t>0.001</m:t>
          </m:r>
          <m:r>
            <m:rPr>
              <m:sty m:val="p"/>
            </m:rPr>
            <m:t>)</m:t>
          </m:r>
          <m:r>
            <m:rPr>
              <m:sty m:val="p"/>
            </m:rPr>
            <m:t>×</m:t>
          </m:r>
          <m:r>
            <m:t>W</m:t>
          </m:r>
          <m:r>
            <m:t>T</m:t>
          </m:r>
          <m:r>
            <m:t>P</m:t>
          </m:r>
        </m:oMath>
      </m:oMathPara>
    </w:p>
    <w:p>
      <w:pPr>
        <w:pStyle w:val="FirstParagraph"/>
      </w:pPr>
      <w:r>
        <w:t xml:space="preserve">where</w:t>
      </w:r>
      <w:r>
        <w:t xml:space="preserve"> </w:t>
      </w:r>
      <m:oMath>
        <m:r>
          <m:rPr>
            <m:sty m:val="p"/>
          </m:rPr>
          <m:t>Δ</m:t>
        </m:r>
      </m:oMath>
      <w:r>
        <w:t xml:space="preserve"> </w:t>
      </w:r>
      <w:r>
        <w:t xml:space="preserve">values represent per-member changes in utilization rates and</w:t>
      </w:r>
      <w:r>
        <w:t xml:space="preserve"> </w:t>
      </w:r>
      <m:oMath>
        <m:r>
          <m:t>W</m:t>
        </m:r>
        <m:r>
          <m:t>T</m:t>
        </m:r>
        <m:r>
          <m:t>P</m:t>
        </m:r>
      </m:oMath>
      <w:r>
        <w:t xml:space="preserve"> </w:t>
      </w:r>
      <w:r>
        <w:t xml:space="preserve">is the willingness-to-pay threshold per QALY (base case: $100,000).</w:t>
      </w:r>
    </w:p>
    <w:p>
      <w:pPr>
        <w:pStyle w:val="BodyText"/>
      </w:pPr>
      <w:r>
        <w:rPr>
          <w:b/>
          <w:bCs/>
        </w:rPr>
        <w:t xml:space="preserve">Government Surplus</w:t>
      </w:r>
      <w:r>
        <w:t xml:space="preserve">: Total Medicaid program savings from reduced PMPM, which already includes both medical utilization savings and administrative overhead reduction. Reported as subcomponents for transparency but not counted separately:</w:t>
      </w:r>
    </w:p>
    <w:p>
      <w:pPr>
        <w:pStyle w:val="BodyText"/>
      </w:pPr>
      <m:oMathPara>
        <m:oMathParaPr>
          <m:jc m:val="center"/>
        </m:oMathParaPr>
        <m:oMath>
          <m:r>
            <m:t>G</m:t>
          </m:r>
          <m:r>
            <m:t>S</m:t>
          </m:r>
          <m:r>
            <m:rPr>
              <m:sty m:val="p"/>
            </m:rPr>
            <m:t>=</m:t>
          </m:r>
          <m:r>
            <m:rPr>
              <m:sty m:val="p"/>
            </m:rPr>
            <m:t>Δ</m:t>
          </m:r>
          <m:r>
            <m:t>P</m:t>
          </m:r>
          <m:r>
            <m:t>M</m:t>
          </m:r>
          <m:r>
            <m:t>P</m:t>
          </m:r>
          <m:r>
            <m:t>M</m:t>
          </m:r>
          <m:r>
            <m:rPr>
              <m:sty m:val="p"/>
            </m:rPr>
            <m:t>×</m:t>
          </m:r>
          <m:r>
            <m:t>12</m:t>
          </m:r>
        </m:oMath>
      </m:oMathPara>
    </w:p>
    <w:p>
      <w:pPr>
        <w:pStyle w:val="Compact"/>
        <w:numPr>
          <w:ilvl w:val="0"/>
          <w:numId w:val="1003"/>
        </w:numPr>
      </w:pPr>
      <w:r>
        <w:rPr>
          <w:i/>
          <w:iCs/>
        </w:rPr>
        <w:t xml:space="preserve">Administrative savings</w:t>
      </w:r>
      <w:r>
        <w:t xml:space="preserve">:</w:t>
      </w:r>
      <w:r>
        <w:t xml:space="preserve"> </w:t>
      </w:r>
      <m:oMath>
        <m:r>
          <m:rPr>
            <m:sty m:val="p"/>
          </m:rPr>
          <m:t>Δ</m:t>
        </m:r>
        <m:r>
          <m:rPr>
            <m:nor/>
            <m:sty m:val="p"/>
          </m:rPr>
          <m:t>admin%</m:t>
        </m:r>
        <m:r>
          <m:rPr>
            <m:sty m:val="p"/>
          </m:rPr>
          <m:t>×</m:t>
        </m:r>
        <m:r>
          <m:t>P</m:t>
        </m:r>
        <m:r>
          <m:t>M</m:t>
        </m:r>
        <m:r>
          <m:t>P</m:t>
        </m:r>
        <m:sSub>
          <m:e>
            <m:r>
              <m:t>M</m:t>
            </m:r>
          </m:e>
          <m:sub>
            <m:r>
              <m:rPr>
                <m:nor/>
                <m:sty m:val="p"/>
              </m:rPr>
              <m:t>baseline</m:t>
            </m:r>
          </m:sub>
        </m:sSub>
        <m:r>
          <m:rPr>
            <m:sty m:val="p"/>
          </m:rPr>
          <m:t>×</m:t>
        </m:r>
        <m:r>
          <m:t>12</m:t>
        </m:r>
      </m:oMath>
    </w:p>
    <w:p>
      <w:pPr>
        <w:pStyle w:val="Compact"/>
        <w:numPr>
          <w:ilvl w:val="0"/>
          <w:numId w:val="1003"/>
        </w:numPr>
      </w:pPr>
      <w:r>
        <w:rPr>
          <w:i/>
          <w:iCs/>
        </w:rPr>
        <w:t xml:space="preserve">Medical savings</w:t>
      </w:r>
      <w:r>
        <w:t xml:space="preserve">:</w:t>
      </w:r>
      <w:r>
        <w:t xml:space="preserve"> </w:t>
      </w:r>
      <m:oMath>
        <m:r>
          <m:t>G</m:t>
        </m:r>
        <m:r>
          <m:t>S</m:t>
        </m:r>
        <m:r>
          <m:rPr>
            <m:sty m:val="p"/>
          </m:rPr>
          <m:t>−</m:t>
        </m:r>
        <m:r>
          <m:rPr>
            <m:nor/>
            <m:sty m:val="p"/>
          </m:rPr>
          <m:t>administrative savings</m:t>
        </m:r>
      </m:oMath>
    </w:p>
    <w:p>
      <w:pPr>
        <w:pStyle w:val="FirstParagraph"/>
      </w:pPr>
      <w:r>
        <w:t xml:space="preserve">These components sum to</w:t>
      </w:r>
      <w:r>
        <w:t xml:space="preserve"> </w:t>
      </w:r>
      <m:oMath>
        <m:r>
          <m:t>G</m:t>
        </m:r>
        <m:r>
          <m:t>S</m:t>
        </m:r>
      </m:oMath>
      <w:r>
        <w:t xml:space="preserve"> </w:t>
      </w:r>
      <w:r>
        <w:t xml:space="preserve">by construction.</w:t>
      </w:r>
    </w:p>
    <w:p>
      <w:pPr>
        <w:pStyle w:val="BodyText"/>
      </w:pPr>
      <w:r>
        <w:rPr>
          <w:b/>
          <w:bCs/>
        </w:rPr>
        <w:t xml:space="preserve">Producer Surplus</w:t>
      </w:r>
      <w:r>
        <w:t xml:space="preserve">: Net provider revenue change from volume shifts (increased primary care, decreased acute care).</w:t>
      </w:r>
    </w:p>
    <w:p>
      <w:pPr>
        <w:pStyle w:val="BodyText"/>
      </w:pPr>
      <m:oMathPara>
        <m:oMathParaPr>
          <m:jc m:val="center"/>
        </m:oMathParaPr>
        <m:oMath>
          <m:r>
            <m:t>P</m:t>
          </m:r>
          <m:r>
            <m:t>S</m:t>
          </m:r>
          <m:r>
            <m:rPr>
              <m:sty m:val="p"/>
            </m:rPr>
            <m:t>=</m:t>
          </m:r>
          <m:r>
            <m:rPr>
              <m:sty m:val="p"/>
            </m:rPr>
            <m:t>Δ</m:t>
          </m:r>
          <m:r>
            <m:t>P</m:t>
          </m:r>
          <m:r>
            <m:t>C</m:t>
          </m:r>
          <m:r>
            <m:t>P</m:t>
          </m:r>
          <m:r>
            <m:rPr>
              <m:sty m:val="p"/>
            </m:rPr>
            <m:t>×</m:t>
          </m:r>
          <m:sSub>
            <m:e>
              <m:r>
                <m:rPr>
                  <m:nor/>
                  <m:sty m:val="p"/>
                </m:rPr>
                <m:t>margin</m:t>
              </m:r>
            </m:e>
            <m:sub>
              <m:r>
                <m:t>P</m:t>
              </m:r>
              <m:r>
                <m:t>C</m:t>
              </m:r>
              <m:r>
                <m:t>P</m:t>
              </m:r>
            </m:sub>
          </m:sSub>
        </m:oMath>
      </m:oMathPara>
    </w:p>
    <w:p>
      <w:pPr>
        <w:pStyle w:val="FirstParagraph"/>
      </w:pPr>
      <w:r>
        <w:rPr>
          <w:b/>
          <w:bCs/>
        </w:rPr>
        <w:t xml:space="preserve">Net Social Surplus</w:t>
      </w:r>
      <w:r>
        <w:t xml:space="preserve"> </w:t>
      </w:r>
      <w:r>
        <w:t xml:space="preserve">=</w:t>
      </w:r>
      <w:r>
        <w:t xml:space="preserve"> </w:t>
      </w:r>
      <m:oMath>
        <m:r>
          <m:t>C</m:t>
        </m:r>
        <m:r>
          <m:t>S</m:t>
        </m:r>
        <m:r>
          <m:rPr>
            <m:sty m:val="p"/>
          </m:rPr>
          <m:t>+</m:t>
        </m:r>
        <m:r>
          <m:t>G</m:t>
        </m:r>
        <m:r>
          <m:t>S</m:t>
        </m:r>
        <m:r>
          <m:rPr>
            <m:sty m:val="p"/>
          </m:rPr>
          <m:t>+</m:t>
        </m:r>
        <m:r>
          <m:t>P</m:t>
        </m:r>
        <m:r>
          <m:t>S</m:t>
        </m:r>
      </m:oMath>
      <w:r>
        <w:t xml:space="preserve">.</w:t>
      </w:r>
    </w:p>
    <w:bookmarkEnd w:id="38"/>
    <w:bookmarkStart w:id="39" w:name="X9e17495f6bbb92748de7072c4a5c57c2caea2c3"/>
    <w:p>
      <w:pPr>
        <w:pStyle w:val="Heading3"/>
      </w:pPr>
      <w:r>
        <w:t xml:space="preserve">Numerical Decomposition (AI ACO vs. Status Quo MCO)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Component</w:t>
            </w:r>
          </w:p>
        </w:tc>
        <w:tc>
          <w:tcPr/>
          <w:p>
            <w:pPr>
              <w:pStyle w:val="Compact"/>
            </w:pPr>
            <w:r>
              <w:t xml:space="preserve">Per Member Per Year</w:t>
            </w:r>
          </w:p>
        </w:tc>
      </w:tr>
      <w:tr>
        <w:tc>
          <w:tcPr/>
          <w:p>
            <w:pPr>
              <w:pStyle w:val="Compact"/>
            </w:pPr>
            <w:r>
              <w:t xml:space="preserve">Consumer surplus (QALY gains)</w:t>
            </w:r>
          </w:p>
        </w:tc>
        <w:tc>
          <w:tcPr/>
          <w:p>
            <w:pPr>
              <w:pStyle w:val="Compact"/>
            </w:pPr>
            <w:r>
              <w:t xml:space="preserve">$151</w:t>
            </w:r>
          </w:p>
        </w:tc>
      </w:tr>
      <w:tr>
        <w:tc>
          <w:tcPr/>
          <w:p>
            <w:pPr>
              <w:pStyle w:val="Compact"/>
            </w:pPr>
            <w:r>
              <w:t xml:space="preserve">Government surplus (total program savings)</w:t>
            </w:r>
          </w:p>
        </w:tc>
        <w:tc>
          <w:tcPr/>
          <w:p>
            <w:pPr>
              <w:pStyle w:val="Compact"/>
            </w:pPr>
            <w:r>
              <w:t xml:space="preserve">$490</w:t>
            </w:r>
          </w:p>
        </w:tc>
      </w:tr>
      <w:tr>
        <w:tc>
          <w:tcPr/>
          <w:p>
            <w:pPr>
              <w:pStyle w:val="Compact"/>
            </w:pPr>
            <w:r>
              <w:t xml:space="preserve">— of which: medical savings</w:t>
            </w:r>
          </w:p>
        </w:tc>
        <w:tc>
          <w:tcPr/>
          <w:p>
            <w:pPr>
              <w:pStyle w:val="Compact"/>
            </w:pPr>
            <w:r>
              <w:t xml:space="preserve">$176</w:t>
            </w:r>
          </w:p>
        </w:tc>
      </w:tr>
      <w:tr>
        <w:tc>
          <w:tcPr/>
          <w:p>
            <w:pPr>
              <w:pStyle w:val="Compact"/>
            </w:pPr>
            <w:r>
              <w:t xml:space="preserve">— of which: administrative savings</w:t>
            </w:r>
          </w:p>
        </w:tc>
        <w:tc>
          <w:tcPr/>
          <w:p>
            <w:pPr>
              <w:pStyle w:val="Compact"/>
            </w:pPr>
            <w:r>
              <w:t xml:space="preserve">$314</w:t>
            </w:r>
          </w:p>
        </w:tc>
      </w:tr>
      <w:tr>
        <w:tc>
          <w:tcPr/>
          <w:p>
            <w:pPr>
              <w:pStyle w:val="Compact"/>
            </w:pPr>
            <w:r>
              <w:t xml:space="preserve">Producer surplus (provider revenue change)</w:t>
            </w:r>
          </w:p>
        </w:tc>
        <w:tc>
          <w:tcPr/>
          <w:p>
            <w:pPr>
              <w:pStyle w:val="Compact"/>
            </w:pPr>
            <w:r>
              <w:t xml:space="preserve">$5</w:t>
            </w:r>
          </w:p>
        </w:tc>
      </w:tr>
      <w:tr>
        <w:tc>
          <w:tcPr/>
          <w:p>
            <w:pPr>
              <w:pStyle w:val="Compact"/>
            </w:pPr>
            <w:r>
              <w:rPr>
                <w:b/>
                <w:bCs/>
              </w:rPr>
              <w:t xml:space="preserve">Net social surplus</w:t>
            </w:r>
          </w:p>
        </w:tc>
        <w:tc>
          <w:tcPr/>
          <w:p>
            <w:pPr>
              <w:pStyle w:val="Compact"/>
            </w:pPr>
            <w:r>
              <w:rPr>
                <w:b/>
                <w:bCs/>
              </w:rPr>
              <w:t xml:space="preserve">$646</w:t>
            </w:r>
          </w:p>
        </w:tc>
      </w:tr>
    </w:tbl>
    <w:bookmarkEnd w:id="39"/>
    <w:bookmarkStart w:id="40" w:name="atkinson-equity-weighted-welfare50"/>
    <w:p>
      <w:pPr>
        <w:pStyle w:val="Heading3"/>
      </w:pPr>
      <w:r>
        <w:t xml:space="preserve">Atkinson Equity-Weighted Welfare[50]</w:t>
      </w:r>
    </w:p>
    <w:p>
      <w:pPr>
        <w:pStyle w:val="FirstParagraph"/>
      </w:pPr>
      <w:r>
        <w:t xml:space="preserve">The equally distributed equivalent (EDE) health level is computed as:</w:t>
      </w:r>
    </w:p>
    <w:p>
      <w:pPr>
        <w:pStyle w:val="BodyText"/>
      </w:pPr>
      <m:oMathPara>
        <m:oMathParaPr>
          <m:jc m:val="center"/>
        </m:oMathParaPr>
        <m:oMath>
          <m:r>
            <m:t>E</m:t>
          </m:r>
          <m:r>
            <m:t>D</m:t>
          </m:r>
          <m:r>
            <m:t>E</m:t>
          </m:r>
          <m:r>
            <m:rPr>
              <m:sty m:val="p"/>
            </m:rPr>
            <m:t>=</m:t>
          </m:r>
          <m:sSup>
            <m:e>
              <m:d>
                <m:dPr>
                  <m:begChr m:val="["/>
                  <m:sepChr m:val=""/>
                  <m:endChr m:val="]"/>
                  <m:grow/>
                </m:dPr>
                <m:e>
                  <m:f>
                    <m:fPr>
                      <m:type m:val="bar"/>
                    </m:fPr>
                    <m:num>
                      <m:r>
                        <m:t>1</m:t>
                      </m:r>
                    </m:num>
                    <m:den>
                      <m:r>
                        <m:t>K</m:t>
                      </m:r>
                    </m:den>
                  </m:f>
                  <m:nary>
                    <m:naryPr>
                      <m:chr m:val="∑"/>
                      <m:limLoc m:val="undOvr"/>
                      <m:subHide m:val="off"/>
                      <m:supHide m:val="off"/>
                    </m:naryPr>
                    <m:sub>
                      <m:r>
                        <m:t>k</m:t>
                      </m:r>
                      <m:r>
                        <m:rPr>
                          <m:sty m:val="p"/>
                        </m:rPr>
                        <m:t>=</m:t>
                      </m:r>
                      <m:r>
                        <m:t>1</m:t>
                      </m:r>
                    </m:sub>
                    <m:sup>
                      <m:r>
                        <m:t>K</m:t>
                      </m:r>
                    </m:sup>
                    <m:e>
                      <m:sSubSup>
                        <m:e>
                          <m:r>
                            <m:t>h</m:t>
                          </m:r>
                        </m:e>
                        <m:sub>
                          <m:r>
                            <m:t>k</m:t>
                          </m:r>
                        </m:sub>
                        <m:sup>
                          <m:r>
                            <m:t>1</m:t>
                          </m:r>
                          <m:r>
                            <m:rPr>
                              <m:sty m:val="p"/>
                            </m:rPr>
                            <m:t>−</m:t>
                          </m:r>
                          <m:r>
                            <m:t>ϵ</m:t>
                          </m:r>
                        </m:sup>
                      </m:sSubSup>
                    </m:e>
                  </m:nary>
                </m:e>
              </m:d>
            </m:e>
            <m:sup>
              <m:r>
                <m:t>1</m:t>
              </m:r>
              <m:r>
                <m:rPr>
                  <m:sty m:val="p"/>
                </m:rPr>
                <m:t>/</m:t>
              </m:r>
              <m:r>
                <m:rPr>
                  <m:sty m:val="p"/>
                </m:rPr>
                <m:t>(</m:t>
              </m:r>
              <m:r>
                <m:t>1</m:t>
              </m:r>
              <m:r>
                <m:rPr>
                  <m:sty m:val="p"/>
                </m:rPr>
                <m:t>−</m:t>
              </m:r>
              <m:r>
                <m:t>ϵ</m:t>
              </m:r>
              <m:r>
                <m:rPr>
                  <m:sty m:val="p"/>
                </m:rPr>
                <m:t>)</m:t>
              </m:r>
            </m:sup>
          </m:sSup>
        </m:oMath>
      </m:oMathPara>
    </w:p>
    <w:p>
      <w:pPr>
        <w:pStyle w:val="FirstParagraph"/>
      </w:pPr>
      <w:r>
        <w:t xml:space="preserve">where</w:t>
      </w:r>
      <w:r>
        <w:t xml:space="preserve"> </w:t>
      </w:r>
      <m:oMath>
        <m:sSub>
          <m:e>
            <m:r>
              <m:t>h</m:t>
            </m:r>
          </m:e>
          <m:sub>
            <m:r>
              <m:t>k</m:t>
            </m:r>
          </m:sub>
        </m:sSub>
      </m:oMath>
      <w:r>
        <w:t xml:space="preserve"> </w:t>
      </w:r>
      <w:r>
        <w:t xml:space="preserve">is the mean health index for racial group</w:t>
      </w:r>
      <w:r>
        <w:t xml:space="preserve"> </w:t>
      </w:r>
      <m:oMath>
        <m:r>
          <m:t>k</m:t>
        </m:r>
      </m:oMath>
      <w:r>
        <w:t xml:space="preserve"> </w:t>
      </w:r>
      <w:r>
        <w:t xml:space="preserve">and</w:t>
      </w:r>
      <w:r>
        <w:t xml:space="preserve"> </w:t>
      </w:r>
      <m:oMath>
        <m:r>
          <m:t>ϵ</m:t>
        </m:r>
      </m:oMath>
      <w:r>
        <w:t xml:space="preserve"> </w:t>
      </w:r>
      <w:r>
        <w:t xml:space="preserve">is the inequality-aversion parameter. The Atkinson index is</w:t>
      </w:r>
      <w:r>
        <w:t xml:space="preserve"> </w:t>
      </w:r>
      <m:oMath>
        <m:r>
          <m:t>A</m:t>
        </m:r>
        <m:r>
          <m:rPr>
            <m:sty m:val="p"/>
          </m:rPr>
          <m:t>=</m:t>
        </m:r>
        <m:r>
          <m:t>1</m:t>
        </m:r>
        <m:r>
          <m:rPr>
            <m:sty m:val="p"/>
          </m:rPr>
          <m:t>−</m:t>
        </m:r>
        <m:r>
          <m:t>E</m:t>
        </m:r>
        <m:r>
          <m:t>D</m:t>
        </m:r>
        <m:r>
          <m:t>E</m:t>
        </m:r>
        <m:r>
          <m:rPr>
            <m:sty m:val="p"/>
          </m:rPr>
          <m:t>/</m:t>
        </m:r>
        <m:acc>
          <m:accPr>
            <m:chr m:val="‾"/>
          </m:accPr>
          <m:e>
            <m:r>
              <m:t>h</m:t>
            </m:r>
          </m:e>
        </m:acc>
      </m:oMath>
      <w:r>
        <w:t xml:space="preserve">, where lower</w:t>
      </w:r>
      <w:r>
        <w:t xml:space="preserve"> </w:t>
      </w:r>
      <m:oMath>
        <m:r>
          <m:t>A</m:t>
        </m:r>
      </m:oMath>
      <w:r>
        <w:t xml:space="preserve"> </w:t>
      </w:r>
      <w:r>
        <w:t xml:space="preserve">indicates less inequality. Results are reported at</w:t>
      </w:r>
      <w:r>
        <w:t xml:space="preserve"> </w:t>
      </w:r>
      <m:oMath>
        <m:r>
          <m:t>ϵ</m:t>
        </m:r>
      </m:oMath>
      <w:r>
        <w:t xml:space="preserve"> </w:t>
      </w:r>
      <w:r>
        <w:t xml:space="preserve">= 0.5, 1.0, and 2.0 to capture a range of societal preferences for equity.</w:t>
      </w:r>
    </w:p>
    <w:bookmarkEnd w:id="40"/>
    <w:bookmarkEnd w:id="41"/>
    <w:bookmarkStart w:id="46" w:name="eappendix-d.-equity-analysis"/>
    <w:p>
      <w:pPr>
        <w:pStyle w:val="Heading2"/>
      </w:pPr>
      <w:r>
        <w:t xml:space="preserve">eAppendix D. Equity Analysis</w:t>
      </w:r>
    </w:p>
    <w:bookmarkStart w:id="42" w:name="approach-to-equity-assessment"/>
    <w:p>
      <w:pPr>
        <w:pStyle w:val="Heading3"/>
      </w:pPr>
      <w:r>
        <w:t xml:space="preserve">Approach to Equity Assessment</w:t>
      </w:r>
    </w:p>
    <w:p>
      <w:pPr>
        <w:pStyle w:val="FirstParagraph"/>
      </w:pPr>
      <w:r>
        <w:t xml:space="preserve">The microsimulation assessed equity through two mechanisms:</w:t>
      </w:r>
    </w:p>
    <w:p>
      <w:pPr>
        <w:numPr>
          <w:ilvl w:val="0"/>
          <w:numId w:val="1004"/>
        </w:numPr>
      </w:pPr>
      <w:r>
        <w:rPr>
          <w:b/>
          <w:bCs/>
        </w:rPr>
        <w:t xml:space="preserve">Stratified outcome reporting</w:t>
      </w:r>
      <w:r>
        <w:t xml:space="preserve">: All primary outcomes (hospitalizations, ED visits, HEDIS gap closure) were computed separately by racial and ethnic group and by metropolitan status (eTable 13). Absolute outcome levels and absolute changes under each scenario are reported for each group.</w:t>
      </w:r>
    </w:p>
    <w:p>
      <w:pPr>
        <w:numPr>
          <w:ilvl w:val="0"/>
          <w:numId w:val="1004"/>
        </w:numPr>
      </w:pPr>
      <w:r>
        <w:rPr>
          <w:b/>
          <w:bCs/>
        </w:rPr>
        <w:t xml:space="preserve">Atkinson equity-weighted welfare</w:t>
      </w:r>
      <w:r>
        <w:t xml:space="preserve">: The welfare analysis applied inequality-aversion weighting to assess whether health gains were distributed equitably.</w:t>
      </w:r>
    </w:p>
    <w:p>
      <w:pPr>
        <w:pStyle w:val="FirstParagraph"/>
      </w:pPr>
      <w:r>
        <w:t xml:space="preserve">Equalized odds ratios were not used as the primary equity metric because the microsimulation is a population-level policy evaluation, not a binary classification task. Equalized odds (equal true positive and false positive rates across groups) is appropriate for evaluating whether an algorithm performs equally for different subgroups in a prediction context. In this context, the relevant question is whether the AI ACO produces similar</w:t>
      </w:r>
      <w:r>
        <w:t xml:space="preserve"> </w:t>
      </w:r>
      <w:r>
        <w:rPr>
          <w:i/>
          <w:iCs/>
        </w:rPr>
        <w:t xml:space="preserve">absolute improvements</w:t>
      </w:r>
      <w:r>
        <w:t xml:space="preserve"> </w:t>
      </w:r>
      <w:r>
        <w:t xml:space="preserve">across groups — assessed through stratified outcome reporting.</w:t>
      </w:r>
    </w:p>
    <w:bookmarkEnd w:id="42"/>
    <w:bookmarkStart w:id="43" w:name="equity-results-by-race-and-ethnicity"/>
    <w:p>
      <w:pPr>
        <w:pStyle w:val="Heading3"/>
      </w:pPr>
      <w:r>
        <w:t xml:space="preserve">Equity Results by Race and Ethnicity</w:t>
      </w:r>
    </w:p>
    <w:p>
      <w:pPr>
        <w:pStyle w:val="FirstParagraph"/>
      </w:pPr>
      <w:r>
        <w:t xml:space="preserve">Under the AI ACO consensus design, hospitalization rates decreased across all racial and ethnic groups: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Group</w:t>
            </w:r>
          </w:p>
        </w:tc>
        <w:tc>
          <w:tcPr/>
          <w:p>
            <w:pPr>
              <w:pStyle w:val="Compact"/>
            </w:pPr>
            <w:r>
              <w:t xml:space="preserve">SQ Hosp/1,000 PY</w:t>
            </w:r>
          </w:p>
        </w:tc>
        <w:tc>
          <w:tcPr/>
          <w:p>
            <w:pPr>
              <w:pStyle w:val="Compact"/>
            </w:pPr>
            <w:r>
              <w:t xml:space="preserve">AI ACO Hosp/1,000 PY</w:t>
            </w:r>
          </w:p>
        </w:tc>
        <w:tc>
          <w:tcPr/>
          <w:p>
            <w:pPr>
              <w:pStyle w:val="Compact"/>
            </w:pPr>
            <w:r>
              <w:t xml:space="preserve">Absolute Reduction</w:t>
            </w:r>
          </w:p>
        </w:tc>
        <w:tc>
          <w:tcPr/>
          <w:p>
            <w:pPr>
              <w:pStyle w:val="Compact"/>
            </w:pPr>
            <w:r>
              <w:t xml:space="preserve">Gap vs. White (SQ → AI ACO)</w:t>
            </w:r>
          </w:p>
        </w:tc>
      </w:tr>
      <w:tr>
        <w:tc>
          <w:tcPr/>
          <w:p>
            <w:pPr>
              <w:pStyle w:val="Compact"/>
            </w:pPr>
            <w:r>
              <w:t xml:space="preserve">White</w:t>
            </w:r>
          </w:p>
        </w:tc>
        <w:tc>
          <w:tcPr/>
          <w:p>
            <w:pPr>
              <w:pStyle w:val="Compact"/>
            </w:pPr>
            <w:r>
              <w:t xml:space="preserve">180</w:t>
            </w:r>
          </w:p>
        </w:tc>
        <w:tc>
          <w:tcPr/>
          <w:p>
            <w:pPr>
              <w:pStyle w:val="Compact"/>
            </w:pPr>
            <w:r>
              <w:t xml:space="preserve">166</w:t>
            </w:r>
          </w:p>
        </w:tc>
        <w:tc>
          <w:tcPr/>
          <w:p>
            <w:pPr>
              <w:pStyle w:val="Compact"/>
            </w:pPr>
            <w:r>
              <w:t xml:space="preserve">14</w:t>
            </w:r>
          </w:p>
        </w:tc>
        <w:tc>
          <w:tcPr/>
          <w:p>
            <w:pPr>
              <w:pStyle w:val="Compact"/>
            </w:pPr>
            <w:r>
              <w:t xml:space="preserve">—</w:t>
            </w:r>
          </w:p>
        </w:tc>
      </w:tr>
      <w:tr>
        <w:tc>
          <w:tcPr/>
          <w:p>
            <w:pPr>
              <w:pStyle w:val="Compact"/>
            </w:pPr>
            <w:r>
              <w:t xml:space="preserve">Black</w:t>
            </w:r>
          </w:p>
        </w:tc>
        <w:tc>
          <w:tcPr/>
          <w:p>
            <w:pPr>
              <w:pStyle w:val="Compact"/>
            </w:pPr>
            <w:r>
              <w:t xml:space="preserve">221</w:t>
            </w:r>
          </w:p>
        </w:tc>
        <w:tc>
          <w:tcPr/>
          <w:p>
            <w:pPr>
              <w:pStyle w:val="Compact"/>
            </w:pPr>
            <w:r>
              <w:t xml:space="preserve">203</w:t>
            </w:r>
          </w:p>
        </w:tc>
        <w:tc>
          <w:tcPr/>
          <w:p>
            <w:pPr>
              <w:pStyle w:val="Compact"/>
            </w:pPr>
            <w:r>
              <w:t xml:space="preserve">17</w:t>
            </w:r>
          </w:p>
        </w:tc>
        <w:tc>
          <w:tcPr/>
          <w:p>
            <w:pPr>
              <w:pStyle w:val="Compact"/>
            </w:pPr>
            <w:r>
              <w:t xml:space="preserve">40 → 37 (8% reduction)</w:t>
            </w:r>
          </w:p>
        </w:tc>
      </w:tr>
      <w:tr>
        <w:tc>
          <w:tcPr/>
          <w:p>
            <w:pPr>
              <w:pStyle w:val="Compact"/>
            </w:pPr>
            <w:r>
              <w:t xml:space="preserve">Hispanic</w:t>
            </w:r>
          </w:p>
        </w:tc>
        <w:tc>
          <w:tcPr/>
          <w:p>
            <w:pPr>
              <w:pStyle w:val="Compact"/>
            </w:pPr>
            <w:r>
              <w:t xml:space="preserve">197</w:t>
            </w:r>
          </w:p>
        </w:tc>
        <w:tc>
          <w:tcPr/>
          <w:p>
            <w:pPr>
              <w:pStyle w:val="Compact"/>
            </w:pPr>
            <w:r>
              <w:t xml:space="preserve">182</w:t>
            </w:r>
          </w:p>
        </w:tc>
        <w:tc>
          <w:tcPr/>
          <w:p>
            <w:pPr>
              <w:pStyle w:val="Compact"/>
            </w:pPr>
            <w:r>
              <w:t xml:space="preserve">15</w:t>
            </w:r>
          </w:p>
        </w:tc>
        <w:tc>
          <w:tcPr/>
          <w:p>
            <w:pPr>
              <w:pStyle w:val="Compact"/>
            </w:pPr>
            <w:r>
              <w:t xml:space="preserve">16 → 15 (7% reduction)</w:t>
            </w:r>
          </w:p>
        </w:tc>
      </w:tr>
      <w:tr>
        <w:tc>
          <w:tcPr/>
          <w:p>
            <w:pPr>
              <w:pStyle w:val="Compact"/>
            </w:pPr>
            <w:r>
              <w:t xml:space="preserve">AIAN</w:t>
            </w:r>
          </w:p>
        </w:tc>
        <w:tc>
          <w:tcPr/>
          <w:p>
            <w:pPr>
              <w:pStyle w:val="Compact"/>
            </w:pPr>
            <w:r>
              <w:t xml:space="preserve">232</w:t>
            </w:r>
          </w:p>
        </w:tc>
        <w:tc>
          <w:tcPr/>
          <w:p>
            <w:pPr>
              <w:pStyle w:val="Compact"/>
            </w:pPr>
            <w:r>
              <w:t xml:space="preserve">215</w:t>
            </w:r>
          </w:p>
        </w:tc>
        <w:tc>
          <w:tcPr/>
          <w:p>
            <w:pPr>
              <w:pStyle w:val="Compact"/>
            </w:pPr>
            <w:r>
              <w:t xml:space="preserve">17</w:t>
            </w:r>
          </w:p>
        </w:tc>
        <w:tc>
          <w:tcPr/>
          <w:p>
            <w:pPr>
              <w:pStyle w:val="Compact"/>
            </w:pPr>
            <w:r>
              <w:t xml:space="preserve">51 → 48 (6% reduction)</w:t>
            </w:r>
          </w:p>
        </w:tc>
      </w:tr>
    </w:tbl>
    <w:p>
      <w:pPr>
        <w:pStyle w:val="BodyText"/>
      </w:pPr>
      <w:r>
        <w:t xml:space="preserve">The AI ACO produced slightly larger absolute reductions among Black and AIAN adults (17 per 1,000) than among White (14 per 1,000) and Hispanic adults (15 per 1,000), driven by higher baseline utilization and larger potential for engagement cascade improvement. However, the pre-existing Black–White gap in hospitalization rates narrowed only modestly (from 40 to 37 per 1,000 person-years, an 8% reduction). This reflects the structural limitations of a healthcare delivery intervention: the social and economic determinants that drive racial disparities in hospitalization are largely beyond the scope of clinical and administrative reform.</w:t>
      </w:r>
    </w:p>
    <w:bookmarkEnd w:id="43"/>
    <w:bookmarkStart w:id="44" w:name="X315c437dd2c517b45b2c0e562f79f427f42d7dd"/>
    <w:p>
      <w:pPr>
        <w:pStyle w:val="Heading3"/>
      </w:pPr>
      <w:r>
        <w:t xml:space="preserve">Equity Results by Race × Metropolitan Status</w:t>
      </w:r>
    </w:p>
    <w:p>
      <w:pPr>
        <w:pStyle w:val="FirstParagraph"/>
      </w:pPr>
      <w:r>
        <w:t xml:space="preserve">See eTable 13. Improvements were observed in all 8 race × metropolitan status strata. Black and AIAN adults experienced larger absolute reductions (17–18 per 1,000) than White adults (14 per 1,000) regardless of geography. The metro–nonmetro gap within each racial group was small (0–1 per 1,000 person-years) at the hospitalization-rate level but larger at the engagement-rate level (mean Δ engagement +8.3 pp metro vs. +6.3 pp nonmetro), reflecting the digital-divide engagement penalty.</w:t>
      </w:r>
    </w:p>
    <w:bookmarkEnd w:id="44"/>
    <w:bookmarkStart w:id="45" w:name="digital-divide-as-equity-constraint"/>
    <w:p>
      <w:pPr>
        <w:pStyle w:val="Heading3"/>
      </w:pPr>
      <w:r>
        <w:t xml:space="preserve">Digital Divide as Equity Constraint</w:t>
      </w:r>
    </w:p>
    <w:p>
      <w:pPr>
        <w:pStyle w:val="FirstParagraph"/>
      </w:pPr>
      <w:r>
        <w:t xml:space="preserve">The 50% engagement penalty for individuals without broadband access disproportionately affected AIAN adults in nonmetropolitan areas (broadband penetration 45%) and, to a lesser extent, rural Black adults (broadband penetration 68%). This digital divide is the primary mechanism by which the AI ACO could exacerbate rather than reduce disparities, and it represents the most important equity constraint on virtual-first delivery models.</w:t>
      </w:r>
    </w:p>
    <w:bookmarkEnd w:id="45"/>
    <w:bookmarkEnd w:id="46"/>
    <w:bookmarkStart w:id="48" w:name="X7bf3bb2a69f28a3e43bb2556f113b21717eb1e5"/>
    <w:p>
      <w:pPr>
        <w:pStyle w:val="Heading2"/>
      </w:pPr>
      <w:r>
        <w:t xml:space="preserve">eAppendix E. Section 1115 Demonstration Waiver Requirements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Requirement</w:t>
            </w:r>
          </w:p>
        </w:tc>
        <w:tc>
          <w:tcPr/>
          <w:p>
            <w:pPr>
              <w:pStyle w:val="Compact"/>
            </w:pPr>
            <w:r>
              <w:t xml:space="preserve">AI ACO Approach</w:t>
            </w:r>
          </w:p>
        </w:tc>
        <w:tc>
          <w:tcPr/>
          <w:p>
            <w:pPr>
              <w:pStyle w:val="Compact"/>
            </w:pPr>
            <w:r>
              <w:t xml:space="preserve">Precedent</w:t>
            </w:r>
          </w:p>
        </w:tc>
      </w:tr>
      <w:tr>
        <w:tc>
          <w:tcPr/>
          <w:p>
            <w:pPr>
              <w:pStyle w:val="Compact"/>
            </w:pPr>
            <w:r>
              <w:t xml:space="preserve">Budget neutrality</w:t>
            </w:r>
          </w:p>
        </w:tc>
        <w:tc>
          <w:tcPr/>
          <w:p>
            <w:pPr>
              <w:pStyle w:val="Compact"/>
            </w:pPr>
            <w:r>
              <w:t xml:space="preserve">PMPM savings of $41 (8.6%)</w:t>
            </w:r>
          </w:p>
        </w:tc>
        <w:tc>
          <w:tcPr/>
          <w:p>
            <w:pPr>
              <w:pStyle w:val="Compact"/>
            </w:pPr>
            <w:r>
              <w:t xml:space="preserve">MassHealth ACOs</w:t>
            </w:r>
          </w:p>
        </w:tc>
      </w:tr>
      <w:tr>
        <w:tc>
          <w:tcPr/>
          <w:p>
            <w:pPr>
              <w:pStyle w:val="Compact"/>
            </w:pPr>
            <w:r>
              <w:t xml:space="preserve">Freedom of choice (§1902(a)(23))</w:t>
            </w:r>
          </w:p>
        </w:tc>
        <w:tc>
          <w:tcPr/>
          <w:p>
            <w:pPr>
              <w:pStyle w:val="Compact"/>
            </w:pPr>
            <w:r>
              <w:t xml:space="preserve">Opt-out to traditional MCO at any time</w:t>
            </w:r>
          </w:p>
        </w:tc>
        <w:tc>
          <w:tcPr/>
          <w:p>
            <w:pPr>
              <w:pStyle w:val="Compact"/>
            </w:pPr>
            <w:r>
              <w:t xml:space="preserve">Oregon CCOs</w:t>
            </w:r>
          </w:p>
        </w:tc>
      </w:tr>
      <w:tr>
        <w:tc>
          <w:tcPr/>
          <w:p>
            <w:pPr>
              <w:pStyle w:val="Compact"/>
            </w:pPr>
            <w:r>
              <w:t xml:space="preserve">Payment methodology (§1902(a)(30)(A))</w:t>
            </w:r>
          </w:p>
        </w:tc>
        <w:tc>
          <w:tcPr/>
          <w:p>
            <w:pPr>
              <w:pStyle w:val="Compact"/>
            </w:pPr>
            <w:r>
              <w:t xml:space="preserve">Capitated global budget, actuarially sound</w:t>
            </w:r>
          </w:p>
        </w:tc>
        <w:tc>
          <w:tcPr/>
          <w:p>
            <w:pPr>
              <w:pStyle w:val="Compact"/>
            </w:pPr>
            <w:r>
              <w:t xml:space="preserve">Colorado RAEs</w:t>
            </w:r>
          </w:p>
        </w:tc>
      </w:tr>
      <w:tr>
        <w:tc>
          <w:tcPr/>
          <w:p>
            <w:pPr>
              <w:pStyle w:val="Compact"/>
            </w:pPr>
            <w:r>
              <w:t xml:space="preserve">Network adequacy</w:t>
            </w:r>
          </w:p>
        </w:tc>
        <w:tc>
          <w:tcPr/>
          <w:p>
            <w:pPr>
              <w:pStyle w:val="Compact"/>
            </w:pPr>
            <w:r>
              <w:t xml:space="preserve">Hub-and-spoke: virtual AI + contracted physical providers</w:t>
            </w:r>
          </w:p>
        </w:tc>
        <w:tc>
          <w:tcPr/>
          <w:p>
            <w:pPr>
              <w:pStyle w:val="Compact"/>
            </w:pPr>
            <w:r>
              <w:t xml:space="preserve">Multiple waivers</w:t>
            </w:r>
          </w:p>
        </w:tc>
      </w:tr>
      <w:tr>
        <w:tc>
          <w:tcPr/>
          <w:p>
            <w:pPr>
              <w:pStyle w:val="Compact"/>
            </w:pPr>
            <w:r>
              <w:t xml:space="preserve">Provider qualification</w:t>
            </w:r>
          </w:p>
        </w:tc>
        <w:tc>
          <w:tcPr/>
          <w:p>
            <w:pPr>
              <w:pStyle w:val="Compact"/>
            </w:pPr>
            <w:r>
              <w:t xml:space="preserve">Physician-supervised AI model; Utah sandbox pathway</w:t>
            </w:r>
          </w:p>
        </w:tc>
        <w:tc>
          <w:tcPr/>
          <w:p>
            <w:pPr>
              <w:pStyle w:val="Compact"/>
            </w:pPr>
            <w:r>
              <w:t xml:space="preserve">Utah AI sandbox</w:t>
            </w:r>
          </w:p>
        </w:tc>
      </w:tr>
      <w:tr>
        <w:tc>
          <w:tcPr/>
          <w:p>
            <w:pPr>
              <w:pStyle w:val="Compact"/>
            </w:pPr>
            <w:r>
              <w:t xml:space="preserve">Quality assurance</w:t>
            </w:r>
          </w:p>
        </w:tc>
        <w:tc>
          <w:tcPr/>
          <w:p>
            <w:pPr>
              <w:pStyle w:val="Compact"/>
            </w:pPr>
            <w:r>
              <w:t xml:space="preserve">HEDIS + AI-native supplemental metrics</w:t>
            </w:r>
          </w:p>
        </w:tc>
        <w:tc>
          <w:tcPr/>
          <w:p>
            <w:pPr>
              <w:pStyle w:val="Compact"/>
            </w:pPr>
            <w:r>
              <w:t xml:space="preserve">Standard</w:t>
            </w:r>
          </w:p>
        </w:tc>
      </w:tr>
      <w:tr>
        <w:tc>
          <w:tcPr/>
          <w:p>
            <w:pPr>
              <w:pStyle w:val="Compact"/>
            </w:pPr>
            <w:r>
              <w:t xml:space="preserve">Evaluation plan</w:t>
            </w:r>
          </w:p>
        </w:tc>
        <w:tc>
          <w:tcPr/>
          <w:p>
            <w:pPr>
              <w:pStyle w:val="Compact"/>
            </w:pPr>
            <w:r>
              <w:t xml:space="preserve">Built-in microsimulation + real-world outcome tracking</w:t>
            </w:r>
          </w:p>
        </w:tc>
        <w:tc>
          <w:tcPr/>
          <w:p>
            <w:pPr>
              <w:pStyle w:val="Compact"/>
            </w:pPr>
            <w:r>
              <w:t xml:space="preserve">Standard</w:t>
            </w:r>
          </w:p>
        </w:tc>
      </w:tr>
    </w:tbl>
    <w:bookmarkStart w:id="47" w:name="waivers-needed"/>
    <w:p>
      <w:pPr>
        <w:pStyle w:val="Heading3"/>
      </w:pPr>
      <w:r>
        <w:t xml:space="preserve">Waivers Needed</w:t>
      </w:r>
    </w:p>
    <w:p>
      <w:pPr>
        <w:pStyle w:val="Compact"/>
        <w:numPr>
          <w:ilvl w:val="0"/>
          <w:numId w:val="1005"/>
        </w:numPr>
      </w:pPr>
      <w:r>
        <w:rPr>
          <w:b/>
          <w:bCs/>
        </w:rPr>
        <w:t xml:space="preserve">§1902(a)(23)</w:t>
      </w:r>
      <w:r>
        <w:t xml:space="preserve">: Freedom of choice — waiver allows enrollment in AI ACO (with opt-out)</w:t>
      </w:r>
    </w:p>
    <w:p>
      <w:pPr>
        <w:pStyle w:val="Compact"/>
        <w:numPr>
          <w:ilvl w:val="0"/>
          <w:numId w:val="1005"/>
        </w:numPr>
      </w:pPr>
      <w:r>
        <w:rPr>
          <w:b/>
          <w:bCs/>
        </w:rPr>
        <w:t xml:space="preserve">§1902(a)(30)(A)</w:t>
      </w:r>
      <w:r>
        <w:t xml:space="preserve">: Payment methodology — waiver allows capitated global budget</w:t>
      </w:r>
    </w:p>
    <w:p>
      <w:pPr>
        <w:pStyle w:val="Compact"/>
        <w:numPr>
          <w:ilvl w:val="0"/>
          <w:numId w:val="1005"/>
        </w:numPr>
      </w:pPr>
      <w:r>
        <w:rPr>
          <w:b/>
          <w:bCs/>
        </w:rPr>
        <w:t xml:space="preserve">42 CFR 438.68</w:t>
      </w:r>
      <w:r>
        <w:t xml:space="preserve">: Network adequacy — waiver modifies access standards for virtual-first delivery model</w:t>
      </w:r>
    </w:p>
    <w:p>
      <w:pPr>
        <w:pStyle w:val="Compact"/>
        <w:numPr>
          <w:ilvl w:val="0"/>
          <w:numId w:val="1005"/>
        </w:numPr>
      </w:pPr>
      <w:r>
        <w:rPr>
          <w:b/>
          <w:bCs/>
        </w:rPr>
        <w:t xml:space="preserve">Provider qualification</w:t>
      </w:r>
      <w:r>
        <w:t xml:space="preserve">: State-level — AI clinician acting under physician supervision authority</w:t>
      </w:r>
    </w:p>
    <w:bookmarkEnd w:id="47"/>
    <w:bookmarkEnd w:id="48"/>
    <w:bookmarkStart w:id="50" w:name="Xe7534b40d6f55c7854464e972d1263913729381"/>
    <w:p>
      <w:pPr>
        <w:pStyle w:val="Heading2"/>
      </w:pPr>
      <w:r>
        <w:t xml:space="preserve">eAppendix F. Structural Sensitivity: Administrative Reform Only (S6)</w:t>
      </w:r>
    </w:p>
    <w:p>
      <w:pPr>
        <w:pStyle w:val="FirstParagraph"/>
      </w:pPr>
      <w:r>
        <w:t xml:space="preserve">To address the concern that AI clinical efficacy parameters are projected rather than observed, the administrative-reform-only scenario (S6) applies AI administrative cost reduction (3% overhead) but uses identical clinical parameters to the status quo MCO. This isolates the contribution of administrative overhead elimination from projected AI clinical performance.</w:t>
      </w:r>
    </w:p>
    <w:p>
      <w:pPr>
        <w:pStyle w:val="BodyText"/>
      </w:pPr>
      <w:r>
        <w:t xml:space="preserve">Administrative reform alone would be expected to reduce PMPM by $27 (95% UI, $3 to $63) and generate net social surplus of $326 per member per year. This represents 66% of the AI ACO’s total PMPM savings of $41, demonstrating that the majority of estimated savings derive from administrative overhead elimination — an observed cost component — rather than from projected AI clinical efficacy.</w:t>
      </w:r>
    </w:p>
    <w:bookmarkStart w:id="49" w:name="Xf5d7388d8e84c87940a0a84f9a840b8ec40e05e"/>
    <w:p>
      <w:pPr>
        <w:pStyle w:val="Heading3"/>
      </w:pPr>
      <w:r>
        <w:t xml:space="preserve">Parameter Importance for PMPM Savings (Spearman Rank Correlation)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Parameter</w:t>
            </w:r>
          </w:p>
        </w:tc>
        <w:tc>
          <w:tcPr/>
          <w:p>
            <w:pPr>
              <w:pStyle w:val="Compact"/>
            </w:pPr>
            <w:r>
              <w:t xml:space="preserve">Source type</w:t>
            </w:r>
          </w:p>
        </w:tc>
        <w:tc>
          <w:tcPr/>
          <w:p>
            <w:pPr>
              <w:pStyle w:val="Compact"/>
            </w:pPr>
            <w:r>
              <w:t xml:space="preserve">Spearman ρ</w:t>
            </w:r>
          </w:p>
        </w:tc>
        <w:tc>
          <w:tcPr/>
          <w:p>
            <w:pPr>
              <w:pStyle w:val="Compact"/>
            </w:pPr>
            <w:r>
              <w:t xml:space="preserve">Contribution</w:t>
            </w:r>
          </w:p>
        </w:tc>
      </w:tr>
      <w:tr>
        <w:tc>
          <w:tcPr/>
          <w:p>
            <w:pPr>
              <w:pStyle w:val="Compact"/>
            </w:pPr>
            <w:r>
              <w:t xml:space="preserve">Administrative cost rate difference</w:t>
            </w:r>
          </w:p>
        </w:tc>
        <w:tc>
          <w:tcPr/>
          <w:p>
            <w:pPr>
              <w:pStyle w:val="Compact"/>
            </w:pPr>
            <w:r>
              <w:rPr>
                <w:b/>
                <w:bCs/>
              </w:rPr>
              <w:t xml:space="preserve">Empirical</w:t>
            </w:r>
            <w:r>
              <w:t xml:space="preserve"> </w:t>
            </w:r>
            <w:r>
              <w:t xml:space="preserve">(CMS MLR, traditional Medicaid)</w:t>
            </w:r>
          </w:p>
        </w:tc>
        <w:tc>
          <w:tcPr/>
          <w:p>
            <w:pPr>
              <w:pStyle w:val="Compact"/>
            </w:pPr>
            <w:r>
              <w:t xml:space="preserve">0.82</w:t>
            </w:r>
          </w:p>
        </w:tc>
        <w:tc>
          <w:tcPr/>
          <w:p>
            <w:pPr>
              <w:pStyle w:val="Compact"/>
            </w:pPr>
            <w:r>
              <w:t xml:space="preserve">Dominant</w:t>
            </w:r>
          </w:p>
        </w:tc>
      </w:tr>
      <w:tr>
        <w:tc>
          <w:tcPr/>
          <w:p>
            <w:pPr>
              <w:pStyle w:val="Compact"/>
            </w:pPr>
            <w:r>
              <w:t xml:space="preserve">Baseline utilization rates</w:t>
            </w:r>
          </w:p>
        </w:tc>
        <w:tc>
          <w:tcPr/>
          <w:p>
            <w:pPr>
              <w:pStyle w:val="Compact"/>
            </w:pPr>
            <w:r>
              <w:rPr>
                <w:b/>
                <w:bCs/>
              </w:rPr>
              <w:t xml:space="preserve">Empirical</w:t>
            </w:r>
            <w:r>
              <w:t xml:space="preserve"> </w:t>
            </w:r>
            <w:r>
              <w:t xml:space="preserve">(MEPS/HCUP)</w:t>
            </w:r>
          </w:p>
        </w:tc>
        <w:tc>
          <w:tcPr/>
          <w:p>
            <w:pPr>
              <w:pStyle w:val="Compact"/>
            </w:pPr>
            <w:r>
              <w:t xml:space="preserve">0.44</w:t>
            </w:r>
          </w:p>
        </w:tc>
        <w:tc>
          <w:tcPr/>
          <w:p>
            <w:pPr>
              <w:pStyle w:val="Compact"/>
            </w:pPr>
            <w:r>
              <w:t xml:space="preserve">Moderate</w:t>
            </w:r>
          </w:p>
        </w:tc>
      </w:tr>
      <w:tr>
        <w:tc>
          <w:tcPr/>
          <w:p>
            <w:pPr>
              <w:pStyle w:val="Compact"/>
            </w:pPr>
            <w:r>
              <w:t xml:space="preserve">Engagement rate</w:t>
            </w:r>
          </w:p>
        </w:tc>
        <w:tc>
          <w:tcPr/>
          <w:p>
            <w:pPr>
              <w:pStyle w:val="Compact"/>
            </w:pPr>
            <w:r>
              <w:t xml:space="preserve">Mixed (SQ empirical; AI multipliers projected)</w:t>
            </w:r>
          </w:p>
        </w:tc>
        <w:tc>
          <w:tcPr/>
          <w:p>
            <w:pPr>
              <w:pStyle w:val="Compact"/>
            </w:pPr>
            <w:r>
              <w:t xml:space="preserve">0.18</w:t>
            </w:r>
          </w:p>
        </w:tc>
        <w:tc>
          <w:tcPr/>
          <w:p>
            <w:pPr>
              <w:pStyle w:val="Compact"/>
            </w:pPr>
            <w:r>
              <w:t xml:space="preserve">Modest</w:t>
            </w:r>
          </w:p>
        </w:tc>
      </w:tr>
      <w:tr>
        <w:tc>
          <w:tcPr/>
          <w:p>
            <w:pPr>
              <w:pStyle w:val="Compact"/>
            </w:pPr>
            <w:r>
              <w:t xml:space="preserve">AI hospitalization RR reduction</w:t>
            </w:r>
          </w:p>
        </w:tc>
        <w:tc>
          <w:tcPr/>
          <w:p>
            <w:pPr>
              <w:pStyle w:val="Compact"/>
            </w:pPr>
            <w:r>
              <w:rPr>
                <w:b/>
                <w:bCs/>
              </w:rPr>
              <w:t xml:space="preserve">Projected</w:t>
            </w:r>
            <w:r>
              <w:t xml:space="preserve"> </w:t>
            </w:r>
            <w:r>
              <w:t xml:space="preserve">(anchored to ACO natural experiments)</w:t>
            </w:r>
          </w:p>
        </w:tc>
        <w:tc>
          <w:tcPr/>
          <w:p>
            <w:pPr>
              <w:pStyle w:val="Compact"/>
            </w:pPr>
            <w:r>
              <w:t xml:space="preserve">0.12</w:t>
            </w:r>
          </w:p>
        </w:tc>
        <w:tc>
          <w:tcPr/>
          <w:p>
            <w:pPr>
              <w:pStyle w:val="Compact"/>
            </w:pPr>
            <w:r>
              <w:t xml:space="preserve">Minor</w:t>
            </w:r>
          </w:p>
        </w:tc>
      </w:tr>
      <w:tr>
        <w:tc>
          <w:tcPr/>
          <w:p>
            <w:pPr>
              <w:pStyle w:val="Compact"/>
            </w:pPr>
            <w:r>
              <w:t xml:space="preserve">AI ED RR reduction</w:t>
            </w:r>
          </w:p>
        </w:tc>
        <w:tc>
          <w:tcPr/>
          <w:p>
            <w:pPr>
              <w:pStyle w:val="Compact"/>
            </w:pPr>
            <w:r>
              <w:rPr>
                <w:b/>
                <w:bCs/>
              </w:rPr>
              <w:t xml:space="preserve">Projected</w:t>
            </w:r>
            <w:r>
              <w:t xml:space="preserve"> </w:t>
            </w:r>
            <w:r>
              <w:t xml:space="preserve">(anchored to Oregon CCO)</w:t>
            </w:r>
          </w:p>
        </w:tc>
        <w:tc>
          <w:tcPr/>
          <w:p>
            <w:pPr>
              <w:pStyle w:val="Compact"/>
            </w:pPr>
            <w:r>
              <w:t xml:space="preserve">0.09</w:t>
            </w:r>
          </w:p>
        </w:tc>
        <w:tc>
          <w:tcPr/>
          <w:p>
            <w:pPr>
              <w:pStyle w:val="Compact"/>
            </w:pPr>
            <w:r>
              <w:t xml:space="preserve">Minor</w:t>
            </w:r>
          </w:p>
        </w:tc>
      </w:tr>
      <w:tr>
        <w:tc>
          <w:tcPr/>
          <w:p>
            <w:pPr>
              <w:pStyle w:val="Compact"/>
            </w:pPr>
            <w:r>
              <w:t xml:space="preserve">Digital access penalty</w:t>
            </w:r>
          </w:p>
        </w:tc>
        <w:tc>
          <w:tcPr/>
          <w:p>
            <w:pPr>
              <w:pStyle w:val="Compact"/>
            </w:pPr>
            <w:r>
              <w:rPr>
                <w:b/>
                <w:bCs/>
              </w:rPr>
              <w:t xml:space="preserve">Empirical</w:t>
            </w:r>
            <w:r>
              <w:t xml:space="preserve"> </w:t>
            </w:r>
            <w:r>
              <w:t xml:space="preserve">(Khoong, Rodriguez 2024)</w:t>
            </w:r>
          </w:p>
        </w:tc>
        <w:tc>
          <w:tcPr/>
          <w:p>
            <w:pPr>
              <w:pStyle w:val="Compact"/>
            </w:pPr>
            <w:r>
              <w:t xml:space="preserve">0.07</w:t>
            </w:r>
          </w:p>
        </w:tc>
        <w:tc>
          <w:tcPr/>
          <w:p>
            <w:pPr>
              <w:pStyle w:val="Compact"/>
            </w:pPr>
            <w:r>
              <w:t xml:space="preserve">Minor</w:t>
            </w:r>
          </w:p>
        </w:tc>
      </w:tr>
      <w:tr>
        <w:tc>
          <w:tcPr/>
          <w:p>
            <w:pPr>
              <w:pStyle w:val="Compact"/>
            </w:pPr>
            <w:r>
              <w:t xml:space="preserve">AI HEDIS gap closure</w:t>
            </w:r>
          </w:p>
        </w:tc>
        <w:tc>
          <w:tcPr/>
          <w:p>
            <w:pPr>
              <w:pStyle w:val="Compact"/>
            </w:pPr>
            <w:r>
              <w:rPr>
                <w:b/>
                <w:bCs/>
              </w:rPr>
              <w:t xml:space="preserve">Empirical</w:t>
            </w:r>
            <w:r>
              <w:t xml:space="preserve"> </w:t>
            </w:r>
            <w:r>
              <w:t xml:space="preserve">(Song et al. BMJ 2024)</w:t>
            </w:r>
          </w:p>
        </w:tc>
        <w:tc>
          <w:tcPr/>
          <w:p>
            <w:pPr>
              <w:pStyle w:val="Compact"/>
            </w:pPr>
            <w:r>
              <w:t xml:space="preserve">0.05</w:t>
            </w:r>
          </w:p>
        </w:tc>
        <w:tc>
          <w:tcPr/>
          <w:p>
            <w:pPr>
              <w:pStyle w:val="Compact"/>
            </w:pPr>
            <w:r>
              <w:t xml:space="preserve">Negligible</w:t>
            </w:r>
          </w:p>
        </w:tc>
      </w:tr>
      <w:tr>
        <w:tc>
          <w:tcPr/>
          <w:p>
            <w:pPr>
              <w:pStyle w:val="Compact"/>
            </w:pPr>
            <w:r>
              <w:t xml:space="preserve">AI equity gap reduction</w:t>
            </w:r>
          </w:p>
        </w:tc>
        <w:tc>
          <w:tcPr/>
          <w:p>
            <w:pPr>
              <w:pStyle w:val="Compact"/>
            </w:pPr>
            <w:r>
              <w:rPr>
                <w:b/>
                <w:bCs/>
              </w:rPr>
              <w:t xml:space="preserve">Projected</w:t>
            </w:r>
          </w:p>
        </w:tc>
        <w:tc>
          <w:tcPr/>
          <w:p>
            <w:pPr>
              <w:pStyle w:val="Compact"/>
            </w:pPr>
            <w:r>
              <w:t xml:space="preserve">0.03</w:t>
            </w:r>
          </w:p>
        </w:tc>
        <w:tc>
          <w:tcPr/>
          <w:p>
            <w:pPr>
              <w:pStyle w:val="Compact"/>
            </w:pPr>
            <w:r>
              <w:t xml:space="preserve">Negligible</w:t>
            </w:r>
          </w:p>
        </w:tc>
      </w:tr>
    </w:tbl>
    <w:p>
      <w:pPr>
        <w:pStyle w:val="BodyText"/>
      </w:pPr>
      <w:r>
        <w:t xml:space="preserve">The two parameters with the largest contribution — administrative cost rates and baseline utilization — are both empirically sourced from public data. The AI-specific clinical parameters (hospitalization and ED relative risk reductions, equity gap reduction) contribute minimally to total PMPM savings (combined ρ &lt; 0.25). Setting all projected AI clinical parameters to zero (admin-only scenario S6) preserves 66% of total savings, confirming that the primary conclusions are robust to uncertainty in AI clinical efficacy assumptions.</w:t>
      </w:r>
    </w:p>
    <w:bookmarkEnd w:id="49"/>
    <w:bookmarkEnd w:id="50"/>
    <w:bookmarkStart w:id="54" w:name="Xd17cc593d572dd309df9f939da05cff728f9f86"/>
    <w:p>
      <w:pPr>
        <w:pStyle w:val="Heading2"/>
      </w:pPr>
      <w:r>
        <w:t xml:space="preserve">eAppendix G. Provider Rate and Encounter Share Sensitivity Analysis</w:t>
      </w:r>
    </w:p>
    <w:bookmarkStart w:id="51" w:name="X0f3ecf2d96c86996e1aaa42627fed9679e82828"/>
    <w:p>
      <w:pPr>
        <w:pStyle w:val="Heading3"/>
      </w:pPr>
      <w:r>
        <w:t xml:space="preserve">Provider Rate → Network Adequacy → Outcomes Pathway</w:t>
      </w:r>
    </w:p>
    <w:p>
      <w:pPr>
        <w:pStyle w:val="FirstParagraph"/>
      </w:pPr>
      <w:r>
        <w:t xml:space="preserve">The microsimulation explicitly models the causal pathway from provider reimbursement rates to patient outcomes through network adequacy. Provider payment rates (as percent of Medicare) determine the proportion of listed providers actually accepting new Medicaid patients [51], which in turn determines referral completion rates for encounters requiring in-person care. The referral access factor is parameterized as a logistic function calibrated to published data on Medicaid appointment availability by payment level:</w:t>
      </w:r>
    </w:p>
    <w:p>
      <w:pPr>
        <w:pStyle w:val="BodyText"/>
      </w:pPr>
      <m:oMathPara>
        <m:oMathParaPr>
          <m:jc m:val="center"/>
        </m:oMathParaPr>
        <m:oMath>
          <m:r>
            <m:rPr>
              <m:nor/>
              <m:sty m:val="p"/>
            </m:rPr>
            <m:t>availability</m:t>
          </m:r>
          <m:r>
            <m:rPr>
              <m:sty m:val="p"/>
            </m:rPr>
            <m:t>(</m:t>
          </m:r>
          <m:r>
            <m:t>r</m:t>
          </m:r>
          <m:r>
            <m:rPr>
              <m:sty m:val="p"/>
            </m:rPr>
            <m:t>)</m:t>
          </m:r>
          <m:r>
            <m:rPr>
              <m:sty m:val="p"/>
            </m:rPr>
            <m:t>=</m:t>
          </m:r>
          <m:r>
            <m:t>0.40</m:t>
          </m:r>
          <m:r>
            <m:rPr>
              <m:sty m:val="p"/>
            </m:rPr>
            <m:t>+</m:t>
          </m:r>
          <m:f>
            <m:fPr>
              <m:type m:val="bar"/>
            </m:fPr>
            <m:num>
              <m:r>
                <m:t>0.50</m:t>
              </m:r>
            </m:num>
            <m:den>
              <m:r>
                <m:t>1</m:t>
              </m:r>
              <m:r>
                <m:rPr>
                  <m:sty m:val="p"/>
                </m:rPr>
                <m:t>+</m:t>
              </m:r>
              <m:sSup>
                <m:e>
                  <m:r>
                    <m:t>e</m:t>
                  </m:r>
                </m:e>
                <m:sup>
                  <m:r>
                    <m:rPr>
                      <m:sty m:val="p"/>
                    </m:rPr>
                    <m:t>−</m:t>
                  </m:r>
                  <m:r>
                    <m:t>0.04</m:t>
                  </m:r>
                  <m:r>
                    <m:rPr>
                      <m:sty m:val="p"/>
                    </m:rPr>
                    <m:t>(</m:t>
                  </m:r>
                  <m:r>
                    <m:t>r</m:t>
                  </m:r>
                  <m:r>
                    <m:rPr>
                      <m:sty m:val="p"/>
                    </m:rPr>
                    <m:t>−</m:t>
                  </m:r>
                  <m:r>
                    <m:t>88</m:t>
                  </m:r>
                  <m:r>
                    <m:rPr>
                      <m:sty m:val="p"/>
                    </m:rPr>
                    <m:t>)</m:t>
                  </m:r>
                </m:sup>
              </m:sSup>
            </m:den>
          </m:f>
        </m:oMath>
      </m:oMathPara>
    </w:p>
    <w:p>
      <w:pPr>
        <w:pStyle w:val="FirstParagraph"/>
      </w:pPr>
      <w:r>
        <w:t xml:space="preserve">where</w:t>
      </w:r>
      <w:r>
        <w:t xml:space="preserve"> </w:t>
      </w:r>
      <m:oMath>
        <m:r>
          <m:t>r</m:t>
        </m:r>
      </m:oMath>
      <w:r>
        <w:t xml:space="preserve"> </w:t>
      </w:r>
      <w:r>
        <w:t xml:space="preserve">is the reimbursement rate as percent of Medicare. The factor is normalized so that at 125% of Medicare (debate consensus), the factor equals 1.0. Only non-AI encounters are affected; AI virtual encounters are rate-independent. The effective clinical benefit factor is:</w:t>
      </w:r>
    </w:p>
    <w:p>
      <w:pPr>
        <w:pStyle w:val="BodyText"/>
      </w:pPr>
      <m:oMathPara>
        <m:oMathParaPr>
          <m:jc m:val="center"/>
        </m:oMathParaPr>
        <m:oMath>
          <m:r>
            <m:rPr>
              <m:nor/>
              <m:sty m:val="p"/>
            </m:rPr>
            <m:t>effective factor</m:t>
          </m:r>
          <m:r>
            <m:rPr>
              <m:sty m:val="p"/>
            </m:rPr>
            <m:t>=</m:t>
          </m:r>
          <m:sSub>
            <m:e>
              <m:r>
                <m:t>α</m:t>
              </m:r>
            </m:e>
            <m:sub>
              <m:r>
                <m:t>A</m:t>
              </m:r>
              <m:r>
                <m:t>I</m:t>
              </m:r>
            </m:sub>
          </m:sSub>
          <m:r>
            <m:rPr>
              <m:sty m:val="p"/>
            </m:rPr>
            <m:t>+</m:t>
          </m:r>
          <m:r>
            <m:rPr>
              <m:sty m:val="p"/>
            </m:rPr>
            <m:t>(</m:t>
          </m:r>
          <m:r>
            <m:t>1</m:t>
          </m:r>
          <m:r>
            <m:rPr>
              <m:sty m:val="p"/>
            </m:rPr>
            <m:t>−</m:t>
          </m:r>
          <m:sSub>
            <m:e>
              <m:r>
                <m:t>α</m:t>
              </m:r>
            </m:e>
            <m:sub>
              <m:r>
                <m:t>A</m:t>
              </m:r>
              <m:r>
                <m:t>I</m:t>
              </m:r>
            </m:sub>
          </m:sSub>
          <m:r>
            <m:rPr>
              <m:sty m:val="p"/>
            </m:rPr>
            <m:t>)</m:t>
          </m:r>
          <m:r>
            <m:rPr>
              <m:sty m:val="p"/>
            </m:rPr>
            <m:t>×</m:t>
          </m:r>
          <m:r>
            <m:rPr>
              <m:nor/>
              <m:sty m:val="p"/>
            </m:rPr>
            <m:t>referral_access_factor</m:t>
          </m:r>
          <m:r>
            <m:rPr>
              <m:sty m:val="p"/>
            </m:rPr>
            <m:t>(</m:t>
          </m:r>
          <m:r>
            <m:t>r</m:t>
          </m:r>
          <m:r>
            <m:rPr>
              <m:sty m:val="p"/>
            </m:rPr>
            <m:t>)</m:t>
          </m:r>
        </m:oMath>
      </m:oMathPara>
    </w:p>
    <w:p>
      <w:pPr>
        <w:pStyle w:val="FirstParagraph"/>
      </w:pPr>
      <w:r>
        <w:t xml:space="preserve">where</w:t>
      </w:r>
      <w:r>
        <w:t xml:space="preserve"> </w:t>
      </w:r>
      <m:oMath>
        <m:sSub>
          <m:e>
            <m:r>
              <m:t>α</m:t>
            </m:r>
          </m:e>
          <m:sub>
            <m:r>
              <m:t>A</m:t>
            </m:r>
            <m:r>
              <m:t>I</m:t>
            </m:r>
          </m:sub>
        </m:sSub>
      </m:oMath>
      <w:r>
        <w:t xml:space="preserve"> </w:t>
      </w:r>
      <w:r>
        <w:t xml:space="preserve">is the AI encounter share (0.58 under consensus).</w:t>
      </w:r>
    </w:p>
    <w:bookmarkEnd w:id="51"/>
    <w:bookmarkStart w:id="52" w:name="Xdb8c585b8aa39984f09cf89f27818cdf070185d"/>
    <w:p>
      <w:pPr>
        <w:pStyle w:val="Heading3"/>
      </w:pPr>
      <w:r>
        <w:t xml:space="preserve">eTable 10. Provider Rate Sensitivity Analysis (1,000 Iterations, Paired Comparisons)</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Rate (% Medicare)</w:t>
            </w:r>
          </w:p>
        </w:tc>
        <w:tc>
          <w:tcPr/>
          <w:p>
            <w:pPr>
              <w:pStyle w:val="Compact"/>
            </w:pPr>
            <w:r>
              <w:t xml:space="preserve">Referral Access Factor</w:t>
            </w:r>
          </w:p>
        </w:tc>
        <w:tc>
          <w:tcPr/>
          <w:p>
            <w:pPr>
              <w:pStyle w:val="Compact"/>
            </w:pPr>
            <w:r>
              <w:t xml:space="preserve">Hosp Δ per 1,000 PY (95% UI)</w:t>
            </w:r>
          </w:p>
        </w:tc>
        <w:tc>
          <w:tcPr/>
          <w:p>
            <w:pPr>
              <w:pStyle w:val="Compact"/>
            </w:pPr>
            <w:r>
              <w:t xml:space="preserve">ED Δ per 1,000 PY (95% UI)</w:t>
            </w:r>
          </w:p>
        </w:tc>
        <w:tc>
          <w:tcPr/>
          <w:p>
            <w:pPr>
              <w:pStyle w:val="Compact"/>
            </w:pPr>
            <w:r>
              <w:t xml:space="preserve">PMPM Savings (95% UI)</w:t>
            </w:r>
          </w:p>
        </w:tc>
        <w:tc>
          <w:tcPr/>
          <w:p>
            <w:pPr>
              <w:pStyle w:val="Compact"/>
            </w:pPr>
            <w:r>
              <w:t xml:space="preserve">HEDIS Δ (pp)</w:t>
            </w:r>
          </w:p>
        </w:tc>
        <w:tc>
          <w:tcPr/>
          <w:p>
            <w:pPr>
              <w:pStyle w:val="Compact"/>
            </w:pPr>
            <w:r>
              <w:t xml:space="preserve">% of Full Benefit</w:t>
            </w:r>
          </w:p>
        </w:tc>
      </w:tr>
      <w:tr>
        <w:tc>
          <w:tcPr/>
          <w:p>
            <w:pPr>
              <w:pStyle w:val="Compact"/>
            </w:pPr>
            <w:r>
              <w:t xml:space="preserve">75% (current Medicaid)</w:t>
            </w:r>
          </w:p>
        </w:tc>
        <w:tc>
          <w:tcPr/>
          <w:p>
            <w:pPr>
              <w:pStyle w:val="Compact"/>
            </w:pPr>
            <w:r>
              <w:t xml:space="preserve">0.726</w:t>
            </w:r>
          </w:p>
        </w:tc>
        <w:tc>
          <w:tcPr/>
          <w:p>
            <w:pPr>
              <w:pStyle w:val="Compact"/>
            </w:pPr>
            <w:r>
              <w:t xml:space="preserve">13.3 (7.5–20.8)</w:t>
            </w:r>
          </w:p>
        </w:tc>
        <w:tc>
          <w:tcPr/>
          <w:p>
            <w:pPr>
              <w:pStyle w:val="Compact"/>
            </w:pPr>
            <w:r>
              <w:t xml:space="preserve">35.3 (20.6–53.9)</w:t>
            </w:r>
          </w:p>
        </w:tc>
        <w:tc>
          <w:tcPr/>
          <w:p>
            <w:pPr>
              <w:pStyle w:val="Compact"/>
            </w:pPr>
            <w:r>
              <w:t xml:space="preserve">$52.6 ($28.7–$87.7)</w:t>
            </w:r>
          </w:p>
        </w:tc>
        <w:tc>
          <w:tcPr/>
          <w:p>
            <w:pPr>
              <w:pStyle w:val="Compact"/>
            </w:pPr>
            <w:r>
              <w:t xml:space="preserve">13.3</w:t>
            </w:r>
          </w:p>
        </w:tc>
        <w:tc>
          <w:tcPr/>
          <w:p>
            <w:pPr>
              <w:pStyle w:val="Compact"/>
            </w:pPr>
            <w:r>
              <w:t xml:space="preserve">91%</w:t>
            </w:r>
          </w:p>
        </w:tc>
      </w:tr>
      <w:tr>
        <w:tc>
          <w:tcPr/>
          <w:p>
            <w:pPr>
              <w:pStyle w:val="Compact"/>
            </w:pPr>
            <w:r>
              <w:t xml:space="preserve">100% (Medicare parity)</w:t>
            </w:r>
          </w:p>
        </w:tc>
        <w:tc>
          <w:tcPr/>
          <w:p>
            <w:pPr>
              <w:pStyle w:val="Compact"/>
            </w:pPr>
            <w:r>
              <w:t xml:space="preserve">0.878</w:t>
            </w:r>
          </w:p>
        </w:tc>
        <w:tc>
          <w:tcPr/>
          <w:p>
            <w:pPr>
              <w:pStyle w:val="Compact"/>
            </w:pPr>
            <w:r>
              <w:t xml:space="preserve">14.0 (8.1–22.1)</w:t>
            </w:r>
          </w:p>
        </w:tc>
        <w:tc>
          <w:tcPr/>
          <w:p>
            <w:pPr>
              <w:pStyle w:val="Compact"/>
            </w:pPr>
            <w:r>
              <w:t xml:space="preserve">37.0 (22.0–57.4)</w:t>
            </w:r>
          </w:p>
        </w:tc>
        <w:tc>
          <w:tcPr/>
          <w:p>
            <w:pPr>
              <w:pStyle w:val="Compact"/>
            </w:pPr>
            <w:r>
              <w:t xml:space="preserve">$45.6 ($22.1–$80.7)</w:t>
            </w:r>
          </w:p>
        </w:tc>
        <w:tc>
          <w:tcPr/>
          <w:p>
            <w:pPr>
              <w:pStyle w:val="Compact"/>
            </w:pPr>
            <w:r>
              <w:t xml:space="preserve">14.3</w:t>
            </w:r>
          </w:p>
        </w:tc>
        <w:tc>
          <w:tcPr/>
          <w:p>
            <w:pPr>
              <w:pStyle w:val="Compact"/>
            </w:pPr>
            <w:r>
              <w:t xml:space="preserve">96%</w:t>
            </w:r>
          </w:p>
        </w:tc>
      </w:tr>
      <w:tr>
        <w:tc>
          <w:tcPr/>
          <w:p>
            <w:pPr>
              <w:pStyle w:val="Compact"/>
            </w:pPr>
            <w:r>
              <w:t xml:space="preserve">110%</w:t>
            </w:r>
          </w:p>
        </w:tc>
        <w:tc>
          <w:tcPr/>
          <w:p>
            <w:pPr>
              <w:pStyle w:val="Compact"/>
            </w:pPr>
            <w:r>
              <w:t xml:space="preserve">0.933</w:t>
            </w:r>
          </w:p>
        </w:tc>
        <w:tc>
          <w:tcPr/>
          <w:p>
            <w:pPr>
              <w:pStyle w:val="Compact"/>
            </w:pPr>
            <w:r>
              <w:t xml:space="preserve">14.3 (8.2–22.6)</w:t>
            </w:r>
          </w:p>
        </w:tc>
        <w:tc>
          <w:tcPr/>
          <w:p>
            <w:pPr>
              <w:pStyle w:val="Compact"/>
            </w:pPr>
            <w:r>
              <w:t xml:space="preserve">37.6 (21.4–59.6)</w:t>
            </w:r>
          </w:p>
        </w:tc>
        <w:tc>
          <w:tcPr/>
          <w:p>
            <w:pPr>
              <w:pStyle w:val="Compact"/>
            </w:pPr>
            <w:r>
              <w:t xml:space="preserve">$42.8 ($18.5–$79.0)</w:t>
            </w:r>
          </w:p>
        </w:tc>
        <w:tc>
          <w:tcPr/>
          <w:p>
            <w:pPr>
              <w:pStyle w:val="Compact"/>
            </w:pPr>
            <w:r>
              <w:t xml:space="preserve">14.6</w:t>
            </w:r>
          </w:p>
        </w:tc>
        <w:tc>
          <w:tcPr/>
          <w:p>
            <w:pPr>
              <w:pStyle w:val="Compact"/>
            </w:pPr>
            <w:r>
              <w:t xml:space="preserve">98%</w:t>
            </w:r>
          </w:p>
        </w:tc>
      </w:tr>
      <w:tr>
        <w:tc>
          <w:tcPr/>
          <w:p>
            <w:pPr>
              <w:pStyle w:val="Compact"/>
            </w:pPr>
            <w:r>
              <w:t xml:space="preserve">125% (debate consensus)</w:t>
            </w:r>
          </w:p>
        </w:tc>
        <w:tc>
          <w:tcPr/>
          <w:p>
            <w:pPr>
              <w:pStyle w:val="Compact"/>
            </w:pPr>
            <w:r>
              <w:t xml:space="preserve">1.000</w:t>
            </w:r>
          </w:p>
        </w:tc>
        <w:tc>
          <w:tcPr/>
          <w:p>
            <w:pPr>
              <w:pStyle w:val="Compact"/>
            </w:pPr>
            <w:r>
              <w:t xml:space="preserve">14.6 (8.0–22.9)</w:t>
            </w:r>
          </w:p>
        </w:tc>
        <w:tc>
          <w:tcPr/>
          <w:p>
            <w:pPr>
              <w:pStyle w:val="Compact"/>
            </w:pPr>
            <w:r>
              <w:t xml:space="preserve">38.5 (22.9–63.0)</w:t>
            </w:r>
          </w:p>
        </w:tc>
        <w:tc>
          <w:tcPr/>
          <w:p>
            <w:pPr>
              <w:pStyle w:val="Compact"/>
            </w:pPr>
            <w:r>
              <w:t xml:space="preserve">$38.5 ($13.6–$76.1)</w:t>
            </w:r>
          </w:p>
        </w:tc>
        <w:tc>
          <w:tcPr/>
          <w:p>
            <w:pPr>
              <w:pStyle w:val="Compact"/>
            </w:pPr>
            <w:r>
              <w:t xml:space="preserve">15.1</w:t>
            </w:r>
          </w:p>
        </w:tc>
        <w:tc>
          <w:tcPr/>
          <w:p>
            <w:pPr>
              <w:pStyle w:val="Compact"/>
            </w:pPr>
            <w:r>
              <w:t xml:space="preserve">100%</w:t>
            </w:r>
          </w:p>
        </w:tc>
      </w:tr>
    </w:tbl>
    <w:p>
      <w:pPr>
        <w:pStyle w:val="BodyText"/>
      </w:pPr>
      <w:r>
        <w:t xml:space="preserve">Clinical benefits are only modestly attenuated at lower rates because 58% of encounters are AI virtual encounters unaffected by network adequacy. PMPM savings are paradoxically higher at lower rates because lower reimbursement reduces total expenditure. All scenarios showed 100% probability of net savings.</w:t>
      </w:r>
    </w:p>
    <w:bookmarkEnd w:id="52"/>
    <w:bookmarkStart w:id="53" w:name="Xd11d19ff94ffd6e499ad9c988ad9f8fb205a32a"/>
    <w:p>
      <w:pPr>
        <w:pStyle w:val="Heading3"/>
      </w:pPr>
      <w:r>
        <w:t xml:space="preserve">eTable 11. Encounter Share × Rate Sensitivity Analysis</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AI Encounter Share</w:t>
            </w:r>
          </w:p>
        </w:tc>
        <w:tc>
          <w:tcPr/>
          <w:p>
            <w:pPr>
              <w:pStyle w:val="Compact"/>
            </w:pPr>
            <w:r>
              <w:t xml:space="preserve">Rate (% Medicare)</w:t>
            </w:r>
          </w:p>
        </w:tc>
        <w:tc>
          <w:tcPr/>
          <w:p>
            <w:pPr>
              <w:pStyle w:val="Compact"/>
            </w:pPr>
            <w:r>
              <w:t xml:space="preserve">Hosp Δ per 1,000 PY</w:t>
            </w:r>
          </w:p>
        </w:tc>
        <w:tc>
          <w:tcPr/>
          <w:p>
            <w:pPr>
              <w:pStyle w:val="Compact"/>
            </w:pPr>
            <w:r>
              <w:t xml:space="preserve">HEDIS Δ (pp)</w:t>
            </w:r>
          </w:p>
        </w:tc>
        <w:tc>
          <w:tcPr/>
          <w:p>
            <w:pPr>
              <w:pStyle w:val="Compact"/>
            </w:pPr>
            <w:r>
              <w:t xml:space="preserve">PMPM Savings</w:t>
            </w:r>
          </w:p>
        </w:tc>
        <w:tc>
          <w:tcPr/>
          <w:p>
            <w:pPr>
              <w:pStyle w:val="Compact"/>
            </w:pPr>
            <w:r>
              <w:t xml:space="preserve">Prob Net Savings</w:t>
            </w:r>
          </w:p>
        </w:tc>
      </w:tr>
      <w:tr>
        <w:tc>
          <w:tcPr/>
          <w:p>
            <w:pPr>
              <w:pStyle w:val="Compact"/>
            </w:pPr>
            <w:r>
              <w:t xml:space="preserve">20%</w:t>
            </w:r>
          </w:p>
        </w:tc>
        <w:tc>
          <w:tcPr/>
          <w:p>
            <w:pPr>
              <w:pStyle w:val="Compact"/>
            </w:pPr>
            <w:r>
              <w:t xml:space="preserve">75%</w:t>
            </w:r>
          </w:p>
        </w:tc>
        <w:tc>
          <w:tcPr/>
          <w:p>
            <w:pPr>
              <w:pStyle w:val="Compact"/>
            </w:pPr>
            <w:r>
              <w:t xml:space="preserve">12.6</w:t>
            </w:r>
          </w:p>
        </w:tc>
        <w:tc>
          <w:tcPr/>
          <w:p>
            <w:pPr>
              <w:pStyle w:val="Compact"/>
            </w:pPr>
            <w:r>
              <w:t xml:space="preserve">12.2</w:t>
            </w:r>
          </w:p>
        </w:tc>
        <w:tc>
          <w:tcPr/>
          <w:p>
            <w:pPr>
              <w:pStyle w:val="Compact"/>
            </w:pPr>
            <w:r>
              <w:t xml:space="preserve">$54.1</w:t>
            </w:r>
          </w:p>
        </w:tc>
        <w:tc>
          <w:tcPr/>
          <w:p>
            <w:pPr>
              <w:pStyle w:val="Compact"/>
            </w:pPr>
            <w:r>
              <w:t xml:space="preserve">100%</w:t>
            </w:r>
          </w:p>
        </w:tc>
      </w:tr>
      <w:tr>
        <w:tc>
          <w:tcPr/>
          <w:p>
            <w:pPr>
              <w:pStyle w:val="Compact"/>
            </w:pPr>
            <w:r>
              <w:t xml:space="preserve">20%</w:t>
            </w:r>
          </w:p>
        </w:tc>
        <w:tc>
          <w:tcPr/>
          <w:p>
            <w:pPr>
              <w:pStyle w:val="Compact"/>
            </w:pPr>
            <w:r>
              <w:t xml:space="preserve">125%</w:t>
            </w:r>
          </w:p>
        </w:tc>
        <w:tc>
          <w:tcPr/>
          <w:p>
            <w:pPr>
              <w:pStyle w:val="Compact"/>
            </w:pPr>
            <w:r>
              <w:t xml:space="preserve">14.6</w:t>
            </w:r>
          </w:p>
        </w:tc>
        <w:tc>
          <w:tcPr/>
          <w:p>
            <w:pPr>
              <w:pStyle w:val="Compact"/>
            </w:pPr>
            <w:r>
              <w:t xml:space="preserve">15.6</w:t>
            </w:r>
          </w:p>
        </w:tc>
        <w:tc>
          <w:tcPr/>
          <w:p>
            <w:pPr>
              <w:pStyle w:val="Compact"/>
            </w:pPr>
            <w:r>
              <w:t xml:space="preserve">$41.0</w:t>
            </w:r>
          </w:p>
        </w:tc>
        <w:tc>
          <w:tcPr/>
          <w:p>
            <w:pPr>
              <w:pStyle w:val="Compact"/>
            </w:pPr>
            <w:r>
              <w:t xml:space="preserve">100%</w:t>
            </w:r>
          </w:p>
        </w:tc>
      </w:tr>
      <w:tr>
        <w:tc>
          <w:tcPr/>
          <w:p>
            <w:pPr>
              <w:pStyle w:val="Compact"/>
            </w:pPr>
            <w:r>
              <w:t xml:space="preserve">35%</w:t>
            </w:r>
          </w:p>
        </w:tc>
        <w:tc>
          <w:tcPr/>
          <w:p>
            <w:pPr>
              <w:pStyle w:val="Compact"/>
            </w:pPr>
            <w:r>
              <w:t xml:space="preserve">75%</w:t>
            </w:r>
          </w:p>
        </w:tc>
        <w:tc>
          <w:tcPr/>
          <w:p>
            <w:pPr>
              <w:pStyle w:val="Compact"/>
            </w:pPr>
            <w:r>
              <w:t xml:space="preserve">12.9</w:t>
            </w:r>
          </w:p>
        </w:tc>
        <w:tc>
          <w:tcPr/>
          <w:p>
            <w:pPr>
              <w:pStyle w:val="Compact"/>
            </w:pPr>
            <w:r>
              <w:t xml:space="preserve">12.8</w:t>
            </w:r>
          </w:p>
        </w:tc>
        <w:tc>
          <w:tcPr/>
          <w:p>
            <w:pPr>
              <w:pStyle w:val="Compact"/>
            </w:pPr>
            <w:r>
              <w:t xml:space="preserve">$54.4</w:t>
            </w:r>
          </w:p>
        </w:tc>
        <w:tc>
          <w:tcPr/>
          <w:p>
            <w:pPr>
              <w:pStyle w:val="Compact"/>
            </w:pPr>
            <w:r>
              <w:t xml:space="preserve">100%</w:t>
            </w:r>
          </w:p>
        </w:tc>
      </w:tr>
      <w:tr>
        <w:tc>
          <w:tcPr/>
          <w:p>
            <w:pPr>
              <w:pStyle w:val="Compact"/>
            </w:pPr>
            <w:r>
              <w:t xml:space="preserve">35%</w:t>
            </w:r>
          </w:p>
        </w:tc>
        <w:tc>
          <w:tcPr/>
          <w:p>
            <w:pPr>
              <w:pStyle w:val="Compact"/>
            </w:pPr>
            <w:r>
              <w:t xml:space="preserve">125%</w:t>
            </w:r>
          </w:p>
        </w:tc>
        <w:tc>
          <w:tcPr/>
          <w:p>
            <w:pPr>
              <w:pStyle w:val="Compact"/>
            </w:pPr>
            <w:r>
              <w:t xml:space="preserve">14.6</w:t>
            </w:r>
          </w:p>
        </w:tc>
        <w:tc>
          <w:tcPr/>
          <w:p>
            <w:pPr>
              <w:pStyle w:val="Compact"/>
            </w:pPr>
            <w:r>
              <w:t xml:space="preserve">15.6</w:t>
            </w:r>
          </w:p>
        </w:tc>
        <w:tc>
          <w:tcPr/>
          <w:p>
            <w:pPr>
              <w:pStyle w:val="Compact"/>
            </w:pPr>
            <w:r>
              <w:t xml:space="preserve">$41.0</w:t>
            </w:r>
          </w:p>
        </w:tc>
        <w:tc>
          <w:tcPr/>
          <w:p>
            <w:pPr>
              <w:pStyle w:val="Compact"/>
            </w:pPr>
            <w:r>
              <w:t xml:space="preserve">100%</w:t>
            </w:r>
          </w:p>
        </w:tc>
      </w:tr>
      <w:tr>
        <w:tc>
          <w:tcPr/>
          <w:p>
            <w:pPr>
              <w:pStyle w:val="Compact"/>
            </w:pPr>
            <w:r>
              <w:t xml:space="preserve">45%</w:t>
            </w:r>
          </w:p>
        </w:tc>
        <w:tc>
          <w:tcPr/>
          <w:p>
            <w:pPr>
              <w:pStyle w:val="Compact"/>
            </w:pPr>
            <w:r>
              <w:t xml:space="preserve">75%</w:t>
            </w:r>
          </w:p>
        </w:tc>
        <w:tc>
          <w:tcPr/>
          <w:p>
            <w:pPr>
              <w:pStyle w:val="Compact"/>
            </w:pPr>
            <w:r>
              <w:t xml:space="preserve">13.2</w:t>
            </w:r>
          </w:p>
        </w:tc>
        <w:tc>
          <w:tcPr/>
          <w:p>
            <w:pPr>
              <w:pStyle w:val="Compact"/>
            </w:pPr>
            <w:r>
              <w:t xml:space="preserve">13.2</w:t>
            </w:r>
          </w:p>
        </w:tc>
        <w:tc>
          <w:tcPr/>
          <w:p>
            <w:pPr>
              <w:pStyle w:val="Compact"/>
            </w:pPr>
            <w:r>
              <w:t xml:space="preserve">$54.7</w:t>
            </w:r>
          </w:p>
        </w:tc>
        <w:tc>
          <w:tcPr/>
          <w:p>
            <w:pPr>
              <w:pStyle w:val="Compact"/>
            </w:pPr>
            <w:r>
              <w:t xml:space="preserve">100%</w:t>
            </w:r>
          </w:p>
        </w:tc>
      </w:tr>
      <w:tr>
        <w:tc>
          <w:tcPr/>
          <w:p>
            <w:pPr>
              <w:pStyle w:val="Compact"/>
            </w:pPr>
            <w:r>
              <w:t xml:space="preserve">45%</w:t>
            </w:r>
          </w:p>
        </w:tc>
        <w:tc>
          <w:tcPr/>
          <w:p>
            <w:pPr>
              <w:pStyle w:val="Compact"/>
            </w:pPr>
            <w:r>
              <w:t xml:space="preserve">125%</w:t>
            </w:r>
          </w:p>
        </w:tc>
        <w:tc>
          <w:tcPr/>
          <w:p>
            <w:pPr>
              <w:pStyle w:val="Compact"/>
            </w:pPr>
            <w:r>
              <w:t xml:space="preserve">14.6</w:t>
            </w:r>
          </w:p>
        </w:tc>
        <w:tc>
          <w:tcPr/>
          <w:p>
            <w:pPr>
              <w:pStyle w:val="Compact"/>
            </w:pPr>
            <w:r>
              <w:t xml:space="preserve">15.6</w:t>
            </w:r>
          </w:p>
        </w:tc>
        <w:tc>
          <w:tcPr/>
          <w:p>
            <w:pPr>
              <w:pStyle w:val="Compact"/>
            </w:pPr>
            <w:r>
              <w:t xml:space="preserve">$41.0</w:t>
            </w:r>
          </w:p>
        </w:tc>
        <w:tc>
          <w:tcPr/>
          <w:p>
            <w:pPr>
              <w:pStyle w:val="Compact"/>
            </w:pPr>
            <w:r>
              <w:t xml:space="preserve">100%</w:t>
            </w:r>
          </w:p>
        </w:tc>
      </w:tr>
      <w:tr>
        <w:tc>
          <w:tcPr/>
          <w:p>
            <w:pPr>
              <w:pStyle w:val="Compact"/>
            </w:pPr>
            <w:r>
              <w:t xml:space="preserve">58% (consensus)</w:t>
            </w:r>
          </w:p>
        </w:tc>
        <w:tc>
          <w:tcPr/>
          <w:p>
            <w:pPr>
              <w:pStyle w:val="Compact"/>
            </w:pPr>
            <w:r>
              <w:t xml:space="preserve">75%</w:t>
            </w:r>
          </w:p>
        </w:tc>
        <w:tc>
          <w:tcPr/>
          <w:p>
            <w:pPr>
              <w:pStyle w:val="Compact"/>
            </w:pPr>
            <w:r>
              <w:t xml:space="preserve">13.5</w:t>
            </w:r>
          </w:p>
        </w:tc>
        <w:tc>
          <w:tcPr/>
          <w:p>
            <w:pPr>
              <w:pStyle w:val="Compact"/>
            </w:pPr>
            <w:r>
              <w:t xml:space="preserve">13.8</w:t>
            </w:r>
          </w:p>
        </w:tc>
        <w:tc>
          <w:tcPr/>
          <w:p>
            <w:pPr>
              <w:pStyle w:val="Compact"/>
            </w:pPr>
            <w:r>
              <w:t xml:space="preserve">$55.1</w:t>
            </w:r>
          </w:p>
        </w:tc>
        <w:tc>
          <w:tcPr/>
          <w:p>
            <w:pPr>
              <w:pStyle w:val="Compact"/>
            </w:pPr>
            <w:r>
              <w:t xml:space="preserve">100%</w:t>
            </w:r>
          </w:p>
        </w:tc>
      </w:tr>
      <w:tr>
        <w:tc>
          <w:tcPr/>
          <w:p>
            <w:pPr>
              <w:pStyle w:val="Compact"/>
            </w:pPr>
            <w:r>
              <w:t xml:space="preserve">58% (consensus)</w:t>
            </w:r>
          </w:p>
        </w:tc>
        <w:tc>
          <w:tcPr/>
          <w:p>
            <w:pPr>
              <w:pStyle w:val="Compact"/>
            </w:pPr>
            <w:r>
              <w:t xml:space="preserve">125%</w:t>
            </w:r>
          </w:p>
        </w:tc>
        <w:tc>
          <w:tcPr/>
          <w:p>
            <w:pPr>
              <w:pStyle w:val="Compact"/>
            </w:pPr>
            <w:r>
              <w:t xml:space="preserve">14.6</w:t>
            </w:r>
          </w:p>
        </w:tc>
        <w:tc>
          <w:tcPr/>
          <w:p>
            <w:pPr>
              <w:pStyle w:val="Compact"/>
            </w:pPr>
            <w:r>
              <w:t xml:space="preserve">15.6</w:t>
            </w:r>
          </w:p>
        </w:tc>
        <w:tc>
          <w:tcPr/>
          <w:p>
            <w:pPr>
              <w:pStyle w:val="Compact"/>
            </w:pPr>
            <w:r>
              <w:t xml:space="preserve">$41.0</w:t>
            </w:r>
          </w:p>
        </w:tc>
        <w:tc>
          <w:tcPr/>
          <w:p>
            <w:pPr>
              <w:pStyle w:val="Compact"/>
            </w:pPr>
            <w:r>
              <w:t xml:space="preserve">100%</w:t>
            </w:r>
          </w:p>
        </w:tc>
      </w:tr>
      <w:tr>
        <w:tc>
          <w:tcPr/>
          <w:p>
            <w:pPr>
              <w:pStyle w:val="Compact"/>
            </w:pPr>
            <w:r>
              <w:t xml:space="preserve">75%</w:t>
            </w:r>
          </w:p>
        </w:tc>
        <w:tc>
          <w:tcPr/>
          <w:p>
            <w:pPr>
              <w:pStyle w:val="Compact"/>
            </w:pPr>
            <w:r>
              <w:t xml:space="preserve">75%</w:t>
            </w:r>
          </w:p>
        </w:tc>
        <w:tc>
          <w:tcPr/>
          <w:p>
            <w:pPr>
              <w:pStyle w:val="Compact"/>
            </w:pPr>
            <w:r>
              <w:t xml:space="preserve">14.0</w:t>
            </w:r>
          </w:p>
        </w:tc>
        <w:tc>
          <w:tcPr/>
          <w:p>
            <w:pPr>
              <w:pStyle w:val="Compact"/>
            </w:pPr>
            <w:r>
              <w:t xml:space="preserve">14.5</w:t>
            </w:r>
          </w:p>
        </w:tc>
        <w:tc>
          <w:tcPr/>
          <w:p>
            <w:pPr>
              <w:pStyle w:val="Compact"/>
            </w:pPr>
            <w:r>
              <w:t xml:space="preserve">$55.6</w:t>
            </w:r>
          </w:p>
        </w:tc>
        <w:tc>
          <w:tcPr/>
          <w:p>
            <w:pPr>
              <w:pStyle w:val="Compact"/>
            </w:pPr>
            <w:r>
              <w:t xml:space="preserve">100%</w:t>
            </w:r>
          </w:p>
        </w:tc>
      </w:tr>
      <w:tr>
        <w:tc>
          <w:tcPr/>
          <w:p>
            <w:pPr>
              <w:pStyle w:val="Compact"/>
            </w:pPr>
            <w:r>
              <w:t xml:space="preserve">75%</w:t>
            </w:r>
          </w:p>
        </w:tc>
        <w:tc>
          <w:tcPr/>
          <w:p>
            <w:pPr>
              <w:pStyle w:val="Compact"/>
            </w:pPr>
            <w:r>
              <w:t xml:space="preserve">125%</w:t>
            </w:r>
          </w:p>
        </w:tc>
        <w:tc>
          <w:tcPr/>
          <w:p>
            <w:pPr>
              <w:pStyle w:val="Compact"/>
            </w:pPr>
            <w:r>
              <w:t xml:space="preserve">14.6</w:t>
            </w:r>
          </w:p>
        </w:tc>
        <w:tc>
          <w:tcPr/>
          <w:p>
            <w:pPr>
              <w:pStyle w:val="Compact"/>
            </w:pPr>
            <w:r>
              <w:t xml:space="preserve">15.6</w:t>
            </w:r>
          </w:p>
        </w:tc>
        <w:tc>
          <w:tcPr/>
          <w:p>
            <w:pPr>
              <w:pStyle w:val="Compact"/>
            </w:pPr>
            <w:r>
              <w:t xml:space="preserve">$41.0</w:t>
            </w:r>
          </w:p>
        </w:tc>
        <w:tc>
          <w:tcPr/>
          <w:p>
            <w:pPr>
              <w:pStyle w:val="Compact"/>
            </w:pPr>
            <w:r>
              <w:t xml:space="preserve">100%</w:t>
            </w:r>
          </w:p>
        </w:tc>
      </w:tr>
    </w:tbl>
    <w:p>
      <w:pPr>
        <w:pStyle w:val="BodyText"/>
      </w:pPr>
      <w:r>
        <w:t xml:space="preserve">At the debate consensus rate (125% of Medicare), the encounter share has no effect on outcomes because the referral access factor is 1.0. At current Medicaid rates (75% of Medicare), increasing the AI encounter share from 20% to 75% increases the hospitalization reduction from 12.6 to 14.0 per 1,000 person-years — even the most conservative combination (20% AI encounters, 75% Medicare rates) produces meaningful clinical improvement and positive net savings.</w:t>
      </w:r>
    </w:p>
    <w:bookmarkEnd w:id="53"/>
    <w:bookmarkEnd w:id="54"/>
    <w:bookmarkStart w:id="67" w:name="efigures"/>
    <w:p>
      <w:pPr>
        <w:pStyle w:val="Heading2"/>
      </w:pPr>
      <w:r>
        <w:t xml:space="preserve">eFigures</w:t>
      </w:r>
    </w:p>
    <w:p>
      <w:pPr>
        <w:pStyle w:val="FirstParagraph"/>
      </w:pPr>
      <w:r>
        <w:rPr>
          <w:b/>
          <w:bCs/>
        </w:rPr>
        <w:t xml:space="preserve">eFigure 1. Modified Delphi Convergence Trajectory.</w:t>
      </w:r>
      <w:r>
        <w:t xml:space="preserve"> </w:t>
      </w:r>
      <w:r>
        <w:t xml:space="preserve">Coefficient of variation (CV) for each of the 12 parameter domains across Rounds 0, 1, and 2 of the Modified Delphi process. The horizontal dashed line marks CV = 0.15 (the pre-specified convergence threshold). By Round 2, 11 of 12 domains fell below this threshold; the human oversight domain (CV = 0.23) met IQR-based stability criteria but did not reach CV &lt; 0.15, reflecting genuine disagreement among agent personas on physician supervision intensity.</w:t>
      </w:r>
    </w:p>
    <w:p>
      <w:pPr>
        <w:pStyle w:val="CaptionedFigure"/>
      </w:pPr>
      <w:r>
        <w:drawing>
          <wp:inline>
            <wp:extent cx="5334000" cy="3447015"/>
            <wp:effectExtent b="0" l="0" r="0" t="0"/>
            <wp:docPr descr="eFigure 1" title="" id="56" name="Picture"/>
            <a:graphic>
              <a:graphicData uri="http://schemas.openxmlformats.org/drawingml/2006/picture">
                <pic:pic>
                  <pic:nvPicPr>
                    <pic:cNvPr descr="figures/eFig1.png" id="57" name="Picture"/>
                    <pic:cNvPicPr>
                      <a:picLocks noChangeArrowheads="1" noChangeAspect="1"/>
                    </pic:cNvPicPr>
                  </pic:nvPicPr>
                  <pic:blipFill>
                    <a:blip r:embed="rId55"/>
                    <a:stretch>
                      <a:fillRect/>
                    </a:stretch>
                  </pic:blipFill>
                  <pic:spPr bwMode="auto">
                    <a:xfrm>
                      <a:off x="0" y="0"/>
                      <a:ext cx="5334000" cy="3447015"/>
                    </a:xfrm>
                    <a:prstGeom prst="rect">
                      <a:avLst/>
                    </a:prstGeom>
                    <a:noFill/>
                    <a:ln w="9525">
                      <a:noFill/>
                      <a:headEnd/>
                      <a:tailEnd/>
                    </a:ln>
                  </pic:spPr>
                </pic:pic>
              </a:graphicData>
            </a:graphic>
          </wp:inline>
        </w:drawing>
      </w:r>
    </w:p>
    <w:p>
      <w:pPr>
        <w:pStyle w:val="ImageCaption"/>
      </w:pPr>
      <w:r>
        <w:t xml:space="preserve">eFigure 1</w:t>
      </w:r>
    </w:p>
    <w:p>
      <w:pPr>
        <w:pStyle w:val="BodyText"/>
      </w:pPr>
      <w:r>
        <w:rPr>
          <w:b/>
          <w:bCs/>
        </w:rPr>
        <w:t xml:space="preserve">eFigure 2. Patient Outcomes by Racial and Ethnic Group: AI ACO vs. Status Quo MCO.</w:t>
      </w:r>
      <w:r>
        <w:t xml:space="preserve"> </w:t>
      </w:r>
      <w:r>
        <w:t xml:space="preserve">Panel A shows hospitalization rates per 1,000 person-years by racial group under the status quo MCO and AI ACO consensus design. Panel B shows the absolute reduction in hospitalization rate for each group. Improvements are observed across all groups, with slightly larger absolute reductions among Black and AIAN adults.</w:t>
      </w:r>
    </w:p>
    <w:p>
      <w:pPr>
        <w:pStyle w:val="CaptionedFigure"/>
      </w:pPr>
      <w:r>
        <w:drawing>
          <wp:inline>
            <wp:extent cx="5334000" cy="2309213"/>
            <wp:effectExtent b="0" l="0" r="0" t="0"/>
            <wp:docPr descr="eFigure 2" title="" id="59" name="Picture"/>
            <a:graphic>
              <a:graphicData uri="http://schemas.openxmlformats.org/drawingml/2006/picture">
                <pic:pic>
                  <pic:nvPicPr>
                    <pic:cNvPr descr="figures/eFig2.png" id="60" name="Picture"/>
                    <pic:cNvPicPr>
                      <a:picLocks noChangeArrowheads="1" noChangeAspect="1"/>
                    </pic:cNvPicPr>
                  </pic:nvPicPr>
                  <pic:blipFill>
                    <a:blip r:embed="rId58"/>
                    <a:stretch>
                      <a:fillRect/>
                    </a:stretch>
                  </pic:blipFill>
                  <pic:spPr bwMode="auto">
                    <a:xfrm>
                      <a:off x="0" y="0"/>
                      <a:ext cx="5334000" cy="2309213"/>
                    </a:xfrm>
                    <a:prstGeom prst="rect">
                      <a:avLst/>
                    </a:prstGeom>
                    <a:noFill/>
                    <a:ln w="9525">
                      <a:noFill/>
                      <a:headEnd/>
                      <a:tailEnd/>
                    </a:ln>
                  </pic:spPr>
                </pic:pic>
              </a:graphicData>
            </a:graphic>
          </wp:inline>
        </w:drawing>
      </w:r>
    </w:p>
    <w:p>
      <w:pPr>
        <w:pStyle w:val="ImageCaption"/>
      </w:pPr>
      <w:r>
        <w:t xml:space="preserve">eFigure 2</w:t>
      </w:r>
    </w:p>
    <w:p>
      <w:pPr>
        <w:pStyle w:val="BodyText"/>
      </w:pPr>
      <w:r>
        <w:rPr>
          <w:b/>
          <w:bCs/>
        </w:rPr>
        <w:t xml:space="preserve">eFigure 3. Social Welfare Decomposition: AI ACO vs. Status Quo MCO.</w:t>
      </w:r>
      <w:r>
        <w:t xml:space="preserve"> </w:t>
      </w:r>
      <w:r>
        <w:t xml:space="preserve">Waterfall chart showing per-member-per-year net social surplus decomposed into consumer surplus (health gains monetized as QALYs), medical utilization savings, administrative overhead savings, and producer surplus. Medical and administrative savings are subcomponents of government surplus and sum to the government surplus total.</w:t>
      </w:r>
    </w:p>
    <w:p>
      <w:pPr>
        <w:pStyle w:val="CaptionedFigure"/>
      </w:pPr>
      <w:r>
        <w:drawing>
          <wp:inline>
            <wp:extent cx="5334000" cy="3309366"/>
            <wp:effectExtent b="0" l="0" r="0" t="0"/>
            <wp:docPr descr="eFigure 3" title="" id="62" name="Picture"/>
            <a:graphic>
              <a:graphicData uri="http://schemas.openxmlformats.org/drawingml/2006/picture">
                <pic:pic>
                  <pic:nvPicPr>
                    <pic:cNvPr descr="figures/eFig3.png" id="63" name="Picture"/>
                    <pic:cNvPicPr>
                      <a:picLocks noChangeArrowheads="1" noChangeAspect="1"/>
                    </pic:cNvPicPr>
                  </pic:nvPicPr>
                  <pic:blipFill>
                    <a:blip r:embed="rId61"/>
                    <a:stretch>
                      <a:fillRect/>
                    </a:stretch>
                  </pic:blipFill>
                  <pic:spPr bwMode="auto">
                    <a:xfrm>
                      <a:off x="0" y="0"/>
                      <a:ext cx="5334000" cy="3309366"/>
                    </a:xfrm>
                    <a:prstGeom prst="rect">
                      <a:avLst/>
                    </a:prstGeom>
                    <a:noFill/>
                    <a:ln w="9525">
                      <a:noFill/>
                      <a:headEnd/>
                      <a:tailEnd/>
                    </a:ln>
                  </pic:spPr>
                </pic:pic>
              </a:graphicData>
            </a:graphic>
          </wp:inline>
        </w:drawing>
      </w:r>
    </w:p>
    <w:p>
      <w:pPr>
        <w:pStyle w:val="ImageCaption"/>
      </w:pPr>
      <w:r>
        <w:t xml:space="preserve">eFigure 3</w:t>
      </w:r>
    </w:p>
    <w:p>
      <w:pPr>
        <w:pStyle w:val="BodyText"/>
      </w:pPr>
      <w:r>
        <w:rPr>
          <w:b/>
          <w:bCs/>
        </w:rPr>
        <w:t xml:space="preserve">eFigure 4. Multi-Dimensional Scenario Comparison.</w:t>
      </w:r>
      <w:r>
        <w:t xml:space="preserve"> </w:t>
      </w:r>
      <w:r>
        <w:t xml:space="preserve">Radar chart comparing the AI ACO, status quo MCO, care coordination only, and AI ACO under universal eligibility across 6 normalized performance dimensions (hospitalization reduction, ED reduction, HEDIS improvement, engagement, cost reduction, administrative efficiency). Higher values indicate better performance on each axis.</w:t>
      </w:r>
    </w:p>
    <w:p>
      <w:pPr>
        <w:pStyle w:val="CaptionedFigure"/>
      </w:pPr>
      <w:r>
        <w:drawing>
          <wp:inline>
            <wp:extent cx="5334000" cy="4377757"/>
            <wp:effectExtent b="0" l="0" r="0" t="0"/>
            <wp:docPr descr="eFigure 4" title="" id="65" name="Picture"/>
            <a:graphic>
              <a:graphicData uri="http://schemas.openxmlformats.org/drawingml/2006/picture">
                <pic:pic>
                  <pic:nvPicPr>
                    <pic:cNvPr descr="figures/eFig4.png" id="66" name="Picture"/>
                    <pic:cNvPicPr>
                      <a:picLocks noChangeArrowheads="1" noChangeAspect="1"/>
                    </pic:cNvPicPr>
                  </pic:nvPicPr>
                  <pic:blipFill>
                    <a:blip r:embed="rId64"/>
                    <a:stretch>
                      <a:fillRect/>
                    </a:stretch>
                  </pic:blipFill>
                  <pic:spPr bwMode="auto">
                    <a:xfrm>
                      <a:off x="0" y="0"/>
                      <a:ext cx="5334000" cy="4377757"/>
                    </a:xfrm>
                    <a:prstGeom prst="rect">
                      <a:avLst/>
                    </a:prstGeom>
                    <a:noFill/>
                    <a:ln w="9525">
                      <a:noFill/>
                      <a:headEnd/>
                      <a:tailEnd/>
                    </a:ln>
                  </pic:spPr>
                </pic:pic>
              </a:graphicData>
            </a:graphic>
          </wp:inline>
        </w:drawing>
      </w:r>
    </w:p>
    <w:p>
      <w:pPr>
        <w:pStyle w:val="ImageCaption"/>
      </w:pPr>
      <w:r>
        <w:t xml:space="preserve">eFigure 4</w:t>
      </w:r>
    </w:p>
    <w:bookmarkEnd w:id="67"/>
    <w:bookmarkStart w:id="68" w:name="appendix-references"/>
    <w:p>
      <w:pPr>
        <w:pStyle w:val="Heading2"/>
      </w:pPr>
      <w:r>
        <w:t xml:space="preserve">Appendix References</w:t>
      </w:r>
    </w:p>
    <w:p>
      <w:pPr>
        <w:pStyle w:val="FirstParagraph"/>
      </w:pPr>
      <w:r>
        <w:t xml:space="preserve">Numbers in square brackets refer to the main manuscript reference list (renumbered to include CHEERS-AI as reference 36). Additional sources cited only in the appendix:</w:t>
      </w:r>
    </w:p>
    <w:p>
      <w:pPr>
        <w:pStyle w:val="Compact"/>
        <w:numPr>
          <w:ilvl w:val="0"/>
          <w:numId w:val="1006"/>
        </w:numPr>
      </w:pPr>
      <w:r>
        <w:t xml:space="preserve">Agency for Healthcare Research and Quality. 2023 National Healthcare Quality and Disparities Report. Rockville, MD: AHRQ; 2024. https://www.ahrq.gov/research/findings/nhqrdr/nhqdr23/index.html</w:t>
      </w:r>
    </w:p>
    <w:p>
      <w:pPr>
        <w:pStyle w:val="Compact"/>
        <w:numPr>
          <w:ilvl w:val="0"/>
          <w:numId w:val="1006"/>
        </w:numPr>
      </w:pPr>
      <w:r>
        <w:t xml:space="preserve">HCUP Statistical Briefs. Agency for Healthcare Research and Quality, 2022. https://hcup-us.ahrq.gov/reports/statbriefs/statbriefs.jsp</w:t>
      </w:r>
    </w:p>
    <w:p>
      <w:pPr>
        <w:pStyle w:val="Compact"/>
        <w:numPr>
          <w:ilvl w:val="0"/>
          <w:numId w:val="1006"/>
        </w:numPr>
      </w:pPr>
      <w:r>
        <w:t xml:space="preserve">Medical Expenditure Panel Survey (MEPS). Agency for Healthcare Research and Quality, 2022. https://meps.ahrq.gov/</w:t>
      </w:r>
    </w:p>
    <w:p>
      <w:pPr>
        <w:pStyle w:val="Compact"/>
        <w:numPr>
          <w:ilvl w:val="0"/>
          <w:numId w:val="1006"/>
        </w:numPr>
      </w:pPr>
      <w:r>
        <w:t xml:space="preserve">National Committee for Quality Assurance. State of Health Care Quality 2024. https://www.ncqa.org/programs/data-and-information-technology/hedis-quality-measurement/</w:t>
      </w:r>
    </w:p>
    <w:p>
      <w:pPr>
        <w:pStyle w:val="Compact"/>
        <w:numPr>
          <w:ilvl w:val="0"/>
          <w:numId w:val="1006"/>
        </w:numPr>
      </w:pPr>
      <w:r>
        <w:t xml:space="preserve">Federal Communications Commission. Broadband Data Collection Fixed Broadband Maps. 2024. https://broadbandmap.fcc.gov/</w:t>
      </w:r>
    </w:p>
    <w:p>
      <w:pPr>
        <w:pStyle w:val="Compact"/>
        <w:numPr>
          <w:ilvl w:val="0"/>
          <w:numId w:val="1006"/>
        </w:numPr>
      </w:pPr>
      <w:r>
        <w:t xml:space="preserve">Moschonis G, Siopis G, Eweka E, et al. Effectiveness, reach, uptake, and feasibility of digital health interventions for adults with type 2 diabetes: a systematic review and meta-analysis of randomised controlled trials. Lancet Digit Health. 2023;5:e125-43. https://doi.org/10.1016/S2589-7500(22)00233-3</w:t>
      </w:r>
    </w:p>
    <w:p>
      <w:pPr>
        <w:pStyle w:val="Compact"/>
        <w:numPr>
          <w:ilvl w:val="0"/>
          <w:numId w:val="1006"/>
        </w:numPr>
      </w:pPr>
      <w:r>
        <w:t xml:space="preserve">Katon WJ, Lin EH, Von Korff M, et al. Collaborative care for patients with depression and chronic illnesses. N Engl J Med. 2010;363:2611–20.</w:t>
      </w:r>
    </w:p>
    <w:p>
      <w:pPr>
        <w:pStyle w:val="Compact"/>
        <w:numPr>
          <w:ilvl w:val="0"/>
          <w:numId w:val="1006"/>
        </w:numPr>
      </w:pPr>
      <w:r>
        <w:t xml:space="preserve">Siopis G, Moschonis G, Eweka E, et al. Effectiveness, reach, uptake, and feasibility of digital health interventions for adults with hypertension: a systematic review and meta-analysis of randomised controlled trials. Lancet Digit Health. 2023;5:e144-59. https://doi.org/10.1016/S2589-7500(23)00002-X</w:t>
      </w:r>
    </w:p>
    <w:p>
      <w:pPr>
        <w:pStyle w:val="Compact"/>
        <w:numPr>
          <w:ilvl w:val="0"/>
          <w:numId w:val="1006"/>
        </w:numPr>
      </w:pPr>
      <w:r>
        <w:t xml:space="preserve">Ettehad D, Emdin CA, Kiran A, et al. Blood pressure lowering for prevention of cardiovascular disease and death: a systematic review and meta-analysis. Lancet. 2016;387:957–67.</w:t>
      </w:r>
    </w:p>
    <w:p>
      <w:pPr>
        <w:pStyle w:val="Compact"/>
        <w:numPr>
          <w:ilvl w:val="0"/>
          <w:numId w:val="1006"/>
        </w:numPr>
      </w:pPr>
      <w:r>
        <w:t xml:space="preserve">Adams R, Henry KE, Sridharan A, et al. Prospective, multi-site study of patient outcomes after implementation of the TREWS machine learning-based early warning system for sepsis. Nat Med. 2022;28:1455–60.</w:t>
      </w:r>
    </w:p>
    <w:p>
      <w:pPr>
        <w:pStyle w:val="Compact"/>
        <w:numPr>
          <w:ilvl w:val="0"/>
          <w:numId w:val="1006"/>
        </w:numPr>
      </w:pPr>
      <w:r>
        <w:t xml:space="preserve">Escobar GJ, Liu VX, Schuler A, et al. Automated identification of adults at risk for in-hospital clinical deterioration. N Engl J Med. 2020;383:1951–60.</w:t>
      </w:r>
    </w:p>
    <w:p>
      <w:pPr>
        <w:pStyle w:val="Compact"/>
        <w:numPr>
          <w:ilvl w:val="0"/>
          <w:numId w:val="1006"/>
        </w:numPr>
      </w:pPr>
      <w:r>
        <w:t xml:space="preserve">Romero-Brufau S, Wyatt KD, Boyum P, et al. Implementation of artificial intelligence-based clinical decision support to reduce hospital readmissions at a regional hospital. Appl Clin Inform. 2020;11:570–7. https://doi.org/10.1055/s-0040-1715827</w:t>
      </w:r>
    </w:p>
    <w:p>
      <w:pPr>
        <w:pStyle w:val="Compact"/>
        <w:numPr>
          <w:ilvl w:val="0"/>
          <w:numId w:val="1006"/>
        </w:numPr>
      </w:pPr>
      <w:r>
        <w:t xml:space="preserve">UK Prospective Diabetes Study Group. Intensive blood-glucose control with sulphonylureas or insulin compared with conventional treatment and risk of complications in patients with type 2 diabetes (UKPDS 33). Lancet. 1998;352:837–53.</w:t>
      </w:r>
    </w:p>
    <w:p>
      <w:pPr>
        <w:pStyle w:val="Compact"/>
        <w:numPr>
          <w:ilvl w:val="0"/>
          <w:numId w:val="1006"/>
        </w:numPr>
      </w:pPr>
      <w:r>
        <w:t xml:space="preserve">Geruso M, Layton TJ, Wallace J. What difference does a health plan make? Evidence from random plan assignment in Medicaid. Am Econ J Appl Econ. 2023;15:341–79.</w:t>
      </w:r>
    </w:p>
    <w:p>
      <w:pPr>
        <w:pStyle w:val="Compact"/>
        <w:numPr>
          <w:ilvl w:val="0"/>
          <w:numId w:val="1006"/>
        </w:numPr>
      </w:pPr>
      <w:r>
        <w:t xml:space="preserve">Office of Inspector General. Some Medicare Advantage organization denials of prior authorization requests raise concerns about beneficiary access to medically necessary care. OIG Report OEI-09-18-00260. 2022.</w:t>
      </w:r>
    </w:p>
    <w:p>
      <w:pPr>
        <w:pStyle w:val="Compact"/>
        <w:numPr>
          <w:ilvl w:val="0"/>
          <w:numId w:val="1006"/>
        </w:numPr>
      </w:pPr>
      <w:r>
        <w:t xml:space="preserve">Brodeur P, Koshy JM, Palepu A, et al. A prospective clinical feasibility study of a conversational diagnostic AI in an ambulatory primary care clinic. arXiv preprint arXiv:2603.08448. 2026.</w:t>
      </w:r>
    </w:p>
    <w:p>
      <w:pPr>
        <w:pStyle w:val="Compact"/>
        <w:numPr>
          <w:ilvl w:val="0"/>
          <w:numId w:val="1006"/>
        </w:numPr>
      </w:pPr>
      <w:r>
        <w:t xml:space="preserve">Kangovi S, Mitra N, Norton L, et al. Effect of community health worker support on clinical outcomes of low-income patients across primary care facilities: a randomized clinical trial. JAMA Intern Med. 2018;178:1635–43.</w:t>
      </w:r>
    </w:p>
    <w:p>
      <w:pPr>
        <w:pStyle w:val="Compact"/>
        <w:numPr>
          <w:ilvl w:val="0"/>
          <w:numId w:val="1006"/>
        </w:numPr>
      </w:pPr>
      <w:r>
        <w:t xml:space="preserve">Reed ME, Huang J, Somers M, et al. Telemedicine versus in-person primary care: treatment and follow-up visits. Ann Intern Med. 2023;176:1349–57.</w:t>
      </w:r>
    </w:p>
    <w:p>
      <w:pPr>
        <w:pStyle w:val="Compact"/>
        <w:numPr>
          <w:ilvl w:val="0"/>
          <w:numId w:val="1006"/>
        </w:numPr>
      </w:pPr>
      <w:r>
        <w:t xml:space="preserve">Sax DR, Kene MV, Huang J, et al. Downstream emergency department and hospital utilization comparably low following in-person versus telemedicine primary care for high-risk conditions. J Gen Intern Med. 2024;39:2446–53.</w:t>
      </w:r>
    </w:p>
    <w:bookmarkEnd w:id="68"/>
    <w:bookmarkEnd w:id="6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Math" w:cs="Cambria Math" w:eastAsia="Cambria Math" w:hAnsi="Cambria Math"/>
        <w:sz w:val="24"/>
        <w:szCs w:val="24"/>
        <w:lang w:bidi="ar-SA" w:eastAsia="zh-CN" w:val="en-US"/>
      </w:rPr>
    </w:rPrDefault>
    <w:pPrDefault>
      <w:pPr>
        <w:spacing w:after="200" w:line="276" w:lineRule="auto"/>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line="276" w:lineRule="auto"/>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line="276" w:lineRule="auto"/>
    </w:pPr>
  </w:style>
  <w:style w:styleId="Title" w:type="paragraph">
    <w:name w:val="Title"/>
    <w:basedOn w:val="Normal"/>
    <w:next w:val="BodyText"/>
    <w:link w:val="TitleChar"/>
    <w:uiPriority w:val="10"/>
    <w:qFormat/>
    <w:rsid w:val="00A10FD9"/>
    <w:pPr>
      <w:spacing w:after="80" w:line="276" w:lineRule="auto"/>
      <w:contextualSpacing/>
      <w:jc w:val="center"/>
    </w:pPr>
    <w:rPr>
      <w:rFonts w:ascii="Cambria Math" w:cs="Cambria Math" w:eastAsia="Cambria Math" w:hAnsi="Cambria Math"/>
      <w:sz w:val="56"/>
      <w:szCs w:val="56"/>
    </w:rPr>
  </w:style>
  <w:style w:customStyle="1" w:styleId="TitleChar" w:type="character">
    <w:name w:val="Title Char"/>
    <w:basedOn w:val="DefaultParagraphFont"/>
    <w:link w:val="Title"/>
    <w:uiPriority w:val="10"/>
    <w:rsid w:val="00A10FD9"/>
    <w:rPr>
      <w:rFonts w:ascii="Cambria Math" w:cs="Cambria Math" w:eastAsia="Cambria Math" w:hAnsi="Cambria Math"/>
      <w:sz w:val="56"/>
      <w:szCs w:val="56"/>
    </w:rPr>
  </w:style>
  <w:style w:styleId="Subtitle" w:type="paragraph">
    <w:name w:val="Subtitle"/>
    <w:basedOn w:val="Title"/>
    <w:next w:val="BodyText"/>
    <w:link w:val="SubtitleChar"/>
    <w:uiPriority w:val="11"/>
    <w:qFormat/>
    <w:rsid w:val="00A10FD9"/>
    <w:pPr>
      <w:numPr>
        <w:ilvl w:val="1"/>
      </w:numPr>
    </w:pPr>
    <w:rPr>
      <w:rFonts w:ascii="Cambria Math" w:cs="Cambria Math" w:eastAsia="Cambria Math" w:hAnsi="Cambria Math"/>
      <w:spacing w:line="276" w:lineRule="auto" w:val="15"/>
      <w:sz w:val="28"/>
      <w:szCs w:val="28"/>
    </w:rPr>
  </w:style>
  <w:style w:customStyle="1" w:styleId="SubtitleChar" w:type="character">
    <w:name w:val="Subtitle Char"/>
    <w:basedOn w:val="DefaultParagraphFont"/>
    <w:link w:val="Subtitle"/>
    <w:uiPriority w:val="11"/>
    <w:rsid w:val="00A10FD9"/>
    <w:rPr>
      <w:rFonts w:ascii="Cambria Math" w:cs="Cambria Math" w:eastAsia="Cambria Math" w:hAnsi="Cambria Math"/>
      <w:color w:val="000000"/>
      <w:spacing w:line="276" w:lineRule="auto"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line="276" w:lineRule="auto"/>
      <w:jc w:val="center"/>
    </w:pPr>
    <w:rPr>
      <w:b/>
      <w:sz w:val="20"/>
      <w:szCs w:val="20"/>
    </w:rPr>
  </w:style>
  <w:style w:customStyle="1" w:styleId="Abstract" w:type="paragraph">
    <w:name w:val="Abstract"/>
    <w:basedOn w:val="Normal"/>
    <w:next w:val="BodyText"/>
    <w:qFormat/>
    <w:pPr>
      <w:keepNext/>
      <w:keepLines/>
      <w:spacing w:after="300" w:before="100" w:line="276" w:lineRule="auto"/>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line="276" w:lineRule="auto"/>
      <w:outlineLvl w:val="0"/>
    </w:pPr>
    <w:rPr>
      <w:rFonts w:ascii="Cambria Math" w:cs="Cambria Math" w:eastAsia="Cambria Math" w:hAnsi="Cambria Math"/>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line="276" w:lineRule="auto"/>
      <w:outlineLvl w:val="1"/>
    </w:pPr>
    <w:rPr>
      <w:rFonts w:ascii="Cambria Math" w:cs="Cambria Math" w:eastAsia="Cambria Math" w:hAnsi="Cambria Math"/>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line="276" w:lineRule="auto"/>
      <w:outlineLvl w:val="2"/>
    </w:pPr>
    <w:rPr>
      <w:rFonts w:ascii="Cambria Math" w:cs="Cambria Math" w:eastAsia="Cambria Math" w:hAnsi="Cambria Math"/>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line="276" w:lineRule="auto"/>
      <w:outlineLvl w:val="3"/>
    </w:pPr>
    <w:rPr>
      <w:rFonts w:ascii="Cambria Math" w:cs="Cambria Math" w:eastAsia="Cambria Math" w:hAnsi="Cambria Math"/>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line="276" w:lineRule="auto"/>
      <w:outlineLvl w:val="4"/>
    </w:pPr>
    <w:rPr>
      <w:rFonts w:ascii="Cambria Math" w:cs="Cambria Math" w:eastAsia="Cambria Math" w:hAnsi="Cambria Math"/>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line="276" w:lineRule="auto"/>
      <w:outlineLvl w:val="5"/>
    </w:pPr>
    <w:rPr>
      <w:rFonts w:ascii="Cambria Math" w:cs="Cambria Math" w:eastAsia="Cambria Math" w:hAnsi="Cambria Math"/>
      <w:i/>
      <w:iCs/>
      <w:color w:val="000000"/>
    </w:rPr>
  </w:style>
  <w:style w:styleId="Heading7" w:type="paragraph">
    <w:name w:val="heading 7"/>
    <w:basedOn w:val="Normal"/>
    <w:next w:val="BodyText"/>
    <w:link w:val="Heading7Char"/>
    <w:uiPriority w:val="9"/>
    <w:semiHidden/>
    <w:unhideWhenUsed/>
    <w:qFormat/>
    <w:rsid w:val="00A10FD9"/>
    <w:pPr>
      <w:keepNext/>
      <w:keepLines/>
      <w:spacing w:after="0" w:before="40" w:line="276" w:lineRule="auto"/>
      <w:outlineLvl w:val="6"/>
    </w:pPr>
    <w:rPr>
      <w:rFonts w:ascii="Cambria Math" w:cs="Cambria Math" w:eastAsia="Cambria Math" w:hAnsi="Cambria Math"/>
      <w:color w:val="000000"/>
    </w:rPr>
  </w:style>
  <w:style w:styleId="Heading8" w:type="paragraph">
    <w:name w:val="heading 8"/>
    <w:basedOn w:val="Normal"/>
    <w:next w:val="BodyText"/>
    <w:link w:val="Heading8Char"/>
    <w:uiPriority w:val="9"/>
    <w:semiHidden/>
    <w:unhideWhenUsed/>
    <w:qFormat/>
    <w:rsid w:val="00A10FD9"/>
    <w:pPr>
      <w:keepNext/>
      <w:keepLines/>
      <w:spacing w:after="0" w:line="276" w:lineRule="auto"/>
      <w:outlineLvl w:val="7"/>
    </w:pPr>
    <w:rPr>
      <w:rFonts w:ascii="Cambria Math" w:cs="Cambria Math" w:eastAsia="Cambria Math" w:hAnsi="Cambria Math"/>
      <w:i/>
      <w:iCs/>
      <w:color w:val="000000"/>
    </w:rPr>
  </w:style>
  <w:style w:styleId="Heading9" w:type="paragraph">
    <w:name w:val="heading 9"/>
    <w:basedOn w:val="Normal"/>
    <w:next w:val="BodyText"/>
    <w:link w:val="Heading9Char"/>
    <w:uiPriority w:val="9"/>
    <w:semiHidden/>
    <w:unhideWhenUsed/>
    <w:qFormat/>
    <w:rsid w:val="00A10FD9"/>
    <w:pPr>
      <w:keepNext/>
      <w:keepLines/>
      <w:spacing w:after="0" w:line="276" w:lineRule="auto"/>
      <w:outlineLvl w:val="8"/>
    </w:pPr>
    <w:rPr>
      <w:rFonts w:ascii="Cambria Math" w:cs="Cambria Math" w:eastAsia="Cambria Math" w:hAnsi="Cambria Math"/>
      <w:color w:val="000000"/>
    </w:rPr>
  </w:style>
  <w:style w:customStyle="1" w:styleId="Heading1Char" w:type="character">
    <w:name w:val="Heading 1 Char"/>
    <w:basedOn w:val="DefaultParagraphFont"/>
    <w:link w:val="Heading1"/>
    <w:uiPriority w:val="9"/>
    <w:rsid w:val="00A10FD9"/>
    <w:rPr>
      <w:rFonts w:ascii="Cambria Math" w:cs="Cambria Math" w:eastAsia="Cambria Math" w:hAnsi="Cambria Math"/>
      <w:color w:val="000000"/>
      <w:sz w:val="40"/>
      <w:szCs w:val="40"/>
    </w:rPr>
  </w:style>
  <w:style w:customStyle="1" w:styleId="Heading2Char" w:type="character">
    <w:name w:val="Heading 2 Char"/>
    <w:basedOn w:val="DefaultParagraphFont"/>
    <w:link w:val="Heading2"/>
    <w:uiPriority w:val="9"/>
    <w:semiHidden/>
    <w:rsid w:val="00A10FD9"/>
    <w:rPr>
      <w:rFonts w:ascii="Cambria Math" w:cs="Cambria Math" w:eastAsia="Cambria Math" w:hAnsi="Cambria Math"/>
      <w:color w:val="000000"/>
      <w:sz w:val="32"/>
      <w:szCs w:val="32"/>
    </w:rPr>
  </w:style>
  <w:style w:customStyle="1" w:styleId="Heading3Char" w:type="character">
    <w:name w:val="Heading 3 Char"/>
    <w:basedOn w:val="DefaultParagraphFont"/>
    <w:link w:val="Heading3"/>
    <w:uiPriority w:val="9"/>
    <w:semiHidden/>
    <w:rsid w:val="00A10FD9"/>
    <w:rPr>
      <w:rFonts w:ascii="Cambria Math" w:cs="Cambria Math" w:eastAsia="Cambria Math" w:hAnsi="Cambria Math"/>
      <w:color w:val="000000"/>
      <w:sz w:val="28"/>
      <w:szCs w:val="28"/>
    </w:rPr>
  </w:style>
  <w:style w:customStyle="1" w:styleId="Heading4Char" w:type="character">
    <w:name w:val="Heading 4 Char"/>
    <w:basedOn w:val="DefaultParagraphFont"/>
    <w:link w:val="Heading4"/>
    <w:uiPriority w:val="9"/>
    <w:semiHidden/>
    <w:rsid w:val="00A10FD9"/>
    <w:rPr>
      <w:rFonts w:ascii="Cambria Math" w:cs="Cambria Math" w:eastAsia="Cambria Math" w:hAnsi="Cambria Math"/>
      <w:i/>
      <w:iCs/>
      <w:color w:val="000000"/>
    </w:rPr>
  </w:style>
  <w:style w:customStyle="1" w:styleId="Heading5Char" w:type="character">
    <w:name w:val="Heading 5 Char"/>
    <w:basedOn w:val="DefaultParagraphFont"/>
    <w:link w:val="Heading5"/>
    <w:uiPriority w:val="9"/>
    <w:semiHidden/>
    <w:rsid w:val="00A10FD9"/>
    <w:rPr>
      <w:rFonts w:ascii="Cambria Math" w:cs="Cambria Math" w:eastAsia="Cambria Math" w:hAnsi="Cambria Math"/>
      <w:color w:val="000000"/>
    </w:rPr>
  </w:style>
  <w:style w:customStyle="1" w:styleId="Heading6Char" w:type="character">
    <w:name w:val="Heading 6 Char"/>
    <w:basedOn w:val="DefaultParagraphFont"/>
    <w:link w:val="Heading6"/>
    <w:uiPriority w:val="9"/>
    <w:semiHidden/>
    <w:rsid w:val="00A10FD9"/>
    <w:rPr>
      <w:rFonts w:ascii="Cambria Math" w:cs="Cambria Math" w:eastAsia="Cambria Math" w:hAnsi="Cambria Math"/>
      <w:i/>
      <w:iCs/>
      <w:color w:val="000000"/>
    </w:rPr>
  </w:style>
  <w:style w:customStyle="1" w:styleId="Heading7Char" w:type="character">
    <w:name w:val="Heading 7 Char"/>
    <w:basedOn w:val="DefaultParagraphFont"/>
    <w:link w:val="Heading7"/>
    <w:uiPriority w:val="9"/>
    <w:semiHidden/>
    <w:rsid w:val="00A10FD9"/>
    <w:rPr>
      <w:rFonts w:ascii="Cambria Math" w:cs="Cambria Math" w:eastAsia="Cambria Math" w:hAnsi="Cambria Math"/>
      <w:color w:val="000000"/>
    </w:rPr>
  </w:style>
  <w:style w:customStyle="1" w:styleId="Heading8Char" w:type="character">
    <w:name w:val="Heading 8 Char"/>
    <w:basedOn w:val="DefaultParagraphFont"/>
    <w:link w:val="Heading8"/>
    <w:uiPriority w:val="9"/>
    <w:semiHidden/>
    <w:rsid w:val="00A10FD9"/>
    <w:rPr>
      <w:rFonts w:ascii="Cambria Math" w:cs="Cambria Math" w:eastAsia="Cambria Math" w:hAnsi="Cambria Math"/>
      <w:i/>
      <w:iCs/>
      <w:color w:val="000000"/>
    </w:rPr>
  </w:style>
  <w:style w:customStyle="1" w:styleId="Heading9Char" w:type="character">
    <w:name w:val="Heading 9 Char"/>
    <w:basedOn w:val="DefaultParagraphFont"/>
    <w:link w:val="Heading9"/>
    <w:uiPriority w:val="9"/>
    <w:semiHidden/>
    <w:rsid w:val="00A10FD9"/>
    <w:rPr>
      <w:rFonts w:ascii="Cambria Math" w:cs="Cambria Math" w:eastAsia="Cambria Math" w:hAnsi="Cambria Math"/>
      <w:color w:val="000000"/>
    </w:rPr>
  </w:style>
  <w:style w:styleId="BlockText" w:type="paragraph">
    <w:name w:val="Block Text"/>
    <w:basedOn w:val="BodyText"/>
    <w:next w:val="BodyText"/>
    <w:uiPriority w:val="9"/>
    <w:unhideWhenUsed/>
    <w:qFormat/>
    <w:pPr>
      <w:spacing w:after="100" w:before="100" w:line="276" w:lineRule="auto"/>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line="276" w:lineRule="auto"/>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line="276" w:lineRule="auto"/>
    </w:pPr>
    <w:rPr>
      <w:b/>
    </w:rPr>
  </w:style>
  <w:style w:customStyle="1" w:styleId="Definition" w:type="paragraph">
    <w:name w:val="Definition"/>
    <w:basedOn w:val="Normal"/>
  </w:style>
  <w:style w:styleId="Caption" w:type="paragraph">
    <w:name w:val="Caption"/>
    <w:basedOn w:val="Normal"/>
    <w:link w:val="BodyTextChar"/>
    <w:pPr>
      <w:spacing w:after="120" w:before="0" w:line="276" w:lineRule="auto"/>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ambria Math" w:cs="Cambria Math" w:eastAsia="Cambria Math" w:hAnsi="Cambria Math"/>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00000"/>
    </w:rPr>
  </w:style>
  <w:style w:styleId="TOCHeading" w:type="paragraph">
    <w:name w:val="TOC Heading"/>
    <w:basedOn w:val="Heading1"/>
    <w:next w:val="BodyText"/>
    <w:uiPriority w:val="39"/>
    <w:unhideWhenUsed/>
    <w:qFormat/>
    <w:pPr>
      <w:spacing w:before="240" w:line="276" w:lineRule="auto"/>
      <w:outlineLvl w:val="9"/>
    </w:pPr>
    <w:rPr>
      <w:rFonts w:ascii="Cambria Math" w:cs="Cambria Math" w:eastAsia="Cambria Math" w:hAnsi="Cambria Math"/>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4" Target="media/rId64.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2026-06-02T18:40:29Z</dcterms:created>
  <dcterms:modified xsi:type="dcterms:W3CDTF">2026-06-02T18:40:29Z</dcterms:modified>
</cp:coreProperties>
</file>

<file path=docProps/custom.xml><?xml version="1.0" encoding="utf-8"?>
<Properties xmlns="http://schemas.openxmlformats.org/officeDocument/2006/custom-properties" xmlns:vt="http://schemas.openxmlformats.org/officeDocument/2006/docPropsVTypes"/>
</file>