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heers-ai-reporting-checklist"/>
    <w:p>
      <w:pPr>
        <w:pStyle w:val="Heading1"/>
      </w:pPr>
      <w:r>
        <w:t xml:space="preserve">CHEERS-AI Reporting Checklist</w:t>
      </w:r>
    </w:p>
    <w:p>
      <w:pPr>
        <w:pStyle w:val="FirstParagraph"/>
      </w:pPr>
      <w:r>
        <w:rPr>
          <w:b/>
          <w:bCs/>
        </w:rPr>
        <w:t xml:space="preserve">Manuscript:</w:t>
      </w:r>
      <w:r>
        <w:t xml:space="preserve"> </w:t>
      </w:r>
      <w:r>
        <w:t xml:space="preserve">Under what conditions could an AI-first accountable care organization improve outcomes in Medicaid? A microsimulation and economic evaluation</w:t>
      </w:r>
    </w:p>
    <w:p>
      <w:pPr>
        <w:pStyle w:val="BodyText"/>
      </w:pPr>
      <w:r>
        <w:rPr>
          <w:b/>
          <w:bCs/>
        </w:rPr>
        <w:t xml:space="preserve">Authors:</w:t>
      </w:r>
      <w:r>
        <w:t xml:space="preserve"> </w:t>
      </w:r>
      <w:r>
        <w:t xml:space="preserve">Sanjay Basu, Rajaie Batniji</w:t>
      </w:r>
    </w:p>
    <w:p>
      <w:pPr>
        <w:pStyle w:val="BodyText"/>
      </w:pPr>
      <w:r>
        <w:rPr>
          <w:b/>
          <w:bCs/>
        </w:rPr>
        <w:t xml:space="preserve">Reporting standard:</w:t>
      </w:r>
      <w:r>
        <w:t xml:space="preserve"> </w:t>
      </w:r>
      <w:r>
        <w:t xml:space="preserve">Consolidated Health Economic Evaluation Reporting Standards for Interventions That Use Artificial Intelligence (CHEERS-AI). Elvidge J, Hawksworth C, Avşar TS, et al. </w:t>
      </w:r>
      <w:r>
        <w:rPr>
          <w:i/>
          <w:iCs/>
        </w:rPr>
        <w:t xml:space="preserve">Value Health.</w:t>
      </w:r>
      <w:r>
        <w:t xml:space="preserve"> </w:t>
      </w:r>
      <w:r>
        <w:t xml:space="preserve">2024;27(9):1196–1205.</w:t>
      </w:r>
    </w:p>
    <w:p>
      <w:pPr>
        <w:pStyle w:val="BodyText"/>
      </w:pPr>
      <w:r>
        <w:rPr>
          <w:i/>
          <w:iCs/>
        </w:rPr>
        <w:t xml:space="preserve">Locations refer to named sections of the main manuscript and to numbered items (eTable / eFigure / eAppendix) of the Online Appendix. The 38-item checklist comprises the 28 CHEERS 2022 items (8 with AI-specific elaborations, marked</w:t>
      </w:r>
      <w:r>
        <w:rPr>
          <w:i/>
          <w:iCs/>
        </w:rPr>
        <w:t xml:space="preserve"> </w:t>
      </w:r>
      <w:r>
        <w:rPr>
          <w:b/>
          <w:bCs/>
          <w:i/>
          <w:iCs/>
        </w:rPr>
        <w:t xml:space="preserve">[AI-elab]</w:t>
      </w:r>
      <w:r>
        <w:rPr>
          <w:i/>
          <w:iCs/>
        </w:rPr>
        <w:t xml:space="preserve">) and 10 new AI-specific extension items (AI 1–AI 10).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#</w:t>
            </w:r>
          </w:p>
        </w:tc>
        <w:tc>
          <w:tcPr/>
          <w:p>
            <w:pPr>
              <w:pStyle w:val="Compact"/>
            </w:pPr>
            <w:r>
              <w:t xml:space="preserve">Item</w:t>
            </w:r>
          </w:p>
        </w:tc>
        <w:tc>
          <w:tcPr/>
          <w:p>
            <w:pPr>
              <w:pStyle w:val="Compact"/>
            </w:pPr>
            <w:r>
              <w:t xml:space="preserve">Reported?</w:t>
            </w:r>
          </w:p>
        </w:tc>
        <w:tc>
          <w:tcPr/>
          <w:p>
            <w:pPr>
              <w:pStyle w:val="Compact"/>
            </w:pPr>
            <w:r>
              <w:t xml:space="preserve">Location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Title</w:t>
            </w:r>
            <w:r>
              <w:t xml:space="preserve"> </w:t>
            </w:r>
            <w:r>
              <w:t xml:space="preserve">— identify as an economic evaluation and the interventions compared</w:t>
            </w:r>
            <w:r>
              <w:t xml:space="preserve"> </w:t>
            </w:r>
            <w:r>
              <w:rPr>
                <w:b/>
                <w:bCs/>
              </w:rPr>
              <w:t xml:space="preserve">[AI-elab: name the AI]</w:t>
            </w:r>
          </w:p>
        </w:tc>
        <w:tc>
          <w:tcPr/>
          <w:p>
            <w:pPr>
              <w:pStyle w:val="Compact"/>
            </w:pPr>
            <w:r>
              <w:t xml:space="preserve">Yes</w:t>
            </w:r>
          </w:p>
        </w:tc>
        <w:tc>
          <w:tcPr/>
          <w:p>
            <w:pPr>
              <w:pStyle w:val="Compact"/>
            </w:pPr>
            <w:r>
              <w:t xml:space="preserve">Title page (</w:t>
            </w:r>
            <w:r>
              <w:t xml:space="preserve">“AI-first accountable care organization… A microsimulation and economic evaluation”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Abstract</w:t>
            </w:r>
            <w:r>
              <w:t xml:space="preserve"> </w:t>
            </w:r>
            <w:r>
              <w:t xml:space="preserve">— structured summary of context, methods, results</w:t>
            </w:r>
            <w:r>
              <w:t xml:space="preserve"> </w:t>
            </w:r>
            <w:r>
              <w:rPr>
                <w:b/>
                <w:bCs/>
              </w:rPr>
              <w:t xml:space="preserve">[AI-elab: AI purpose/technique]</w:t>
            </w:r>
          </w:p>
        </w:tc>
        <w:tc>
          <w:tcPr/>
          <w:p>
            <w:pPr>
              <w:pStyle w:val="Compact"/>
            </w:pPr>
            <w:r>
              <w:t xml:space="preserve">Yes</w:t>
            </w:r>
          </w:p>
        </w:tc>
        <w:tc>
          <w:tcPr/>
          <w:p>
            <w:pPr>
              <w:pStyle w:val="Compact"/>
            </w:pPr>
            <w:r>
              <w:t xml:space="preserve">Structured Abstract (Background/Methods/Results/Conclusions); AI-first virtual primary care + multi-agent design named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Background and objectives</w:t>
            </w:r>
            <w:r>
              <w:t xml:space="preserve"> </w:t>
            </w:r>
            <w:r>
              <w:t xml:space="preserve">— context, study question, decision relevance</w:t>
            </w:r>
          </w:p>
        </w:tc>
        <w:tc>
          <w:tcPr/>
          <w:p>
            <w:pPr>
              <w:pStyle w:val="Compact"/>
            </w:pPr>
            <w:r>
              <w:t xml:space="preserve">Yes</w:t>
            </w:r>
          </w:p>
        </w:tc>
        <w:tc>
          <w:tcPr/>
          <w:p>
            <w:pPr>
              <w:pStyle w:val="Compact"/>
            </w:pPr>
            <w:r>
              <w:t xml:space="preserve">Background (paras 1–3); objective stated at end of Background and in Abstract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Health economic analysis plan</w:t>
            </w:r>
            <w:r>
              <w:t xml:space="preserve"> </w:t>
            </w:r>
            <w:r>
              <w:t xml:space="preserve">— whether/where a plan exists</w:t>
            </w:r>
          </w:p>
        </w:tc>
        <w:tc>
          <w:tcPr/>
          <w:p>
            <w:pPr>
              <w:pStyle w:val="Compact"/>
            </w:pPr>
            <w:r>
              <w:t xml:space="preserve">Yes</w:t>
            </w:r>
          </w:p>
        </w:tc>
        <w:tc>
          <w:tcPr/>
          <w:p>
            <w:pPr>
              <w:pStyle w:val="Compact"/>
            </w:pPr>
            <w:r>
              <w:t xml:space="preserve">Methods</w:t>
            </w:r>
            <w:r>
              <w:t xml:space="preserve"> </w:t>
            </w:r>
            <w:r>
              <w:t xml:space="preserve">“Study Design and Reporting”</w:t>
            </w:r>
            <w:r>
              <w:t xml:space="preserve">; analysis plan (Modified Delphi → Monte Carlo microsimulation) described in Methods; no separately registered HEAP (modeling study)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Study population</w:t>
            </w:r>
            <w:r>
              <w:t xml:space="preserve"> </w:t>
            </w:r>
            <w:r>
              <w:t xml:space="preserve">— characteristics</w:t>
            </w:r>
          </w:p>
        </w:tc>
        <w:tc>
          <w:tcPr/>
          <w:p>
            <w:pPr>
              <w:pStyle w:val="Compact"/>
            </w:pPr>
            <w:r>
              <w:t xml:space="preserve">Yes</w:t>
            </w:r>
          </w:p>
        </w:tc>
        <w:tc>
          <w:tcPr/>
          <w:p>
            <w:pPr>
              <w:pStyle w:val="Compact"/>
            </w:pPr>
            <w:r>
              <w:t xml:space="preserve">Methods</w:t>
            </w:r>
            <w:r>
              <w:t xml:space="preserve"> </w:t>
            </w:r>
            <w:r>
              <w:t xml:space="preserve">“Study Population”</w:t>
            </w:r>
            <w:r>
              <w:t xml:space="preserve"> </w:t>
            </w:r>
            <w:r>
              <w:t xml:space="preserve">(75,043 Medicaid adults 19–64, ACS PUMS 2019–2023); eTable 3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Setting and location</w:t>
            </w:r>
            <w:r>
              <w:t xml:space="preserve"> </w:t>
            </w:r>
            <w:r>
              <w:t xml:space="preserve">— context influencing findings</w:t>
            </w:r>
          </w:p>
        </w:tc>
        <w:tc>
          <w:tcPr/>
          <w:p>
            <w:pPr>
              <w:pStyle w:val="Compact"/>
            </w:pPr>
            <w:r>
              <w:t xml:space="preserve">Yes</w:t>
            </w:r>
          </w:p>
        </w:tc>
        <w:tc>
          <w:tcPr/>
          <w:p>
            <w:pPr>
              <w:pStyle w:val="Compact"/>
            </w:pPr>
            <w:r>
              <w:t xml:space="preserve">Methods</w:t>
            </w:r>
            <w:r>
              <w:t xml:space="preserve"> </w:t>
            </w:r>
            <w:r>
              <w:t xml:space="preserve">“Study Population”</w:t>
            </w:r>
            <w:r>
              <w:t xml:space="preserve"> </w:t>
            </w:r>
            <w:r>
              <w:t xml:space="preserve">(U.S. national Medicaid; ACS PUMS)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Comparators</w:t>
            </w:r>
            <w:r>
              <w:t xml:space="preserve"> </w:t>
            </w:r>
            <w:r>
              <w:t xml:space="preserve">— strategies compared and rationale</w:t>
            </w:r>
            <w:r>
              <w:t xml:space="preserve"> </w:t>
            </w:r>
            <w:r>
              <w:rPr>
                <w:b/>
                <w:bCs/>
              </w:rPr>
              <w:t xml:space="preserve">[AI-elab: 8 AI descriptors]</w:t>
            </w:r>
          </w:p>
        </w:tc>
        <w:tc>
          <w:tcPr/>
          <w:p>
            <w:pPr>
              <w:pStyle w:val="Compact"/>
            </w:pPr>
            <w:r>
              <w:t xml:space="preserve">Yes</w:t>
            </w:r>
          </w:p>
        </w:tc>
        <w:tc>
          <w:tcPr/>
          <w:p>
            <w:pPr>
              <w:pStyle w:val="Compact"/>
            </w:pPr>
            <w:r>
              <w:t xml:space="preserve">Methods</w:t>
            </w:r>
            <w:r>
              <w:t xml:space="preserve"> </w:t>
            </w:r>
            <w:r>
              <w:t xml:space="preserve">“Scenarios and Validation”</w:t>
            </w:r>
            <w:r>
              <w:t xml:space="preserve"> </w:t>
            </w:r>
            <w:r>
              <w:t xml:space="preserve">+ eTable 6 (7 scenarios, S0 status-quo MCO vs S1 AI ACO …); AI descriptors (technique = 3-model ensemble; locked, non-adaptive; users; escalation) in Methods</w:t>
            </w:r>
            <w:r>
              <w:t xml:space="preserve"> </w:t>
            </w:r>
            <w:r>
              <w:t xml:space="preserve">“Multi-Agent Debate,”</w:t>
            </w:r>
            <w:r>
              <w:t xml:space="preserve"> </w:t>
            </w:r>
            <w:r>
              <w:t xml:space="preserve">Results</w:t>
            </w:r>
            <w:r>
              <w:t xml:space="preserve"> </w:t>
            </w:r>
            <w:r>
              <w:t xml:space="preserve">“AI ACO Consensus Design,”</w:t>
            </w:r>
            <w:r>
              <w:t xml:space="preserve"> </w:t>
            </w:r>
            <w:r>
              <w:t xml:space="preserve">eTable 2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Perspective</w:t>
            </w:r>
            <w:r>
              <w:t xml:space="preserve"> </w:t>
            </w:r>
            <w:r>
              <w:t xml:space="preserve">— perspective(s) and justification</w:t>
            </w:r>
          </w:p>
        </w:tc>
        <w:tc>
          <w:tcPr/>
          <w:p>
            <w:pPr>
              <w:pStyle w:val="Compact"/>
            </w:pPr>
            <w:r>
              <w:t xml:space="preserve">Yes</w:t>
            </w:r>
          </w:p>
        </w:tc>
        <w:tc>
          <w:tcPr/>
          <w:p>
            <w:pPr>
              <w:pStyle w:val="Compact"/>
            </w:pPr>
            <w:r>
              <w:t xml:space="preserve">Methods</w:t>
            </w:r>
            <w:r>
              <w:t xml:space="preserve"> </w:t>
            </w:r>
            <w:r>
              <w:t xml:space="preserve">“Welfare and Equity Analysis”</w:t>
            </w:r>
            <w:r>
              <w:t xml:space="preserve"> </w:t>
            </w:r>
            <w:r>
              <w:t xml:space="preserve">(societal; Hicks-Kaldor: consumer + government + producer surplus); eAppendix C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Time horizon</w:t>
            </w:r>
            <w:r>
              <w:t xml:space="preserve"> </w:t>
            </w:r>
            <w:r>
              <w:t xml:space="preserve">— and appropriateness</w:t>
            </w:r>
          </w:p>
        </w:tc>
        <w:tc>
          <w:tcPr/>
          <w:p>
            <w:pPr>
              <w:pStyle w:val="Compact"/>
            </w:pPr>
            <w:r>
              <w:t xml:space="preserve">Yes</w:t>
            </w:r>
          </w:p>
        </w:tc>
        <w:tc>
          <w:tcPr/>
          <w:p>
            <w:pPr>
              <w:pStyle w:val="Compact"/>
            </w:pPr>
            <w:r>
              <w:t xml:space="preserve">Methods/Results: annual steady-state horizon; Discussion</w:t>
            </w:r>
            <w:r>
              <w:t xml:space="preserve"> </w:t>
            </w:r>
            <w:r>
              <w:t xml:space="preserve">“Limitations”</w:t>
            </w:r>
            <w:r>
              <w:t xml:space="preserve"> </w:t>
            </w:r>
            <w:r>
              <w:t xml:space="preserve">notes implementation/learning curves not modeled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Discount rate</w:t>
            </w:r>
            <w:r>
              <w:t xml:space="preserve"> </w:t>
            </w:r>
            <w:r>
              <w:t xml:space="preserve">— and reasoning</w:t>
            </w:r>
          </w:p>
        </w:tc>
        <w:tc>
          <w:tcPr/>
          <w:p>
            <w:pPr>
              <w:pStyle w:val="Compact"/>
            </w:pPr>
            <w:r>
              <w:t xml:space="preserve">Yes (N/A beyond 1 year, justified)</w:t>
            </w:r>
          </w:p>
        </w:tc>
        <w:tc>
          <w:tcPr/>
          <w:p>
            <w:pPr>
              <w:pStyle w:val="Compact"/>
            </w:pPr>
            <w:r>
              <w:t xml:space="preserve">Single-year steady-state horizon → no intertemporal discounting; willingness-to-pay sensitivity ($50k–$200k/QALY) in eTable 9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Selection of outcomes</w:t>
            </w:r>
            <w:r>
              <w:t xml:space="preserve"> </w:t>
            </w:r>
            <w:r>
              <w:t xml:space="preserve">— benefits and harms</w:t>
            </w:r>
            <w:r>
              <w:t xml:space="preserve"> </w:t>
            </w:r>
            <w:r>
              <w:rPr>
                <w:b/>
                <w:bCs/>
              </w:rPr>
              <w:t xml:space="preserve">[AI-elab: outcome type]</w:t>
            </w:r>
          </w:p>
        </w:tc>
        <w:tc>
          <w:tcPr/>
          <w:p>
            <w:pPr>
              <w:pStyle w:val="Compact"/>
            </w:pPr>
            <w:r>
              <w:t xml:space="preserve">Yes</w:t>
            </w:r>
          </w:p>
        </w:tc>
        <w:tc>
          <w:tcPr/>
          <w:p>
            <w:pPr>
              <w:pStyle w:val="Compact"/>
            </w:pPr>
            <w:r>
              <w:t xml:space="preserve">Methods (primary: hospitalizations, ED/1,000 PY; secondary: PMPM, HEDIS, engagement; welfare/QALY) — health, utilization, and process outcomes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Measurement of outcomes</w:t>
            </w:r>
            <w:r>
              <w:t xml:space="preserve"> </w:t>
            </w:r>
            <w:r>
              <w:rPr>
                <w:b/>
                <w:bCs/>
              </w:rPr>
              <w:t xml:space="preserve">[AI-elab: assumptions on AI benefit/harm]</w:t>
            </w:r>
          </w:p>
        </w:tc>
        <w:tc>
          <w:tcPr/>
          <w:p>
            <w:pPr>
              <w:pStyle w:val="Compact"/>
            </w:pPr>
            <w:r>
              <w:t xml:space="preserve">Yes</w:t>
            </w:r>
          </w:p>
        </w:tc>
        <w:tc>
          <w:tcPr/>
          <w:p>
            <w:pPr>
              <w:pStyle w:val="Compact"/>
            </w:pPr>
            <w:r>
              <w:t xml:space="preserve">Methods</w:t>
            </w:r>
            <w:r>
              <w:t xml:space="preserve"> </w:t>
            </w:r>
            <w:r>
              <w:t xml:space="preserve">“Microsimulation Model”</w:t>
            </w:r>
            <w:r>
              <w:t xml:space="preserve"> </w:t>
            </w:r>
            <w:r>
              <w:t xml:space="preserve">(MEPS/HCUP/NCQA; 5 stages); eTable 4; AI benefit/harm assumptions + AI-to-human discount sensitivity in eTable 5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Valuation of outcomes</w:t>
            </w:r>
          </w:p>
        </w:tc>
        <w:tc>
          <w:tcPr/>
          <w:p>
            <w:pPr>
              <w:pStyle w:val="Compact"/>
            </w:pPr>
            <w:r>
              <w:t xml:space="preserve">Yes</w:t>
            </w:r>
          </w:p>
        </w:tc>
        <w:tc>
          <w:tcPr/>
          <w:p>
            <w:pPr>
              <w:pStyle w:val="Compact"/>
            </w:pPr>
            <w:r>
              <w:t xml:space="preserve">Methods</w:t>
            </w:r>
            <w:r>
              <w:t xml:space="preserve"> </w:t>
            </w:r>
            <w:r>
              <w:t xml:space="preserve">“Welfare and Equity Analysis”</w:t>
            </w:r>
            <w:r>
              <w:t xml:space="preserve"> </w:t>
            </w:r>
            <w:r>
              <w:t xml:space="preserve">(per-event QALY decrements; WTP $100k base case); eAppendix C; eTable 9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Measurement and valuation of resources and costs</w:t>
            </w:r>
            <w:r>
              <w:t xml:space="preserve"> </w:t>
            </w:r>
            <w:r>
              <w:rPr>
                <w:b/>
                <w:bCs/>
              </w:rPr>
              <w:t xml:space="preserve">[AI-elab: AI cost composition]</w:t>
            </w:r>
          </w:p>
        </w:tc>
        <w:tc>
          <w:tcPr/>
          <w:p>
            <w:pPr>
              <w:pStyle w:val="Compact"/>
            </w:pPr>
            <w:r>
              <w:t xml:space="preserve">Yes</w:t>
            </w:r>
          </w:p>
        </w:tc>
        <w:tc>
          <w:tcPr/>
          <w:p>
            <w:pPr>
              <w:pStyle w:val="Compact"/>
            </w:pPr>
            <w:r>
              <w:t xml:space="preserve">Methods (PMPM; administrative loss ratios, Milliman); eTable 7, eTable 15; AI deployment-cost composition (validation, monitoring, vendor, drift detection) in Discussion</w:t>
            </w:r>
            <w:r>
              <w:t xml:space="preserve"> </w:t>
            </w:r>
            <w:r>
              <w:t xml:space="preserve">“Administrative Cost Feasibility”</w:t>
            </w:r>
            <w:r>
              <w:t xml:space="preserve"> </w:t>
            </w:r>
            <w:r>
              <w:t xml:space="preserve">and eTable 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Currency, price date, conversion</w:t>
            </w:r>
          </w:p>
        </w:tc>
        <w:tc>
          <w:tcPr/>
          <w:p>
            <w:pPr>
              <w:pStyle w:val="Compact"/>
            </w:pPr>
            <w:r>
              <w:t xml:space="preserve">Yes</w:t>
            </w:r>
          </w:p>
        </w:tc>
        <w:tc>
          <w:tcPr/>
          <w:p>
            <w:pPr>
              <w:pStyle w:val="Compact"/>
            </w:pPr>
            <w:r>
              <w:t xml:space="preserve">U.S. dollars; 2024 benchmark year (Milliman 2024 administrative data; MACPAC PMPM)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Rationale and description of model</w:t>
            </w:r>
            <w:r>
              <w:t xml:space="preserve"> </w:t>
            </w:r>
            <w:r>
              <w:rPr>
                <w:b/>
                <w:bCs/>
              </w:rPr>
              <w:t xml:space="preserve">[AI-elab: did AI influence model choice]</w:t>
            </w:r>
          </w:p>
        </w:tc>
        <w:tc>
          <w:tcPr/>
          <w:p>
            <w:pPr>
              <w:pStyle w:val="Compact"/>
            </w:pPr>
            <w:r>
              <w:t xml:space="preserve">Yes</w:t>
            </w:r>
          </w:p>
        </w:tc>
        <w:tc>
          <w:tcPr/>
          <w:p>
            <w:pPr>
              <w:pStyle w:val="Compact"/>
            </w:pPr>
            <w:r>
              <w:t xml:space="preserve">Methods</w:t>
            </w:r>
            <w:r>
              <w:t xml:space="preserve"> </w:t>
            </w:r>
            <w:r>
              <w:t xml:space="preserve">“Microsimulation Model”</w:t>
            </w:r>
            <w:r>
              <w:t xml:space="preserve"> </w:t>
            </w:r>
            <w:r>
              <w:t xml:space="preserve">(explicit justification for microsimulation over closed-form: individual-level engagement cascade/digital-divide); Figure 1; code public (Availability of data and materials)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Analytics and assumptions</w:t>
            </w:r>
          </w:p>
        </w:tc>
        <w:tc>
          <w:tcPr/>
          <w:p>
            <w:pPr>
              <w:pStyle w:val="Compact"/>
            </w:pPr>
            <w:r>
              <w:t xml:space="preserve">Yes</w:t>
            </w:r>
          </w:p>
        </w:tc>
        <w:tc>
          <w:tcPr/>
          <w:p>
            <w:pPr>
              <w:pStyle w:val="Compact"/>
            </w:pPr>
            <w:r>
              <w:t xml:space="preserve">Methods</w:t>
            </w:r>
            <w:r>
              <w:t xml:space="preserve"> </w:t>
            </w:r>
            <w:r>
              <w:t xml:space="preserve">“Microsimulation Model”</w:t>
            </w:r>
            <w:r>
              <w:t xml:space="preserve"> </w:t>
            </w:r>
            <w:r>
              <w:t xml:space="preserve">and</w:t>
            </w:r>
            <w:r>
              <w:t xml:space="preserve"> </w:t>
            </w:r>
            <w:r>
              <w:t xml:space="preserve">“Scenarios and Validation”</w:t>
            </w:r>
            <w:r>
              <w:t xml:space="preserve">; out-of-sample backtesting vs 5 natural experiments; eTable 8</w:t>
            </w:r>
          </w:p>
        </w:tc>
      </w:tr>
      <w:tr>
        <w:tc>
          <w:tcPr/>
          <w:p>
            <w:pPr>
              <w:pStyle w:val="Compac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Characterizing heterogeneity</w:t>
            </w:r>
          </w:p>
        </w:tc>
        <w:tc>
          <w:tcPr/>
          <w:p>
            <w:pPr>
              <w:pStyle w:val="Compact"/>
            </w:pPr>
            <w:r>
              <w:t xml:space="preserve">Yes</w:t>
            </w:r>
          </w:p>
        </w:tc>
        <w:tc>
          <w:tcPr/>
          <w:p>
            <w:pPr>
              <w:pStyle w:val="Compact"/>
            </w:pPr>
            <w:r>
              <w:t xml:space="preserve">Methods</w:t>
            </w:r>
            <w:r>
              <w:t xml:space="preserve"> </w:t>
            </w:r>
            <w:r>
              <w:t xml:space="preserve">“Welfare and Equity Analysis”</w:t>
            </w:r>
            <w:r>
              <w:t xml:space="preserve"> </w:t>
            </w:r>
            <w:r>
              <w:t xml:space="preserve">(race × metropolitan status × risk; 8 subgroups); eTable 13; eFigure 2</w:t>
            </w:r>
          </w:p>
        </w:tc>
      </w:tr>
      <w:tr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Characterizing distributional effects</w:t>
            </w:r>
          </w:p>
        </w:tc>
        <w:tc>
          <w:tcPr/>
          <w:p>
            <w:pPr>
              <w:pStyle w:val="Compact"/>
            </w:pPr>
            <w:r>
              <w:t xml:space="preserve">Yes</w:t>
            </w:r>
          </w:p>
        </w:tc>
        <w:tc>
          <w:tcPr/>
          <w:p>
            <w:pPr>
              <w:pStyle w:val="Compact"/>
            </w:pPr>
            <w:r>
              <w:t xml:space="preserve">Equity analysis with Atkinson inequality-aversion weighting; eAppendix D; digital-divide engagement penalty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Characterizing uncertainty</w:t>
            </w:r>
          </w:p>
        </w:tc>
        <w:tc>
          <w:tcPr/>
          <w:p>
            <w:pPr>
              <w:pStyle w:val="Compact"/>
            </w:pPr>
            <w:r>
              <w:t xml:space="preserve">Yes</w:t>
            </w:r>
          </w:p>
        </w:tc>
        <w:tc>
          <w:tcPr/>
          <w:p>
            <w:pPr>
              <w:pStyle w:val="Compact"/>
            </w:pPr>
            <w:r>
              <w:t xml:space="preserve">1,000-iteration probabilistic sensitivity analysis; Monte Carlo SE = $0.52; parameter distributions in eTable 4</w:t>
            </w:r>
          </w:p>
        </w:tc>
      </w:tr>
      <w:tr>
        <w:tc>
          <w:tcPr/>
          <w:p>
            <w:pPr>
              <w:pStyle w:val="Compac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Engagement with patients and others</w:t>
            </w:r>
          </w:p>
        </w:tc>
        <w:tc>
          <w:tcPr/>
          <w:p>
            <w:pPr>
              <w:pStyle w:val="Compact"/>
            </w:pPr>
            <w:r>
              <w:t xml:space="preserve">Yes (with limitation)</w:t>
            </w:r>
          </w:p>
        </w:tc>
        <w:tc>
          <w:tcPr/>
          <w:p>
            <w:pPr>
              <w:pStyle w:val="Compact"/>
            </w:pPr>
            <w:r>
              <w:t xml:space="preserve">Multi-agent debate includes a patient-advocate persona (eTable 1; eAppendix A); no direct patient/public involvement — stated as a limitation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Study parameters</w:t>
            </w:r>
            <w:r>
              <w:t xml:space="preserve"> </w:t>
            </w:r>
            <w:r>
              <w:t xml:space="preserve">— all inputs with uncertainty</w:t>
            </w:r>
          </w:p>
        </w:tc>
        <w:tc>
          <w:tcPr/>
          <w:p>
            <w:pPr>
              <w:pStyle w:val="Compact"/>
            </w:pPr>
            <w:r>
              <w:t xml:space="preserve">Yes</w:t>
            </w:r>
          </w:p>
        </w:tc>
        <w:tc>
          <w:tcPr/>
          <w:p>
            <w:pPr>
              <w:pStyle w:val="Compact"/>
            </w:pPr>
            <w:r>
              <w:t xml:space="preserve">eTable 4 (all PSA inputs + distributions); eTable 2 (design parameters); empirical-vs-projected labeling in eAppendix F</w:t>
            </w:r>
          </w:p>
        </w:tc>
      </w:tr>
      <w:tr>
        <w:tc>
          <w:tcPr/>
          <w:p>
            <w:pPr>
              <w:pStyle w:val="Compac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Summary of main results</w:t>
            </w:r>
          </w:p>
        </w:tc>
        <w:tc>
          <w:tcPr/>
          <w:p>
            <w:pPr>
              <w:pStyle w:val="Compact"/>
            </w:pPr>
            <w:r>
              <w:t xml:space="preserve">Yes</w:t>
            </w:r>
          </w:p>
        </w:tc>
        <w:tc>
          <w:tcPr/>
          <w:p>
            <w:pPr>
              <w:pStyle w:val="Compact"/>
            </w:pPr>
            <w:r>
              <w:t xml:space="preserve">Results</w:t>
            </w:r>
            <w:r>
              <w:t xml:space="preserve"> </w:t>
            </w:r>
            <w:r>
              <w:t xml:space="preserve">“Patient Outcomes”</w:t>
            </w:r>
            <w:r>
              <w:t xml:space="preserve"> </w:t>
            </w:r>
            <w:r>
              <w:t xml:space="preserve">and</w:t>
            </w:r>
            <w:r>
              <w:t xml:space="preserve"> </w:t>
            </w:r>
            <w:r>
              <w:t xml:space="preserve">“Cost and Administrative Efficiency”</w:t>
            </w:r>
            <w:r>
              <w:t xml:space="preserve">; Table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Effect of uncertainty</w:t>
            </w:r>
          </w:p>
        </w:tc>
        <w:tc>
          <w:tcPr/>
          <w:p>
            <w:pPr>
              <w:pStyle w:val="Compact"/>
            </w:pPr>
            <w:r>
              <w:t xml:space="preserve">Yes</w:t>
            </w:r>
          </w:p>
        </w:tc>
        <w:tc>
          <w:tcPr/>
          <w:p>
            <w:pPr>
              <w:pStyle w:val="Compact"/>
            </w:pPr>
            <w:r>
              <w:t xml:space="preserve">Results + sensitivity analyses: admin-rate (eTable 12), AI-to-human discount factor (eTable 5), WTP (eTable 9); Figure 3</w:t>
            </w:r>
          </w:p>
        </w:tc>
      </w:tr>
      <w:tr>
        <w:tc>
          <w:tcPr/>
          <w:p>
            <w:pPr>
              <w:pStyle w:val="Compact"/>
            </w:pPr>
            <w:r>
              <w:t xml:space="preserve">25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Effect of engagement with patients and others</w:t>
            </w:r>
          </w:p>
        </w:tc>
        <w:tc>
          <w:tcPr/>
          <w:p>
            <w:pPr>
              <w:pStyle w:val="Compact"/>
            </w:pPr>
            <w:r>
              <w:t xml:space="preserve">Yes</w:t>
            </w:r>
          </w:p>
        </w:tc>
        <w:tc>
          <w:tcPr/>
          <w:p>
            <w:pPr>
              <w:pStyle w:val="Compact"/>
            </w:pPr>
            <w:r>
              <w:t xml:space="preserve">Minority reports → pessimistic scenario (S3) derivation, eAppendix A; no direct patient involvement to report (see item 21)</w:t>
            </w:r>
          </w:p>
        </w:tc>
      </w:tr>
      <w:tr>
        <w:tc>
          <w:tcPr/>
          <w:p>
            <w:pPr>
              <w:pStyle w:val="Compact"/>
            </w:pPr>
            <w:r>
              <w:t xml:space="preserve">26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Findings, limitations, generalizability</w:t>
            </w:r>
            <w:r>
              <w:t xml:space="preserve"> </w:t>
            </w:r>
            <w:r>
              <w:rPr>
                <w:b/>
                <w:bCs/>
              </w:rPr>
              <w:t xml:space="preserve">[AI-elab: algorithmic bias, equity]</w:t>
            </w:r>
          </w:p>
        </w:tc>
        <w:tc>
          <w:tcPr/>
          <w:p>
            <w:pPr>
              <w:pStyle w:val="Compact"/>
            </w:pPr>
            <w:r>
              <w:t xml:space="preserve">Yes</w:t>
            </w:r>
          </w:p>
        </w:tc>
        <w:tc>
          <w:tcPr/>
          <w:p>
            <w:pPr>
              <w:pStyle w:val="Compact"/>
            </w:pPr>
            <w:r>
              <w:t xml:space="preserve">Discussion +</w:t>
            </w:r>
            <w:r>
              <w:t xml:space="preserve"> </w:t>
            </w:r>
            <w:r>
              <w:t xml:space="preserve">“Limitations”</w:t>
            </w:r>
            <w:r>
              <w:t xml:space="preserve">; algorithmic bias and differential accuracy by race, and equity/digital-access implications, addressed in</w:t>
            </w:r>
            <w:r>
              <w:t xml:space="preserve"> </w:t>
            </w:r>
            <w:r>
              <w:t xml:space="preserve">“Digital Access Inequity”</w:t>
            </w:r>
            <w:r>
              <w:t xml:space="preserve"> </w:t>
            </w:r>
            <w:r>
              <w:t xml:space="preserve">and</w:t>
            </w:r>
            <w:r>
              <w:t xml:space="preserve"> </w:t>
            </w:r>
            <w:r>
              <w:t xml:space="preserve">“Limitations”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27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Source of funding</w:t>
            </w:r>
          </w:p>
        </w:tc>
        <w:tc>
          <w:tcPr/>
          <w:p>
            <w:pPr>
              <w:pStyle w:val="Compact"/>
            </w:pPr>
            <w:r>
              <w:t xml:space="preserve">Yes</w:t>
            </w:r>
          </w:p>
        </w:tc>
        <w:tc>
          <w:tcPr/>
          <w:p>
            <w:pPr>
              <w:pStyle w:val="Compact"/>
            </w:pPr>
            <w:r>
              <w:t xml:space="preserve">Declarations — Funding (</w:t>
            </w:r>
            <w:r>
              <w:t xml:space="preserve">“None”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28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Conflicts of interest</w:t>
            </w:r>
          </w:p>
        </w:tc>
        <w:tc>
          <w:tcPr/>
          <w:p>
            <w:pPr>
              <w:pStyle w:val="Compact"/>
            </w:pPr>
            <w:r>
              <w:t xml:space="preserve">Yes</w:t>
            </w:r>
          </w:p>
        </w:tc>
        <w:tc>
          <w:tcPr/>
          <w:p>
            <w:pPr>
              <w:pStyle w:val="Compact"/>
            </w:pPr>
            <w:r>
              <w:t xml:space="preserve">Declarations — Competing interests (Waymark financial interests; discussed in Limitations)</w:t>
            </w:r>
          </w:p>
        </w:tc>
      </w:tr>
      <w:tr>
        <w:tc>
          <w:tcPr/>
          <w:p>
            <w:pPr>
              <w:pStyle w:val="Compact"/>
            </w:pPr>
            <w:r>
              <w:t xml:space="preserve">AI 1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User autonomy</w:t>
            </w:r>
            <w:r>
              <w:t xml:space="preserve"> </w:t>
            </w:r>
            <w:r>
              <w:t xml:space="preserve">— directive vs user retains decision</w:t>
            </w:r>
          </w:p>
        </w:tc>
        <w:tc>
          <w:tcPr/>
          <w:p>
            <w:pPr>
              <w:pStyle w:val="Compact"/>
            </w:pPr>
            <w:r>
              <w:t xml:space="preserve">Yes</w:t>
            </w:r>
          </w:p>
        </w:tc>
        <w:tc>
          <w:tcPr/>
          <w:p>
            <w:pPr>
              <w:pStyle w:val="Compact"/>
            </w:pPr>
            <w:r>
              <w:t xml:space="preserve">AI-first virtual primary care with mandatory physician oversight (1:45) and escalation for high-acuity conditions; physician/care manager retains the care decision (Results</w:t>
            </w:r>
            <w:r>
              <w:t xml:space="preserve"> </w:t>
            </w:r>
            <w:r>
              <w:t xml:space="preserve">“AI ACO Consensus Design”</w:t>
            </w:r>
            <w:r>
              <w:t xml:space="preserve">; eTable 2)</w:t>
            </w:r>
          </w:p>
        </w:tc>
      </w:tr>
      <w:tr>
        <w:tc>
          <w:tcPr/>
          <w:p>
            <w:pPr>
              <w:pStyle w:val="Compact"/>
            </w:pPr>
            <w:r>
              <w:t xml:space="preserve">AI 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Measurement of AI effect</w:t>
            </w:r>
            <w:r>
              <w:t xml:space="preserve"> </w:t>
            </w:r>
            <w:r>
              <w:t xml:space="preserve">— data sources informing impact</w:t>
            </w:r>
          </w:p>
        </w:tc>
        <w:tc>
          <w:tcPr/>
          <w:p>
            <w:pPr>
              <w:pStyle w:val="Compact"/>
            </w:pPr>
            <w:r>
              <w:t xml:space="preserve">Yes</w:t>
            </w:r>
          </w:p>
        </w:tc>
        <w:tc>
          <w:tcPr/>
          <w:p>
            <w:pPr>
              <w:pStyle w:val="Compact"/>
            </w:pPr>
            <w:r>
              <w:t xml:space="preserve">Methods</w:t>
            </w:r>
            <w:r>
              <w:t xml:space="preserve"> </w:t>
            </w:r>
            <w:r>
              <w:t xml:space="preserve">“Microsimulation Model”</w:t>
            </w:r>
            <w:r>
              <w:t xml:space="preserve">: AI engagement multipliers and clinical relative-risk reductions anchored to human-delivered intervention evidence (CHW trials, clinical decision support, ACO evaluations); eTable 4</w:t>
            </w:r>
          </w:p>
        </w:tc>
      </w:tr>
      <w:tr>
        <w:tc>
          <w:tcPr/>
          <w:p>
            <w:pPr>
              <w:pStyle w:val="Compact"/>
            </w:pPr>
            <w:r>
              <w:t xml:space="preserve">AI 3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Measurement of AI learning over time</w:t>
            </w:r>
          </w:p>
        </w:tc>
        <w:tc>
          <w:tcPr/>
          <w:p>
            <w:pPr>
              <w:pStyle w:val="Compact"/>
            </w:pPr>
            <w:r>
              <w:t xml:space="preserve">N/A (justified)</w:t>
            </w:r>
          </w:p>
        </w:tc>
        <w:tc>
          <w:tcPr/>
          <w:p>
            <w:pPr>
              <w:pStyle w:val="Compact"/>
            </w:pPr>
            <w:r>
              <w:t xml:space="preserve">The specified AI is modeled as a</w:t>
            </w:r>
            <w:r>
              <w:t xml:space="preserve"> </w:t>
            </w:r>
            <w:r>
              <w:rPr>
                <w:b/>
                <w:bCs/>
              </w:rPr>
              <w:t xml:space="preserve">locked, non-adaptive</w:t>
            </w:r>
            <w:r>
              <w:t xml:space="preserve"> </w:t>
            </w:r>
            <w:r>
              <w:t xml:space="preserve">system; performance change over time is not measured. Justification stated in Methods</w:t>
            </w:r>
            <w:r>
              <w:t xml:space="preserve"> </w:t>
            </w:r>
            <w:r>
              <w:t xml:space="preserve">“Multi-Agent Debate”</w:t>
            </w:r>
            <w:r>
              <w:t xml:space="preserve">/Results and Discussion</w:t>
            </w:r>
            <w:r>
              <w:t xml:space="preserve"> </w:t>
            </w:r>
            <w:r>
              <w:t xml:space="preserve">“Limitations”</w:t>
            </w:r>
            <w:r>
              <w:t xml:space="preserve"> </w:t>
            </w:r>
            <w:r>
              <w:t xml:space="preserve">(steady-state; no learning curves)</w:t>
            </w:r>
          </w:p>
        </w:tc>
      </w:tr>
      <w:tr>
        <w:tc>
          <w:tcPr/>
          <w:p>
            <w:pPr>
              <w:pStyle w:val="Compact"/>
            </w:pPr>
            <w:r>
              <w:t xml:space="preserve">AI 4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Development of AI component</w:t>
            </w:r>
            <w:r>
              <w:t xml:space="preserve"> </w:t>
            </w:r>
            <w:r>
              <w:t xml:space="preserve">— training data, error/bias</w:t>
            </w:r>
          </w:p>
        </w:tc>
        <w:tc>
          <w:tcPr/>
          <w:p>
            <w:pPr>
              <w:pStyle w:val="Compact"/>
            </w:pPr>
            <w:r>
              <w:t xml:space="preserve">Yes (with limitation)</w:t>
            </w:r>
          </w:p>
        </w:tc>
        <w:tc>
          <w:tcPr/>
          <w:p>
            <w:pPr>
              <w:pStyle w:val="Compact"/>
            </w:pPr>
            <w:r>
              <w:t xml:space="preserve">The AI clinical-delivery intervention is a</w:t>
            </w:r>
            <w:r>
              <w:t xml:space="preserve"> </w:t>
            </w:r>
            <w:r>
              <w:rPr>
                <w:b/>
                <w:bCs/>
              </w:rPr>
              <w:t xml:space="preserve">specified preclinical design</w:t>
            </w:r>
            <w:r>
              <w:t xml:space="preserve"> </w:t>
            </w:r>
            <w:r>
              <w:t xml:space="preserve">(eTable 2), not a trained model; it has no training dataset. The design was generated by a multi-agent debate of expert-constrained AI agents (Claude Sonnet; eAppendix A/B). Stated explicitly as agent-specified and empirically untested (Discussion</w:t>
            </w:r>
            <w:r>
              <w:t xml:space="preserve"> </w:t>
            </w:r>
            <w:r>
              <w:t xml:space="preserve">“Limitations”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AI 5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Validation of AI component</w:t>
            </w:r>
          </w:p>
        </w:tc>
        <w:tc>
          <w:tcPr/>
          <w:p>
            <w:pPr>
              <w:pStyle w:val="Compact"/>
            </w:pPr>
            <w:r>
              <w:t xml:space="preserve">Yes (with limitation)</w:t>
            </w:r>
          </w:p>
        </w:tc>
        <w:tc>
          <w:tcPr/>
          <w:p>
            <w:pPr>
              <w:pStyle w:val="Compact"/>
            </w:pPr>
            <w:r>
              <w:t xml:space="preserve">AI clinical parameters are agent-specified and</w:t>
            </w:r>
            <w:r>
              <w:t xml:space="preserve"> </w:t>
            </w:r>
            <w:r>
              <w:rPr>
                <w:b/>
                <w:bCs/>
              </w:rPr>
              <w:t xml:space="preserve">not empirically validated</w:t>
            </w:r>
            <w:r>
              <w:t xml:space="preserve"> </w:t>
            </w:r>
            <w:r>
              <w:t xml:space="preserve">(stated in</w:t>
            </w:r>
            <w:r>
              <w:t xml:space="preserve"> </w:t>
            </w:r>
            <w:r>
              <w:t xml:space="preserve">“Limitations”</w:t>
            </w:r>
            <w:r>
              <w:t xml:space="preserve">); the engagement-cascade and utilization mechanisms were validated by out-of-sample backtesting against 5 independent natural experiments (Methods</w:t>
            </w:r>
            <w:r>
              <w:t xml:space="preserve"> </w:t>
            </w:r>
            <w:r>
              <w:t xml:space="preserve">“Scenarios and Validation”</w:t>
            </w:r>
            <w:r>
              <w:t xml:space="preserve">; eTable 8; Figure 2)</w:t>
            </w:r>
          </w:p>
        </w:tc>
      </w:tr>
      <w:tr>
        <w:tc>
          <w:tcPr/>
          <w:p>
            <w:pPr>
              <w:pStyle w:val="Compact"/>
            </w:pPr>
            <w:r>
              <w:t xml:space="preserve">AI 6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Health benefit</w:t>
            </w:r>
            <w:r>
              <w:t xml:space="preserve"> </w:t>
            </w:r>
            <w:r>
              <w:t xml:space="preserve">— direct/indirect mechanism</w:t>
            </w:r>
          </w:p>
        </w:tc>
        <w:tc>
          <w:tcPr/>
          <w:p>
            <w:pPr>
              <w:pStyle w:val="Compact"/>
            </w:pPr>
            <w:r>
              <w:t xml:space="preserve">Yes</w:t>
            </w:r>
          </w:p>
        </w:tc>
        <w:tc>
          <w:tcPr/>
          <w:p>
            <w:pPr>
              <w:pStyle w:val="Compact"/>
            </w:pPr>
            <w:r>
              <w:t xml:space="preserve">Methods/Results: benefit operates via the engagement cascade (algorithmically prioritized outreach, 24/7 virtual availability) and administrative automation; Results</w:t>
            </w:r>
            <w:r>
              <w:t xml:space="preserve"> </w:t>
            </w:r>
            <w:r>
              <w:t xml:space="preserve">“Patient Outcomes”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AI 7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Population differences</w:t>
            </w:r>
            <w:r>
              <w:t xml:space="preserve"> </w:t>
            </w:r>
            <w:r>
              <w:t xml:space="preserve">— assessment vs training data</w:t>
            </w:r>
          </w:p>
        </w:tc>
        <w:tc>
          <w:tcPr/>
          <w:p>
            <w:pPr>
              <w:pStyle w:val="Compact"/>
            </w:pPr>
            <w:r>
              <w:t xml:space="preserve">Yes</w:t>
            </w:r>
          </w:p>
        </w:tc>
        <w:tc>
          <w:tcPr/>
          <w:p>
            <w:pPr>
              <w:pStyle w:val="Compact"/>
            </w:pPr>
            <w:r>
              <w:t xml:space="preserve">AI effect sizes anchored to human-trial populations (Medicaid CHW trials; Medicare ACO); the AI-to-human evidence-translation discount-factor analysis (eTable 5) and Discussion</w:t>
            </w:r>
            <w:r>
              <w:t xml:space="preserve"> </w:t>
            </w:r>
            <w:r>
              <w:t xml:space="preserve">“Human-to-AI Evidence Translation”</w:t>
            </w:r>
            <w:r>
              <w:t xml:space="preserve"> </w:t>
            </w:r>
            <w:r>
              <w:t xml:space="preserve">address transfer; 3/5 backtests use Medicare populations (stated)</w:t>
            </w:r>
          </w:p>
        </w:tc>
      </w:tr>
      <w:tr>
        <w:tc>
          <w:tcPr/>
          <w:p>
            <w:pPr>
              <w:pStyle w:val="Compact"/>
            </w:pPr>
            <w:r>
              <w:t xml:space="preserve">AI 8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Modeling of AI learning over time</w:t>
            </w:r>
          </w:p>
        </w:tc>
        <w:tc>
          <w:tcPr/>
          <w:p>
            <w:pPr>
              <w:pStyle w:val="Compact"/>
            </w:pPr>
            <w:r>
              <w:t xml:space="preserve">N/A (justified)</w:t>
            </w:r>
          </w:p>
        </w:tc>
        <w:tc>
          <w:tcPr/>
          <w:p>
            <w:pPr>
              <w:pStyle w:val="Compact"/>
            </w:pPr>
            <w:r>
              <w:t xml:space="preserve">No over-time learning is modeled (locked-model assumption; steady-state). Stated in Methods and Discussion</w:t>
            </w:r>
            <w:r>
              <w:t xml:space="preserve"> </w:t>
            </w:r>
            <w:r>
              <w:t xml:space="preserve">“Limitations”</w:t>
            </w:r>
            <w:r>
              <w:t xml:space="preserve"> </w:t>
            </w:r>
            <w:r>
              <w:t xml:space="preserve">(consistent with item AI 3)</w:t>
            </w:r>
          </w:p>
        </w:tc>
      </w:tr>
      <w:tr>
        <w:tc>
          <w:tcPr/>
          <w:p>
            <w:pPr>
              <w:pStyle w:val="Compact"/>
            </w:pPr>
            <w:r>
              <w:t xml:space="preserve">AI 9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Impact of AI uncertainty on cost-effectiveness</w:t>
            </w:r>
          </w:p>
        </w:tc>
        <w:tc>
          <w:tcPr/>
          <w:p>
            <w:pPr>
              <w:pStyle w:val="Compact"/>
            </w:pPr>
            <w:r>
              <w:t xml:space="preserve">Yes</w:t>
            </w:r>
          </w:p>
        </w:tc>
        <w:tc>
          <w:tcPr/>
          <w:p>
            <w:pPr>
              <w:pStyle w:val="Compact"/>
            </w:pPr>
            <w:r>
              <w:t xml:space="preserve">AI clinical parameters are the agent-specified, untested inputs; their contribution to uncertainty is quantified by the discount-factor sensitivity (eTable 5) and parameter-importance analysis (AI clinical parameters combined Spearman ρ &lt; 0.25 vs administrative ρ = 0.82); Results and</w:t>
            </w:r>
            <w:r>
              <w:t xml:space="preserve"> </w:t>
            </w:r>
            <w:r>
              <w:t xml:space="preserve">“Limitations”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AI 10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Implementation of AI</w:t>
            </w:r>
            <w:r>
              <w:t xml:space="preserve"> </w:t>
            </w:r>
            <w:r>
              <w:t xml:space="preserve">— integration requirements affecting cost-effectiveness</w:t>
            </w:r>
          </w:p>
        </w:tc>
        <w:tc>
          <w:tcPr/>
          <w:p>
            <w:pPr>
              <w:pStyle w:val="Compact"/>
            </w:pPr>
            <w:r>
              <w:t xml:space="preserve">Yes</w:t>
            </w:r>
          </w:p>
        </w:tc>
        <w:tc>
          <w:tcPr/>
          <w:p>
            <w:pPr>
              <w:pStyle w:val="Compact"/>
            </w:pPr>
            <w:r>
              <w:t xml:space="preserve">Discussion</w:t>
            </w:r>
            <w:r>
              <w:t xml:space="preserve"> </w:t>
            </w:r>
            <w:r>
              <w:t xml:space="preserve">“Administrative Cost Feasibility and Backend Functions,”</w:t>
            </w:r>
            <w:r>
              <w:t xml:space="preserve"> </w:t>
            </w:r>
            <w:r>
              <w:t xml:space="preserve">“Digital Access Inequity,”</w:t>
            </w:r>
            <w:r>
              <w:t xml:space="preserve"> </w:t>
            </w:r>
            <w:r>
              <w:t xml:space="preserve">and</w:t>
            </w:r>
            <w:r>
              <w:t xml:space="preserve"> </w:t>
            </w:r>
            <w:r>
              <w:t xml:space="preserve">“Implementation Pathway”</w:t>
            </w:r>
            <w:r>
              <w:t xml:space="preserve">; Section 1115 demonstration design with administrative cost as the prospectively testable primary measure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 Math" w:cs="Cambria Math" w:eastAsia="Cambria Math" w:hAnsi="Cambria Math"/>
        <w:sz w:val="24"/>
        <w:szCs w:val="24"/>
        <w:lang w:bidi="ar-SA" w:eastAsia="zh-CN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 w:line="276" w:lineRule="auto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 w:line="276" w:lineRule="auto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76" w:lineRule="auto"/>
      <w:contextualSpacing/>
      <w:jc w:val="center"/>
    </w:pPr>
    <w:rPr>
      <w:rFonts w:ascii="Cambria Math" w:cs="Cambria Math" w:eastAsia="Cambria Math" w:hAnsi="Cambria Math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="Cambria Math" w:cs="Cambria Math" w:eastAsia="Cambria Math" w:hAnsi="Cambria Math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ascii="Cambria Math" w:cs="Cambria Math" w:eastAsia="Cambria Math" w:hAnsi="Cambria Math"/>
      <w:spacing w:line="276" w:lineRule="auto"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ascii="Cambria Math" w:cs="Cambria Math" w:eastAsia="Cambria Math" w:hAnsi="Cambria Math"/>
      <w:color w:val="000000"/>
      <w:spacing w:line="276" w:lineRule="auto"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 w:line="276" w:lineRule="auto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 w:line="276" w:lineRule="auto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 w:line="276" w:lineRule="auto"/>
      <w:outlineLvl w:val="0"/>
    </w:pPr>
    <w:rPr>
      <w:rFonts w:ascii="Cambria Math" w:cs="Cambria Math" w:eastAsia="Cambria Math" w:hAnsi="Cambria Math"/>
      <w:color w:val="000000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 w:line="276" w:lineRule="auto"/>
      <w:outlineLvl w:val="1"/>
    </w:pPr>
    <w:rPr>
      <w:rFonts w:ascii="Cambria Math" w:cs="Cambria Math" w:eastAsia="Cambria Math" w:hAnsi="Cambria Math"/>
      <w:color w:val="000000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 w:line="276" w:lineRule="auto"/>
      <w:outlineLvl w:val="2"/>
    </w:pPr>
    <w:rPr>
      <w:rFonts w:ascii="Cambria Math" w:cs="Cambria Math" w:eastAsia="Cambria Math" w:hAnsi="Cambria Math"/>
      <w:color w:val="000000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 w:line="276" w:lineRule="auto"/>
      <w:outlineLvl w:val="3"/>
    </w:pPr>
    <w:rPr>
      <w:rFonts w:ascii="Cambria Math" w:cs="Cambria Math" w:eastAsia="Cambria Math" w:hAnsi="Cambria Math"/>
      <w:i/>
      <w:iCs/>
      <w:color w:val="000000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 w:line="276" w:lineRule="auto"/>
      <w:outlineLvl w:val="4"/>
    </w:pPr>
    <w:rPr>
      <w:rFonts w:ascii="Cambria Math" w:cs="Cambria Math" w:eastAsia="Cambria Math" w:hAnsi="Cambria Math"/>
      <w:color w:val="000000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 w:line="276" w:lineRule="auto"/>
      <w:outlineLvl w:val="5"/>
    </w:pPr>
    <w:rPr>
      <w:rFonts w:ascii="Cambria Math" w:cs="Cambria Math" w:eastAsia="Cambria Math" w:hAnsi="Cambria Math"/>
      <w:i/>
      <w:iCs/>
      <w:color w:val="000000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 w:line="276" w:lineRule="auto"/>
      <w:outlineLvl w:val="6"/>
    </w:pPr>
    <w:rPr>
      <w:rFonts w:ascii="Cambria Math" w:cs="Cambria Math" w:eastAsia="Cambria Math" w:hAnsi="Cambria Math"/>
      <w:color w:val="000000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 w:line="276" w:lineRule="auto"/>
      <w:outlineLvl w:val="7"/>
    </w:pPr>
    <w:rPr>
      <w:rFonts w:ascii="Cambria Math" w:cs="Cambria Math" w:eastAsia="Cambria Math" w:hAnsi="Cambria Math"/>
      <w:i/>
      <w:iCs/>
      <w:color w:val="000000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 w:line="276" w:lineRule="auto"/>
      <w:outlineLvl w:val="8"/>
    </w:pPr>
    <w:rPr>
      <w:rFonts w:ascii="Cambria Math" w:cs="Cambria Math" w:eastAsia="Cambria Math" w:hAnsi="Cambria Math"/>
      <w:color w:val="000000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="Cambria Math" w:cs="Cambria Math" w:eastAsia="Cambria Math" w:hAnsi="Cambria Math"/>
      <w:color w:val="000000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="Cambria Math" w:cs="Cambria Math" w:eastAsia="Cambria Math" w:hAnsi="Cambria Math"/>
      <w:color w:val="000000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ascii="Cambria Math" w:cs="Cambria Math" w:eastAsia="Cambria Math" w:hAnsi="Cambria Math"/>
      <w:color w:val="000000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ascii="Cambria Math" w:cs="Cambria Math" w:eastAsia="Cambria Math" w:hAnsi="Cambria Math"/>
      <w:i/>
      <w:iCs/>
      <w:color w:val="000000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ascii="Cambria Math" w:cs="Cambria Math" w:eastAsia="Cambria Math" w:hAnsi="Cambria Math"/>
      <w:color w:val="00000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ascii="Cambria Math" w:cs="Cambria Math" w:eastAsia="Cambria Math" w:hAnsi="Cambria Math"/>
      <w:i/>
      <w:iCs/>
      <w:color w:val="00000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ascii="Cambria Math" w:cs="Cambria Math" w:eastAsia="Cambria Math" w:hAnsi="Cambria Math"/>
      <w:color w:val="00000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ascii="Cambria Math" w:cs="Cambria Math" w:eastAsia="Cambria Math" w:hAnsi="Cambria Math"/>
      <w:i/>
      <w:iCs/>
      <w:color w:val="00000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ascii="Cambria Math" w:cs="Cambria Math" w:eastAsia="Cambria Math" w:hAnsi="Cambria Math"/>
      <w:color w:val="000000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 w:line="276" w:lineRule="auto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 w:line="276" w:lineRule="auto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 w:line="276" w:lineRule="auto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 w:line="276" w:lineRule="auto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ambria Math" w:cs="Cambria Math" w:eastAsia="Cambria Math" w:hAnsi="Cambria Math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val="000000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76" w:lineRule="auto"/>
      <w:outlineLvl w:val="9"/>
    </w:pPr>
    <w:rPr>
      <w:rFonts w:ascii="Cambria Math" w:cs="Cambria Math" w:eastAsia="Cambria Math" w:hAnsi="Cambria Math"/>
      <w:b w:val="0"/>
      <w:bCs w:val="0"/>
      <w:color w:val="000000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2026-06-02T16:54:00Z</dcterms:created>
  <dcterms:modified xsi:type="dcterms:W3CDTF">2026-06-02T16:54:00Z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