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2AD8" w14:textId="37C7BC2D" w:rsidR="00B35BB9" w:rsidRDefault="00B35BB9" w:rsidP="00B35B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35BB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24EABE0C" w14:textId="77777777" w:rsidR="00B35BB9" w:rsidRPr="00B35BB9" w:rsidRDefault="00B35BB9" w:rsidP="00B35B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85EBF3" w14:textId="577BC667" w:rsidR="004C486A" w:rsidRPr="001D32D7" w:rsidRDefault="004C486A" w:rsidP="004C48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D32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90762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D32D7">
        <w:rPr>
          <w:rFonts w:ascii="Times New Roman" w:hAnsi="Times New Roman" w:cs="Times New Roman"/>
          <w:sz w:val="24"/>
          <w:szCs w:val="24"/>
          <w:lang w:val="en-US"/>
        </w:rPr>
        <w:t>. Sampling adequacy of component 1</w:t>
      </w:r>
      <w:r w:rsidR="00FF7A4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F7A4B" w:rsidRPr="00FF7A4B">
        <w:rPr>
          <w:rFonts w:ascii="Times New Roman" w:hAnsi="Times New Roman" w:cs="Times New Roman"/>
          <w:sz w:val="24"/>
          <w:szCs w:val="24"/>
          <w:lang w:val="en-US"/>
        </w:rPr>
        <w:t>principal component score</w:t>
      </w:r>
      <w:r w:rsidR="00FF7A4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2552"/>
        <w:gridCol w:w="2672"/>
        <w:gridCol w:w="3280"/>
      </w:tblGrid>
      <w:tr w:rsidR="004C486A" w:rsidRPr="004D31E8" w14:paraId="294E76B1" w14:textId="77777777" w:rsidTr="00A75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hideMark/>
          </w:tcPr>
          <w:p w14:paraId="40B995A1" w14:textId="77777777" w:rsidR="004C486A" w:rsidRPr="004D31E8" w:rsidRDefault="004C486A" w:rsidP="00A7505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Indicator</w:t>
            </w:r>
          </w:p>
        </w:tc>
        <w:tc>
          <w:tcPr>
            <w:tcW w:w="2672" w:type="dxa"/>
            <w:hideMark/>
          </w:tcPr>
          <w:p w14:paraId="2AAE1EDA" w14:textId="77777777" w:rsidR="004C486A" w:rsidRPr="004D31E8" w:rsidRDefault="004C486A" w:rsidP="00A7505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74E2511B" w14:textId="77777777" w:rsidR="004C486A" w:rsidRPr="004D31E8" w:rsidRDefault="004C486A" w:rsidP="00A75050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Interpretation</w:t>
            </w:r>
            <w:proofErr w:type="spellEnd"/>
          </w:p>
        </w:tc>
      </w:tr>
      <w:tr w:rsidR="004C486A" w:rsidRPr="004D31E8" w14:paraId="087B3AB6" w14:textId="77777777" w:rsidTr="00A75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hideMark/>
          </w:tcPr>
          <w:p w14:paraId="422C1DC5" w14:textId="77777777" w:rsidR="004C486A" w:rsidRPr="004D31E8" w:rsidRDefault="004C486A" w:rsidP="00A75050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Kaiser–Meyer–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Olkin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(KMO)</w:t>
            </w:r>
          </w:p>
        </w:tc>
        <w:tc>
          <w:tcPr>
            <w:tcW w:w="2672" w:type="dxa"/>
            <w:hideMark/>
          </w:tcPr>
          <w:p w14:paraId="317EF49F" w14:textId="77777777" w:rsidR="004C486A" w:rsidRPr="004D31E8" w:rsidRDefault="004C486A" w:rsidP="00A7505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0" w:type="auto"/>
            <w:hideMark/>
          </w:tcPr>
          <w:p w14:paraId="6E7B3A5F" w14:textId="77777777" w:rsidR="004C486A" w:rsidRPr="004D31E8" w:rsidRDefault="004C486A" w:rsidP="00A7505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Excellent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sampling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adequacy</w:t>
            </w:r>
            <w:proofErr w:type="spellEnd"/>
          </w:p>
        </w:tc>
      </w:tr>
      <w:tr w:rsidR="004C486A" w:rsidRPr="004D31E8" w14:paraId="1A505353" w14:textId="77777777" w:rsidTr="00A75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hideMark/>
          </w:tcPr>
          <w:p w14:paraId="7A8816AE" w14:textId="77777777" w:rsidR="004C486A" w:rsidRPr="004D31E8" w:rsidRDefault="004C486A" w:rsidP="00A75050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Bartlett’s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Test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of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2672" w:type="dxa"/>
            <w:hideMark/>
          </w:tcPr>
          <w:p w14:paraId="51DB04C0" w14:textId="77777777" w:rsidR="004C486A" w:rsidRPr="004D31E8" w:rsidRDefault="004C486A" w:rsidP="00A7505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proofErr w:type="gram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²(</w:t>
            </w:r>
            <w:proofErr w:type="gram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15) = 865.47; p &lt; 0.001</w:t>
            </w:r>
          </w:p>
        </w:tc>
        <w:tc>
          <w:tcPr>
            <w:tcW w:w="0" w:type="auto"/>
            <w:hideMark/>
          </w:tcPr>
          <w:p w14:paraId="5A52172F" w14:textId="77777777" w:rsidR="004C486A" w:rsidRPr="004D31E8" w:rsidRDefault="004C486A" w:rsidP="00A7505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correlation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  <w:proofErr w:type="spellEnd"/>
          </w:p>
        </w:tc>
      </w:tr>
      <w:tr w:rsidR="004C486A" w:rsidRPr="00167479" w14:paraId="7C89874E" w14:textId="77777777" w:rsidTr="00A75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hideMark/>
          </w:tcPr>
          <w:p w14:paraId="16994430" w14:textId="77777777" w:rsidR="004C486A" w:rsidRPr="004D31E8" w:rsidRDefault="004C486A" w:rsidP="00A75050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Eigenvalue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of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Component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</w:t>
            </w:r>
          </w:p>
        </w:tc>
        <w:tc>
          <w:tcPr>
            <w:tcW w:w="2672" w:type="dxa"/>
            <w:hideMark/>
          </w:tcPr>
          <w:p w14:paraId="10D99F49" w14:textId="77777777" w:rsidR="004C486A" w:rsidRPr="004D31E8" w:rsidRDefault="004C486A" w:rsidP="00A7505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0" w:type="auto"/>
            <w:hideMark/>
          </w:tcPr>
          <w:p w14:paraId="07C06FB1" w14:textId="77777777" w:rsidR="004C486A" w:rsidRPr="004D31E8" w:rsidRDefault="004C486A" w:rsidP="00A7505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Retained according to Kaiser’s criterion</w:t>
            </w:r>
          </w:p>
        </w:tc>
      </w:tr>
      <w:tr w:rsidR="004C486A" w:rsidRPr="004D31E8" w14:paraId="530D4E1E" w14:textId="77777777" w:rsidTr="00A75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hideMark/>
          </w:tcPr>
          <w:p w14:paraId="4318A968" w14:textId="77777777" w:rsidR="004C486A" w:rsidRPr="004D31E8" w:rsidRDefault="004C486A" w:rsidP="00A75050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Variance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explained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by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Component</w:t>
            </w:r>
            <w:proofErr w:type="spellEnd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</w:t>
            </w:r>
          </w:p>
        </w:tc>
        <w:tc>
          <w:tcPr>
            <w:tcW w:w="2672" w:type="dxa"/>
            <w:hideMark/>
          </w:tcPr>
          <w:p w14:paraId="2427CE2E" w14:textId="77777777" w:rsidR="004C486A" w:rsidRPr="004D31E8" w:rsidRDefault="004C486A" w:rsidP="00A7505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66.4%</w:t>
            </w:r>
          </w:p>
        </w:tc>
        <w:tc>
          <w:tcPr>
            <w:tcW w:w="0" w:type="auto"/>
            <w:hideMark/>
          </w:tcPr>
          <w:p w14:paraId="261D748F" w14:textId="77777777" w:rsidR="004C486A" w:rsidRPr="004D31E8" w:rsidRDefault="004C486A" w:rsidP="00A7505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explained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  <w:proofErr w:type="spellEnd"/>
          </w:p>
        </w:tc>
      </w:tr>
    </w:tbl>
    <w:p w14:paraId="407AA945" w14:textId="480439B9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1E8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145D27" w:rsidRPr="00145D27">
        <w:rPr>
          <w:rFonts w:ascii="Times New Roman" w:hAnsi="Times New Roman" w:cs="Times New Roman"/>
          <w:sz w:val="20"/>
          <w:szCs w:val="20"/>
          <w:lang w:val="en-US"/>
        </w:rPr>
        <w:t xml:space="preserve">principal component analysis </w:t>
      </w:r>
      <w:r w:rsidR="00145D2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4D31E8">
        <w:rPr>
          <w:rFonts w:ascii="Times New Roman" w:hAnsi="Times New Roman" w:cs="Times New Roman"/>
          <w:sz w:val="20"/>
          <w:szCs w:val="20"/>
          <w:lang w:val="en-US"/>
        </w:rPr>
        <w:t>PCA</w:t>
      </w:r>
      <w:r w:rsidR="00145D27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4D31E8">
        <w:rPr>
          <w:rFonts w:ascii="Times New Roman" w:hAnsi="Times New Roman" w:cs="Times New Roman"/>
          <w:sz w:val="20"/>
          <w:szCs w:val="20"/>
          <w:lang w:val="en-US"/>
        </w:rPr>
        <w:t xml:space="preserve"> showed excellent sampling adequacy (KMO = 0.83) and significant correlations among variables (Bartlett’s test, p &lt; 0.001). Component 1 explained 66.4% of the total variance and was retained as a representation of the general</w:t>
      </w:r>
      <w:r w:rsidR="00145D27" w:rsidRPr="00145D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45D27" w:rsidRPr="0081474C">
        <w:rPr>
          <w:rFonts w:ascii="Times New Roman" w:hAnsi="Times New Roman" w:cs="Times New Roman"/>
          <w:sz w:val="20"/>
          <w:szCs w:val="20"/>
          <w:lang w:val="en-US"/>
        </w:rPr>
        <w:t>psychological</w:t>
      </w:r>
      <w:r w:rsidR="00145D27" w:rsidRPr="004D31E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D31E8">
        <w:rPr>
          <w:rFonts w:ascii="Times New Roman" w:hAnsi="Times New Roman" w:cs="Times New Roman"/>
          <w:sz w:val="20"/>
          <w:szCs w:val="20"/>
          <w:lang w:val="en-US"/>
        </w:rPr>
        <w:t>distress factor.</w:t>
      </w:r>
    </w:p>
    <w:p w14:paraId="3CBC83C6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18164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21A6E7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B0D981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38F71CF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10DDD6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BF48686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ED99A1F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CFA702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AC65CC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CA2BC9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4FE8E57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4A79505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C0CAC7E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D424926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2FCF585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D63CA6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859B30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4350D8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2539CC7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5477B87" w14:textId="5E025A32" w:rsidR="004C486A" w:rsidRPr="001D32D7" w:rsidRDefault="004C486A" w:rsidP="004C48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32D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907622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D32D7">
        <w:rPr>
          <w:rFonts w:ascii="Times New Roman" w:hAnsi="Times New Roman" w:cs="Times New Roman"/>
          <w:sz w:val="24"/>
          <w:szCs w:val="24"/>
          <w:lang w:val="en-US"/>
        </w:rPr>
        <w:t xml:space="preserve">. Normality test of the </w:t>
      </w:r>
      <w:r w:rsidR="00145D27" w:rsidRPr="00351B45">
        <w:rPr>
          <w:rFonts w:ascii="Times New Roman" w:eastAsia="Times New Roman" w:hAnsi="Times New Roman" w:cs="Times New Roman"/>
          <w:sz w:val="24"/>
          <w:szCs w:val="24"/>
          <w:lang w:val="en-US"/>
        </w:rPr>
        <w:t>principal component analysis</w:t>
      </w:r>
      <w:r w:rsidRPr="001D32D7">
        <w:rPr>
          <w:rFonts w:ascii="Times New Roman" w:hAnsi="Times New Roman" w:cs="Times New Roman"/>
          <w:sz w:val="24"/>
          <w:szCs w:val="24"/>
          <w:lang w:val="en-US"/>
        </w:rPr>
        <w:t xml:space="preserve"> score (</w:t>
      </w:r>
      <w:r w:rsidR="00167479" w:rsidRPr="00167479">
        <w:rPr>
          <w:rFonts w:ascii="Times New Roman" w:hAnsi="Times New Roman" w:cs="Times New Roman"/>
          <w:sz w:val="24"/>
          <w:szCs w:val="24"/>
          <w:lang w:val="en-US"/>
        </w:rPr>
        <w:t>principal component score</w:t>
      </w:r>
      <w:r w:rsidRPr="001D32D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2200"/>
        <w:gridCol w:w="2211"/>
        <w:gridCol w:w="3249"/>
      </w:tblGrid>
      <w:tr w:rsidR="004C486A" w:rsidRPr="004D31E8" w14:paraId="4767F9B4" w14:textId="77777777" w:rsidTr="00A75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5AB619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0" w:type="auto"/>
            <w:hideMark/>
          </w:tcPr>
          <w:p w14:paraId="3D089E92" w14:textId="77777777" w:rsidR="004C486A" w:rsidRPr="004D31E8" w:rsidRDefault="004C486A" w:rsidP="00A75050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Result</w:t>
            </w:r>
            <w:proofErr w:type="spellEnd"/>
          </w:p>
        </w:tc>
        <w:tc>
          <w:tcPr>
            <w:tcW w:w="0" w:type="auto"/>
            <w:hideMark/>
          </w:tcPr>
          <w:p w14:paraId="0EB81771" w14:textId="77777777" w:rsidR="004C486A" w:rsidRPr="004D31E8" w:rsidRDefault="004C486A" w:rsidP="00A75050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Conclusion</w:t>
            </w:r>
            <w:proofErr w:type="spellEnd"/>
          </w:p>
        </w:tc>
      </w:tr>
      <w:tr w:rsidR="004C486A" w:rsidRPr="004D31E8" w14:paraId="0D9672EA" w14:textId="77777777" w:rsidTr="00A75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E35C4F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Shapiro–Wilk</w:t>
            </w:r>
          </w:p>
        </w:tc>
        <w:tc>
          <w:tcPr>
            <w:tcW w:w="0" w:type="auto"/>
            <w:hideMark/>
          </w:tcPr>
          <w:p w14:paraId="7F592E71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W = 0.99; p = 0.29</w:t>
            </w:r>
          </w:p>
        </w:tc>
        <w:tc>
          <w:tcPr>
            <w:tcW w:w="0" w:type="auto"/>
            <w:hideMark/>
          </w:tcPr>
          <w:p w14:paraId="1B57AD0C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Normal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(p &gt; 0.05)</w:t>
            </w:r>
          </w:p>
        </w:tc>
      </w:tr>
      <w:tr w:rsidR="004C486A" w:rsidRPr="00167479" w14:paraId="4E35B3D2" w14:textId="77777777" w:rsidTr="00A75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32E68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Histogram and Q–Q plot</w:t>
            </w:r>
          </w:p>
        </w:tc>
        <w:tc>
          <w:tcPr>
            <w:tcW w:w="0" w:type="auto"/>
            <w:hideMark/>
          </w:tcPr>
          <w:p w14:paraId="5DD83CD9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Symmetrical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proofErr w:type="spellEnd"/>
          </w:p>
        </w:tc>
        <w:tc>
          <w:tcPr>
            <w:tcW w:w="0" w:type="auto"/>
            <w:hideMark/>
          </w:tcPr>
          <w:p w14:paraId="4BA32E58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marked deviations from normality</w:t>
            </w:r>
          </w:p>
        </w:tc>
      </w:tr>
    </w:tbl>
    <w:p w14:paraId="7D404E8F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31E8">
        <w:rPr>
          <w:rFonts w:ascii="Times New Roman" w:hAnsi="Times New Roman" w:cs="Times New Roman"/>
          <w:sz w:val="20"/>
          <w:szCs w:val="20"/>
          <w:lang w:val="en-US"/>
        </w:rPr>
        <w:t>The Shapiro–Wilk test confirmed the normality of the composite score (p = 0.29), supporting the use of subsequent parametric analyses.</w:t>
      </w:r>
    </w:p>
    <w:p w14:paraId="2712CAE6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FE9247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F3E7487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A09248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BCA2AF4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5DE8E10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5FCB0D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19D8D8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A07FAF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44F0C4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797DADC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7B4118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1209CA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90E73BC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A7AB5C1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9BB1BC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FE669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B395C3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853613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7867BF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30D2FE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41B347D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B96D8F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EACF219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D07954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7CB79F5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12A22B" w14:textId="77777777" w:rsidR="004C486A" w:rsidRDefault="004C486A" w:rsidP="004C486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118BCFF" w14:textId="77777777" w:rsidR="00B35BB9" w:rsidRDefault="00B35BB9" w:rsidP="004C486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B35BB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2D10577" w14:textId="239AF225" w:rsidR="004C486A" w:rsidRPr="001D32D7" w:rsidRDefault="004C486A" w:rsidP="004C48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32D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90762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1D32D7">
        <w:rPr>
          <w:rFonts w:ascii="Times New Roman" w:hAnsi="Times New Roman" w:cs="Times New Roman"/>
          <w:sz w:val="24"/>
          <w:szCs w:val="24"/>
          <w:lang w:val="en-US"/>
        </w:rPr>
        <w:t>. Factor loadings of the instruments on component 1</w:t>
      </w:r>
      <w:r w:rsidR="00FF7A4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F7A4B" w:rsidRPr="00FF7A4B">
        <w:rPr>
          <w:rFonts w:ascii="Times New Roman" w:hAnsi="Times New Roman" w:cs="Times New Roman"/>
          <w:sz w:val="24"/>
          <w:szCs w:val="24"/>
          <w:lang w:val="en-US"/>
        </w:rPr>
        <w:t>principal component score</w:t>
      </w:r>
      <w:r w:rsidR="00FF7A4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944"/>
        <w:gridCol w:w="2878"/>
        <w:gridCol w:w="3387"/>
      </w:tblGrid>
      <w:tr w:rsidR="004C486A" w:rsidRPr="004D31E8" w14:paraId="3FE82522" w14:textId="77777777" w:rsidTr="00A75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CB7D86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Instrument</w:t>
            </w:r>
          </w:p>
        </w:tc>
        <w:tc>
          <w:tcPr>
            <w:tcW w:w="0" w:type="auto"/>
            <w:hideMark/>
          </w:tcPr>
          <w:p w14:paraId="749B489B" w14:textId="77777777" w:rsidR="004C486A" w:rsidRPr="004D31E8" w:rsidRDefault="004C486A" w:rsidP="00A75050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Factor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0" w:type="auto"/>
            <w:hideMark/>
          </w:tcPr>
          <w:p w14:paraId="043D54BA" w14:textId="77777777" w:rsidR="004C486A" w:rsidRPr="004D31E8" w:rsidRDefault="004C486A" w:rsidP="00A75050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Interpretation</w:t>
            </w:r>
            <w:proofErr w:type="spellEnd"/>
          </w:p>
        </w:tc>
      </w:tr>
      <w:tr w:rsidR="004C486A" w:rsidRPr="00167479" w14:paraId="13B31CDE" w14:textId="77777777" w:rsidTr="00A75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E560B8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BAI-21</w:t>
            </w:r>
          </w:p>
        </w:tc>
        <w:tc>
          <w:tcPr>
            <w:tcW w:w="0" w:type="auto"/>
            <w:hideMark/>
          </w:tcPr>
          <w:p w14:paraId="45BC44BE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0" w:type="auto"/>
            <w:hideMark/>
          </w:tcPr>
          <w:p w14:paraId="62A5F4F4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correlation with the general factor</w:t>
            </w:r>
          </w:p>
        </w:tc>
      </w:tr>
      <w:tr w:rsidR="004C486A" w:rsidRPr="004D31E8" w14:paraId="4DD824F6" w14:textId="77777777" w:rsidTr="00A75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673D86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DASS-21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Depression</w:t>
            </w:r>
            <w:proofErr w:type="spellEnd"/>
          </w:p>
        </w:tc>
        <w:tc>
          <w:tcPr>
            <w:tcW w:w="0" w:type="auto"/>
            <w:hideMark/>
          </w:tcPr>
          <w:p w14:paraId="68B02574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hideMark/>
          </w:tcPr>
          <w:p w14:paraId="4899C2EF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Highest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  <w:proofErr w:type="spellEnd"/>
          </w:p>
        </w:tc>
      </w:tr>
      <w:tr w:rsidR="004C486A" w:rsidRPr="004D31E8" w14:paraId="1950E0E9" w14:textId="77777777" w:rsidTr="00A75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0EDEE9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DASS-21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Anxiety</w:t>
            </w:r>
            <w:proofErr w:type="spellEnd"/>
          </w:p>
        </w:tc>
        <w:tc>
          <w:tcPr>
            <w:tcW w:w="0" w:type="auto"/>
            <w:hideMark/>
          </w:tcPr>
          <w:p w14:paraId="6D8A7FE9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0" w:type="auto"/>
            <w:hideMark/>
          </w:tcPr>
          <w:p w14:paraId="755A03CE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  <w:proofErr w:type="spellEnd"/>
          </w:p>
        </w:tc>
      </w:tr>
      <w:tr w:rsidR="004C486A" w:rsidRPr="004D31E8" w14:paraId="4ACA4502" w14:textId="77777777" w:rsidTr="00A75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D113D9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DASS-21 Stress</w:t>
            </w:r>
          </w:p>
        </w:tc>
        <w:tc>
          <w:tcPr>
            <w:tcW w:w="0" w:type="auto"/>
            <w:hideMark/>
          </w:tcPr>
          <w:p w14:paraId="45F3576E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0" w:type="auto"/>
            <w:hideMark/>
          </w:tcPr>
          <w:p w14:paraId="236DEA82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  <w:proofErr w:type="spellEnd"/>
          </w:p>
        </w:tc>
      </w:tr>
      <w:tr w:rsidR="004C486A" w:rsidRPr="004D31E8" w14:paraId="5DC27AB9" w14:textId="77777777" w:rsidTr="00A75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C63804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STAI –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State</w:t>
            </w:r>
            <w:proofErr w:type="spellEnd"/>
          </w:p>
        </w:tc>
        <w:tc>
          <w:tcPr>
            <w:tcW w:w="0" w:type="auto"/>
            <w:hideMark/>
          </w:tcPr>
          <w:p w14:paraId="6B5FC692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hideMark/>
          </w:tcPr>
          <w:p w14:paraId="5451B611" w14:textId="77777777" w:rsidR="004C486A" w:rsidRPr="004D31E8" w:rsidRDefault="004C486A" w:rsidP="00A75050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  <w:proofErr w:type="spellEnd"/>
          </w:p>
        </w:tc>
      </w:tr>
      <w:tr w:rsidR="004C486A" w:rsidRPr="004D31E8" w14:paraId="1BD76036" w14:textId="77777777" w:rsidTr="00A75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EAEF2A" w14:textId="77777777" w:rsidR="004C486A" w:rsidRPr="004D31E8" w:rsidRDefault="004C486A" w:rsidP="00A75050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STAI – </w:t>
            </w:r>
            <w:proofErr w:type="spellStart"/>
            <w:r w:rsidRPr="004D31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Trait</w:t>
            </w:r>
            <w:proofErr w:type="spellEnd"/>
          </w:p>
        </w:tc>
        <w:tc>
          <w:tcPr>
            <w:tcW w:w="0" w:type="auto"/>
            <w:hideMark/>
          </w:tcPr>
          <w:p w14:paraId="37E5DD93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0" w:type="auto"/>
            <w:hideMark/>
          </w:tcPr>
          <w:p w14:paraId="0872168A" w14:textId="77777777" w:rsidR="004C486A" w:rsidRPr="004D31E8" w:rsidRDefault="004C486A" w:rsidP="00A75050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  <w:proofErr w:type="spellEnd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1E8">
              <w:rPr>
                <w:rFonts w:ascii="Times New Roman" w:hAnsi="Times New Roman" w:cs="Times New Roman"/>
                <w:sz w:val="20"/>
                <w:szCs w:val="20"/>
              </w:rPr>
              <w:t>loading</w:t>
            </w:r>
            <w:proofErr w:type="spellEnd"/>
          </w:p>
        </w:tc>
      </w:tr>
    </w:tbl>
    <w:p w14:paraId="4E379F52" w14:textId="11113AD0" w:rsidR="00A24C48" w:rsidRPr="004C486A" w:rsidRDefault="004C486A" w:rsidP="00985595">
      <w:pPr>
        <w:spacing w:after="0" w:line="240" w:lineRule="auto"/>
        <w:jc w:val="both"/>
        <w:rPr>
          <w:lang w:val="en-US"/>
        </w:rPr>
      </w:pPr>
      <w:r w:rsidRPr="003C75FE">
        <w:rPr>
          <w:rFonts w:ascii="Times New Roman" w:eastAsia="Times New Roman" w:hAnsi="Times New Roman" w:cs="Times New Roman"/>
          <w:sz w:val="20"/>
          <w:szCs w:val="20"/>
          <w:lang w:val="en-US"/>
        </w:rPr>
        <w:t>BAI-21 = Beck Anxiety Inventory; DASS-21 = Depression Anxiety Stress Scale; STAI = State–Trait Anxiety Inventory.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4D31E8">
        <w:rPr>
          <w:rFonts w:ascii="Times New Roman" w:hAnsi="Times New Roman" w:cs="Times New Roman"/>
          <w:sz w:val="20"/>
          <w:szCs w:val="20"/>
          <w:lang w:val="en-US"/>
        </w:rPr>
        <w:t>All factor loadings were above 0.70, indicating strong convergence among the BAI-21, DASS-21, and STAI instruments. The Shapiro–Wilk test confirmed the normality of the composite score (p = 0.29), supporting the use of subsequent parametric analyses.</w:t>
      </w:r>
    </w:p>
    <w:sectPr w:rsidR="00A24C48" w:rsidRPr="004C4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6A"/>
    <w:rsid w:val="00025641"/>
    <w:rsid w:val="00145D27"/>
    <w:rsid w:val="00165FFB"/>
    <w:rsid w:val="00167479"/>
    <w:rsid w:val="001D32D7"/>
    <w:rsid w:val="00334C97"/>
    <w:rsid w:val="003B5171"/>
    <w:rsid w:val="003C0B3B"/>
    <w:rsid w:val="00434AA5"/>
    <w:rsid w:val="004C486A"/>
    <w:rsid w:val="006370EA"/>
    <w:rsid w:val="00677432"/>
    <w:rsid w:val="00787D52"/>
    <w:rsid w:val="0089472B"/>
    <w:rsid w:val="00907622"/>
    <w:rsid w:val="00985595"/>
    <w:rsid w:val="00A24C48"/>
    <w:rsid w:val="00A91E57"/>
    <w:rsid w:val="00AE575B"/>
    <w:rsid w:val="00B35BB9"/>
    <w:rsid w:val="00D76DD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A5F2"/>
  <w15:chartTrackingRefBased/>
  <w15:docId w15:val="{C7CDE378-639F-4C72-A74B-029DBD58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86A"/>
    <w:rPr>
      <w:rFonts w:ascii="Aptos" w:eastAsia="Aptos" w:hAnsi="Aptos" w:cs="Aptos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C4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4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48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48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8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48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48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48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48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4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4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4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48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8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48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48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48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48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4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C4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48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C4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486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C48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486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C48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4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48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486A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4C486A"/>
    <w:pPr>
      <w:spacing w:after="0" w:line="240" w:lineRule="auto"/>
    </w:pPr>
    <w:rPr>
      <w:rFonts w:ascii="Aptos" w:eastAsia="Aptos" w:hAnsi="Aptos" w:cs="Aptos"/>
      <w:kern w:val="0"/>
      <w:lang w:eastAsia="pt-B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278</Words>
  <Characters>1671</Characters>
  <Application>Microsoft Office Word</Application>
  <DocSecurity>0</DocSecurity>
  <Lines>119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Heitor Bernardes Pereira Delfino</dc:creator>
  <cp:keywords/>
  <dc:description/>
  <cp:lastModifiedBy>Heitor Bernardes Pereira Delfino</cp:lastModifiedBy>
  <cp:revision>13</cp:revision>
  <dcterms:created xsi:type="dcterms:W3CDTF">2026-03-31T17:57:00Z</dcterms:created>
  <dcterms:modified xsi:type="dcterms:W3CDTF">2026-04-15T14:56:00Z</dcterms:modified>
</cp:coreProperties>
</file>