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1EB8">
      <w:pPr>
        <w:spacing w:before="0" w:after="280" w:line="480" w:lineRule="auto"/>
        <w:jc w:val="center"/>
        <w:rPr>
          <w:rFonts w:hint="default" w:ascii="Arial" w:hAnsi="Arial" w:eastAsia="Arial" w:cs="Arial"/>
          <w:b/>
          <w:bCs w:val="0"/>
          <w:color w:val="auto"/>
          <w:sz w:val="22"/>
          <w:szCs w:val="22"/>
        </w:rPr>
      </w:pPr>
      <w:r>
        <w:rPr>
          <w:rFonts w:hint="default" w:ascii="Arial" w:hAnsi="Arial" w:eastAsia="Arial" w:cs="Arial"/>
          <w:b/>
          <w:bCs w:val="0"/>
          <w:color w:val="auto"/>
          <w:sz w:val="22"/>
          <w:szCs w:val="22"/>
        </w:rPr>
        <w:t>Circadian Regulation of miR-206-3p Impairs Nurr1-Dependent Dopaminergic Homeostasis and Promotes ADHD-Like Behaviors in Mice</w:t>
      </w:r>
    </w:p>
    <w:p w14:paraId="472E431A">
      <w:pPr>
        <w:spacing w:line="360" w:lineRule="auto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</w:rPr>
        <w:t>Yun Wang</w:t>
      </w:r>
      <w:r>
        <w:rPr>
          <w:rFonts w:hint="default" w:ascii="Arial" w:hAnsi="Arial" w:cs="Arial"/>
          <w:sz w:val="22"/>
          <w:szCs w:val="22"/>
          <w:vertAlign w:val="superscript"/>
        </w:rPr>
        <w:t>1,3</w:t>
      </w:r>
      <w:r>
        <w:rPr>
          <w:rFonts w:hint="default" w:ascii="Arial" w:hAnsi="Arial" w:eastAsia="宋体" w:cs="Arial"/>
          <w:sz w:val="22"/>
          <w:szCs w:val="22"/>
          <w:vertAlign w:val="superscript"/>
        </w:rPr>
        <w:t>†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eastAsia="宋体" w:cs="Arial"/>
          <w:sz w:val="22"/>
          <w:szCs w:val="22"/>
          <w:lang w:val="en-US" w:eastAsia="zh-CN"/>
        </w:rPr>
        <w:t>,</w:t>
      </w:r>
      <w:r>
        <w:rPr>
          <w:rFonts w:hint="default" w:ascii="Arial" w:hAnsi="Arial" w:cs="Arial"/>
          <w:sz w:val="22"/>
          <w:szCs w:val="22"/>
        </w:rPr>
        <w:t>Linzi Wang</w:t>
      </w:r>
      <w:r>
        <w:rPr>
          <w:rFonts w:hint="default" w:ascii="Arial" w:hAnsi="Arial" w:cs="Arial"/>
          <w:sz w:val="22"/>
          <w:szCs w:val="22"/>
          <w:vertAlign w:val="superscript"/>
        </w:rPr>
        <w:t>2</w:t>
      </w:r>
      <w:r>
        <w:rPr>
          <w:rFonts w:hint="default" w:ascii="Arial" w:hAnsi="Arial" w:eastAsia="宋体" w:cs="Arial"/>
          <w:sz w:val="22"/>
          <w:szCs w:val="22"/>
          <w:vertAlign w:val="superscript"/>
        </w:rPr>
        <w:t>†</w:t>
      </w:r>
      <w:r>
        <w:rPr>
          <w:rFonts w:hint="default" w:ascii="Arial" w:hAnsi="Arial" w:cs="Arial"/>
          <w:sz w:val="22"/>
          <w:szCs w:val="22"/>
        </w:rPr>
        <w:t>, Siyi Li</w:t>
      </w: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eastAsia="宋体" w:cs="Arial"/>
          <w:sz w:val="22"/>
          <w:szCs w:val="22"/>
          <w:vertAlign w:val="superscript"/>
        </w:rPr>
        <w:t>†</w:t>
      </w:r>
      <w:r>
        <w:rPr>
          <w:rFonts w:hint="default" w:ascii="Arial" w:hAnsi="Arial" w:cs="Arial"/>
          <w:sz w:val="22"/>
          <w:szCs w:val="22"/>
        </w:rPr>
        <w:t>,Xueyin Liao</w:t>
      </w: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cs="Arial"/>
          <w:sz w:val="22"/>
          <w:szCs w:val="22"/>
        </w:rPr>
        <w:t xml:space="preserve">, </w:t>
      </w:r>
      <w:r>
        <w:rPr>
          <w:rFonts w:hint="default" w:ascii="Arial" w:hAnsi="Arial" w:eastAsia="宋体" w:cs="Arial"/>
          <w:sz w:val="22"/>
          <w:szCs w:val="22"/>
          <w:lang w:val="en-US" w:eastAsia="zh-CN"/>
        </w:rPr>
        <w:t xml:space="preserve">Xin Ding </w:t>
      </w:r>
      <w:r>
        <w:rPr>
          <w:rFonts w:hint="default" w:ascii="Arial" w:hAnsi="Arial" w:cs="Arial"/>
          <w:sz w:val="22"/>
          <w:szCs w:val="22"/>
          <w:vertAlign w:val="superscript"/>
        </w:rPr>
        <w:t>2</w:t>
      </w:r>
      <w:r>
        <w:rPr>
          <w:rFonts w:hint="default" w:ascii="Arial" w:hAnsi="Arial" w:cs="Arial"/>
          <w:sz w:val="22"/>
          <w:szCs w:val="22"/>
        </w:rPr>
        <w:t>*</w:t>
      </w:r>
      <w:r>
        <w:rPr>
          <w:rFonts w:hint="default" w:ascii="Arial" w:hAnsi="Arial" w:eastAsia="宋体" w:cs="Arial"/>
          <w:sz w:val="22"/>
          <w:szCs w:val="22"/>
          <w:lang w:val="en-US" w:eastAsia="zh-CN"/>
        </w:rPr>
        <w:t>,</w:t>
      </w:r>
      <w:r>
        <w:rPr>
          <w:rFonts w:hint="default" w:ascii="Arial" w:hAnsi="Arial" w:cs="Arial"/>
          <w:sz w:val="22"/>
          <w:szCs w:val="22"/>
        </w:rPr>
        <w:t>Jian Huang</w:t>
      </w: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cs="Arial"/>
          <w:sz w:val="22"/>
          <w:szCs w:val="22"/>
        </w:rPr>
        <w:t>*</w:t>
      </w:r>
    </w:p>
    <w:p w14:paraId="62250E65">
      <w:pPr>
        <w:widowControl w:val="0"/>
        <w:numPr>
          <w:ilvl w:val="0"/>
          <w:numId w:val="0"/>
        </w:numPr>
        <w:spacing w:line="360" w:lineRule="auto"/>
        <w:ind w:left="0" w:firstLine="0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</w:p>
    <w:p w14:paraId="4CE60B29">
      <w:pPr>
        <w:widowControl w:val="0"/>
        <w:numPr>
          <w:ilvl w:val="0"/>
          <w:numId w:val="0"/>
        </w:numPr>
        <w:spacing w:line="360" w:lineRule="auto"/>
        <w:ind w:left="0" w:firstLine="0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vertAlign w:val="superscript"/>
        </w:rPr>
        <w:t>1</w:t>
      </w:r>
      <w:r>
        <w:rPr>
          <w:rFonts w:hint="default" w:ascii="Arial" w:hAnsi="Arial" w:cs="Arial"/>
          <w:sz w:val="22"/>
          <w:szCs w:val="22"/>
        </w:rPr>
        <w:t xml:space="preserve"> School of Basic Medical Sciences, Soochow University, Suzhou 215123, P. R. China.</w:t>
      </w:r>
    </w:p>
    <w:p w14:paraId="64AECCC4">
      <w:pPr>
        <w:widowControl w:val="0"/>
        <w:numPr>
          <w:ilvl w:val="0"/>
          <w:numId w:val="0"/>
        </w:numPr>
        <w:spacing w:line="360" w:lineRule="auto"/>
        <w:ind w:left="0" w:firstLine="0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vertAlign w:val="superscript"/>
        </w:rPr>
        <w:t>2</w:t>
      </w:r>
      <w:r>
        <w:rPr>
          <w:rFonts w:hint="default" w:ascii="Arial" w:hAnsi="Arial" w:cs="Arial"/>
          <w:sz w:val="22"/>
          <w:szCs w:val="22"/>
        </w:rPr>
        <w:t xml:space="preserve"> Soochow Key Laboratory of Prevention and Treatment of Child Brain Injury, Children’s Hospital of Soochow University, Suzhou 215123, P. R. China.</w:t>
      </w:r>
    </w:p>
    <w:p w14:paraId="7D9BEBE2">
      <w:pPr>
        <w:spacing w:line="360" w:lineRule="auto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vertAlign w:val="superscript"/>
        </w:rPr>
        <w:t>3</w:t>
      </w:r>
      <w:r>
        <w:rPr>
          <w:rFonts w:hint="default" w:ascii="Arial" w:hAnsi="Arial" w:cs="Arial"/>
          <w:sz w:val="22"/>
          <w:szCs w:val="22"/>
        </w:rPr>
        <w:t xml:space="preserve"> Department of Clinical Laboratory, The Affiliated Guangji Hospital of Soochow University, Suzhou 215137, P. R. China.</w:t>
      </w:r>
    </w:p>
    <w:p w14:paraId="71AE4C9E">
      <w:pPr>
        <w:widowControl w:val="0"/>
        <w:numPr>
          <w:ilvl w:val="0"/>
          <w:numId w:val="0"/>
        </w:numPr>
        <w:spacing w:line="360" w:lineRule="auto"/>
        <w:ind w:left="0" w:firstLine="0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 xml:space="preserve">Y.W. </w:t>
      </w:r>
      <w:r>
        <w:rPr>
          <w:rFonts w:hint="eastAsia" w:ascii="Arial" w:hAnsi="Arial" w:cs="Arial"/>
          <w:sz w:val="22"/>
          <w:szCs w:val="22"/>
          <w:lang w:val="en-US" w:eastAsia="zh-CN"/>
        </w:rPr>
        <w:t>，</w:t>
      </w:r>
      <w:r>
        <w:rPr>
          <w:rFonts w:hint="default" w:ascii="Arial" w:hAnsi="Arial" w:cs="Arial"/>
          <w:sz w:val="22"/>
          <w:szCs w:val="22"/>
          <w:lang w:val="en-US" w:eastAsia="zh-CN"/>
        </w:rPr>
        <w:t>L.W.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 and S.L. 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en-US" w:eastAsia="zh-CN"/>
        </w:rPr>
        <w:t>contributed equally to this study.</w:t>
      </w:r>
    </w:p>
    <w:p w14:paraId="18A2F696">
      <w:pPr>
        <w:spacing w:before="0" w:after="280" w:line="480" w:lineRule="auto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 xml:space="preserve">* Correspondence:  </w:t>
      </w:r>
    </w:p>
    <w:p w14:paraId="511BEFB7">
      <w:pPr>
        <w:spacing w:before="0" w:after="280" w:line="240" w:lineRule="auto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 xml:space="preserve">Jian Huang, Ph.D.,  </w:t>
      </w:r>
    </w:p>
    <w:p w14:paraId="4F57BA8C">
      <w:pPr>
        <w:spacing w:before="0" w:after="280" w:line="240" w:lineRule="auto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eastAsia="宋体" w:cs="Arial"/>
          <w:sz w:val="22"/>
          <w:szCs w:val="22"/>
          <w:lang w:val="en-US" w:eastAsia="zh-CN"/>
        </w:rPr>
        <w:t xml:space="preserve">Department of medical genetics, </w:t>
      </w:r>
      <w:r>
        <w:rPr>
          <w:rFonts w:hint="default" w:ascii="Arial" w:hAnsi="Arial" w:cs="Arial"/>
          <w:sz w:val="22"/>
          <w:szCs w:val="22"/>
        </w:rPr>
        <w:t>School of Basic Medical Sciences, Soochow University, Suzhou 215123, P. R. China.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</w:p>
    <w:p w14:paraId="20641BD9">
      <w:pPr>
        <w:spacing w:before="0" w:after="280" w:line="480" w:lineRule="auto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 xml:space="preserve">Email: huangjian79@suda.edu.cn. </w:t>
      </w:r>
    </w:p>
    <w:p w14:paraId="32752A4F">
      <w:pPr>
        <w:spacing w:before="0" w:after="280" w:line="480" w:lineRule="auto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ORCID (JH): 0000-0003-0026-2513</w:t>
      </w:r>
    </w:p>
    <w:p w14:paraId="37B29869">
      <w:pPr>
        <w:spacing w:before="0" w:after="280" w:line="480" w:lineRule="auto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 xml:space="preserve">Xin Ding, Ph.D.,  </w:t>
      </w:r>
    </w:p>
    <w:p w14:paraId="113D0369">
      <w:pPr>
        <w:spacing w:before="0" w:after="280" w:line="480" w:lineRule="auto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</w:rPr>
        <w:t>Soochow Key Laboratory of Prevention and Treatment of Child Brain Injury, Children’s Hospital of Soochow University, Suzhou 215123, P. R. China.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 </w:t>
      </w:r>
    </w:p>
    <w:p w14:paraId="61976CA3">
      <w:pPr>
        <w:spacing w:before="0" w:after="280" w:line="480" w:lineRule="auto"/>
        <w:jc w:val="both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Email: dingxin@suda.edu.cn</w:t>
      </w:r>
    </w:p>
    <w:p w14:paraId="3C37DD8C">
      <w:pPr>
        <w:pStyle w:val="2"/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Supplementary Figure </w:t>
      </w:r>
    </w:p>
    <w:p w14:paraId="4FB4E345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Supplementary Figure 1. Validation of AAV-mediated miR-206-3p overexpression in mouse brain.</w:t>
      </w:r>
    </w:p>
    <w:p w14:paraId="0C7BDD92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(A) Immunofluorescence images showing AAV-mediated miR-206-3p overexpression after lateral ventricular injection. Green indicates GFP-positive viral expression, and red indicates nuclei. SN, substantia nigra. (B) qPCR validation of miR-206-3p overexpression in whole mouse brain. ****p&lt;0.0001.</w:t>
      </w:r>
    </w:p>
    <w:p w14:paraId="5C0CD4FC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drawing>
          <wp:inline distT="0" distB="0" distL="114300" distR="114300">
            <wp:extent cx="5940425" cy="2170430"/>
            <wp:effectExtent l="0" t="0" r="3175" b="8890"/>
            <wp:docPr id="20" name="图片 2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FA54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0F72CB06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08AA0E43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1BF99F95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5FCB8DA9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6CF58CF8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527EC0E6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0DE0BB3F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1BD93858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57F7DCBD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6A5A7E05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Supplementary Figure 2. Knockdown of miR-206-3p produces limited effects on open-field locomotor behavior under basal conditions.</w:t>
      </w:r>
    </w:p>
    <w:p w14:paraId="319320A9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(A, B) Representative open-field movement tracks from control and miR-206-3p-knockdown mice. (C-H) Quantification of total distance, average movement speed, central-area/total-path ratio, time spent moving in the central area, time spent moving in the outer ring, and rearing counts.</w:t>
      </w:r>
    </w:p>
    <w:p w14:paraId="71D332A0">
      <w:p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drawing>
          <wp:inline distT="0" distB="0" distL="114300" distR="114300">
            <wp:extent cx="5936615" cy="4740910"/>
            <wp:effectExtent l="0" t="0" r="6985" b="13970"/>
            <wp:docPr id="21" name="图片 2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F5D1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7352F8AA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6550315B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45DAC04F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4ABB7F81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Supplementary Figure 3. Morris water maze analysis after miR-206-3p overexpression.</w:t>
      </w:r>
    </w:p>
    <w:p w14:paraId="0EE675DE">
      <w:pPr>
        <w:numPr>
          <w:ilvl w:val="0"/>
          <w:numId w:val="1"/>
        </w:num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Representative swimming paths in the Morris water maze. (B-D) Quantification of swimming distance, average speed, and escape latency during training. (E) Platform-crossing frequency after platform removal.</w:t>
      </w:r>
    </w:p>
    <w:p w14:paraId="38F312AA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4AB574FE">
      <w:pPr>
        <w:spacing w:line="480" w:lineRule="auto"/>
        <w:jc w:val="both"/>
        <w:rPr>
          <w:rFonts w:hint="default" w:ascii="Arial" w:hAnsi="Arial" w:eastAsia="宋体" w:cs="Arial"/>
          <w:b/>
          <w:color w:val="auto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b/>
          <w:color w:val="auto"/>
          <w:sz w:val="24"/>
          <w:szCs w:val="24"/>
          <w:lang w:eastAsia="zh-CN"/>
        </w:rPr>
        <w:drawing>
          <wp:inline distT="0" distB="0" distL="114300" distR="114300">
            <wp:extent cx="4212590" cy="4187190"/>
            <wp:effectExtent l="0" t="0" r="8890" b="3810"/>
            <wp:docPr id="9" name="图片 9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0A9D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74B66677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1DBA5215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46D562AE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1C7B11CD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3242028C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Supplementary Figure 4. Morris water maze analysis after miR-206-3p knockdown.</w:t>
      </w:r>
    </w:p>
    <w:p w14:paraId="12ACBFA3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(A-D) Quantification of swimming distance, average speed, escape latency, and platform-crossing frequency in control and miR-206-3p-knockdown mice.</w:t>
      </w:r>
    </w:p>
    <w:p w14:paraId="1DD6D60F">
      <w:pPr>
        <w:numPr>
          <w:ilvl w:val="0"/>
          <w:numId w:val="0"/>
        </w:numPr>
        <w:spacing w:after="200"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drawing>
          <wp:inline distT="0" distB="0" distL="114300" distR="114300">
            <wp:extent cx="4631690" cy="3086735"/>
            <wp:effectExtent l="0" t="0" r="1270" b="6985"/>
            <wp:docPr id="30" name="图片 30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图片3"/>
                    <pic:cNvPicPr>
                      <a:picLocks noChangeAspect="1"/>
                    </pic:cNvPicPr>
                  </pic:nvPicPr>
                  <pic:blipFill>
                    <a:blip r:embed="rId8"/>
                    <a:srcRect b="22301"/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B1A35">
      <w:pPr>
        <w:numPr>
          <w:ilvl w:val="0"/>
          <w:numId w:val="0"/>
        </w:numPr>
        <w:spacing w:after="200"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3134F17D">
      <w:pPr>
        <w:numPr>
          <w:ilvl w:val="0"/>
          <w:numId w:val="0"/>
        </w:numPr>
        <w:spacing w:after="200"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4182122B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026FCED0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4D33FD43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1A1B0930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68E42F8E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44E325AD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0EE88278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44A74680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Supplementary Figure 5. Extended analysis of dopamine-related gene-expression changes.</w:t>
      </w:r>
    </w:p>
    <w:p w14:paraId="751F5B63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(A-F) qPCR analysis of </w:t>
      </w:r>
      <w:r>
        <w:rPr>
          <w:rFonts w:hint="default" w:ascii="Arial" w:hAnsi="Arial" w:cs="Arial"/>
          <w:i/>
          <w:iCs/>
          <w:sz w:val="24"/>
          <w:szCs w:val="24"/>
        </w:rPr>
        <w:t xml:space="preserve">Dat1, Th, Vmat2, Drd1, Manf, </w:t>
      </w:r>
      <w:r>
        <w:rPr>
          <w:rFonts w:hint="default" w:ascii="Arial" w:hAnsi="Arial" w:cs="Arial"/>
          <w:sz w:val="24"/>
          <w:szCs w:val="24"/>
        </w:rPr>
        <w:t xml:space="preserve">and </w:t>
      </w:r>
      <w:r>
        <w:rPr>
          <w:rFonts w:hint="default" w:ascii="Arial" w:hAnsi="Arial" w:cs="Arial"/>
          <w:i/>
          <w:iCs/>
          <w:sz w:val="24"/>
          <w:szCs w:val="24"/>
        </w:rPr>
        <w:t>Lphn2</w:t>
      </w:r>
      <w:r>
        <w:rPr>
          <w:rFonts w:hint="default" w:ascii="Arial" w:hAnsi="Arial" w:cs="Arial"/>
          <w:sz w:val="24"/>
          <w:szCs w:val="24"/>
        </w:rPr>
        <w:t xml:space="preserve"> expression in mouse brain. These data complement the dopamine homeostasis results presented in Figure 7.</w:t>
      </w:r>
    </w:p>
    <w:p w14:paraId="08CA9F91">
      <w:pPr>
        <w:numPr>
          <w:ilvl w:val="0"/>
          <w:numId w:val="0"/>
        </w:numPr>
        <w:spacing w:after="200"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67DC8544">
      <w:pPr>
        <w:numPr>
          <w:ilvl w:val="0"/>
          <w:numId w:val="0"/>
        </w:numPr>
        <w:spacing w:after="200"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drawing>
          <wp:inline distT="0" distB="0" distL="114300" distR="114300">
            <wp:extent cx="5940425" cy="2925445"/>
            <wp:effectExtent l="0" t="0" r="3175" b="635"/>
            <wp:docPr id="31" name="图片 31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图片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65FF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7A432BB1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3D918DBC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3114A716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</w:p>
    <w:p w14:paraId="272DC31E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3BE84960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37D4150C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487E0E2C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0DF74965">
      <w:p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Supplementary Figure 6. Extended circadian gene-expression analysis.</w:t>
      </w:r>
    </w:p>
    <w:p w14:paraId="418C3072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(A-D) qPCR analysis of </w:t>
      </w:r>
      <w:r>
        <w:rPr>
          <w:rFonts w:hint="default" w:ascii="Arial" w:hAnsi="Arial" w:cs="Arial"/>
          <w:i/>
          <w:iCs/>
          <w:sz w:val="24"/>
          <w:szCs w:val="24"/>
        </w:rPr>
        <w:t>Bmal</w:t>
      </w:r>
      <w:r>
        <w:rPr>
          <w:rFonts w:hint="default"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i/>
          <w:iCs/>
          <w:sz w:val="24"/>
          <w:szCs w:val="24"/>
        </w:rPr>
        <w:t>Clock</w:t>
      </w:r>
      <w:r>
        <w:rPr>
          <w:rFonts w:hint="default"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i/>
          <w:iCs/>
          <w:sz w:val="24"/>
          <w:szCs w:val="24"/>
        </w:rPr>
        <w:t>Cry1</w:t>
      </w:r>
      <w:r>
        <w:rPr>
          <w:rFonts w:hint="default" w:ascii="Arial" w:hAnsi="Arial" w:cs="Arial"/>
          <w:sz w:val="24"/>
          <w:szCs w:val="24"/>
        </w:rPr>
        <w:t xml:space="preserve">, and </w:t>
      </w:r>
      <w:r>
        <w:rPr>
          <w:rFonts w:hint="default" w:ascii="Arial" w:hAnsi="Arial" w:cs="Arial"/>
          <w:i/>
          <w:iCs/>
          <w:sz w:val="24"/>
          <w:szCs w:val="24"/>
        </w:rPr>
        <w:t>Cry2</w:t>
      </w:r>
      <w:r>
        <w:rPr>
          <w:rFonts w:hint="default" w:ascii="Arial" w:hAnsi="Arial" w:cs="Arial"/>
          <w:sz w:val="24"/>
          <w:szCs w:val="24"/>
        </w:rPr>
        <w:t xml:space="preserve"> expression in mouse brain. (E-G) qPCR analysis of </w:t>
      </w:r>
      <w:r>
        <w:rPr>
          <w:rFonts w:hint="default" w:ascii="Arial" w:hAnsi="Arial" w:cs="Arial"/>
          <w:i/>
          <w:iCs/>
          <w:sz w:val="24"/>
          <w:szCs w:val="24"/>
        </w:rPr>
        <w:t>Per1, Per2</w:t>
      </w:r>
      <w:r>
        <w:rPr>
          <w:rFonts w:hint="default" w:ascii="Arial" w:hAnsi="Arial" w:cs="Arial"/>
          <w:sz w:val="24"/>
          <w:szCs w:val="24"/>
        </w:rPr>
        <w:t>, and</w:t>
      </w:r>
      <w:r>
        <w:rPr>
          <w:rFonts w:hint="default" w:ascii="Arial" w:hAnsi="Arial" w:cs="Arial"/>
          <w:i/>
          <w:iCs/>
          <w:sz w:val="24"/>
          <w:szCs w:val="24"/>
        </w:rPr>
        <w:t xml:space="preserve"> Per3</w:t>
      </w:r>
      <w:r>
        <w:rPr>
          <w:rFonts w:hint="default" w:ascii="Arial" w:hAnsi="Arial" w:cs="Arial"/>
          <w:sz w:val="24"/>
          <w:szCs w:val="24"/>
        </w:rPr>
        <w:t xml:space="preserve"> expression. These data complement the main dopamine-related molecular analysis shown in Figure 7.</w:t>
      </w:r>
    </w:p>
    <w:p w14:paraId="510A2DC1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drawing>
          <wp:inline distT="0" distB="0" distL="114300" distR="114300">
            <wp:extent cx="4220845" cy="3484245"/>
            <wp:effectExtent l="0" t="0" r="635" b="5715"/>
            <wp:docPr id="32" name="图片 32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图片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7730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</w:p>
    <w:p w14:paraId="6331B13C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</w:p>
    <w:p w14:paraId="3C2DA0D5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</w:p>
    <w:p w14:paraId="3EFADC63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</w:p>
    <w:p w14:paraId="0C906417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</w:p>
    <w:p w14:paraId="218756AD">
      <w:pPr>
        <w:numPr>
          <w:ilvl w:val="0"/>
          <w:numId w:val="0"/>
        </w:num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</w:p>
    <w:p w14:paraId="57C78935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0CA08A46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32522EA0">
      <w:pPr>
        <w:spacing w:line="480" w:lineRule="auto"/>
        <w:jc w:val="both"/>
        <w:rPr>
          <w:rFonts w:hint="default" w:ascii="Arial" w:hAnsi="Arial" w:cs="Arial"/>
          <w:sz w:val="24"/>
          <w:szCs w:val="24"/>
        </w:rPr>
      </w:pPr>
    </w:p>
    <w:p w14:paraId="0432A965">
      <w:pPr>
        <w:spacing w:line="480" w:lineRule="auto"/>
        <w:jc w:val="both"/>
        <w:rPr>
          <w:rFonts w:hint="default"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Supplementary Figure 7. RNA-seq enrichment analysis after miR-206-3p overexpression.</w:t>
      </w:r>
    </w:p>
    <w:p w14:paraId="19C65E26">
      <w:p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cs="Arial"/>
          <w:sz w:val="24"/>
          <w:szCs w:val="24"/>
        </w:rPr>
        <w:t>(A) Differentially expressed genes associated with biological rhythmic processes in the brains of miR-206-3p-overexpressing mice. (B, C) Gene Ontology enrichment analysis identifying downregulated genes related to tyrosine metabolism and upregulated genes associated with nervous system development and function.</w:t>
      </w:r>
    </w:p>
    <w:p w14:paraId="29853BB2">
      <w:pPr>
        <w:spacing w:line="36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drawing>
          <wp:inline distT="0" distB="0" distL="114300" distR="114300">
            <wp:extent cx="5933440" cy="5543550"/>
            <wp:effectExtent l="0" t="0" r="10160" b="3810"/>
            <wp:docPr id="33" name="图片 33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图片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CF91">
      <w:pPr>
        <w:spacing w:line="36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</w:p>
    <w:p w14:paraId="1BF70670">
      <w:pPr>
        <w:spacing w:line="36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</w:p>
    <w:p w14:paraId="6139FD18">
      <w:pPr>
        <w:spacing w:line="480" w:lineRule="auto"/>
        <w:jc w:val="both"/>
        <w:rPr>
          <w:rFonts w:hint="default" w:ascii="Arial" w:hAnsi="Arial" w:eastAsia="宋体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cs="Arial"/>
          <w:sz w:val="24"/>
          <w:szCs w:val="24"/>
        </w:rPr>
        <w:t xml:space="preserve">Supplementary </w:t>
      </w:r>
      <w:r>
        <w:rPr>
          <w:rFonts w:hint="eastAsia" w:ascii="Arial" w:hAnsi="Arial" w:cs="Arial"/>
          <w:sz w:val="24"/>
          <w:szCs w:val="24"/>
          <w:lang w:val="en-US" w:eastAsia="zh-CN"/>
        </w:rPr>
        <w:t>table 1</w:t>
      </w:r>
      <w:r>
        <w:rPr>
          <w:rFonts w:hint="default" w:ascii="Arial" w:hAnsi="Arial" w:cs="Arial"/>
          <w:sz w:val="24"/>
          <w:szCs w:val="24"/>
        </w:rPr>
        <w:t xml:space="preserve">. </w:t>
      </w:r>
      <w:r>
        <w:rPr>
          <w:rFonts w:hint="eastAsia" w:ascii="Arial" w:hAnsi="Arial" w:cs="Arial"/>
          <w:sz w:val="24"/>
          <w:szCs w:val="24"/>
          <w:lang w:val="en-US" w:eastAsia="zh-CN"/>
        </w:rPr>
        <w:t>q-PCR primers used in this study.</w:t>
      </w:r>
    </w:p>
    <w:tbl>
      <w:tblPr>
        <w:tblStyle w:val="7"/>
        <w:tblW w:w="70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5396"/>
      </w:tblGrid>
      <w:tr w14:paraId="149B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774E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b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NAME</w:t>
            </w:r>
          </w:p>
        </w:tc>
        <w:tc>
          <w:tcPr>
            <w:tcW w:w="539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noWrap/>
            <w:vAlign w:val="center"/>
          </w:tcPr>
          <w:p w14:paraId="02BB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b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SEQUENCE</w:t>
            </w:r>
          </w:p>
        </w:tc>
      </w:tr>
      <w:tr w14:paraId="5AD5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305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mVmat2-F</w:t>
            </w:r>
          </w:p>
        </w:tc>
        <w:tc>
          <w:tcPr>
            <w:tcW w:w="539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AB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AGGGGACACCTCTTACGACC</w:t>
            </w:r>
          </w:p>
        </w:tc>
      </w:tr>
      <w:tr w14:paraId="3AEE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017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mVmat2-R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E30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CTGCCACTTTCGGGAACACA</w:t>
            </w:r>
          </w:p>
        </w:tc>
      </w:tr>
      <w:tr w14:paraId="37D0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208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mDat1-F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E42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TTCATGGTTATTGCCGGGATG</w:t>
            </w:r>
          </w:p>
        </w:tc>
      </w:tr>
      <w:tr w14:paraId="768C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3D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mDat1-R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7406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TGTAGAAGAAGCCCACGTAGAA</w:t>
            </w:r>
          </w:p>
        </w:tc>
      </w:tr>
      <w:tr w14:paraId="79CC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7E2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mDbh-F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6F6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GAGGCGGCTTCCATGTACG</w:t>
            </w:r>
          </w:p>
        </w:tc>
      </w:tr>
      <w:tr w14:paraId="3F8F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B2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mDbh-R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7F9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TCCAGGGGGATGTGGTAGG</w:t>
            </w:r>
          </w:p>
        </w:tc>
      </w:tr>
      <w:tr w14:paraId="594E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0BD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mDrd1-F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1B2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GTGGGCGAATTCTTCCCTGA</w:t>
            </w:r>
          </w:p>
        </w:tc>
      </w:tr>
      <w:tr w14:paraId="0804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8C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mDrd1-R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13CA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GGGCAGAGTCTGTAGCATCC</w:t>
            </w:r>
          </w:p>
        </w:tc>
      </w:tr>
      <w:tr w14:paraId="44C1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7A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mDrd2-F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76E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CGGCCTACATAGCAACCCTG</w:t>
            </w:r>
          </w:p>
        </w:tc>
      </w:tr>
      <w:tr w14:paraId="3A4E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92E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mDrd2-R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50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TTTCTGCGGCTCATCGTCTT</w:t>
            </w:r>
          </w:p>
        </w:tc>
      </w:tr>
      <w:tr w14:paraId="0E4A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3AC9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mDrd4-F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31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GCCTGGAGAACCGAGACTATG</w:t>
            </w:r>
          </w:p>
        </w:tc>
      </w:tr>
      <w:tr w14:paraId="0062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709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mDrd4-R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472E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CGGCTGTGAAGTTTGGTGTG</w:t>
            </w:r>
          </w:p>
        </w:tc>
      </w:tr>
      <w:tr w14:paraId="7D62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FEF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mMaoa-F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56F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GTGAATGTCAATGAGCGTCTAGT</w:t>
            </w:r>
          </w:p>
        </w:tc>
      </w:tr>
      <w:tr w14:paraId="5CF1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AF3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mMaoa-R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76AF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TCAACAGGGATCTCTTTTCCCA</w:t>
            </w:r>
          </w:p>
        </w:tc>
      </w:tr>
      <w:tr w14:paraId="4877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E9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mMaob-F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9F7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AACAAAAGCGATGTGATCGTGG</w:t>
            </w:r>
          </w:p>
        </w:tc>
      </w:tr>
      <w:tr w14:paraId="12ED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29A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mMaob-R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DBE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GCCCAACATAAGATCCTCCAAGG</w:t>
            </w:r>
          </w:p>
        </w:tc>
      </w:tr>
      <w:tr w14:paraId="15FD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511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mManf-F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7FC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TCTGGGACGATTTTACCAGGA</w:t>
            </w:r>
          </w:p>
        </w:tc>
      </w:tr>
      <w:tr w14:paraId="46E9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03F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mManf-R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19D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CTTGCTTCACGGCAAAACTTT</w:t>
            </w:r>
          </w:p>
        </w:tc>
      </w:tr>
      <w:tr w14:paraId="7D3C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DB4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mLphn2-F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503E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GCCTTACCATTCGGGTTAGTTAG</w:t>
            </w:r>
          </w:p>
        </w:tc>
      </w:tr>
      <w:tr w14:paraId="1B04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AA6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mLphn2-R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11D8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CGTAGTTCGCACTCTCGATCAT</w:t>
            </w:r>
          </w:p>
        </w:tc>
      </w:tr>
      <w:tr w14:paraId="1DFB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316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mLphn3-F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31B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AACGGCTCATCGAGGACAG</w:t>
            </w:r>
          </w:p>
        </w:tc>
      </w:tr>
      <w:tr w14:paraId="1163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1CBF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mLphn3-R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4CB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GCTCAATGGGGTAGCTCTCAC</w:t>
            </w:r>
          </w:p>
        </w:tc>
      </w:tr>
      <w:tr w14:paraId="1AEC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DF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mOtp-F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538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CAGGCTAGGTATGAAAGATGCC</w:t>
            </w:r>
          </w:p>
        </w:tc>
      </w:tr>
      <w:tr w14:paraId="4F3F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6386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mOtp-R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33BB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GAAGCAGGGGTAGAGCCCA</w:t>
            </w:r>
          </w:p>
        </w:tc>
      </w:tr>
      <w:tr w14:paraId="6D9B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06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mBmal-F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C58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ACAGTCAGATTGAAAAGAGGCG</w:t>
            </w:r>
          </w:p>
        </w:tc>
      </w:tr>
      <w:tr w14:paraId="70E9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CDD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mBmal-R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3479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GCCATCCTTAGCACGGTGAG</w:t>
            </w:r>
          </w:p>
        </w:tc>
      </w:tr>
      <w:tr w14:paraId="0699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3B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mClock-F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FA8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CTTCCTGGTAACGCGAGAAAG</w:t>
            </w:r>
          </w:p>
        </w:tc>
      </w:tr>
      <w:tr w14:paraId="6026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252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mClock-R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67B6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GTCGAATCTCACTAGCATCTGAC</w:t>
            </w:r>
          </w:p>
        </w:tc>
      </w:tr>
      <w:tr w14:paraId="61CA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E40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mCry1-F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3759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CACTGGTTCCGAAAGGGACTC</w:t>
            </w:r>
          </w:p>
        </w:tc>
      </w:tr>
      <w:tr w14:paraId="2851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764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mCry1-R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2745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CTGAAGCAAAAATCGCCACCT</w:t>
            </w:r>
          </w:p>
        </w:tc>
      </w:tr>
      <w:tr w14:paraId="5369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88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mCry2-F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DE8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CACTGGTTCCGCAAAGGACTA</w:t>
            </w:r>
          </w:p>
        </w:tc>
      </w:tr>
      <w:tr w14:paraId="5DBD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1D1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mCry2-R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0410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CCACGGGTCGAGGATGTAGA</w:t>
            </w:r>
          </w:p>
        </w:tc>
      </w:tr>
      <w:tr w14:paraId="48C6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4843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mPer1-F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4469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GATGTGGGTGTCTTCTATGGC</w:t>
            </w:r>
          </w:p>
        </w:tc>
      </w:tr>
      <w:tr w14:paraId="635E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4E66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mPer1-R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5BDE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AGGACCTCCTCTGATTCGGC</w:t>
            </w:r>
          </w:p>
        </w:tc>
      </w:tr>
      <w:tr w14:paraId="682E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1FF5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mPer2-F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228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AAAGCTGACGCACACAAAGAA</w:t>
            </w:r>
          </w:p>
        </w:tc>
      </w:tr>
      <w:tr w14:paraId="7510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58C6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mPer2-R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4F38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ACTCCTCATTAGCCTTCACCT</w:t>
            </w:r>
          </w:p>
        </w:tc>
      </w:tr>
      <w:tr w14:paraId="7FC6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247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mPer3-F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2A56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TCAAGACGTGAGGGCGTTCTA</w:t>
            </w:r>
          </w:p>
        </w:tc>
      </w:tr>
      <w:tr w14:paraId="0EC3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/>
            <w:vAlign w:val="center"/>
          </w:tcPr>
          <w:p w14:paraId="3A30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mPer3-R</w:t>
            </w:r>
          </w:p>
        </w:tc>
        <w:tc>
          <w:tcPr>
            <w:tcW w:w="0" w:type="auto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/>
            <w:vAlign w:val="center"/>
          </w:tcPr>
          <w:p w14:paraId="3705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CATTCATACTGCGAGGCTCTTT</w:t>
            </w:r>
          </w:p>
        </w:tc>
      </w:tr>
    </w:tbl>
    <w:p w14:paraId="38F87609">
      <w:pPr>
        <w:spacing w:line="360" w:lineRule="auto"/>
        <w:jc w:val="both"/>
        <w:rPr>
          <w:rFonts w:hint="default" w:ascii="Arial" w:hAnsi="Arial" w:eastAsia="宋体" w:cs="Arial"/>
          <w:color w:val="auto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C1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7776E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val="en-US" w:eastAsia="zh-CN"/>
                            </w:rPr>
                            <w:t>S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7776E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val="en-US" w:eastAsia="zh-CN"/>
                      </w:rPr>
                      <w:t>S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6A263"/>
    <w:multiLevelType w:val="singleLevel"/>
    <w:tmpl w:val="69F6A263"/>
    <w:lvl w:ilvl="0" w:tentative="0">
      <w:start w:val="1"/>
      <w:numFmt w:val="upp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64C9"/>
    <w:rsid w:val="052C3508"/>
    <w:rsid w:val="05936A1D"/>
    <w:rsid w:val="077C1812"/>
    <w:rsid w:val="09566440"/>
    <w:rsid w:val="0D347EA7"/>
    <w:rsid w:val="158226E9"/>
    <w:rsid w:val="172303CD"/>
    <w:rsid w:val="1EAF2075"/>
    <w:rsid w:val="24611FC1"/>
    <w:rsid w:val="26AB09F5"/>
    <w:rsid w:val="364364C9"/>
    <w:rsid w:val="38106BB2"/>
    <w:rsid w:val="387B1DF4"/>
    <w:rsid w:val="38C83236"/>
    <w:rsid w:val="3DF0473E"/>
    <w:rsid w:val="44D40B95"/>
    <w:rsid w:val="47346445"/>
    <w:rsid w:val="4E4A2680"/>
    <w:rsid w:val="64C304E1"/>
    <w:rsid w:val="64C574CA"/>
    <w:rsid w:val="65F935AD"/>
    <w:rsid w:val="66D53522"/>
    <w:rsid w:val="7A7B321C"/>
    <w:rsid w:val="7A914058"/>
    <w:rsid w:val="7ACE2E51"/>
    <w:rsid w:val="7BF73447"/>
    <w:rsid w:val="7C317AF4"/>
    <w:rsid w:val="7F4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511</Words>
  <Characters>3986</Characters>
  <Lines>0</Lines>
  <Paragraphs>0</Paragraphs>
  <TotalTime>1</TotalTime>
  <ScaleCrop>false</ScaleCrop>
  <LinksUpToDate>false</LinksUpToDate>
  <CharactersWithSpaces>4401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2025-07-11T08:11:00Z</dcterms:created>
  <dc:creator>黄健</dc:creator>
  <cp:lastModifiedBy>黄健</cp:lastModifiedBy>
  <dcterms:modified xsi:type="dcterms:W3CDTF">2026-06-02T15:33:16Z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22A177DB315D49D3897D89016E221105_13</vt:lpwstr>
  </property>
  <property fmtid="{D5CDD505-2E9C-101B-9397-08002B2CF9AE}" pid="4" name="KSOTemplateDocerSaveRecord">
    <vt:lpwstr>eyJoZGlkIjoiZGUwZmMyNjE0ZDMyYmUwOTEyYmI3NDQxY2FmYzJmZjYiLCJ1c2VySWQiOiIyMjkwNTI0MTcifQ==</vt:lpwstr>
  </property>
</Properties>
</file>