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FF6EC" w14:textId="125DA6B6" w:rsidR="00501B32" w:rsidRDefault="00833060" w:rsidP="00A423E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33060">
        <w:rPr>
          <w:rFonts w:ascii="Arial" w:hAnsi="Arial" w:cs="Arial"/>
          <w:b/>
          <w:bCs/>
          <w:sz w:val="28"/>
          <w:szCs w:val="28"/>
        </w:rPr>
        <w:t xml:space="preserve">Dual-functional </w:t>
      </w:r>
      <w:proofErr w:type="spellStart"/>
      <w:r w:rsidRPr="00833060">
        <w:rPr>
          <w:rFonts w:ascii="Arial" w:hAnsi="Arial" w:cs="Arial"/>
          <w:b/>
          <w:bCs/>
          <w:sz w:val="28"/>
          <w:szCs w:val="28"/>
        </w:rPr>
        <w:t>Nanocarrier</w:t>
      </w:r>
      <w:proofErr w:type="spellEnd"/>
      <w:r w:rsidRPr="00833060">
        <w:rPr>
          <w:rFonts w:ascii="Arial" w:hAnsi="Arial" w:cs="Arial"/>
          <w:b/>
          <w:bCs/>
          <w:sz w:val="28"/>
          <w:szCs w:val="28"/>
        </w:rPr>
        <w:t xml:space="preserve"> for Improved </w:t>
      </w:r>
      <w:proofErr w:type="spellStart"/>
      <w:r w:rsidRPr="00833060">
        <w:rPr>
          <w:rFonts w:ascii="Arial" w:hAnsi="Arial" w:cs="Arial"/>
          <w:b/>
          <w:bCs/>
          <w:sz w:val="28"/>
          <w:szCs w:val="28"/>
        </w:rPr>
        <w:t>Immunochemotherapy</w:t>
      </w:r>
      <w:proofErr w:type="spellEnd"/>
      <w:r w:rsidR="00A423E7">
        <w:rPr>
          <w:rFonts w:ascii="Arial" w:hAnsi="Arial" w:cs="Arial" w:hint="eastAsia"/>
          <w:b/>
          <w:bCs/>
          <w:sz w:val="28"/>
          <w:szCs w:val="28"/>
        </w:rPr>
        <w:t xml:space="preserve"> </w:t>
      </w:r>
      <w:r w:rsidRPr="00833060">
        <w:rPr>
          <w:rFonts w:ascii="Arial" w:hAnsi="Arial" w:cs="Arial"/>
          <w:b/>
          <w:bCs/>
          <w:sz w:val="28"/>
          <w:szCs w:val="28"/>
        </w:rPr>
        <w:t>of Acute Myeloid Leukemi</w:t>
      </w:r>
      <w:r w:rsidR="000C2ADB">
        <w:rPr>
          <w:rFonts w:ascii="Arial" w:hAnsi="Arial" w:cs="Arial" w:hint="eastAsia"/>
          <w:b/>
          <w:bCs/>
          <w:sz w:val="28"/>
          <w:szCs w:val="28"/>
        </w:rPr>
        <w:t>a</w:t>
      </w:r>
    </w:p>
    <w:p w14:paraId="203581C7" w14:textId="78E19F3D" w:rsidR="000C2ADB" w:rsidRPr="009271AD" w:rsidRDefault="00C86218" w:rsidP="00501B32">
      <w:pPr>
        <w:pStyle w:val="a5"/>
        <w:jc w:val="center"/>
        <w:rPr>
          <w:color w:val="000000"/>
        </w:rPr>
      </w:pPr>
      <w:r>
        <w:rPr>
          <w:rFonts w:ascii="Arial" w:hAnsi="Arial" w:cs="Arial" w:hint="eastAsia"/>
          <w:b/>
          <w:bCs/>
          <w:sz w:val="28"/>
          <w:szCs w:val="28"/>
        </w:rPr>
        <w:t>S</w:t>
      </w:r>
      <w:r w:rsidR="00E573BC">
        <w:rPr>
          <w:rFonts w:ascii="Arial" w:hAnsi="Arial" w:cs="Arial" w:hint="eastAsia"/>
          <w:b/>
          <w:bCs/>
          <w:sz w:val="28"/>
          <w:szCs w:val="28"/>
        </w:rPr>
        <w:t>upple</w:t>
      </w:r>
      <w:r w:rsidR="004276EA">
        <w:rPr>
          <w:rFonts w:ascii="Arial" w:hAnsi="Arial" w:cs="Arial" w:hint="eastAsia"/>
          <w:b/>
          <w:bCs/>
          <w:sz w:val="28"/>
          <w:szCs w:val="28"/>
        </w:rPr>
        <w:t xml:space="preserve">mentary </w:t>
      </w:r>
      <w:r w:rsidR="00445EC5">
        <w:rPr>
          <w:rFonts w:ascii="Arial" w:hAnsi="Arial" w:cs="Arial" w:hint="eastAsia"/>
          <w:b/>
          <w:bCs/>
          <w:sz w:val="28"/>
          <w:szCs w:val="28"/>
        </w:rPr>
        <w:t>Figures</w:t>
      </w:r>
    </w:p>
    <w:p w14:paraId="7B84E493" w14:textId="77777777" w:rsidR="00833060" w:rsidRPr="00833060" w:rsidRDefault="00833060" w:rsidP="0083306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441DED4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E0E356B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833060">
        <w:rPr>
          <w:rFonts w:ascii="Arial" w:hAnsi="Arial" w:cs="Arial"/>
          <w:vertAlign w:val="superscript"/>
        </w:rPr>
        <w:t>1,5</w:t>
      </w:r>
      <w:r w:rsidRPr="00833060">
        <w:rPr>
          <w:rFonts w:ascii="Arial" w:hAnsi="Arial" w:cs="Arial"/>
        </w:rPr>
        <w:t>Zhuoya</w:t>
      </w:r>
      <w:proofErr w:type="spellEnd"/>
      <w:r w:rsidRPr="00833060">
        <w:rPr>
          <w:rFonts w:ascii="Arial" w:hAnsi="Arial" w:cs="Arial"/>
        </w:rPr>
        <w:t xml:space="preserve"> Wan, </w:t>
      </w:r>
      <w:proofErr w:type="spellStart"/>
      <w:r w:rsidRPr="00833060">
        <w:rPr>
          <w:rFonts w:ascii="Arial" w:hAnsi="Arial" w:cs="Arial"/>
          <w:vertAlign w:val="superscript"/>
        </w:rPr>
        <w:t>2,3,5</w:t>
      </w:r>
      <w:r w:rsidRPr="00833060">
        <w:rPr>
          <w:rFonts w:ascii="Arial" w:hAnsi="Arial" w:cs="Arial"/>
        </w:rPr>
        <w:t>Limei</w:t>
      </w:r>
      <w:proofErr w:type="spellEnd"/>
      <w:r w:rsidRPr="00833060">
        <w:rPr>
          <w:rFonts w:ascii="Arial" w:hAnsi="Arial" w:cs="Arial"/>
        </w:rPr>
        <w:t xml:space="preserve"> Wu, </w:t>
      </w:r>
      <w:proofErr w:type="spellStart"/>
      <w:r w:rsidRPr="00833060">
        <w:rPr>
          <w:rFonts w:ascii="Arial" w:hAnsi="Arial" w:cs="Arial"/>
          <w:vertAlign w:val="superscript"/>
        </w:rPr>
        <w:t>1</w:t>
      </w:r>
      <w:r w:rsidRPr="00833060">
        <w:rPr>
          <w:rFonts w:ascii="Arial" w:hAnsi="Arial" w:cs="Arial"/>
        </w:rPr>
        <w:t>Yiqing</w:t>
      </w:r>
      <w:proofErr w:type="spellEnd"/>
      <w:r w:rsidRPr="00833060">
        <w:rPr>
          <w:rFonts w:ascii="Arial" w:hAnsi="Arial" w:cs="Arial"/>
        </w:rPr>
        <w:t xml:space="preserve"> Mu, </w:t>
      </w:r>
      <w:proofErr w:type="spellStart"/>
      <w:r w:rsidRPr="00833060">
        <w:rPr>
          <w:rFonts w:ascii="Arial" w:hAnsi="Arial" w:cs="Arial"/>
          <w:vertAlign w:val="superscript"/>
        </w:rPr>
        <w:t>1</w:t>
      </w:r>
      <w:r w:rsidRPr="00833060">
        <w:rPr>
          <w:rFonts w:ascii="Arial" w:hAnsi="Arial" w:cs="Arial"/>
        </w:rPr>
        <w:t>Bei</w:t>
      </w:r>
      <w:proofErr w:type="spellEnd"/>
      <w:r w:rsidRPr="00833060">
        <w:rPr>
          <w:rFonts w:ascii="Arial" w:hAnsi="Arial" w:cs="Arial"/>
        </w:rPr>
        <w:t xml:space="preserve"> Zhang, </w:t>
      </w:r>
      <w:proofErr w:type="spellStart"/>
      <w:r w:rsidRPr="00833060">
        <w:rPr>
          <w:rFonts w:ascii="Arial" w:hAnsi="Arial" w:cs="Arial"/>
          <w:vertAlign w:val="superscript"/>
        </w:rPr>
        <w:t>2</w:t>
      </w:r>
      <w:r w:rsidRPr="00833060">
        <w:rPr>
          <w:rFonts w:ascii="Arial" w:hAnsi="Arial" w:cs="Arial"/>
        </w:rPr>
        <w:t>Jing-Zhou</w:t>
      </w:r>
      <w:proofErr w:type="spellEnd"/>
      <w:r w:rsidRPr="00833060">
        <w:rPr>
          <w:rFonts w:ascii="Arial" w:hAnsi="Arial" w:cs="Arial"/>
        </w:rPr>
        <w:t xml:space="preserve"> </w:t>
      </w:r>
      <w:proofErr w:type="spellStart"/>
      <w:r w:rsidRPr="00833060">
        <w:rPr>
          <w:rFonts w:ascii="Arial" w:hAnsi="Arial" w:cs="Arial"/>
        </w:rPr>
        <w:t>Hou</w:t>
      </w:r>
      <w:proofErr w:type="spellEnd"/>
      <w:r w:rsidRPr="00833060">
        <w:rPr>
          <w:rFonts w:ascii="Arial" w:hAnsi="Arial" w:cs="Arial"/>
        </w:rPr>
        <w:t xml:space="preserve">, </w:t>
      </w:r>
      <w:proofErr w:type="spellStart"/>
      <w:r w:rsidRPr="00833060">
        <w:rPr>
          <w:rFonts w:ascii="Arial" w:hAnsi="Arial" w:cs="Arial"/>
          <w:vertAlign w:val="superscript"/>
        </w:rPr>
        <w:t>4</w:t>
      </w:r>
      <w:r w:rsidRPr="00833060">
        <w:rPr>
          <w:rFonts w:ascii="Arial" w:hAnsi="Arial" w:cs="Arial"/>
        </w:rPr>
        <w:t>Jingjing</w:t>
      </w:r>
      <w:proofErr w:type="spellEnd"/>
      <w:r w:rsidRPr="00833060">
        <w:rPr>
          <w:rFonts w:ascii="Arial" w:hAnsi="Arial" w:cs="Arial"/>
        </w:rPr>
        <w:t xml:space="preserve"> Sun, </w:t>
      </w:r>
      <w:r w:rsidRPr="00833060">
        <w:rPr>
          <w:rFonts w:ascii="Arial" w:hAnsi="Arial" w:cs="Arial"/>
          <w:vertAlign w:val="superscript"/>
        </w:rPr>
        <w:t>2,3*</w:t>
      </w:r>
      <w:r w:rsidRPr="00833060">
        <w:rPr>
          <w:rFonts w:ascii="Arial" w:hAnsi="Arial" w:cs="Arial"/>
        </w:rPr>
        <w:t xml:space="preserve">Wei Du, and </w:t>
      </w:r>
      <w:r w:rsidRPr="00833060">
        <w:rPr>
          <w:rFonts w:ascii="Arial" w:hAnsi="Arial" w:cs="Arial"/>
          <w:vertAlign w:val="superscript"/>
        </w:rPr>
        <w:t>1*</w:t>
      </w:r>
      <w:r w:rsidRPr="00833060">
        <w:rPr>
          <w:rFonts w:ascii="Arial" w:hAnsi="Arial" w:cs="Arial"/>
        </w:rPr>
        <w:t>Song Li</w:t>
      </w:r>
    </w:p>
    <w:p w14:paraId="622431DF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</w:p>
    <w:p w14:paraId="219A1659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  <w:r w:rsidRPr="00833060">
        <w:rPr>
          <w:rFonts w:ascii="Arial" w:hAnsi="Arial" w:cs="Arial"/>
          <w:vertAlign w:val="superscript"/>
        </w:rPr>
        <w:t>1</w:t>
      </w:r>
      <w:r w:rsidRPr="00833060">
        <w:rPr>
          <w:rFonts w:ascii="Arial" w:hAnsi="Arial" w:cs="Arial"/>
        </w:rPr>
        <w:t>Center for Pharmacogenetics, Department of Pharmaceutical Sciences, University of Pittsburgh School of Pharmacy, Pittsburgh, PA.</w:t>
      </w:r>
    </w:p>
    <w:p w14:paraId="2F58221C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</w:p>
    <w:p w14:paraId="6321547A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  <w:r w:rsidRPr="00833060">
        <w:rPr>
          <w:rFonts w:ascii="Arial" w:hAnsi="Arial" w:cs="Arial"/>
          <w:vertAlign w:val="superscript"/>
        </w:rPr>
        <w:t>2</w:t>
      </w:r>
      <w:r w:rsidRPr="00833060">
        <w:rPr>
          <w:rFonts w:ascii="Arial" w:hAnsi="Arial" w:cs="Arial"/>
        </w:rPr>
        <w:t>Division of Hematology and Oncology, University of Pittsburgh School of Medicine, Pittsburgh, PA.</w:t>
      </w:r>
    </w:p>
    <w:p w14:paraId="10B2B107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p w14:paraId="323E11D1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  <w:r w:rsidRPr="00833060">
        <w:rPr>
          <w:rFonts w:ascii="Arial" w:hAnsi="Arial" w:cs="Arial"/>
          <w:vertAlign w:val="superscript"/>
        </w:rPr>
        <w:t>3</w:t>
      </w:r>
      <w:r w:rsidRPr="00833060">
        <w:rPr>
          <w:rFonts w:ascii="Arial" w:hAnsi="Arial" w:cs="Arial"/>
        </w:rPr>
        <w:t>Genome Stability Program, UPMC Hillman Cancer Center, Pittsburgh, PA.</w:t>
      </w:r>
    </w:p>
    <w:p w14:paraId="123E4237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</w:p>
    <w:p w14:paraId="797EEFCD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  <w:r w:rsidRPr="00833060">
        <w:rPr>
          <w:rFonts w:ascii="Arial" w:hAnsi="Arial" w:cs="Arial"/>
          <w:vertAlign w:val="superscript"/>
        </w:rPr>
        <w:t>4</w:t>
      </w:r>
      <w:r w:rsidRPr="00833060">
        <w:rPr>
          <w:rFonts w:ascii="Arial" w:hAnsi="Arial" w:cs="Arial"/>
        </w:rPr>
        <w:t>Department of Pharmaceutical Sciences, College of Pharmacy, University of Nebraska Medical Center, Omaha, NE</w:t>
      </w:r>
    </w:p>
    <w:p w14:paraId="15C271AE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</w:p>
    <w:p w14:paraId="5F8FCA65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</w:p>
    <w:p w14:paraId="2A5468A6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</w:p>
    <w:p w14:paraId="033F67A0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  <w:r w:rsidRPr="00833060">
        <w:rPr>
          <w:rFonts w:ascii="Arial" w:hAnsi="Arial" w:cs="Arial"/>
          <w:vertAlign w:val="superscript"/>
        </w:rPr>
        <w:t>5</w:t>
      </w:r>
      <w:r w:rsidRPr="00833060">
        <w:rPr>
          <w:rFonts w:ascii="Arial" w:hAnsi="Arial" w:cs="Arial"/>
        </w:rPr>
        <w:t>Equal contribution</w:t>
      </w:r>
    </w:p>
    <w:p w14:paraId="327704E5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</w:p>
    <w:p w14:paraId="1B039FA3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  <w:r w:rsidRPr="00833060">
        <w:rPr>
          <w:rFonts w:ascii="Arial" w:hAnsi="Arial" w:cs="Arial"/>
        </w:rPr>
        <w:t>*Corresponding authors:</w:t>
      </w:r>
      <w:r w:rsidRPr="00833060">
        <w:rPr>
          <w:rFonts w:ascii="Arial" w:hAnsi="Arial" w:cs="Arial"/>
        </w:rPr>
        <w:tab/>
        <w:t>Song Li, MD, PhD</w:t>
      </w:r>
    </w:p>
    <w:p w14:paraId="750FDD8B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  <w:lang w:val="de-DE"/>
        </w:rPr>
      </w:pPr>
      <w:r w:rsidRPr="00833060">
        <w:rPr>
          <w:rFonts w:ascii="Arial" w:hAnsi="Arial" w:cs="Arial"/>
        </w:rPr>
        <w:tab/>
      </w:r>
      <w:r w:rsidRPr="00833060">
        <w:rPr>
          <w:rFonts w:ascii="Arial" w:hAnsi="Arial" w:cs="Arial"/>
        </w:rPr>
        <w:tab/>
      </w:r>
      <w:r w:rsidRPr="00833060">
        <w:rPr>
          <w:rFonts w:ascii="Arial" w:hAnsi="Arial" w:cs="Arial"/>
        </w:rPr>
        <w:tab/>
      </w:r>
      <w:r w:rsidRPr="00833060">
        <w:rPr>
          <w:rFonts w:ascii="Arial" w:hAnsi="Arial" w:cs="Arial"/>
        </w:rPr>
        <w:tab/>
      </w:r>
      <w:hyperlink r:id="rId4" w:history="1">
        <w:r w:rsidRPr="00833060">
          <w:rPr>
            <w:rFonts w:ascii="Arial" w:hAnsi="Arial" w:cs="Arial"/>
            <w:color w:val="467886" w:themeColor="hyperlink"/>
            <w:u w:val="single"/>
            <w:lang w:val="de-DE"/>
          </w:rPr>
          <w:t>sol4@pitt.edu</w:t>
        </w:r>
      </w:hyperlink>
    </w:p>
    <w:p w14:paraId="7CB31993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  <w:lang w:val="de-DE"/>
        </w:rPr>
      </w:pPr>
    </w:p>
    <w:p w14:paraId="7DE914CF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  <w:lang w:val="de-DE"/>
        </w:rPr>
      </w:pP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  <w:t>OR</w:t>
      </w:r>
    </w:p>
    <w:p w14:paraId="71D04581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  <w:lang w:val="de-DE"/>
        </w:rPr>
      </w:pP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</w:p>
    <w:p w14:paraId="5E074CE3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  <w:lang w:val="de-DE"/>
        </w:rPr>
      </w:pP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  <w:t>Wei Du, MD, PhD</w:t>
      </w:r>
    </w:p>
    <w:p w14:paraId="591D9760" w14:textId="77777777" w:rsidR="00833060" w:rsidRPr="00833060" w:rsidRDefault="00833060" w:rsidP="00833060">
      <w:pPr>
        <w:spacing w:after="0" w:line="240" w:lineRule="auto"/>
        <w:jc w:val="both"/>
        <w:rPr>
          <w:rFonts w:ascii="Arial" w:hAnsi="Arial" w:cs="Arial"/>
        </w:rPr>
      </w:pP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r w:rsidRPr="00833060">
        <w:rPr>
          <w:rFonts w:ascii="Arial" w:hAnsi="Arial" w:cs="Arial"/>
          <w:lang w:val="de-DE"/>
        </w:rPr>
        <w:tab/>
      </w:r>
      <w:hyperlink r:id="rId5" w:history="1">
        <w:r w:rsidRPr="00833060">
          <w:rPr>
            <w:rFonts w:ascii="Arial" w:hAnsi="Arial" w:cs="Arial"/>
            <w:color w:val="467886" w:themeColor="hyperlink"/>
            <w:u w:val="single"/>
          </w:rPr>
          <w:t>duw@upmc.edu</w:t>
        </w:r>
      </w:hyperlink>
    </w:p>
    <w:p w14:paraId="101E4BD5" w14:textId="77777777" w:rsidR="00596999" w:rsidRDefault="00596999" w:rsidP="00326DDC"/>
    <w:p w14:paraId="14BCA3B3" w14:textId="77777777" w:rsidR="00596999" w:rsidRDefault="00596999" w:rsidP="00326DDC"/>
    <w:p w14:paraId="7F3D5642" w14:textId="77777777" w:rsidR="00596999" w:rsidRDefault="00596999" w:rsidP="00326DDC"/>
    <w:p w14:paraId="2F706CA7" w14:textId="77777777" w:rsidR="00596999" w:rsidRDefault="00596999" w:rsidP="00326DDC"/>
    <w:p w14:paraId="67C7D40E" w14:textId="77777777" w:rsidR="00596999" w:rsidRDefault="00596999" w:rsidP="00326DDC"/>
    <w:p w14:paraId="1B5D90A4" w14:textId="77777777" w:rsidR="00596999" w:rsidRDefault="00596999" w:rsidP="00326DDC"/>
    <w:p w14:paraId="0070DFAF" w14:textId="77777777" w:rsidR="00596999" w:rsidRDefault="00596999" w:rsidP="00326DDC"/>
    <w:p w14:paraId="4D4CB846" w14:textId="77777777" w:rsidR="00596999" w:rsidRDefault="00596999" w:rsidP="00326DDC"/>
    <w:p w14:paraId="097FE9F6" w14:textId="77777777" w:rsidR="00596999" w:rsidRDefault="00596999" w:rsidP="00326DDC"/>
    <w:p w14:paraId="6E6BB6BA" w14:textId="134642DE" w:rsidR="00885953" w:rsidRDefault="00326DDC" w:rsidP="00326DDC">
      <w:r>
        <w:rPr>
          <w:noProof/>
        </w:rPr>
        <w:drawing>
          <wp:inline distT="0" distB="0" distL="0" distR="0" wp14:anchorId="180598BA" wp14:editId="783FEB3C">
            <wp:extent cx="5245100" cy="3490766"/>
            <wp:effectExtent l="0" t="0" r="0" b="1905"/>
            <wp:docPr id="11179662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66218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49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C08">
        <w:t xml:space="preserve">   </w:t>
      </w:r>
    </w:p>
    <w:p w14:paraId="00291FB4" w14:textId="77777777" w:rsidR="000F4365" w:rsidRDefault="000F4365" w:rsidP="004B762C">
      <w:pPr>
        <w:spacing w:after="120" w:line="240" w:lineRule="auto"/>
        <w:rPr>
          <w:rFonts w:ascii="Arial" w:hAnsi="Arial" w:cs="Arial"/>
          <w:b/>
          <w:bCs/>
          <w:color w:val="000000" w:themeColor="text1"/>
        </w:rPr>
      </w:pPr>
    </w:p>
    <w:p w14:paraId="2A61B83E" w14:textId="1958D67C" w:rsidR="004B762C" w:rsidRPr="00127D4E" w:rsidRDefault="00D84C7C" w:rsidP="004B762C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D84C7C">
        <w:rPr>
          <w:rFonts w:ascii="Arial" w:hAnsi="Arial" w:cs="Arial"/>
          <w:b/>
          <w:bCs/>
          <w:color w:val="000000" w:themeColor="text1"/>
        </w:rPr>
        <w:t xml:space="preserve">Supplementary Fig. </w:t>
      </w:r>
      <w:r>
        <w:rPr>
          <w:rFonts w:ascii="Arial" w:hAnsi="Arial" w:cs="Arial" w:hint="eastAsia"/>
          <w:b/>
          <w:bCs/>
          <w:color w:val="000000" w:themeColor="text1"/>
        </w:rPr>
        <w:t>1</w:t>
      </w:r>
      <w:r w:rsidR="00326DDC">
        <w:rPr>
          <w:rFonts w:ascii="Arial" w:hAnsi="Arial" w:cs="Arial" w:hint="eastAsia"/>
          <w:b/>
          <w:bCs/>
          <w:color w:val="000000" w:themeColor="text1"/>
        </w:rPr>
        <w:t xml:space="preserve"> </w:t>
      </w:r>
      <w:r w:rsidR="00326DDC" w:rsidRPr="00B714C0">
        <w:rPr>
          <w:rFonts w:ascii="Arial" w:hAnsi="Arial" w:cs="Arial"/>
          <w:color w:val="000000" w:themeColor="text1"/>
        </w:rPr>
        <w:t>(</w:t>
      </w:r>
      <w:r w:rsidR="00326DDC">
        <w:rPr>
          <w:rFonts w:ascii="Arial" w:hAnsi="Arial" w:cs="Arial"/>
          <w:b/>
          <w:bCs/>
          <w:color w:val="000000" w:themeColor="text1"/>
        </w:rPr>
        <w:t>a</w:t>
      </w:r>
      <w:r w:rsidR="00326DDC" w:rsidRPr="00B714C0">
        <w:rPr>
          <w:rFonts w:ascii="Arial" w:hAnsi="Arial" w:cs="Arial"/>
          <w:color w:val="000000" w:themeColor="text1"/>
        </w:rPr>
        <w:t>)</w:t>
      </w:r>
      <w:r w:rsidR="004B762C">
        <w:rPr>
          <w:rFonts w:ascii="Arial" w:hAnsi="Arial" w:cs="Arial"/>
          <w:b/>
          <w:bCs/>
          <w:color w:val="000000" w:themeColor="text1"/>
        </w:rPr>
        <w:t xml:space="preserve"> </w:t>
      </w:r>
      <w:r w:rsidR="004B762C" w:rsidRPr="000B546B">
        <w:rPr>
          <w:rFonts w:ascii="Arial" w:hAnsi="Arial" w:cs="Arial" w:hint="eastAsia"/>
          <w:sz w:val="22"/>
          <w:szCs w:val="22"/>
          <w:vertAlign w:val="superscript"/>
        </w:rPr>
        <w:t>1</w:t>
      </w:r>
      <w:r w:rsidR="004B762C" w:rsidRPr="000B546B">
        <w:rPr>
          <w:rFonts w:ascii="Arial" w:hAnsi="Arial" w:cs="Arial" w:hint="eastAsia"/>
          <w:sz w:val="22"/>
          <w:szCs w:val="22"/>
        </w:rPr>
        <w:t>H-NMR result (</w:t>
      </w:r>
      <w:r w:rsidR="004B762C" w:rsidRPr="000B546B">
        <w:rPr>
          <w:rFonts w:ascii="Arial" w:hAnsi="Arial" w:cs="Arial"/>
          <w:sz w:val="22"/>
          <w:szCs w:val="22"/>
        </w:rPr>
        <w:t xml:space="preserve">in </w:t>
      </w:r>
      <w:r w:rsidR="00521730" w:rsidRPr="00521730">
        <w:rPr>
          <w:rFonts w:ascii="Arial" w:hAnsi="Arial" w:cs="Arial"/>
          <w:sz w:val="22"/>
          <w:szCs w:val="22"/>
        </w:rPr>
        <w:t>DMSO-d6</w:t>
      </w:r>
      <w:r w:rsidR="004B762C" w:rsidRPr="000B546B">
        <w:rPr>
          <w:rFonts w:ascii="Arial" w:hAnsi="Arial" w:cs="Arial" w:hint="eastAsia"/>
          <w:sz w:val="22"/>
          <w:szCs w:val="22"/>
        </w:rPr>
        <w:t xml:space="preserve">) of </w:t>
      </w:r>
      <w:r w:rsidR="00521730" w:rsidRPr="00325CDC">
        <w:rPr>
          <w:rFonts w:ascii="Arial" w:hAnsi="Arial" w:cs="Arial"/>
          <w:color w:val="000000" w:themeColor="text1"/>
        </w:rPr>
        <w:t>PAraC</w:t>
      </w:r>
      <w:r w:rsidR="00521730">
        <w:rPr>
          <w:rFonts w:ascii="Arial" w:hAnsi="Arial" w:cs="Arial" w:hint="eastAsia"/>
          <w:sz w:val="22"/>
          <w:szCs w:val="22"/>
        </w:rPr>
        <w:t>.</w:t>
      </w:r>
    </w:p>
    <w:p w14:paraId="73F71FF2" w14:textId="01E5FC84" w:rsidR="00D84C7C" w:rsidRDefault="00D84C7C" w:rsidP="00D84C7C">
      <w:pPr>
        <w:rPr>
          <w:rFonts w:ascii="Arial" w:hAnsi="Arial" w:cs="Arial"/>
          <w:b/>
          <w:bCs/>
          <w:color w:val="000000" w:themeColor="text1"/>
        </w:rPr>
      </w:pPr>
    </w:p>
    <w:p w14:paraId="0AA32B02" w14:textId="77777777" w:rsidR="00D84C7C" w:rsidRDefault="00D84C7C" w:rsidP="00D84C7C">
      <w:pPr>
        <w:rPr>
          <w:rFonts w:ascii="Arial" w:hAnsi="Arial" w:cs="Arial"/>
          <w:b/>
          <w:bCs/>
          <w:color w:val="000000" w:themeColor="text1"/>
        </w:rPr>
      </w:pPr>
    </w:p>
    <w:p w14:paraId="423664BC" w14:textId="77777777" w:rsidR="00D84C7C" w:rsidRDefault="00D84C7C" w:rsidP="00D84C7C">
      <w:pPr>
        <w:rPr>
          <w:rFonts w:ascii="Arial" w:hAnsi="Arial" w:cs="Arial"/>
          <w:b/>
          <w:bCs/>
          <w:color w:val="000000" w:themeColor="text1"/>
        </w:rPr>
      </w:pPr>
    </w:p>
    <w:p w14:paraId="52096F81" w14:textId="77777777" w:rsidR="00D84C7C" w:rsidRDefault="00D84C7C" w:rsidP="00D84C7C">
      <w:pPr>
        <w:rPr>
          <w:rFonts w:ascii="Arial" w:hAnsi="Arial" w:cs="Arial"/>
          <w:b/>
          <w:bCs/>
          <w:color w:val="000000" w:themeColor="text1"/>
        </w:rPr>
      </w:pPr>
    </w:p>
    <w:p w14:paraId="6FC813E3" w14:textId="77777777" w:rsidR="00D84C7C" w:rsidRDefault="00D84C7C" w:rsidP="00D84C7C">
      <w:pPr>
        <w:rPr>
          <w:rFonts w:ascii="Arial" w:hAnsi="Arial" w:cs="Arial"/>
          <w:b/>
          <w:bCs/>
          <w:color w:val="000000" w:themeColor="text1"/>
        </w:rPr>
      </w:pPr>
    </w:p>
    <w:p w14:paraId="61377560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115C5616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45AC42F1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5CC07B12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75166044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73B80DDC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396B9B84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79CBEDEF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398D46D4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2990CBBB" w14:textId="007EAECE" w:rsidR="00907C60" w:rsidRDefault="00907C60" w:rsidP="00945689">
      <w:pPr>
        <w:spacing w:line="360" w:lineRule="auto"/>
        <w:jc w:val="center"/>
        <w:rPr>
          <w:rFonts w:ascii="Times New Roman" w:hAnsi="Times New Roman" w:cs="Times New Roman"/>
        </w:rPr>
      </w:pPr>
    </w:p>
    <w:p w14:paraId="7BE1A8A7" w14:textId="6ABFC06C" w:rsidR="000F4365" w:rsidRDefault="00B021EB" w:rsidP="00907C6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5945CE51" wp14:editId="4A21005D">
            <wp:extent cx="5943600" cy="2017395"/>
            <wp:effectExtent l="0" t="0" r="0" b="1905"/>
            <wp:docPr id="791310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10928" name="Picture 7913109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91B4" w14:textId="315097F0" w:rsidR="00907C60" w:rsidRPr="00907C60" w:rsidRDefault="00907C60" w:rsidP="00907C60">
      <w:pPr>
        <w:spacing w:line="360" w:lineRule="auto"/>
        <w:jc w:val="both"/>
        <w:rPr>
          <w:rFonts w:ascii="Times New Roman" w:hAnsi="Times New Roman" w:cs="Times New Roman"/>
        </w:rPr>
      </w:pPr>
      <w:r w:rsidRPr="00D84C7C">
        <w:rPr>
          <w:rFonts w:ascii="Arial" w:hAnsi="Arial" w:cs="Arial"/>
          <w:b/>
          <w:bCs/>
          <w:color w:val="000000" w:themeColor="text1"/>
        </w:rPr>
        <w:t>Supplementary Fig.</w:t>
      </w:r>
      <w:r w:rsidR="0065039D">
        <w:rPr>
          <w:rFonts w:ascii="Arial" w:hAnsi="Arial" w:cs="Arial"/>
          <w:b/>
          <w:bCs/>
          <w:color w:val="000000" w:themeColor="text1"/>
        </w:rPr>
        <w:t>2</w:t>
      </w:r>
      <w:r>
        <w:rPr>
          <w:rFonts w:ascii="Arial" w:hAnsi="Arial" w:cs="Arial"/>
          <w:b/>
          <w:bCs/>
          <w:color w:val="000000" w:themeColor="text1"/>
        </w:rPr>
        <w:t xml:space="preserve"> Accumulation of </w:t>
      </w:r>
      <w:r>
        <w:rPr>
          <w:rFonts w:ascii="Arial" w:hAnsi="Arial" w:cs="Arial"/>
          <w:b/>
          <w:bCs/>
        </w:rPr>
        <w:t xml:space="preserve">PAraC </w:t>
      </w:r>
      <w:r w:rsidR="0065039D" w:rsidRPr="00175BE6">
        <w:rPr>
          <w:rFonts w:ascii="Arial" w:hAnsi="Arial" w:cs="Arial"/>
          <w:b/>
          <w:bCs/>
          <w:color w:val="000000" w:themeColor="text1"/>
        </w:rPr>
        <w:t>NPs</w:t>
      </w:r>
      <w:r>
        <w:rPr>
          <w:rFonts w:ascii="Arial" w:hAnsi="Arial" w:cs="Arial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</w:rPr>
        <w:t>(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) </w:t>
      </w:r>
      <w:r w:rsidRPr="00F22E2F">
        <w:rPr>
          <w:rFonts w:ascii="Arial" w:hAnsi="Arial" w:cs="Arial"/>
        </w:rPr>
        <w:t>Free DiR and DiR-loaded PAraC nanoparticles were i.v. injected into mice. Mouse serum was taken from the mice at different time points, and the fluorescence intensity of the serum was measured.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b/>
          <w:bCs/>
        </w:rPr>
        <w:t>b-c</w:t>
      </w:r>
      <w:r>
        <w:rPr>
          <w:rFonts w:ascii="Arial" w:hAnsi="Arial" w:cs="Arial"/>
        </w:rPr>
        <w:t>)</w:t>
      </w:r>
      <w:r>
        <w:rPr>
          <w:rFonts w:ascii="Arial" w:hAnsi="Arial" w:cs="Arial" w:hint="eastAsia"/>
        </w:rPr>
        <w:t xml:space="preserve"> </w:t>
      </w:r>
      <w:r w:rsidRPr="00F22E2F">
        <w:rPr>
          <w:rFonts w:ascii="Arial" w:hAnsi="Arial" w:cs="Arial"/>
        </w:rPr>
        <w:t>Free DiR, DiR-loaded PAraC, or PVD nanoparticles were i.v. injected into mice</w:t>
      </w:r>
      <w:r w:rsidR="0049066B">
        <w:rPr>
          <w:rFonts w:ascii="Arial" w:hAnsi="Arial" w:cs="Arial" w:hint="eastAsia"/>
        </w:rPr>
        <w:t xml:space="preserve"> </w:t>
      </w:r>
      <w:r w:rsidR="0049066B" w:rsidRPr="00B237E4">
        <w:rPr>
          <w:rFonts w:ascii="Arial" w:hAnsi="Arial" w:cs="Arial" w:hint="eastAsia"/>
        </w:rPr>
        <w:t>(N=3)</w:t>
      </w:r>
      <w:r w:rsidRPr="00B237E4">
        <w:rPr>
          <w:rFonts w:ascii="Arial" w:hAnsi="Arial" w:cs="Arial"/>
        </w:rPr>
        <w:t>.</w:t>
      </w:r>
      <w:r w:rsidRPr="00F22E2F">
        <w:rPr>
          <w:rFonts w:ascii="Arial" w:hAnsi="Arial" w:cs="Arial"/>
        </w:rPr>
        <w:t xml:space="preserve"> Twenty-four hours after injection, hind limb bones were taken out for fluorescence imaging and mean fluorescence intensity was quantified</w:t>
      </w:r>
      <w:r w:rsidR="00D062AA">
        <w:rPr>
          <w:rFonts w:ascii="Arial" w:hAnsi="Arial" w:cs="Arial" w:hint="eastAsia"/>
        </w:rPr>
        <w:t xml:space="preserve"> </w:t>
      </w:r>
      <w:r w:rsidR="00D062AA" w:rsidRPr="00B237E4">
        <w:rPr>
          <w:rFonts w:ascii="Arial" w:hAnsi="Arial" w:cs="Arial" w:hint="eastAsia"/>
        </w:rPr>
        <w:t>(E</w:t>
      </w:r>
      <w:r w:rsidR="00D062AA" w:rsidRPr="00B237E4">
        <w:rPr>
          <w:rFonts w:ascii="Arial" w:hAnsi="Arial" w:cs="Arial"/>
        </w:rPr>
        <w:t>ach dot represents one bone</w:t>
      </w:r>
      <w:r w:rsidR="00D062AA" w:rsidRPr="00B237E4">
        <w:rPr>
          <w:rFonts w:ascii="Arial" w:hAnsi="Arial" w:cs="Arial" w:hint="eastAsia"/>
        </w:rPr>
        <w:t>)</w:t>
      </w:r>
      <w:r w:rsidRPr="00B237E4">
        <w:rPr>
          <w:rFonts w:ascii="Arial" w:hAnsi="Arial" w:cs="Arial"/>
        </w:rPr>
        <w:t>.</w:t>
      </w:r>
    </w:p>
    <w:p w14:paraId="517C5334" w14:textId="77777777" w:rsidR="00907C60" w:rsidRDefault="00907C60" w:rsidP="00D84C7C">
      <w:pPr>
        <w:rPr>
          <w:rFonts w:ascii="Arial" w:hAnsi="Arial" w:cs="Arial"/>
          <w:b/>
          <w:bCs/>
          <w:color w:val="000000" w:themeColor="text1"/>
        </w:rPr>
      </w:pPr>
    </w:p>
    <w:p w14:paraId="188443D3" w14:textId="77777777" w:rsidR="00D84C7C" w:rsidRDefault="00D84C7C" w:rsidP="00D84C7C">
      <w:pPr>
        <w:rPr>
          <w:rFonts w:ascii="Arial" w:hAnsi="Arial" w:cs="Arial"/>
          <w:b/>
          <w:bCs/>
          <w:color w:val="000000" w:themeColor="text1"/>
        </w:rPr>
      </w:pPr>
    </w:p>
    <w:p w14:paraId="737E67F0" w14:textId="77777777" w:rsidR="00D84C7C" w:rsidRDefault="00D84C7C" w:rsidP="00D84C7C">
      <w:pPr>
        <w:rPr>
          <w:rFonts w:ascii="Arial" w:hAnsi="Arial" w:cs="Arial"/>
          <w:b/>
          <w:bCs/>
          <w:color w:val="000000" w:themeColor="text1"/>
        </w:rPr>
      </w:pPr>
    </w:p>
    <w:p w14:paraId="18C2948C" w14:textId="77777777" w:rsidR="00D84C7C" w:rsidRDefault="00D84C7C" w:rsidP="00D84C7C">
      <w:pPr>
        <w:rPr>
          <w:rFonts w:ascii="Arial" w:hAnsi="Arial" w:cs="Arial"/>
          <w:b/>
          <w:bCs/>
          <w:color w:val="000000" w:themeColor="text1"/>
        </w:rPr>
      </w:pPr>
    </w:p>
    <w:p w14:paraId="7C8CE3E2" w14:textId="0C815B0C" w:rsidR="00D84C7C" w:rsidRDefault="00D84C7C" w:rsidP="00D84C7C">
      <w:pPr>
        <w:rPr>
          <w:rFonts w:ascii="Arial" w:hAnsi="Arial" w:cs="Arial"/>
          <w:b/>
          <w:bCs/>
          <w:color w:val="000000" w:themeColor="text1"/>
        </w:rPr>
      </w:pPr>
    </w:p>
    <w:p w14:paraId="75A22E3E" w14:textId="3091FB5A" w:rsidR="00D84C7C" w:rsidRPr="003E3160" w:rsidRDefault="00B021EB" w:rsidP="00945689">
      <w:pPr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6B64829C" wp14:editId="6CF9E708">
            <wp:extent cx="5943600" cy="5900420"/>
            <wp:effectExtent l="0" t="0" r="0" b="5080"/>
            <wp:docPr id="200189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9073" name="Picture 2001890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E318" w14:textId="45120044" w:rsidR="00D84C7C" w:rsidRDefault="00D84C7C" w:rsidP="00326C08">
      <w:pPr>
        <w:jc w:val="both"/>
        <w:rPr>
          <w:rFonts w:ascii="Arial" w:hAnsi="Arial" w:cs="Arial"/>
          <w:color w:val="000000" w:themeColor="text1"/>
        </w:rPr>
      </w:pPr>
      <w:bookmarkStart w:id="0" w:name="OLE_LINK13"/>
      <w:bookmarkStart w:id="1" w:name="OLE_LINK14"/>
      <w:r w:rsidRPr="00D84C7C">
        <w:rPr>
          <w:rFonts w:ascii="Arial" w:hAnsi="Arial" w:cs="Arial"/>
          <w:b/>
          <w:bCs/>
          <w:color w:val="000000" w:themeColor="text1"/>
        </w:rPr>
        <w:t xml:space="preserve">Supplementary Fig. </w:t>
      </w:r>
      <w:r w:rsidR="0065039D">
        <w:rPr>
          <w:rFonts w:ascii="Arial" w:hAnsi="Arial" w:cs="Arial"/>
          <w:b/>
          <w:bCs/>
          <w:color w:val="000000" w:themeColor="text1"/>
        </w:rPr>
        <w:t>3</w:t>
      </w:r>
      <w:r w:rsidR="00326C08">
        <w:rPr>
          <w:rFonts w:ascii="Arial" w:hAnsi="Arial" w:cs="Arial"/>
          <w:b/>
          <w:bCs/>
          <w:color w:val="000000" w:themeColor="text1"/>
        </w:rPr>
        <w:t xml:space="preserve"> </w:t>
      </w:r>
      <w:r w:rsidR="00326C08" w:rsidRPr="00326C08">
        <w:rPr>
          <w:rFonts w:ascii="Arial" w:hAnsi="Arial" w:cs="Arial"/>
          <w:b/>
          <w:bCs/>
          <w:color w:val="000000" w:themeColor="text1"/>
        </w:rPr>
        <w:t>In vivo antitumor effect of PAraC NPs in the C1498 model</w:t>
      </w:r>
      <w:r w:rsidR="00B714C0">
        <w:rPr>
          <w:rFonts w:ascii="Arial" w:hAnsi="Arial" w:cs="Arial"/>
          <w:b/>
          <w:bCs/>
          <w:color w:val="000000" w:themeColor="text1"/>
        </w:rPr>
        <w:t xml:space="preserve"> </w:t>
      </w:r>
      <w:r w:rsidR="00B714C0" w:rsidRPr="00B714C0">
        <w:rPr>
          <w:rFonts w:ascii="Arial" w:hAnsi="Arial" w:cs="Arial"/>
          <w:color w:val="000000" w:themeColor="text1"/>
        </w:rPr>
        <w:t>(</w:t>
      </w:r>
      <w:r w:rsidR="00B714C0">
        <w:rPr>
          <w:rFonts w:ascii="Arial" w:hAnsi="Arial" w:cs="Arial"/>
          <w:b/>
          <w:bCs/>
          <w:color w:val="000000" w:themeColor="text1"/>
        </w:rPr>
        <w:t>a</w:t>
      </w:r>
      <w:r w:rsidR="00B714C0" w:rsidRPr="00B714C0">
        <w:rPr>
          <w:rFonts w:ascii="Arial" w:hAnsi="Arial" w:cs="Arial"/>
          <w:color w:val="000000" w:themeColor="text1"/>
        </w:rPr>
        <w:t>)</w:t>
      </w:r>
      <w:r w:rsidR="00B714C0">
        <w:rPr>
          <w:rFonts w:ascii="Arial" w:hAnsi="Arial" w:cs="Arial"/>
          <w:color w:val="000000" w:themeColor="text1"/>
        </w:rPr>
        <w:t xml:space="preserve"> </w:t>
      </w:r>
      <w:r w:rsidR="00326C08" w:rsidRPr="00326C08">
        <w:rPr>
          <w:rFonts w:ascii="Arial" w:hAnsi="Arial" w:cs="Arial"/>
          <w:color w:val="000000" w:themeColor="text1"/>
        </w:rPr>
        <w:t>Workflow of C1498 murine AML model establishment and treatment.</w:t>
      </w:r>
      <w:r w:rsidR="00B714C0">
        <w:rPr>
          <w:rFonts w:ascii="Arial" w:hAnsi="Arial" w:cs="Arial"/>
          <w:color w:val="000000" w:themeColor="text1"/>
        </w:rPr>
        <w:t xml:space="preserve"> </w:t>
      </w:r>
      <w:bookmarkStart w:id="2" w:name="OLE_LINK21"/>
      <w:bookmarkStart w:id="3" w:name="OLE_LINK22"/>
      <w:r w:rsidR="00B95949" w:rsidRPr="00B95949">
        <w:rPr>
          <w:rFonts w:ascii="Arial" w:hAnsi="Arial" w:cs="Arial"/>
          <w:color w:val="000000" w:themeColor="text1"/>
        </w:rPr>
        <w:t xml:space="preserve">Created in BioRender. </w:t>
      </w:r>
      <w:r w:rsidR="00B714C0">
        <w:rPr>
          <w:rFonts w:ascii="Arial" w:hAnsi="Arial" w:cs="Arial"/>
          <w:color w:val="000000" w:themeColor="text1"/>
        </w:rPr>
        <w:t>(</w:t>
      </w:r>
      <w:r w:rsidR="00B714C0" w:rsidRPr="00B714C0">
        <w:rPr>
          <w:rFonts w:ascii="Arial" w:hAnsi="Arial" w:cs="Arial"/>
          <w:b/>
          <w:bCs/>
          <w:color w:val="000000" w:themeColor="text1"/>
        </w:rPr>
        <w:t>b</w:t>
      </w:r>
      <w:r w:rsidR="00B714C0">
        <w:rPr>
          <w:rFonts w:ascii="Arial" w:hAnsi="Arial" w:cs="Arial"/>
          <w:color w:val="000000" w:themeColor="text1"/>
        </w:rPr>
        <w:t xml:space="preserve">) </w:t>
      </w:r>
      <w:bookmarkEnd w:id="2"/>
      <w:bookmarkEnd w:id="3"/>
      <w:r w:rsidR="00326C08" w:rsidRPr="00326C08">
        <w:rPr>
          <w:rFonts w:ascii="Arial" w:hAnsi="Arial" w:cs="Arial"/>
          <w:color w:val="000000" w:themeColor="text1"/>
        </w:rPr>
        <w:t>Survival curve of AML mice in different treatment groups</w:t>
      </w:r>
      <w:r w:rsidR="00D67003">
        <w:rPr>
          <w:rFonts w:ascii="Arial" w:hAnsi="Arial" w:cs="Arial" w:hint="eastAsia"/>
          <w:color w:val="000000" w:themeColor="text1"/>
        </w:rPr>
        <w:t xml:space="preserve"> </w:t>
      </w:r>
      <w:r w:rsidR="00D67003" w:rsidRPr="00B237E4">
        <w:rPr>
          <w:rFonts w:ascii="Arial" w:hAnsi="Arial" w:cs="Arial" w:hint="eastAsia"/>
          <w:color w:val="000000" w:themeColor="text1"/>
        </w:rPr>
        <w:t>(N=8)</w:t>
      </w:r>
      <w:r w:rsidR="00326C08" w:rsidRPr="00B237E4">
        <w:rPr>
          <w:rFonts w:ascii="Arial" w:hAnsi="Arial" w:cs="Arial"/>
          <w:color w:val="000000" w:themeColor="text1"/>
        </w:rPr>
        <w:t>.</w:t>
      </w:r>
      <w:r w:rsidR="00326C08" w:rsidRPr="00326C08">
        <w:rPr>
          <w:rFonts w:ascii="Arial" w:hAnsi="Arial" w:cs="Arial"/>
          <w:color w:val="000000" w:themeColor="text1"/>
        </w:rPr>
        <w:t xml:space="preserve"> </w:t>
      </w:r>
      <w:r w:rsidR="00B714C0">
        <w:rPr>
          <w:rFonts w:ascii="Arial" w:hAnsi="Arial" w:cs="Arial"/>
          <w:color w:val="000000" w:themeColor="text1"/>
        </w:rPr>
        <w:t>(</w:t>
      </w:r>
      <w:r w:rsidR="00B714C0">
        <w:rPr>
          <w:rFonts w:ascii="Arial" w:hAnsi="Arial" w:cs="Arial"/>
          <w:b/>
          <w:bCs/>
          <w:color w:val="000000" w:themeColor="text1"/>
        </w:rPr>
        <w:t>c</w:t>
      </w:r>
      <w:r w:rsidR="00B714C0">
        <w:rPr>
          <w:rFonts w:ascii="Arial" w:hAnsi="Arial" w:cs="Arial"/>
          <w:color w:val="000000" w:themeColor="text1"/>
        </w:rPr>
        <w:t xml:space="preserve">) </w:t>
      </w:r>
      <w:bookmarkEnd w:id="0"/>
      <w:bookmarkEnd w:id="1"/>
      <w:r w:rsidR="00326C08" w:rsidRPr="00326C08">
        <w:rPr>
          <w:rFonts w:ascii="Arial" w:hAnsi="Arial" w:cs="Arial"/>
          <w:color w:val="000000" w:themeColor="text1"/>
        </w:rPr>
        <w:t>Twenty-two days after AML inoculation, mice from different treatment groups were sacrificed, and bone marrow was isolated for flow study. Numbers of total and activated NK cells, CD4</w:t>
      </w:r>
      <w:r w:rsidR="00326C08" w:rsidRPr="00F41E20">
        <w:rPr>
          <w:rFonts w:ascii="Arial" w:hAnsi="Arial" w:cs="Arial"/>
          <w:color w:val="000000" w:themeColor="text1"/>
          <w:vertAlign w:val="superscript"/>
        </w:rPr>
        <w:t>+</w:t>
      </w:r>
      <w:r w:rsidR="00326C08" w:rsidRPr="00326C08">
        <w:rPr>
          <w:rFonts w:ascii="Arial" w:hAnsi="Arial" w:cs="Arial"/>
          <w:color w:val="000000" w:themeColor="text1"/>
        </w:rPr>
        <w:t xml:space="preserve"> T cells, and CD8</w:t>
      </w:r>
      <w:r w:rsidR="00326C08" w:rsidRPr="00F41E20">
        <w:rPr>
          <w:rFonts w:ascii="Arial" w:hAnsi="Arial" w:cs="Arial"/>
          <w:color w:val="000000" w:themeColor="text1"/>
          <w:vertAlign w:val="superscript"/>
        </w:rPr>
        <w:t>+</w:t>
      </w:r>
      <w:r w:rsidR="00326C08" w:rsidRPr="00326C08">
        <w:rPr>
          <w:rFonts w:ascii="Arial" w:hAnsi="Arial" w:cs="Arial"/>
          <w:color w:val="000000" w:themeColor="text1"/>
        </w:rPr>
        <w:t xml:space="preserve"> T cells were measured by flow cytometry</w:t>
      </w:r>
      <w:r w:rsidR="00D67003">
        <w:rPr>
          <w:rFonts w:ascii="Arial" w:hAnsi="Arial" w:cs="Arial" w:hint="eastAsia"/>
          <w:color w:val="000000" w:themeColor="text1"/>
        </w:rPr>
        <w:t xml:space="preserve"> </w:t>
      </w:r>
      <w:r w:rsidR="00D67003" w:rsidRPr="00B237E4">
        <w:rPr>
          <w:rFonts w:ascii="Arial" w:hAnsi="Arial" w:cs="Arial" w:hint="eastAsia"/>
          <w:color w:val="000000" w:themeColor="text1"/>
        </w:rPr>
        <w:t>(N=3)</w:t>
      </w:r>
      <w:r w:rsidR="00326C08" w:rsidRPr="00B237E4">
        <w:rPr>
          <w:rFonts w:ascii="Arial" w:hAnsi="Arial" w:cs="Arial"/>
          <w:color w:val="000000" w:themeColor="text1"/>
        </w:rPr>
        <w:t>.</w:t>
      </w:r>
    </w:p>
    <w:p w14:paraId="01A9AF2B" w14:textId="77777777" w:rsidR="003E3160" w:rsidRDefault="003E3160" w:rsidP="00326C08">
      <w:pPr>
        <w:jc w:val="both"/>
        <w:rPr>
          <w:rFonts w:ascii="Arial" w:hAnsi="Arial" w:cs="Arial"/>
          <w:color w:val="000000" w:themeColor="text1"/>
        </w:rPr>
      </w:pPr>
    </w:p>
    <w:p w14:paraId="6C9A5824" w14:textId="77777777" w:rsidR="003E3160" w:rsidRDefault="003E3160" w:rsidP="00326C08">
      <w:pPr>
        <w:jc w:val="both"/>
        <w:rPr>
          <w:rFonts w:ascii="Arial" w:hAnsi="Arial" w:cs="Arial"/>
          <w:color w:val="000000" w:themeColor="text1"/>
        </w:rPr>
      </w:pPr>
    </w:p>
    <w:p w14:paraId="0C52E040" w14:textId="77777777" w:rsidR="003E3160" w:rsidRDefault="003E3160" w:rsidP="00326C08">
      <w:pPr>
        <w:jc w:val="both"/>
        <w:rPr>
          <w:rFonts w:ascii="Arial" w:hAnsi="Arial" w:cs="Arial"/>
          <w:color w:val="000000" w:themeColor="text1"/>
        </w:rPr>
      </w:pPr>
    </w:p>
    <w:p w14:paraId="3F6FDF11" w14:textId="77777777" w:rsidR="003E3160" w:rsidRDefault="003E3160" w:rsidP="00326C08">
      <w:pPr>
        <w:jc w:val="both"/>
        <w:rPr>
          <w:rFonts w:ascii="Arial" w:hAnsi="Arial" w:cs="Arial"/>
          <w:color w:val="000000" w:themeColor="text1"/>
        </w:rPr>
      </w:pPr>
    </w:p>
    <w:p w14:paraId="5B07AAAF" w14:textId="77777777" w:rsidR="003E3160" w:rsidRDefault="003E3160" w:rsidP="00326C08">
      <w:pPr>
        <w:jc w:val="both"/>
        <w:rPr>
          <w:rFonts w:ascii="Arial" w:hAnsi="Arial" w:cs="Arial"/>
          <w:color w:val="000000" w:themeColor="text1"/>
        </w:rPr>
      </w:pPr>
    </w:p>
    <w:p w14:paraId="3537E629" w14:textId="59A94A5F" w:rsidR="000F4365" w:rsidRPr="000F4365" w:rsidRDefault="00B021EB" w:rsidP="000F4365">
      <w:pPr>
        <w:jc w:val="center"/>
      </w:pPr>
      <w:r>
        <w:rPr>
          <w:noProof/>
        </w:rPr>
        <w:drawing>
          <wp:inline distT="0" distB="0" distL="0" distR="0" wp14:anchorId="4E970C95" wp14:editId="2DD1493E">
            <wp:extent cx="4711700" cy="4165600"/>
            <wp:effectExtent l="0" t="0" r="0" b="0"/>
            <wp:docPr id="19568444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44476" name="Picture 19568444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619A" w14:textId="356C9C6B" w:rsidR="003E3160" w:rsidRDefault="003E3160" w:rsidP="003E3160">
      <w:pPr>
        <w:jc w:val="both"/>
        <w:rPr>
          <w:rFonts w:ascii="Arial" w:hAnsi="Arial" w:cs="Arial"/>
          <w:b/>
          <w:bCs/>
          <w:color w:val="000000" w:themeColor="text1"/>
        </w:rPr>
      </w:pPr>
      <w:r w:rsidRPr="00D84C7C">
        <w:rPr>
          <w:rFonts w:ascii="Arial" w:hAnsi="Arial" w:cs="Arial"/>
          <w:b/>
          <w:bCs/>
          <w:color w:val="000000" w:themeColor="text1"/>
        </w:rPr>
        <w:t xml:space="preserve">Supplementary Fig. </w:t>
      </w:r>
      <w:r w:rsidR="0065039D">
        <w:rPr>
          <w:rFonts w:ascii="Arial" w:hAnsi="Arial" w:cs="Arial"/>
          <w:b/>
          <w:bCs/>
          <w:color w:val="000000" w:themeColor="text1"/>
        </w:rPr>
        <w:t>4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bookmarkStart w:id="4" w:name="OLE_LINK25"/>
      <w:bookmarkStart w:id="5" w:name="OLE_LINK26"/>
      <w:r w:rsidRPr="00326C08">
        <w:rPr>
          <w:rFonts w:ascii="Arial" w:hAnsi="Arial" w:cs="Arial"/>
          <w:b/>
          <w:bCs/>
          <w:color w:val="000000" w:themeColor="text1"/>
        </w:rPr>
        <w:t>In vivo antitumor effect of PAraC NPs in murine ALL models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bookmarkEnd w:id="4"/>
      <w:bookmarkEnd w:id="5"/>
      <w:r w:rsidRPr="00B714C0">
        <w:rPr>
          <w:rFonts w:ascii="Arial" w:hAnsi="Arial" w:cs="Arial"/>
          <w:color w:val="000000" w:themeColor="text1"/>
        </w:rPr>
        <w:t>(</w:t>
      </w:r>
      <w:r>
        <w:rPr>
          <w:rFonts w:ascii="Arial" w:hAnsi="Arial" w:cs="Arial"/>
          <w:b/>
          <w:bCs/>
          <w:color w:val="000000" w:themeColor="text1"/>
        </w:rPr>
        <w:t>a</w:t>
      </w:r>
      <w:r w:rsidRPr="00B714C0">
        <w:rPr>
          <w:rFonts w:ascii="Arial" w:hAnsi="Arial" w:cs="Arial"/>
          <w:color w:val="000000" w:themeColor="text1"/>
        </w:rPr>
        <w:t>)</w:t>
      </w:r>
      <w:r>
        <w:rPr>
          <w:rFonts w:ascii="Arial" w:hAnsi="Arial" w:cs="Arial"/>
          <w:color w:val="000000" w:themeColor="text1"/>
        </w:rPr>
        <w:t xml:space="preserve"> </w:t>
      </w:r>
      <w:r w:rsidRPr="009E133D">
        <w:rPr>
          <w:rFonts w:ascii="Arial" w:hAnsi="Arial" w:cs="Arial"/>
          <w:color w:val="000000" w:themeColor="text1"/>
        </w:rPr>
        <w:t>The murine ALL model was established by luciferase (Luc)-expressing p185</w:t>
      </w:r>
      <w:r w:rsidRPr="00F41E20">
        <w:rPr>
          <w:rFonts w:ascii="Arial" w:hAnsi="Arial" w:cs="Arial"/>
          <w:color w:val="000000" w:themeColor="text1"/>
          <w:vertAlign w:val="superscript"/>
        </w:rPr>
        <w:t>+</w:t>
      </w:r>
      <w:r w:rsidRPr="009E133D">
        <w:rPr>
          <w:rFonts w:ascii="Arial" w:hAnsi="Arial" w:cs="Arial"/>
          <w:color w:val="000000" w:themeColor="text1"/>
        </w:rPr>
        <w:t xml:space="preserve"> Arf</w:t>
      </w:r>
      <w:r w:rsidRPr="00F41E20">
        <w:rPr>
          <w:rFonts w:ascii="Arial" w:hAnsi="Arial" w:cs="Arial"/>
          <w:color w:val="000000" w:themeColor="text1"/>
          <w:vertAlign w:val="superscript"/>
        </w:rPr>
        <w:t>−/−</w:t>
      </w:r>
      <w:r w:rsidRPr="009E133D">
        <w:rPr>
          <w:rFonts w:ascii="Arial" w:hAnsi="Arial" w:cs="Arial"/>
          <w:color w:val="000000" w:themeColor="text1"/>
        </w:rPr>
        <w:t xml:space="preserve"> pre-B cells intravenously inoculated into C57Bl/6 mice. Progress of the ALL in different treatment groups was monitored by bioluminescence imaging on different days after inoculation</w:t>
      </w:r>
      <w:r w:rsidR="00206A6F">
        <w:rPr>
          <w:rFonts w:ascii="Arial" w:hAnsi="Arial" w:cs="Arial" w:hint="eastAsia"/>
          <w:color w:val="000000" w:themeColor="text1"/>
        </w:rPr>
        <w:t xml:space="preserve"> </w:t>
      </w:r>
      <w:r w:rsidR="00206A6F" w:rsidRPr="00B237E4">
        <w:rPr>
          <w:rFonts w:ascii="Arial" w:hAnsi="Arial" w:cs="Arial" w:hint="eastAsia"/>
          <w:color w:val="000000" w:themeColor="text1"/>
        </w:rPr>
        <w:t>(N=3)</w:t>
      </w:r>
      <w:r w:rsidRPr="00B237E4">
        <w:rPr>
          <w:rFonts w:ascii="Arial" w:hAnsi="Arial" w:cs="Arial"/>
          <w:color w:val="000000" w:themeColor="text1"/>
        </w:rPr>
        <w:t>.</w:t>
      </w:r>
    </w:p>
    <w:p w14:paraId="3C5F386A" w14:textId="77777777" w:rsidR="003E3160" w:rsidRDefault="003E3160" w:rsidP="00326C08">
      <w:pPr>
        <w:jc w:val="both"/>
      </w:pPr>
    </w:p>
    <w:p w14:paraId="7A466F6D" w14:textId="77777777" w:rsidR="00D84C7C" w:rsidRDefault="00D84C7C"/>
    <w:p w14:paraId="1F13D048" w14:textId="77777777" w:rsidR="00D84C7C" w:rsidRDefault="00D84C7C"/>
    <w:p w14:paraId="2676903B" w14:textId="77777777" w:rsidR="00D84C7C" w:rsidRDefault="00D84C7C"/>
    <w:p w14:paraId="77B774E6" w14:textId="77777777" w:rsidR="00D84C7C" w:rsidRDefault="00D84C7C">
      <w:pPr>
        <w:rPr>
          <w:rFonts w:ascii="Arial" w:hAnsi="Arial" w:cs="Arial"/>
          <w:b/>
          <w:bCs/>
          <w:color w:val="000000" w:themeColor="text1"/>
        </w:rPr>
      </w:pPr>
    </w:p>
    <w:p w14:paraId="57E70C75" w14:textId="77777777" w:rsidR="00907C60" w:rsidRDefault="00907C60">
      <w:pPr>
        <w:rPr>
          <w:rFonts w:ascii="Arial" w:hAnsi="Arial" w:cs="Arial"/>
          <w:b/>
          <w:bCs/>
          <w:color w:val="000000" w:themeColor="text1"/>
        </w:rPr>
      </w:pPr>
    </w:p>
    <w:p w14:paraId="001CB18B" w14:textId="77777777" w:rsidR="00D84C7C" w:rsidRDefault="00D84C7C">
      <w:pPr>
        <w:rPr>
          <w:rFonts w:ascii="Arial" w:hAnsi="Arial" w:cs="Arial"/>
          <w:b/>
          <w:bCs/>
          <w:color w:val="000000" w:themeColor="text1"/>
        </w:rPr>
      </w:pPr>
    </w:p>
    <w:p w14:paraId="4B850CB8" w14:textId="56BB211B" w:rsidR="00D84C7C" w:rsidRDefault="00B021EB" w:rsidP="00525C4C">
      <w:pPr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63F1FCCC" wp14:editId="58D3AF9B">
            <wp:extent cx="3505200" cy="2984500"/>
            <wp:effectExtent l="0" t="0" r="0" b="0"/>
            <wp:docPr id="13273764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76482" name="Picture 13273764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0B91" w14:textId="3A4B3FF8" w:rsidR="00907C60" w:rsidRDefault="00907C60" w:rsidP="009B15A2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49AEB1D8" w14:textId="36DBA6A9" w:rsidR="00907C60" w:rsidRPr="00E25612" w:rsidRDefault="00907C60" w:rsidP="00907C60">
      <w:pPr>
        <w:spacing w:line="360" w:lineRule="auto"/>
        <w:jc w:val="both"/>
        <w:rPr>
          <w:rFonts w:ascii="Times New Roman" w:hAnsi="Times New Roman" w:cs="Times New Roman"/>
        </w:rPr>
      </w:pPr>
      <w:r w:rsidRPr="00D84C7C">
        <w:rPr>
          <w:rFonts w:ascii="Arial" w:hAnsi="Arial" w:cs="Arial"/>
          <w:b/>
          <w:bCs/>
          <w:color w:val="000000" w:themeColor="text1"/>
        </w:rPr>
        <w:t>Supplementary Fig.</w:t>
      </w:r>
      <w:r w:rsidR="0065039D">
        <w:rPr>
          <w:rFonts w:ascii="Arial" w:hAnsi="Arial" w:cs="Arial"/>
          <w:b/>
          <w:bCs/>
          <w:color w:val="000000" w:themeColor="text1"/>
        </w:rPr>
        <w:t xml:space="preserve"> </w:t>
      </w:r>
      <w:r w:rsidR="00087B56">
        <w:rPr>
          <w:rFonts w:ascii="Arial" w:hAnsi="Arial" w:cs="Arial"/>
          <w:b/>
          <w:bCs/>
          <w:color w:val="000000" w:themeColor="text1"/>
        </w:rPr>
        <w:t>5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907C60">
        <w:rPr>
          <w:rFonts w:ascii="Arial" w:hAnsi="Arial" w:cs="Arial"/>
          <w:b/>
          <w:bCs/>
          <w:color w:val="000000" w:themeColor="text1"/>
        </w:rPr>
        <w:t>Upregulation of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907C60">
        <w:rPr>
          <w:rFonts w:ascii="Arial" w:hAnsi="Arial" w:cs="Arial"/>
          <w:b/>
          <w:bCs/>
          <w:color w:val="000000" w:themeColor="text1"/>
        </w:rPr>
        <w:t>PD-1 in CD8 cells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907C60">
        <w:rPr>
          <w:rFonts w:ascii="Arial" w:hAnsi="Arial" w:cs="Arial"/>
          <w:b/>
          <w:bCs/>
          <w:color w:val="000000" w:themeColor="text1"/>
        </w:rPr>
        <w:t>following</w:t>
      </w:r>
      <w:r>
        <w:rPr>
          <w:rFonts w:ascii="Arial" w:hAnsi="Arial" w:cs="Arial"/>
          <w:b/>
          <w:bCs/>
          <w:color w:val="000000" w:themeColor="text1"/>
        </w:rPr>
        <w:t xml:space="preserve"> different</w:t>
      </w:r>
      <w:r w:rsidRPr="00907C60">
        <w:rPr>
          <w:rFonts w:ascii="Arial" w:hAnsi="Arial" w:cs="Arial"/>
          <w:b/>
          <w:bCs/>
          <w:color w:val="000000" w:themeColor="text1"/>
        </w:rPr>
        <w:t xml:space="preserve"> treatment</w:t>
      </w:r>
      <w:r>
        <w:rPr>
          <w:rFonts w:ascii="Arial" w:hAnsi="Arial" w:cs="Arial"/>
          <w:b/>
          <w:bCs/>
          <w:color w:val="000000" w:themeColor="text1"/>
        </w:rPr>
        <w:t xml:space="preserve">s. </w:t>
      </w:r>
      <w:r w:rsidRPr="00E25612">
        <w:rPr>
          <w:rFonts w:ascii="Arial" w:hAnsi="Arial" w:cs="Arial"/>
        </w:rPr>
        <w:t>(</w:t>
      </w:r>
      <w:r>
        <w:rPr>
          <w:rFonts w:ascii="Arial" w:hAnsi="Arial" w:cs="Arial"/>
          <w:b/>
          <w:bCs/>
        </w:rPr>
        <w:t>a</w:t>
      </w:r>
      <w:r w:rsidRPr="00E25612">
        <w:rPr>
          <w:rFonts w:ascii="Arial" w:hAnsi="Arial" w:cs="Arial"/>
        </w:rPr>
        <w:t>) Percentage of PD-1</w:t>
      </w:r>
      <w:r w:rsidRPr="00F41E20">
        <w:rPr>
          <w:rFonts w:ascii="Arial" w:hAnsi="Arial" w:cs="Arial"/>
          <w:vertAlign w:val="superscript"/>
        </w:rPr>
        <w:t>+</w:t>
      </w:r>
      <w:r w:rsidRPr="00E25612">
        <w:rPr>
          <w:rFonts w:ascii="Arial" w:hAnsi="Arial" w:cs="Arial"/>
        </w:rPr>
        <w:t xml:space="preserve"> cells within CD8</w:t>
      </w:r>
      <w:r w:rsidRPr="00F41E20">
        <w:rPr>
          <w:rFonts w:ascii="Arial" w:hAnsi="Arial" w:cs="Arial"/>
          <w:vertAlign w:val="superscript"/>
        </w:rPr>
        <w:t>+</w:t>
      </w:r>
      <w:r w:rsidRPr="00E25612">
        <w:rPr>
          <w:rFonts w:ascii="Arial" w:hAnsi="Arial" w:cs="Arial"/>
        </w:rPr>
        <w:t xml:space="preserve"> T cells after different treatments was measured by flow cytometry</w:t>
      </w:r>
      <w:r w:rsidR="00B362CA" w:rsidRPr="00B237E4">
        <w:rPr>
          <w:rFonts w:ascii="Arial" w:hAnsi="Arial" w:cs="Arial" w:hint="eastAsia"/>
          <w:color w:val="000000" w:themeColor="text1"/>
        </w:rPr>
        <w:t>(N=3)</w:t>
      </w:r>
      <w:r w:rsidRPr="00E25612">
        <w:rPr>
          <w:rFonts w:ascii="Arial" w:hAnsi="Arial" w:cs="Arial"/>
        </w:rPr>
        <w:t>.</w:t>
      </w:r>
    </w:p>
    <w:p w14:paraId="44117623" w14:textId="4DE97D97" w:rsidR="00907C60" w:rsidRPr="00907C60" w:rsidRDefault="00907C60" w:rsidP="00907C60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111A5093" w14:textId="7B4ACB0A" w:rsidR="00907C60" w:rsidRPr="004B762C" w:rsidRDefault="00907C60" w:rsidP="00907C60">
      <w:pPr>
        <w:jc w:val="both"/>
        <w:rPr>
          <w:rFonts w:ascii="Arial" w:hAnsi="Arial" w:cs="Arial"/>
          <w:b/>
          <w:bCs/>
          <w:color w:val="000000" w:themeColor="text1"/>
        </w:rPr>
      </w:pPr>
    </w:p>
    <w:sectPr w:rsidR="00907C60" w:rsidRPr="004B7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716"/>
    <w:rsid w:val="000069AA"/>
    <w:rsid w:val="00087B56"/>
    <w:rsid w:val="000C2ADB"/>
    <w:rsid w:val="000F4365"/>
    <w:rsid w:val="001616AB"/>
    <w:rsid w:val="00175470"/>
    <w:rsid w:val="001A1954"/>
    <w:rsid w:val="001E1084"/>
    <w:rsid w:val="00206A6F"/>
    <w:rsid w:val="00266716"/>
    <w:rsid w:val="00275AB8"/>
    <w:rsid w:val="00284C04"/>
    <w:rsid w:val="0029115B"/>
    <w:rsid w:val="002B0BA7"/>
    <w:rsid w:val="002D5908"/>
    <w:rsid w:val="00325318"/>
    <w:rsid w:val="00326C08"/>
    <w:rsid w:val="00326DDC"/>
    <w:rsid w:val="003E3160"/>
    <w:rsid w:val="004043B9"/>
    <w:rsid w:val="0040469D"/>
    <w:rsid w:val="00415F08"/>
    <w:rsid w:val="004276EA"/>
    <w:rsid w:val="00445EC5"/>
    <w:rsid w:val="004700D8"/>
    <w:rsid w:val="00480DD9"/>
    <w:rsid w:val="0049066B"/>
    <w:rsid w:val="004B762C"/>
    <w:rsid w:val="00501B32"/>
    <w:rsid w:val="0051669E"/>
    <w:rsid w:val="00516939"/>
    <w:rsid w:val="00521730"/>
    <w:rsid w:val="00525C4C"/>
    <w:rsid w:val="00596999"/>
    <w:rsid w:val="00611D3A"/>
    <w:rsid w:val="006169A6"/>
    <w:rsid w:val="0065039D"/>
    <w:rsid w:val="00694FAB"/>
    <w:rsid w:val="006F71AA"/>
    <w:rsid w:val="007309B1"/>
    <w:rsid w:val="008079A8"/>
    <w:rsid w:val="00833060"/>
    <w:rsid w:val="00885953"/>
    <w:rsid w:val="00907C60"/>
    <w:rsid w:val="009271AD"/>
    <w:rsid w:val="00945689"/>
    <w:rsid w:val="00982D92"/>
    <w:rsid w:val="009B15A2"/>
    <w:rsid w:val="009E133D"/>
    <w:rsid w:val="009F56D3"/>
    <w:rsid w:val="00A1227A"/>
    <w:rsid w:val="00A423E7"/>
    <w:rsid w:val="00AF238C"/>
    <w:rsid w:val="00B021EB"/>
    <w:rsid w:val="00B237E4"/>
    <w:rsid w:val="00B362CA"/>
    <w:rsid w:val="00B714C0"/>
    <w:rsid w:val="00B95949"/>
    <w:rsid w:val="00BA50AF"/>
    <w:rsid w:val="00C11C3F"/>
    <w:rsid w:val="00C12AFD"/>
    <w:rsid w:val="00C46D35"/>
    <w:rsid w:val="00C505E3"/>
    <w:rsid w:val="00C65BAA"/>
    <w:rsid w:val="00C7029A"/>
    <w:rsid w:val="00C86218"/>
    <w:rsid w:val="00C95D1F"/>
    <w:rsid w:val="00CB20AD"/>
    <w:rsid w:val="00CD14F8"/>
    <w:rsid w:val="00D01E49"/>
    <w:rsid w:val="00D062AA"/>
    <w:rsid w:val="00D67003"/>
    <w:rsid w:val="00D84C7C"/>
    <w:rsid w:val="00D9197A"/>
    <w:rsid w:val="00DC1980"/>
    <w:rsid w:val="00DD2E0C"/>
    <w:rsid w:val="00E2781B"/>
    <w:rsid w:val="00E573BC"/>
    <w:rsid w:val="00F026F9"/>
    <w:rsid w:val="00F41E20"/>
    <w:rsid w:val="00F4527A"/>
    <w:rsid w:val="00FB119F"/>
    <w:rsid w:val="00FE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D3676"/>
  <w15:chartTrackingRefBased/>
  <w15:docId w15:val="{86573605-F646-EF4E-83DE-DB432ADD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B9594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33060"/>
    <w:rPr>
      <w:color w:val="467886" w:themeColor="hyperlink"/>
      <w:u w:val="single"/>
    </w:rPr>
  </w:style>
  <w:style w:type="paragraph" w:styleId="a5">
    <w:name w:val="Normal (Web)"/>
    <w:basedOn w:val="a"/>
    <w:uiPriority w:val="99"/>
    <w:unhideWhenUsed/>
    <w:rsid w:val="000C2ADB"/>
    <w:pPr>
      <w:spacing w:before="100" w:beforeAutospacing="1" w:after="100" w:afterAutospacing="1" w:line="240" w:lineRule="auto"/>
    </w:pPr>
    <w:rPr>
      <w:rFonts w:ascii="宋体" w:eastAsia="宋体" w:hAnsi="宋体" w:cs="宋体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7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duw@upmc.edu" TargetMode="External"/><Relationship Id="rId10" Type="http://schemas.openxmlformats.org/officeDocument/2006/relationships/image" Target="media/image5.png"/><Relationship Id="rId4" Type="http://schemas.openxmlformats.org/officeDocument/2006/relationships/hyperlink" Target="mailto:sol4@pitt.ed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Yiqing Mu</dc:creator>
  <cp:keywords/>
  <dc:description/>
  <cp:lastModifiedBy>Mu, Yiqing</cp:lastModifiedBy>
  <cp:revision>2</cp:revision>
  <dcterms:created xsi:type="dcterms:W3CDTF">2026-05-23T22:20:00Z</dcterms:created>
  <dcterms:modified xsi:type="dcterms:W3CDTF">2026-05-23T22:20:00Z</dcterms:modified>
</cp:coreProperties>
</file>