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EDABA0" w14:textId="77777777" w:rsidR="00BF6458" w:rsidRPr="000972A9" w:rsidRDefault="00BF6458" w:rsidP="00BF6458">
      <w:pPr>
        <w:spacing w:line="480" w:lineRule="auto"/>
        <w:rPr>
          <w:rFonts w:asciiTheme="majorBidi" w:hAnsiTheme="majorBidi" w:cstheme="majorBidi"/>
          <w:color w:val="000000" w:themeColor="text1"/>
        </w:rPr>
      </w:pPr>
      <w:r w:rsidRPr="000972A9">
        <w:rPr>
          <w:rFonts w:asciiTheme="majorBidi" w:hAnsiTheme="majorBidi" w:cstheme="majorBidi"/>
          <w:b/>
          <w:bCs/>
          <w:color w:val="000000" w:themeColor="text1"/>
        </w:rPr>
        <w:t>Section 1.</w:t>
      </w:r>
      <w:r w:rsidRPr="000972A9">
        <w:rPr>
          <w:rFonts w:asciiTheme="majorBidi" w:hAnsiTheme="majorBidi" w:cstheme="majorBidi"/>
          <w:color w:val="000000" w:themeColor="text1"/>
        </w:rPr>
        <w:t xml:space="preserve"> Trial Registration Data Set.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3"/>
        <w:gridCol w:w="4527"/>
      </w:tblGrid>
      <w:tr w:rsidR="00BF6458" w:rsidRPr="000972A9" w14:paraId="173563A8" w14:textId="77777777" w:rsidTr="00621030">
        <w:tc>
          <w:tcPr>
            <w:tcW w:w="4618" w:type="dxa"/>
          </w:tcPr>
          <w:p w14:paraId="47DDF5D0" w14:textId="77777777" w:rsidR="00BF6458" w:rsidRPr="000972A9" w:rsidRDefault="00BF6458" w:rsidP="00621030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Data Category</w:t>
            </w:r>
          </w:p>
        </w:tc>
        <w:tc>
          <w:tcPr>
            <w:tcW w:w="4618" w:type="dxa"/>
          </w:tcPr>
          <w:p w14:paraId="292BFA7D" w14:textId="77777777" w:rsidR="00BF6458" w:rsidRPr="000972A9" w:rsidRDefault="00BF6458" w:rsidP="00621030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Information</w:t>
            </w:r>
          </w:p>
        </w:tc>
      </w:tr>
      <w:tr w:rsidR="00BF6458" w:rsidRPr="000972A9" w14:paraId="7E533630" w14:textId="77777777" w:rsidTr="00621030">
        <w:trPr>
          <w:trHeight w:val="448"/>
        </w:trPr>
        <w:tc>
          <w:tcPr>
            <w:tcW w:w="4618" w:type="dxa"/>
          </w:tcPr>
          <w:p w14:paraId="763CDA20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Primary registry and trial identifying number </w:t>
            </w:r>
          </w:p>
        </w:tc>
        <w:tc>
          <w:tcPr>
            <w:tcW w:w="4618" w:type="dxa"/>
          </w:tcPr>
          <w:p w14:paraId="17890360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ClinicalTrials.gov (NCT03935776)</w:t>
            </w:r>
          </w:p>
        </w:tc>
      </w:tr>
      <w:tr w:rsidR="00BF6458" w:rsidRPr="000972A9" w14:paraId="67966648" w14:textId="77777777" w:rsidTr="00621030">
        <w:tc>
          <w:tcPr>
            <w:tcW w:w="4618" w:type="dxa"/>
          </w:tcPr>
          <w:p w14:paraId="5952D81B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Date of registration in primary registry </w:t>
            </w:r>
          </w:p>
        </w:tc>
        <w:tc>
          <w:tcPr>
            <w:tcW w:w="4618" w:type="dxa"/>
          </w:tcPr>
          <w:p w14:paraId="5A3969A3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02 May 2019</w:t>
            </w:r>
          </w:p>
        </w:tc>
      </w:tr>
      <w:tr w:rsidR="00BF6458" w:rsidRPr="000972A9" w14:paraId="11FB60CB" w14:textId="77777777" w:rsidTr="00621030">
        <w:tc>
          <w:tcPr>
            <w:tcW w:w="4618" w:type="dxa"/>
          </w:tcPr>
          <w:p w14:paraId="0FDED0B8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Secondary identifying numbers </w:t>
            </w:r>
          </w:p>
        </w:tc>
        <w:tc>
          <w:tcPr>
            <w:tcW w:w="4618" w:type="dxa"/>
          </w:tcPr>
          <w:p w14:paraId="71F9E048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WVI-PAD</w:t>
            </w:r>
          </w:p>
          <w:p w14:paraId="1A1E2843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BF6458" w:rsidRPr="000972A9" w14:paraId="7934A9C0" w14:textId="77777777" w:rsidTr="00621030">
        <w:tc>
          <w:tcPr>
            <w:tcW w:w="4618" w:type="dxa"/>
          </w:tcPr>
          <w:p w14:paraId="73BD060A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Source(s) of monetary or material support </w:t>
            </w:r>
          </w:p>
        </w:tc>
        <w:tc>
          <w:tcPr>
            <w:tcW w:w="4618" w:type="dxa"/>
          </w:tcPr>
          <w:p w14:paraId="359D939C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Galway University Hospital</w:t>
            </w:r>
          </w:p>
        </w:tc>
      </w:tr>
      <w:tr w:rsidR="00BF6458" w:rsidRPr="000972A9" w14:paraId="0026318B" w14:textId="77777777" w:rsidTr="00621030">
        <w:tc>
          <w:tcPr>
            <w:tcW w:w="4618" w:type="dxa"/>
          </w:tcPr>
          <w:p w14:paraId="74612208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Primary sponsor </w:t>
            </w:r>
          </w:p>
        </w:tc>
        <w:tc>
          <w:tcPr>
            <w:tcW w:w="4618" w:type="dxa"/>
          </w:tcPr>
          <w:p w14:paraId="4D6393B4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Ministry of Higher </w:t>
            </w: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Education and Scientific Research, Libyan Embassy</w:t>
            </w:r>
          </w:p>
        </w:tc>
      </w:tr>
      <w:tr w:rsidR="00BF6458" w:rsidRPr="000972A9" w14:paraId="78772D9D" w14:textId="77777777" w:rsidTr="00621030">
        <w:tc>
          <w:tcPr>
            <w:tcW w:w="4618" w:type="dxa"/>
          </w:tcPr>
          <w:p w14:paraId="54474A1B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Secondary sponsor(s) </w:t>
            </w:r>
          </w:p>
        </w:tc>
        <w:tc>
          <w:tcPr>
            <w:tcW w:w="4618" w:type="dxa"/>
          </w:tcPr>
          <w:p w14:paraId="4DF2D8E2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NA</w:t>
            </w:r>
          </w:p>
        </w:tc>
      </w:tr>
      <w:tr w:rsidR="00BF6458" w:rsidRPr="000972A9" w14:paraId="375D9CE5" w14:textId="77777777" w:rsidTr="00621030">
        <w:tc>
          <w:tcPr>
            <w:tcW w:w="4618" w:type="dxa"/>
          </w:tcPr>
          <w:p w14:paraId="0F1DE63C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Contact for public queries </w:t>
            </w:r>
          </w:p>
        </w:tc>
        <w:tc>
          <w:tcPr>
            <w:tcW w:w="4618" w:type="dxa"/>
          </w:tcPr>
          <w:p w14:paraId="09164B91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ME, marahelfghi@gmail.com</w:t>
            </w:r>
          </w:p>
        </w:tc>
      </w:tr>
      <w:tr w:rsidR="00BF6458" w:rsidRPr="000972A9" w14:paraId="59BD195C" w14:textId="77777777" w:rsidTr="00621030">
        <w:tc>
          <w:tcPr>
            <w:tcW w:w="4618" w:type="dxa"/>
          </w:tcPr>
          <w:p w14:paraId="1D58BEE8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Contact for scientific queries </w:t>
            </w:r>
          </w:p>
        </w:tc>
        <w:tc>
          <w:tcPr>
            <w:tcW w:w="4618" w:type="dxa"/>
          </w:tcPr>
          <w:p w14:paraId="70A08938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ME, marahelfghi@gmail.com</w:t>
            </w:r>
          </w:p>
        </w:tc>
      </w:tr>
      <w:tr w:rsidR="00BF6458" w:rsidRPr="000972A9" w14:paraId="539B296D" w14:textId="77777777" w:rsidTr="00621030">
        <w:tc>
          <w:tcPr>
            <w:tcW w:w="4618" w:type="dxa"/>
          </w:tcPr>
          <w:p w14:paraId="4682CD8A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Public title </w:t>
            </w:r>
          </w:p>
        </w:tc>
        <w:tc>
          <w:tcPr>
            <w:tcW w:w="4618" w:type="dxa"/>
          </w:tcPr>
          <w:p w14:paraId="23140F49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Risk Factor Modification Programme for Peripheral Arterial Disease Patients</w:t>
            </w:r>
          </w:p>
        </w:tc>
      </w:tr>
      <w:tr w:rsidR="00BF6458" w:rsidRPr="000972A9" w14:paraId="6E21B9A8" w14:textId="77777777" w:rsidTr="00621030">
        <w:tc>
          <w:tcPr>
            <w:tcW w:w="4618" w:type="dxa"/>
          </w:tcPr>
          <w:p w14:paraId="02912680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Scientific title </w:t>
            </w:r>
          </w:p>
        </w:tc>
        <w:tc>
          <w:tcPr>
            <w:tcW w:w="4618" w:type="dxa"/>
          </w:tcPr>
          <w:p w14:paraId="157E9F32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The Effect of Lifestyle and Risk Factor Modification on Occlusive Peripheral Arterial Disease Outcomes: Standard Healthcare vs Structured Programme:  for a Randomised Controlled Trial Protocol</w:t>
            </w:r>
          </w:p>
          <w:p w14:paraId="35ADF877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BF6458" w:rsidRPr="000972A9" w14:paraId="7DD8FA86" w14:textId="77777777" w:rsidTr="00621030">
        <w:tc>
          <w:tcPr>
            <w:tcW w:w="4618" w:type="dxa"/>
          </w:tcPr>
          <w:p w14:paraId="1EDC465D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 xml:space="preserve">Countries of recruitment </w:t>
            </w:r>
          </w:p>
        </w:tc>
        <w:tc>
          <w:tcPr>
            <w:tcW w:w="4618" w:type="dxa"/>
          </w:tcPr>
          <w:p w14:paraId="038419A8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Republic of Ireland</w:t>
            </w:r>
          </w:p>
        </w:tc>
      </w:tr>
      <w:tr w:rsidR="00BF6458" w:rsidRPr="000972A9" w14:paraId="1A597499" w14:textId="77777777" w:rsidTr="00621030">
        <w:tc>
          <w:tcPr>
            <w:tcW w:w="4618" w:type="dxa"/>
          </w:tcPr>
          <w:p w14:paraId="080FE53D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Health condition(s) or problem(s) studied </w:t>
            </w:r>
          </w:p>
        </w:tc>
        <w:tc>
          <w:tcPr>
            <w:tcW w:w="4618" w:type="dxa"/>
          </w:tcPr>
          <w:p w14:paraId="64DA00B1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Occlusive Peripheral Arterial Disease</w:t>
            </w:r>
          </w:p>
        </w:tc>
      </w:tr>
      <w:tr w:rsidR="00BF6458" w:rsidRPr="000972A9" w14:paraId="2105B391" w14:textId="77777777" w:rsidTr="00621030">
        <w:tc>
          <w:tcPr>
            <w:tcW w:w="4618" w:type="dxa"/>
          </w:tcPr>
          <w:p w14:paraId="74DAD371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Intervention(s) </w:t>
            </w:r>
          </w:p>
        </w:tc>
        <w:tc>
          <w:tcPr>
            <w:tcW w:w="4618" w:type="dxa"/>
          </w:tcPr>
          <w:p w14:paraId="09EE894B" w14:textId="77777777" w:rsidR="00BF6458" w:rsidRPr="000972A9" w:rsidRDefault="00BF6458" w:rsidP="00621030">
            <w:pPr>
              <w:autoSpaceDE w:val="0"/>
              <w:autoSpaceDN w:val="0"/>
              <w:adjustRightInd w:val="0"/>
              <w:spacing w:before="12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-Risk Factor Modification Structured Programme</w:t>
            </w:r>
          </w:p>
          <w:p w14:paraId="1F15C3D0" w14:textId="77777777" w:rsidR="00BF6458" w:rsidRPr="000972A9" w:rsidRDefault="00BF6458" w:rsidP="00621030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Theme="majorBidi" w:hAnsiTheme="majorBidi" w:cstheme="majorBidi"/>
                <w:b/>
                <w:i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  Standard healthcare</w:t>
            </w:r>
          </w:p>
        </w:tc>
      </w:tr>
      <w:tr w:rsidR="00BF6458" w:rsidRPr="000972A9" w14:paraId="3DC02FAF" w14:textId="77777777" w:rsidTr="00621030">
        <w:tc>
          <w:tcPr>
            <w:tcW w:w="4618" w:type="dxa"/>
          </w:tcPr>
          <w:p w14:paraId="72C69392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Key inclusion and exclusion criteria </w:t>
            </w:r>
          </w:p>
        </w:tc>
        <w:tc>
          <w:tcPr>
            <w:tcW w:w="4618" w:type="dxa"/>
          </w:tcPr>
          <w:p w14:paraId="47183655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Inclusion criteria: Ages eligible for study: ≥18years; symptomatic PAD and at least one PAD risk factors.</w:t>
            </w:r>
          </w:p>
          <w:p w14:paraId="06E9431C" w14:textId="77777777" w:rsidR="00BF6458" w:rsidRPr="000972A9" w:rsidRDefault="00BF6458" w:rsidP="00621030">
            <w:pPr>
              <w:autoSpaceDE w:val="0"/>
              <w:autoSpaceDN w:val="0"/>
              <w:adjustRightInd w:val="0"/>
              <w:spacing w:before="12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Exclusion criteria: Asymptomatic PAD; involvement in another clinical trial in the previous six months; legal incapacity; inadequate English language; significant cognitive impairment or mental illness; refusal to participate in a certain part of the intervention; immobility  and contraindication to anticoagulation and antiplatelet medications or any of the risk factors treatment</w:t>
            </w:r>
          </w:p>
        </w:tc>
      </w:tr>
      <w:tr w:rsidR="00BF6458" w:rsidRPr="000972A9" w14:paraId="448FE7C4" w14:textId="77777777" w:rsidTr="00621030">
        <w:tc>
          <w:tcPr>
            <w:tcW w:w="4618" w:type="dxa"/>
          </w:tcPr>
          <w:p w14:paraId="10F2345A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Study type </w:t>
            </w:r>
          </w:p>
        </w:tc>
        <w:tc>
          <w:tcPr>
            <w:tcW w:w="4618" w:type="dxa"/>
          </w:tcPr>
          <w:p w14:paraId="36CF2A20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Treatment</w:t>
            </w:r>
          </w:p>
        </w:tc>
      </w:tr>
      <w:tr w:rsidR="00BF6458" w:rsidRPr="000972A9" w14:paraId="0217F9BD" w14:textId="77777777" w:rsidTr="00621030">
        <w:tc>
          <w:tcPr>
            <w:tcW w:w="4618" w:type="dxa"/>
          </w:tcPr>
          <w:p w14:paraId="5FBB1162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Date of first enrolment </w:t>
            </w:r>
          </w:p>
        </w:tc>
        <w:tc>
          <w:tcPr>
            <w:tcW w:w="4618" w:type="dxa"/>
          </w:tcPr>
          <w:p w14:paraId="2696CBDF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1 June 2018</w:t>
            </w:r>
          </w:p>
        </w:tc>
      </w:tr>
      <w:tr w:rsidR="00BF6458" w:rsidRPr="000972A9" w14:paraId="4B176A90" w14:textId="77777777" w:rsidTr="00621030">
        <w:tc>
          <w:tcPr>
            <w:tcW w:w="4618" w:type="dxa"/>
          </w:tcPr>
          <w:p w14:paraId="6CD48553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Target sample size </w:t>
            </w:r>
          </w:p>
        </w:tc>
        <w:tc>
          <w:tcPr>
            <w:tcW w:w="4618" w:type="dxa"/>
          </w:tcPr>
          <w:p w14:paraId="300BADCD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208 patients</w:t>
            </w:r>
          </w:p>
        </w:tc>
      </w:tr>
      <w:tr w:rsidR="00BF6458" w:rsidRPr="000972A9" w14:paraId="2B6DB223" w14:textId="77777777" w:rsidTr="00621030">
        <w:tc>
          <w:tcPr>
            <w:tcW w:w="4618" w:type="dxa"/>
          </w:tcPr>
          <w:p w14:paraId="5C5FEF07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 xml:space="preserve">Recruitment status </w:t>
            </w:r>
          </w:p>
        </w:tc>
        <w:tc>
          <w:tcPr>
            <w:tcW w:w="4618" w:type="dxa"/>
          </w:tcPr>
          <w:p w14:paraId="6761BBC7" w14:textId="77777777" w:rsidR="00BF6458" w:rsidRPr="000972A9" w:rsidRDefault="00BF6458" w:rsidP="00621030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Recruiting</w:t>
            </w:r>
          </w:p>
        </w:tc>
      </w:tr>
      <w:tr w:rsidR="00BF6458" w:rsidRPr="000972A9" w14:paraId="3A0E0184" w14:textId="77777777" w:rsidTr="00621030">
        <w:tc>
          <w:tcPr>
            <w:tcW w:w="4618" w:type="dxa"/>
          </w:tcPr>
          <w:p w14:paraId="2A57B152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Primary outcome(s) </w:t>
            </w:r>
          </w:p>
        </w:tc>
        <w:tc>
          <w:tcPr>
            <w:tcW w:w="4618" w:type="dxa"/>
          </w:tcPr>
          <w:p w14:paraId="013A7102" w14:textId="77777777" w:rsidR="00BF6458" w:rsidRPr="000972A9" w:rsidRDefault="00BF6458" w:rsidP="00621030">
            <w:pPr>
              <w:pStyle w:val="NormalWeb"/>
              <w:spacing w:before="0" w:beforeAutospacing="0" w:after="120" w:afterAutospacing="0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</w:rPr>
              <w:t xml:space="preserve">Achieving one or more target Improvement in lifestyle risk factors. Which includes: </w:t>
            </w: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Smoking cessation; BMI 20-25 (kg/m^2); HbA1c less than 7% and total Cholesterol less than 5.0 mmol/L</w:t>
            </w:r>
          </w:p>
        </w:tc>
      </w:tr>
      <w:tr w:rsidR="00BF6458" w:rsidRPr="000972A9" w14:paraId="43D70A33" w14:textId="77777777" w:rsidTr="00621030">
        <w:tc>
          <w:tcPr>
            <w:tcW w:w="4618" w:type="dxa"/>
          </w:tcPr>
          <w:p w14:paraId="465CE9BD" w14:textId="77777777" w:rsidR="00BF6458" w:rsidRPr="000972A9" w:rsidRDefault="00BF6458" w:rsidP="00621030">
            <w:pPr>
              <w:pStyle w:val="NormalWeb"/>
              <w:shd w:val="clear" w:color="auto" w:fill="EAEDED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Key secondary outcomes </w:t>
            </w:r>
          </w:p>
        </w:tc>
        <w:tc>
          <w:tcPr>
            <w:tcW w:w="4618" w:type="dxa"/>
          </w:tcPr>
          <w:p w14:paraId="757FD338" w14:textId="77777777" w:rsidR="00BF6458" w:rsidRPr="000972A9" w:rsidRDefault="00BF6458" w:rsidP="00621030">
            <w:pPr>
              <w:autoSpaceDE w:val="0"/>
              <w:autoSpaceDN w:val="0"/>
              <w:adjustRightInd w:val="0"/>
              <w:spacing w:before="12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972A9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</w:rPr>
              <w:t>PAD outcomes are based on the Society for Vascular Surgery (SVS) reporting standards</w:t>
            </w:r>
            <w:r w:rsidRPr="000972A9">
              <w:rPr>
                <w:rFonts w:asciiTheme="majorBidi" w:hAnsiTheme="majorBidi" w:cstheme="majorBidi"/>
                <w:bCs/>
                <w:color w:val="000000" w:themeColor="text1"/>
              </w:rPr>
              <w:fldChar w:fldCharType="begin"/>
            </w:r>
            <w:r w:rsidRPr="000972A9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</w:rPr>
              <w:instrText xml:space="preserve"> ADDIN EN.CITE &lt;EndNote&gt;&lt;Cite&gt;&lt;Author&gt;Stoner&lt;/Author&gt;&lt;Year&gt;2016&lt;/Year&gt;&lt;RecNum&gt;494&lt;/RecNum&gt;&lt;DisplayText&gt;&lt;style face="superscript"&gt;29&lt;/style&gt;&lt;/DisplayText&gt;&lt;record&gt;&lt;rec-number&gt;494&lt;/rec-number&gt;&lt;foreign-keys&gt;&lt;key app="EN" db-id="00te0vzw3ax0z5e2w9s59t9taxxp9asa50rx" timestamp="1514996923"&gt;494&lt;/key&gt;&lt;/foreign-keys&gt;&lt;ref-type name="Journal Article"&gt;17&lt;/ref-type&gt;&lt;contributors&gt;&lt;authors&gt;&lt;author&gt;Stoner, Michael C&lt;/author&gt;&lt;author&gt;Calligaro, Keith D&lt;/author&gt;&lt;author&gt;Chaer, Rabih A&lt;/author&gt;&lt;author&gt;Dietzek, Alan M&lt;/author&gt;&lt;author&gt;Farber, Alik&lt;/author&gt;&lt;author&gt;Guzman, Raul J&lt;/author&gt;&lt;author&gt;Hamdan, Allen D&lt;/author&gt;&lt;author&gt;Landry, Greg J&lt;/author&gt;&lt;author&gt;Yamaguchi, Dean J&lt;/author&gt;&lt;/authors&gt;&lt;/contributors&gt;&lt;titles&gt;&lt;title&gt;Reporting standards of the Society for Vascular Surgery for endovascular treatment of chronic lower extremity peripheral artery disease&lt;/title&gt;&lt;secondary-title&gt;Journal of vascular surgery&lt;/secondary-title&gt;&lt;/titles&gt;&lt;periodical&gt;&lt;full-title&gt;Journal of Vascular Surgery&lt;/full-title&gt;&lt;/periodical&gt;&lt;pages&gt;e1-e21&lt;/pages&gt;&lt;volume&gt;64&lt;/volume&gt;&lt;number&gt;1&lt;/number&gt;&lt;dates&gt;&lt;year&gt;2016&lt;/year&gt;&lt;/dates&gt;&lt;isbn&gt;0741-5214&lt;/isbn&gt;&lt;urls&gt;&lt;/urls&gt;&lt;/record&gt;&lt;/Cite&gt;&lt;/EndNote&gt;</w:instrText>
            </w:r>
            <w:r w:rsidRPr="000972A9">
              <w:rPr>
                <w:rFonts w:asciiTheme="majorBidi" w:hAnsiTheme="majorBidi" w:cstheme="majorBidi"/>
                <w:bCs/>
                <w:color w:val="000000" w:themeColor="text1"/>
              </w:rPr>
              <w:fldChar w:fldCharType="separate"/>
            </w:r>
            <w:r w:rsidRPr="000972A9">
              <w:rPr>
                <w:rFonts w:asciiTheme="majorBidi" w:hAnsiTheme="majorBidi" w:cstheme="majorBidi"/>
                <w:bCs/>
                <w:noProof/>
                <w:color w:val="000000" w:themeColor="text1"/>
                <w:sz w:val="24"/>
                <w:szCs w:val="24"/>
                <w:vertAlign w:val="superscript"/>
              </w:rPr>
              <w:t>20</w:t>
            </w:r>
            <w:r w:rsidRPr="000972A9">
              <w:rPr>
                <w:rFonts w:asciiTheme="majorBidi" w:hAnsiTheme="majorBidi" w:cstheme="majorBidi"/>
                <w:bCs/>
                <w:color w:val="000000" w:themeColor="text1"/>
              </w:rPr>
              <w:fldChar w:fldCharType="end"/>
            </w:r>
            <w:r w:rsidRPr="000972A9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</w:rPr>
              <w:t xml:space="preserve">: These include: </w:t>
            </w:r>
            <w:r w:rsidRPr="000972A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Amputation free survival; any intervention, above-ankle amputation, or stenosis; re-intervention or above knee amputation; freedom from MACE and MALE; revascularisation-free survival; health related quality of life.</w:t>
            </w:r>
          </w:p>
        </w:tc>
      </w:tr>
    </w:tbl>
    <w:p w14:paraId="2BAF0DF0" w14:textId="77777777" w:rsidR="00BF6458" w:rsidRPr="000972A9" w:rsidRDefault="00BF6458" w:rsidP="00BF6458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75B667A2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71B29B93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6C073BA1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6C87789C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242AF2E2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1EB48578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0E711D5F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248071A6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6E94A041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56D4CB3B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3C858CBF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6A754DF5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313C904A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7B782A04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4BF0D210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70B79E54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4F41F9A5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311315F8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443E9B91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30E2E6AA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0BB7CB32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24FB02ED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4CABF5B2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7BFD7EF5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  <w:r w:rsidRPr="000972A9">
        <w:rPr>
          <w:rFonts w:asciiTheme="majorBidi" w:hAnsiTheme="majorBidi" w:cstheme="majorBidi"/>
          <w:b/>
          <w:bCs/>
          <w:color w:val="000000" w:themeColor="text1"/>
        </w:rPr>
        <w:t>Section 2</w:t>
      </w:r>
      <w:r w:rsidRPr="000972A9">
        <w:rPr>
          <w:rFonts w:asciiTheme="majorBidi" w:hAnsiTheme="majorBidi" w:cstheme="majorBidi"/>
          <w:color w:val="000000" w:themeColor="text1"/>
        </w:rPr>
        <w:t>. Consent Form for the RCT.</w:t>
      </w:r>
    </w:p>
    <w:p w14:paraId="46FC8047" w14:textId="77777777" w:rsidR="00BF6458" w:rsidRPr="000972A9" w:rsidRDefault="00BF6458" w:rsidP="00BF6458">
      <w:pPr>
        <w:rPr>
          <w:rFonts w:asciiTheme="majorBidi" w:hAnsiTheme="majorBidi" w:cstheme="majorBidi"/>
          <w:color w:val="000000" w:themeColor="text1"/>
        </w:rPr>
      </w:pPr>
    </w:p>
    <w:p w14:paraId="5FD2069F" w14:textId="77777777" w:rsidR="00BF6458" w:rsidRPr="000972A9" w:rsidRDefault="00BF6458" w:rsidP="00BF6458">
      <w:pPr>
        <w:rPr>
          <w:color w:val="000000" w:themeColor="text1"/>
        </w:rPr>
      </w:pPr>
    </w:p>
    <w:p w14:paraId="1754F202" w14:textId="77777777" w:rsidR="00BF6458" w:rsidRPr="000972A9" w:rsidRDefault="00BF6458" w:rsidP="00BF6458">
      <w:pPr>
        <w:rPr>
          <w:noProof/>
          <w:color w:val="000000" w:themeColor="text1"/>
        </w:rPr>
      </w:pPr>
      <w:r w:rsidRPr="000972A9">
        <w:rPr>
          <w:noProof/>
          <w:color w:val="000000" w:themeColor="text1"/>
        </w:rPr>
        <w:lastRenderedPageBreak/>
        <w:drawing>
          <wp:inline distT="0" distB="0" distL="0" distR="0" wp14:anchorId="344F5F79" wp14:editId="640E725B">
            <wp:extent cx="5727626" cy="7757410"/>
            <wp:effectExtent l="0" t="0" r="0" b="0"/>
            <wp:docPr id="29" name="Picture 2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creenshot 2019-11-17 at 13.39.1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180" cy="7775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4EDF3" w14:textId="77777777" w:rsidR="00BF6458" w:rsidRPr="000972A9" w:rsidRDefault="00BF6458" w:rsidP="00BF6458">
      <w:pPr>
        <w:rPr>
          <w:b/>
          <w:bCs/>
          <w:color w:val="000000" w:themeColor="text1"/>
        </w:rPr>
      </w:pPr>
    </w:p>
    <w:p w14:paraId="73B95818" w14:textId="77777777" w:rsidR="00BF6458" w:rsidRPr="000972A9" w:rsidRDefault="00BF6458" w:rsidP="00BF6458">
      <w:pPr>
        <w:rPr>
          <w:b/>
          <w:bCs/>
          <w:color w:val="000000" w:themeColor="text1"/>
        </w:rPr>
      </w:pPr>
    </w:p>
    <w:p w14:paraId="2875823D" w14:textId="77777777" w:rsidR="00BF6458" w:rsidRPr="000972A9" w:rsidRDefault="00BF6458" w:rsidP="00BF6458">
      <w:pPr>
        <w:rPr>
          <w:color w:val="000000" w:themeColor="text1"/>
        </w:rPr>
      </w:pPr>
      <w:r w:rsidRPr="000972A9">
        <w:rPr>
          <w:b/>
          <w:bCs/>
          <w:color w:val="000000" w:themeColor="text1"/>
        </w:rPr>
        <w:t>Section 3.</w:t>
      </w:r>
      <w:r w:rsidRPr="000972A9">
        <w:rPr>
          <w:color w:val="000000" w:themeColor="text1"/>
        </w:rPr>
        <w:t xml:space="preserve"> Consent Form Checklist for the RCT</w:t>
      </w:r>
    </w:p>
    <w:p w14:paraId="3F1218D4" w14:textId="77777777" w:rsidR="00BF6458" w:rsidRPr="000972A9" w:rsidRDefault="00BF6458" w:rsidP="00BF6458">
      <w:pPr>
        <w:rPr>
          <w:noProof/>
          <w:color w:val="000000" w:themeColor="text1"/>
        </w:rPr>
      </w:pPr>
      <w:r w:rsidRPr="000972A9">
        <w:rPr>
          <w:noProof/>
          <w:color w:val="000000" w:themeColor="text1"/>
        </w:rPr>
        <w:lastRenderedPageBreak/>
        <w:drawing>
          <wp:inline distT="0" distB="0" distL="0" distR="0" wp14:anchorId="1945FF41" wp14:editId="2D5E0D32">
            <wp:extent cx="5727700" cy="8117205"/>
            <wp:effectExtent l="0" t="0" r="0" b="0"/>
            <wp:docPr id="30" name="Picture 3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creenshot 2019-11-17 at 13.39.2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1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F1B0E" w14:textId="77777777" w:rsidR="00A340D3" w:rsidRDefault="00A340D3"/>
    <w:sectPr w:rsidR="00A340D3" w:rsidSect="00811BD8">
      <w:pgSz w:w="11900" w:h="16840"/>
      <w:pgMar w:top="1440" w:right="1440" w:bottom="1440" w:left="1440" w:header="708" w:footer="708" w:gutter="0"/>
      <w:lnNumType w:countBy="1" w:restart="continuous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458"/>
    <w:rsid w:val="00114675"/>
    <w:rsid w:val="002B53FA"/>
    <w:rsid w:val="00A340D3"/>
    <w:rsid w:val="00BF6458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29D4D"/>
  <w15:chartTrackingRefBased/>
  <w15:docId w15:val="{766ABB03-6D74-5544-88EF-44B411158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458"/>
    <w:rPr>
      <w:rFonts w:ascii="Times New Roman" w:eastAsia="Times New Roman" w:hAnsi="Times New Roman" w:cs="Times New Roman"/>
      <w:lang w:val="en-I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6458"/>
    <w:pPr>
      <w:spacing w:after="160" w:line="480" w:lineRule="auto"/>
    </w:pPr>
    <w:rPr>
      <w:sz w:val="22"/>
      <w:szCs w:val="22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F6458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BF6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2020-11-09T18:34:00Z</dcterms:created>
  <dcterms:modified xsi:type="dcterms:W3CDTF">2020-11-09T18:35:00Z</dcterms:modified>
</cp:coreProperties>
</file>